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RPr="00EA05B3">
        <w:trPr>
          <w:trHeight w:hRule="exact" w:val="851"/>
        </w:trPr>
        <w:tc>
          <w:tcPr>
            <w:tcW w:w="1276" w:type="dxa"/>
            <w:tcBorders>
              <w:bottom w:val="single" w:sz="4" w:space="0" w:color="auto"/>
            </w:tcBorders>
          </w:tcPr>
          <w:p w:rsidR="002D5AAC" w:rsidRPr="00EA05B3" w:rsidRDefault="002D5AAC" w:rsidP="00A12110">
            <w:pPr>
              <w:tabs>
                <w:tab w:val="left" w:pos="770"/>
              </w:tabs>
              <w:spacing w:line="20" w:lineRule="exact"/>
              <w:rPr>
                <w:sz w:val="2"/>
                <w:lang w:val="fr-FR"/>
              </w:rPr>
            </w:pPr>
          </w:p>
          <w:p w:rsidR="00C13132" w:rsidRPr="00EA05B3" w:rsidRDefault="00C13132" w:rsidP="0018649F">
            <w:pPr>
              <w:rPr>
                <w:lang w:val="fr-FR"/>
              </w:rPr>
            </w:pPr>
          </w:p>
        </w:tc>
        <w:tc>
          <w:tcPr>
            <w:tcW w:w="2268" w:type="dxa"/>
            <w:tcBorders>
              <w:bottom w:val="single" w:sz="4" w:space="0" w:color="auto"/>
            </w:tcBorders>
            <w:vAlign w:val="bottom"/>
          </w:tcPr>
          <w:p w:rsidR="002D5AAC" w:rsidRPr="00EA05B3" w:rsidRDefault="00BD33EE" w:rsidP="0018649F">
            <w:pPr>
              <w:spacing w:after="80" w:line="300" w:lineRule="exact"/>
              <w:rPr>
                <w:sz w:val="28"/>
                <w:lang w:val="fr-FR"/>
              </w:rPr>
            </w:pPr>
            <w:r w:rsidRPr="00EA05B3">
              <w:rPr>
                <w:sz w:val="28"/>
                <w:lang w:val="fr-FR"/>
              </w:rPr>
              <w:t>Nations Unies</w:t>
            </w:r>
          </w:p>
        </w:tc>
        <w:tc>
          <w:tcPr>
            <w:tcW w:w="6073" w:type="dxa"/>
            <w:gridSpan w:val="2"/>
            <w:tcBorders>
              <w:bottom w:val="single" w:sz="4" w:space="0" w:color="auto"/>
            </w:tcBorders>
            <w:vAlign w:val="bottom"/>
          </w:tcPr>
          <w:p w:rsidR="002D5AAC" w:rsidRPr="00EA05B3" w:rsidRDefault="00980462" w:rsidP="00C4146B">
            <w:pPr>
              <w:spacing w:after="20"/>
              <w:jc w:val="right"/>
              <w:rPr>
                <w:lang w:val="fr-FR"/>
              </w:rPr>
            </w:pPr>
            <w:r w:rsidRPr="00EA05B3">
              <w:rPr>
                <w:sz w:val="40"/>
                <w:szCs w:val="40"/>
                <w:lang w:val="fr-FR"/>
              </w:rPr>
              <w:t>HRI</w:t>
            </w:r>
            <w:r w:rsidRPr="00EA05B3">
              <w:rPr>
                <w:lang w:val="fr-FR"/>
              </w:rPr>
              <w:t>/CORE/ECU/2015</w:t>
            </w:r>
          </w:p>
        </w:tc>
      </w:tr>
      <w:tr w:rsidR="002D5AAC" w:rsidRPr="00EA05B3">
        <w:trPr>
          <w:trHeight w:hRule="exact" w:val="2835"/>
        </w:trPr>
        <w:tc>
          <w:tcPr>
            <w:tcW w:w="1276" w:type="dxa"/>
            <w:tcBorders>
              <w:top w:val="single" w:sz="4" w:space="0" w:color="auto"/>
              <w:bottom w:val="single" w:sz="12" w:space="0" w:color="auto"/>
            </w:tcBorders>
          </w:tcPr>
          <w:p w:rsidR="002D5AAC" w:rsidRPr="00EA05B3" w:rsidRDefault="00A80C38" w:rsidP="0018649F">
            <w:pPr>
              <w:spacing w:before="120"/>
              <w:jc w:val="center"/>
              <w:rPr>
                <w:lang w:val="fr-FR"/>
              </w:rPr>
            </w:pPr>
            <w:r w:rsidRPr="00EA05B3">
              <w:rPr>
                <w:noProof/>
                <w:lang w:val="fr-FR"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tcPr>
          <w:p w:rsidR="002D5AAC" w:rsidRPr="00EA05B3" w:rsidRDefault="00DB6076" w:rsidP="005A1AA8">
            <w:pPr>
              <w:spacing w:before="120" w:line="380" w:lineRule="exact"/>
              <w:rPr>
                <w:b/>
                <w:sz w:val="34"/>
                <w:szCs w:val="34"/>
                <w:lang w:val="fr-FR"/>
              </w:rPr>
            </w:pPr>
            <w:r w:rsidRPr="00EA05B3">
              <w:rPr>
                <w:b/>
                <w:sz w:val="34"/>
                <w:lang w:val="fr-FR"/>
              </w:rPr>
              <w:t>Instruments internationaux</w:t>
            </w:r>
            <w:r w:rsidR="00E905BF" w:rsidRPr="00EA05B3">
              <w:rPr>
                <w:b/>
                <w:sz w:val="34"/>
                <w:lang w:val="fr-FR"/>
              </w:rPr>
              <w:br/>
            </w:r>
            <w:r w:rsidRPr="00EA05B3">
              <w:rPr>
                <w:b/>
                <w:sz w:val="34"/>
                <w:lang w:val="fr-FR"/>
              </w:rPr>
              <w:t xml:space="preserve">relatifs aux droits de </w:t>
            </w:r>
            <w:r w:rsidR="009379A7" w:rsidRPr="00EA05B3">
              <w:rPr>
                <w:b/>
                <w:sz w:val="34"/>
                <w:lang w:val="fr-FR"/>
              </w:rPr>
              <w:t>l’</w:t>
            </w:r>
            <w:r w:rsidRPr="00EA05B3">
              <w:rPr>
                <w:b/>
                <w:sz w:val="34"/>
                <w:lang w:val="fr-FR"/>
              </w:rPr>
              <w:t>homme</w:t>
            </w:r>
          </w:p>
        </w:tc>
        <w:tc>
          <w:tcPr>
            <w:tcW w:w="2813" w:type="dxa"/>
            <w:tcBorders>
              <w:top w:val="single" w:sz="4" w:space="0" w:color="auto"/>
              <w:bottom w:val="single" w:sz="12" w:space="0" w:color="auto"/>
            </w:tcBorders>
          </w:tcPr>
          <w:p w:rsidR="00980462" w:rsidRPr="00EA05B3" w:rsidRDefault="00980462" w:rsidP="00980462">
            <w:pPr>
              <w:spacing w:before="240"/>
              <w:rPr>
                <w:lang w:val="fr-FR"/>
              </w:rPr>
            </w:pPr>
            <w:r w:rsidRPr="00EA05B3">
              <w:rPr>
                <w:lang w:val="fr-FR"/>
              </w:rPr>
              <w:t>Distr. générale</w:t>
            </w:r>
          </w:p>
          <w:p w:rsidR="00F61C0B" w:rsidRPr="00EA05B3" w:rsidRDefault="00367667" w:rsidP="00980462">
            <w:pPr>
              <w:rPr>
                <w:lang w:val="fr-FR"/>
              </w:rPr>
            </w:pPr>
            <w:r w:rsidRPr="00EA05B3">
              <w:rPr>
                <w:lang w:val="fr-FR"/>
              </w:rPr>
              <w:t>1</w:t>
            </w:r>
            <w:r w:rsidRPr="00EA05B3">
              <w:rPr>
                <w:vertAlign w:val="superscript"/>
                <w:lang w:val="fr-FR"/>
              </w:rPr>
              <w:t>er</w:t>
            </w:r>
            <w:r w:rsidR="00F61C0B" w:rsidRPr="00EA05B3">
              <w:rPr>
                <w:lang w:val="fr-FR"/>
              </w:rPr>
              <w:t xml:space="preserve"> </w:t>
            </w:r>
            <w:r w:rsidRPr="00EA05B3">
              <w:rPr>
                <w:lang w:val="fr-FR"/>
              </w:rPr>
              <w:t>octobre 2015</w:t>
            </w:r>
          </w:p>
          <w:p w:rsidR="002D5AAC" w:rsidRPr="00EA05B3" w:rsidRDefault="00980462" w:rsidP="00980462">
            <w:pPr>
              <w:rPr>
                <w:lang w:val="fr-FR"/>
              </w:rPr>
            </w:pPr>
            <w:r w:rsidRPr="00EA05B3">
              <w:rPr>
                <w:lang w:val="fr-FR"/>
              </w:rPr>
              <w:t>Français</w:t>
            </w:r>
            <w:r w:rsidRPr="00EA05B3">
              <w:rPr>
                <w:lang w:val="fr-FR"/>
              </w:rPr>
              <w:br/>
              <w:t>Original</w:t>
            </w:r>
            <w:r w:rsidR="00332F53" w:rsidRPr="00EA05B3">
              <w:rPr>
                <w:lang w:val="fr-FR"/>
              </w:rPr>
              <w:t>:</w:t>
            </w:r>
            <w:r w:rsidRPr="00EA05B3">
              <w:rPr>
                <w:lang w:val="fr-FR"/>
              </w:rPr>
              <w:t xml:space="preserve"> espagnol</w:t>
            </w:r>
          </w:p>
        </w:tc>
      </w:tr>
    </w:tbl>
    <w:p w:rsidR="001952D0" w:rsidRPr="00EA05B3" w:rsidRDefault="001952D0" w:rsidP="001952D0">
      <w:pPr>
        <w:pStyle w:val="HMG"/>
        <w:rPr>
          <w:lang w:val="fr-FR"/>
        </w:rPr>
      </w:pPr>
      <w:r w:rsidRPr="00EA05B3">
        <w:rPr>
          <w:lang w:val="fr-FR"/>
        </w:rPr>
        <w:tab/>
      </w:r>
      <w:r w:rsidRPr="00EA05B3">
        <w:rPr>
          <w:lang w:val="fr-FR"/>
        </w:rPr>
        <w:tab/>
        <w:t>Document de base faisant partie intégrante des rapports présentés par les États parties</w:t>
      </w:r>
    </w:p>
    <w:p w:rsidR="001952D0" w:rsidRPr="00EA05B3" w:rsidRDefault="001952D0" w:rsidP="001952D0">
      <w:pPr>
        <w:pStyle w:val="HMG"/>
        <w:rPr>
          <w:lang w:val="fr-FR"/>
        </w:rPr>
      </w:pPr>
      <w:r w:rsidRPr="00EA05B3">
        <w:rPr>
          <w:lang w:val="fr-FR"/>
        </w:rPr>
        <w:tab/>
      </w:r>
      <w:r w:rsidRPr="00EA05B3">
        <w:rPr>
          <w:lang w:val="fr-FR"/>
        </w:rPr>
        <w:tab/>
        <w:t>Équateur</w:t>
      </w:r>
      <w:r w:rsidRPr="00EA05B3">
        <w:rPr>
          <w:b w:val="0"/>
          <w:position w:val="6"/>
          <w:sz w:val="20"/>
          <w:lang w:val="fr-FR"/>
        </w:rPr>
        <w:footnoteReference w:customMarkFollows="1" w:id="2"/>
        <w:t>*</w:t>
      </w:r>
    </w:p>
    <w:p w:rsidR="001952D0" w:rsidRPr="00EA05B3" w:rsidRDefault="001952D0" w:rsidP="001952D0">
      <w:pPr>
        <w:pStyle w:val="SingleTxtG"/>
        <w:jc w:val="right"/>
        <w:rPr>
          <w:lang w:val="fr-FR"/>
        </w:rPr>
      </w:pPr>
      <w:r w:rsidRPr="00EA05B3">
        <w:rPr>
          <w:lang w:val="fr-FR"/>
        </w:rPr>
        <w:t>[Date de réception</w:t>
      </w:r>
      <w:r w:rsidR="00332F53" w:rsidRPr="00EA05B3">
        <w:rPr>
          <w:lang w:val="fr-FR"/>
        </w:rPr>
        <w:t>:</w:t>
      </w:r>
      <w:r w:rsidRPr="00EA05B3">
        <w:rPr>
          <w:lang w:val="fr-FR"/>
        </w:rPr>
        <w:t xml:space="preserve"> 8 juin 2015]</w:t>
      </w:r>
    </w:p>
    <w:p w:rsidR="001952D0" w:rsidRPr="00EA05B3" w:rsidRDefault="001952D0" w:rsidP="001952D0">
      <w:pPr>
        <w:pStyle w:val="SingleTxtG"/>
        <w:rPr>
          <w:lang w:val="fr-FR"/>
        </w:rPr>
      </w:pPr>
    </w:p>
    <w:p w:rsidR="002B70BC" w:rsidRPr="00EA05B3" w:rsidRDefault="001952D0" w:rsidP="003E36CD">
      <w:pPr>
        <w:pStyle w:val="HChG"/>
        <w:ind w:left="0" w:firstLine="0"/>
        <w:rPr>
          <w:b w:val="0"/>
          <w:bCs/>
          <w:lang w:val="fr-FR"/>
        </w:rPr>
      </w:pPr>
      <w:r w:rsidRPr="00EA05B3">
        <w:rPr>
          <w:b w:val="0"/>
          <w:bCs/>
          <w:lang w:val="fr-FR"/>
        </w:rPr>
        <w:br w:type="page"/>
        <w:t>Table des matières</w:t>
      </w:r>
    </w:p>
    <w:p w:rsidR="002B70BC" w:rsidRPr="00EA05B3" w:rsidRDefault="002B70BC" w:rsidP="002B70BC">
      <w:pPr>
        <w:pStyle w:val="SingleTxtG"/>
        <w:tabs>
          <w:tab w:val="right" w:pos="8929"/>
          <w:tab w:val="right" w:pos="9638"/>
        </w:tabs>
        <w:ind w:left="283" w:right="0"/>
        <w:jc w:val="left"/>
        <w:rPr>
          <w:i/>
          <w:sz w:val="18"/>
          <w:lang w:val="fr-FR"/>
        </w:rPr>
      </w:pPr>
      <w:r w:rsidRPr="00EA05B3">
        <w:rPr>
          <w:lang w:val="fr-FR"/>
        </w:rPr>
        <w:tab/>
      </w:r>
      <w:r w:rsidRPr="00EA05B3">
        <w:rPr>
          <w:lang w:val="fr-FR"/>
        </w:rPr>
        <w:tab/>
      </w:r>
      <w:r w:rsidRPr="00EA05B3">
        <w:rPr>
          <w:i/>
          <w:sz w:val="18"/>
          <w:lang w:val="fr-FR"/>
        </w:rPr>
        <w:t>Page</w:t>
      </w:r>
    </w:p>
    <w:p w:rsidR="0029657A" w:rsidRPr="00EA05B3" w:rsidRDefault="0029657A" w:rsidP="00F206A9">
      <w:pPr>
        <w:pStyle w:val="SingleTxtG"/>
        <w:tabs>
          <w:tab w:val="right" w:pos="850"/>
          <w:tab w:val="left" w:pos="1134"/>
          <w:tab w:val="left" w:pos="1559"/>
          <w:tab w:val="left" w:pos="1984"/>
          <w:tab w:val="left" w:leader="dot" w:pos="8931"/>
          <w:tab w:val="right" w:pos="9638"/>
        </w:tabs>
        <w:ind w:left="0" w:right="0"/>
        <w:jc w:val="left"/>
        <w:rPr>
          <w:lang w:val="fr-FR"/>
        </w:rPr>
      </w:pPr>
      <w:r w:rsidRPr="00EA05B3">
        <w:rPr>
          <w:lang w:val="fr-FR"/>
        </w:rPr>
        <w:tab/>
        <w:t>I.</w:t>
      </w:r>
      <w:r w:rsidRPr="00EA05B3">
        <w:rPr>
          <w:lang w:val="fr-FR"/>
        </w:rPr>
        <w:tab/>
        <w:t>Présentation</w:t>
      </w:r>
      <w:r w:rsidRPr="00EA05B3">
        <w:rPr>
          <w:lang w:val="fr-FR"/>
        </w:rPr>
        <w:tab/>
      </w:r>
      <w:r w:rsidRPr="00EA05B3">
        <w:rPr>
          <w:lang w:val="fr-FR"/>
        </w:rPr>
        <w:tab/>
        <w:t>3</w:t>
      </w:r>
    </w:p>
    <w:p w:rsidR="001952D0" w:rsidRPr="00EA05B3" w:rsidRDefault="002B70BC" w:rsidP="00223616">
      <w:pPr>
        <w:pStyle w:val="SingleTxtG"/>
        <w:tabs>
          <w:tab w:val="right" w:pos="850"/>
          <w:tab w:val="left" w:pos="1134"/>
          <w:tab w:val="left" w:pos="1559"/>
          <w:tab w:val="left" w:pos="1984"/>
          <w:tab w:val="left" w:leader="dot" w:pos="8931"/>
          <w:tab w:val="right" w:pos="9638"/>
        </w:tabs>
        <w:ind w:left="0" w:right="0"/>
        <w:jc w:val="left"/>
        <w:rPr>
          <w:lang w:val="fr-FR"/>
        </w:rPr>
      </w:pPr>
      <w:r w:rsidRPr="00EA05B3">
        <w:rPr>
          <w:lang w:val="fr-FR"/>
        </w:rPr>
        <w:tab/>
        <w:t>II.</w:t>
      </w:r>
      <w:r w:rsidRPr="00EA05B3">
        <w:rPr>
          <w:lang w:val="fr-FR"/>
        </w:rPr>
        <w:tab/>
        <w:t xml:space="preserve">Données </w:t>
      </w:r>
      <w:r w:rsidR="00223616">
        <w:rPr>
          <w:lang w:val="fr-FR"/>
        </w:rPr>
        <w:t>d</w:t>
      </w:r>
      <w:r w:rsidR="00223616" w:rsidRPr="00EA05B3">
        <w:rPr>
          <w:lang w:val="fr-FR"/>
        </w:rPr>
        <w:t>’</w:t>
      </w:r>
      <w:r w:rsidR="00223616">
        <w:rPr>
          <w:lang w:val="fr-FR"/>
        </w:rPr>
        <w:t xml:space="preserve">ordre </w:t>
      </w:r>
      <w:r w:rsidRPr="00EA05B3">
        <w:rPr>
          <w:lang w:val="fr-FR"/>
        </w:rPr>
        <w:t xml:space="preserve">générale sur la </w:t>
      </w:r>
      <w:r w:rsidR="00065D74" w:rsidRPr="00EA05B3">
        <w:rPr>
          <w:lang w:val="fr-FR"/>
        </w:rPr>
        <w:t>République de l</w:t>
      </w:r>
      <w:r w:rsidR="00223616" w:rsidRPr="00EA05B3">
        <w:rPr>
          <w:lang w:val="fr-FR"/>
        </w:rPr>
        <w:t>’</w:t>
      </w:r>
      <w:r w:rsidR="00065D74" w:rsidRPr="00EA05B3">
        <w:rPr>
          <w:lang w:val="fr-FR"/>
        </w:rPr>
        <w:t>Équateur</w:t>
      </w:r>
      <w:r w:rsidRPr="00EA05B3">
        <w:rPr>
          <w:lang w:val="fr-FR"/>
        </w:rPr>
        <w:tab/>
      </w:r>
      <w:r w:rsidR="004D5212" w:rsidRPr="00EA05B3">
        <w:rPr>
          <w:lang w:val="fr-FR"/>
        </w:rPr>
        <w:tab/>
      </w:r>
      <w:r w:rsidRPr="00EA05B3">
        <w:rPr>
          <w:lang w:val="fr-FR"/>
        </w:rPr>
        <w:t>3</w:t>
      </w:r>
    </w:p>
    <w:p w:rsidR="001952D0" w:rsidRPr="00EA05B3" w:rsidRDefault="001952D0" w:rsidP="00F61C0B">
      <w:pPr>
        <w:pStyle w:val="SingleTxtG"/>
        <w:tabs>
          <w:tab w:val="right" w:pos="850"/>
          <w:tab w:val="left" w:pos="1134"/>
          <w:tab w:val="left" w:pos="1559"/>
          <w:tab w:val="left" w:pos="1984"/>
          <w:tab w:val="left" w:leader="dot" w:pos="8931"/>
          <w:tab w:val="right" w:pos="9638"/>
        </w:tabs>
        <w:ind w:right="0" w:hanging="1134"/>
        <w:jc w:val="left"/>
        <w:rPr>
          <w:lang w:val="fr-FR"/>
        </w:rPr>
      </w:pPr>
      <w:r w:rsidRPr="00EA05B3">
        <w:rPr>
          <w:lang w:val="fr-FR"/>
        </w:rPr>
        <w:tab/>
        <w:t>III.</w:t>
      </w:r>
      <w:r w:rsidRPr="00EA05B3">
        <w:rPr>
          <w:lang w:val="fr-FR"/>
        </w:rPr>
        <w:tab/>
        <w:t xml:space="preserve">Caractéristiques démographiques, économiques, sociales et </w:t>
      </w:r>
      <w:r w:rsidR="00F61C0B" w:rsidRPr="00EA05B3">
        <w:rPr>
          <w:lang w:val="fr-FR"/>
        </w:rPr>
        <w:t>culturelles</w:t>
      </w:r>
      <w:r w:rsidR="00F61C0B" w:rsidRPr="00EA05B3">
        <w:rPr>
          <w:lang w:val="fr-FR"/>
        </w:rPr>
        <w:br/>
      </w:r>
      <w:r w:rsidRPr="00EA05B3">
        <w:rPr>
          <w:lang w:val="fr-FR"/>
        </w:rPr>
        <w:t xml:space="preserve">de la </w:t>
      </w:r>
      <w:r w:rsidR="00065D74" w:rsidRPr="00EA05B3">
        <w:rPr>
          <w:lang w:val="fr-FR"/>
        </w:rPr>
        <w:t xml:space="preserve">République de </w:t>
      </w:r>
      <w:r w:rsidR="00F61C0B" w:rsidRPr="00EA05B3">
        <w:rPr>
          <w:lang w:val="fr-FR"/>
        </w:rPr>
        <w:t>l’Équateur</w:t>
      </w:r>
      <w:r w:rsidRPr="00EA05B3">
        <w:rPr>
          <w:lang w:val="fr-FR"/>
        </w:rPr>
        <w:tab/>
      </w:r>
      <w:r w:rsidR="00F61C0B" w:rsidRPr="00EA05B3">
        <w:rPr>
          <w:lang w:val="fr-FR"/>
        </w:rPr>
        <w:tab/>
      </w:r>
      <w:r w:rsidRPr="00EA05B3">
        <w:rPr>
          <w:lang w:val="fr-FR"/>
        </w:rPr>
        <w:t>5</w:t>
      </w:r>
    </w:p>
    <w:p w:rsidR="00D60A11" w:rsidRPr="00EA05B3" w:rsidRDefault="000B22EA">
      <w:pPr>
        <w:tabs>
          <w:tab w:val="right" w:pos="850"/>
          <w:tab w:val="left" w:pos="1134"/>
          <w:tab w:val="left" w:pos="1559"/>
          <w:tab w:val="left" w:pos="1984"/>
          <w:tab w:val="left" w:leader="dot" w:pos="8931"/>
          <w:tab w:val="right" w:pos="9638"/>
        </w:tabs>
        <w:suppressAutoHyphens/>
        <w:spacing w:after="120"/>
        <w:rPr>
          <w:lang w:val="fr-FR"/>
        </w:rPr>
      </w:pPr>
      <w:r w:rsidRPr="00EA05B3">
        <w:rPr>
          <w:lang w:val="fr-FR"/>
        </w:rPr>
        <w:tab/>
      </w:r>
      <w:r w:rsidRPr="00EA05B3">
        <w:rPr>
          <w:lang w:val="fr-FR"/>
        </w:rPr>
        <w:tab/>
        <w:t>A.</w:t>
      </w:r>
      <w:r w:rsidRPr="00EA05B3">
        <w:rPr>
          <w:lang w:val="fr-FR"/>
        </w:rPr>
        <w:tab/>
        <w:t xml:space="preserve">Droit à </w:t>
      </w:r>
      <w:r w:rsidR="009379A7" w:rsidRPr="00EA05B3">
        <w:rPr>
          <w:lang w:val="fr-FR"/>
        </w:rPr>
        <w:t>l’</w:t>
      </w:r>
      <w:r w:rsidRPr="00EA05B3">
        <w:rPr>
          <w:lang w:val="fr-FR"/>
        </w:rPr>
        <w:t>éducation</w:t>
      </w:r>
      <w:r w:rsidRPr="00EA05B3">
        <w:rPr>
          <w:lang w:val="fr-FR"/>
        </w:rPr>
        <w:tab/>
      </w:r>
      <w:r w:rsidR="004D5212" w:rsidRPr="00EA05B3">
        <w:rPr>
          <w:lang w:val="fr-FR"/>
        </w:rPr>
        <w:tab/>
      </w:r>
      <w:r w:rsidR="00EB3D87" w:rsidRPr="00EA05B3">
        <w:rPr>
          <w:lang w:val="fr-FR"/>
        </w:rPr>
        <w:t>9</w:t>
      </w:r>
    </w:p>
    <w:p w:rsidR="00D60A11" w:rsidRPr="00EA05B3" w:rsidRDefault="000B22EA">
      <w:pPr>
        <w:tabs>
          <w:tab w:val="right" w:pos="850"/>
          <w:tab w:val="left" w:pos="1134"/>
          <w:tab w:val="left" w:pos="1559"/>
          <w:tab w:val="left" w:pos="1984"/>
          <w:tab w:val="left" w:leader="dot" w:pos="8931"/>
          <w:tab w:val="right" w:pos="9638"/>
        </w:tabs>
        <w:suppressAutoHyphens/>
        <w:spacing w:after="120"/>
        <w:rPr>
          <w:lang w:val="fr-FR"/>
        </w:rPr>
      </w:pPr>
      <w:r w:rsidRPr="00EA05B3">
        <w:rPr>
          <w:lang w:val="fr-FR"/>
        </w:rPr>
        <w:tab/>
      </w:r>
      <w:r w:rsidRPr="00EA05B3">
        <w:rPr>
          <w:lang w:val="fr-FR"/>
        </w:rPr>
        <w:tab/>
        <w:t>B.</w:t>
      </w:r>
      <w:r w:rsidRPr="00EA05B3">
        <w:rPr>
          <w:lang w:val="fr-FR"/>
        </w:rPr>
        <w:tab/>
        <w:t>Droit à la santé</w:t>
      </w:r>
      <w:r w:rsidRPr="00EA05B3">
        <w:rPr>
          <w:lang w:val="fr-FR"/>
        </w:rPr>
        <w:tab/>
      </w:r>
      <w:r w:rsidR="004D5212" w:rsidRPr="00EA05B3">
        <w:rPr>
          <w:lang w:val="fr-FR"/>
        </w:rPr>
        <w:tab/>
      </w:r>
      <w:r w:rsidRPr="00EA05B3">
        <w:rPr>
          <w:lang w:val="fr-FR"/>
        </w:rPr>
        <w:t>11</w:t>
      </w:r>
    </w:p>
    <w:p w:rsidR="00D60A11" w:rsidRPr="00EA05B3" w:rsidRDefault="000B22EA">
      <w:pPr>
        <w:tabs>
          <w:tab w:val="right" w:pos="850"/>
          <w:tab w:val="left" w:pos="1134"/>
          <w:tab w:val="left" w:pos="1559"/>
          <w:tab w:val="left" w:pos="1984"/>
          <w:tab w:val="left" w:leader="dot" w:pos="8931"/>
          <w:tab w:val="right" w:pos="9638"/>
        </w:tabs>
        <w:suppressAutoHyphens/>
        <w:spacing w:after="120"/>
        <w:rPr>
          <w:lang w:val="fr-FR"/>
        </w:rPr>
      </w:pPr>
      <w:r w:rsidRPr="00EA05B3">
        <w:rPr>
          <w:lang w:val="fr-FR"/>
        </w:rPr>
        <w:tab/>
      </w:r>
      <w:r w:rsidRPr="00EA05B3">
        <w:rPr>
          <w:lang w:val="fr-FR"/>
        </w:rPr>
        <w:tab/>
        <w:t>C.</w:t>
      </w:r>
      <w:r w:rsidRPr="00EA05B3">
        <w:rPr>
          <w:lang w:val="fr-FR"/>
        </w:rPr>
        <w:tab/>
        <w:t>Travail des enfants</w:t>
      </w:r>
      <w:r w:rsidRPr="00EA05B3">
        <w:rPr>
          <w:lang w:val="fr-FR"/>
        </w:rPr>
        <w:tab/>
      </w:r>
      <w:r w:rsidR="004D5212" w:rsidRPr="00EA05B3">
        <w:rPr>
          <w:lang w:val="fr-FR"/>
        </w:rPr>
        <w:tab/>
      </w:r>
      <w:r w:rsidRPr="00EA05B3">
        <w:rPr>
          <w:lang w:val="fr-FR"/>
        </w:rPr>
        <w:t>14</w:t>
      </w:r>
    </w:p>
    <w:p w:rsidR="00D60A11" w:rsidRPr="00EA05B3" w:rsidRDefault="000B22EA">
      <w:pPr>
        <w:tabs>
          <w:tab w:val="right" w:pos="850"/>
          <w:tab w:val="left" w:pos="1134"/>
          <w:tab w:val="left" w:pos="1559"/>
          <w:tab w:val="left" w:pos="1984"/>
          <w:tab w:val="left" w:leader="dot" w:pos="8931"/>
          <w:tab w:val="right" w:pos="9638"/>
        </w:tabs>
        <w:suppressAutoHyphens/>
        <w:spacing w:after="120"/>
        <w:rPr>
          <w:lang w:val="fr-FR"/>
        </w:rPr>
      </w:pPr>
      <w:r w:rsidRPr="00EA05B3">
        <w:rPr>
          <w:lang w:val="fr-FR"/>
        </w:rPr>
        <w:tab/>
      </w:r>
      <w:r w:rsidRPr="00EA05B3">
        <w:rPr>
          <w:lang w:val="fr-FR"/>
        </w:rPr>
        <w:tab/>
        <w:t>D.</w:t>
      </w:r>
      <w:r w:rsidRPr="00EA05B3">
        <w:rPr>
          <w:lang w:val="fr-FR"/>
        </w:rPr>
        <w:tab/>
        <w:t>Données démographiques</w:t>
      </w:r>
      <w:r w:rsidRPr="00EA05B3">
        <w:rPr>
          <w:lang w:val="fr-FR"/>
        </w:rPr>
        <w:tab/>
      </w:r>
      <w:r w:rsidR="004D5212" w:rsidRPr="00EA05B3">
        <w:rPr>
          <w:lang w:val="fr-FR"/>
        </w:rPr>
        <w:tab/>
      </w:r>
      <w:r w:rsidRPr="00EA05B3">
        <w:rPr>
          <w:lang w:val="fr-FR"/>
        </w:rPr>
        <w:t>17</w:t>
      </w:r>
    </w:p>
    <w:p w:rsidR="00D60A11" w:rsidRPr="00EA05B3" w:rsidRDefault="000B22EA">
      <w:pPr>
        <w:tabs>
          <w:tab w:val="right" w:pos="850"/>
          <w:tab w:val="left" w:pos="1134"/>
          <w:tab w:val="left" w:pos="1559"/>
          <w:tab w:val="left" w:pos="1984"/>
          <w:tab w:val="left" w:leader="dot" w:pos="8931"/>
          <w:tab w:val="right" w:pos="9638"/>
        </w:tabs>
        <w:suppressAutoHyphens/>
        <w:spacing w:after="120"/>
        <w:rPr>
          <w:lang w:val="fr-FR"/>
        </w:rPr>
      </w:pPr>
      <w:r w:rsidRPr="00EA05B3">
        <w:rPr>
          <w:lang w:val="fr-FR"/>
        </w:rPr>
        <w:tab/>
      </w:r>
      <w:r w:rsidRPr="00EA05B3">
        <w:rPr>
          <w:lang w:val="fr-FR"/>
        </w:rPr>
        <w:tab/>
        <w:t>E.</w:t>
      </w:r>
      <w:r w:rsidRPr="00EA05B3">
        <w:rPr>
          <w:lang w:val="fr-FR"/>
        </w:rPr>
        <w:tab/>
        <w:t>Droits liés au travail</w:t>
      </w:r>
      <w:r w:rsidRPr="00EA05B3">
        <w:rPr>
          <w:lang w:val="fr-FR"/>
        </w:rPr>
        <w:tab/>
      </w:r>
      <w:r w:rsidR="004D5212" w:rsidRPr="00EA05B3">
        <w:rPr>
          <w:lang w:val="fr-FR"/>
        </w:rPr>
        <w:tab/>
      </w:r>
      <w:r w:rsidRPr="00EA05B3">
        <w:rPr>
          <w:lang w:val="fr-FR"/>
        </w:rPr>
        <w:t>20</w:t>
      </w:r>
    </w:p>
    <w:p w:rsidR="00D60A11" w:rsidRPr="00EA05B3" w:rsidRDefault="000B22EA">
      <w:pPr>
        <w:tabs>
          <w:tab w:val="right" w:pos="850"/>
          <w:tab w:val="left" w:pos="1134"/>
          <w:tab w:val="left" w:pos="1559"/>
          <w:tab w:val="left" w:pos="1984"/>
          <w:tab w:val="left" w:leader="dot" w:pos="8931"/>
          <w:tab w:val="right" w:pos="9638"/>
        </w:tabs>
        <w:suppressAutoHyphens/>
        <w:spacing w:after="120"/>
        <w:rPr>
          <w:lang w:val="fr-FR"/>
        </w:rPr>
      </w:pPr>
      <w:r w:rsidRPr="00EA05B3">
        <w:rPr>
          <w:lang w:val="fr-FR"/>
        </w:rPr>
        <w:tab/>
      </w:r>
      <w:r w:rsidRPr="00EA05B3">
        <w:rPr>
          <w:lang w:val="fr-FR"/>
        </w:rPr>
        <w:tab/>
        <w:t>F.</w:t>
      </w:r>
      <w:r w:rsidRPr="00EA05B3">
        <w:rPr>
          <w:lang w:val="fr-FR"/>
        </w:rPr>
        <w:tab/>
        <w:t>Sécurité sociale et retraite</w:t>
      </w:r>
      <w:r w:rsidRPr="00EA05B3">
        <w:rPr>
          <w:lang w:val="fr-FR"/>
        </w:rPr>
        <w:tab/>
      </w:r>
      <w:r w:rsidR="004D5212" w:rsidRPr="00EA05B3">
        <w:rPr>
          <w:lang w:val="fr-FR"/>
        </w:rPr>
        <w:tab/>
      </w:r>
      <w:r w:rsidRPr="00EA05B3">
        <w:rPr>
          <w:lang w:val="fr-FR"/>
        </w:rPr>
        <w:t>2</w:t>
      </w:r>
      <w:r w:rsidR="00163C61" w:rsidRPr="00EA05B3">
        <w:rPr>
          <w:lang w:val="fr-FR"/>
        </w:rPr>
        <w:t>2</w:t>
      </w:r>
    </w:p>
    <w:p w:rsidR="00D60A11" w:rsidRPr="00EA05B3" w:rsidRDefault="000B22EA">
      <w:pPr>
        <w:tabs>
          <w:tab w:val="right" w:pos="850"/>
          <w:tab w:val="left" w:pos="1134"/>
          <w:tab w:val="left" w:pos="1559"/>
          <w:tab w:val="left" w:pos="1984"/>
          <w:tab w:val="left" w:leader="dot" w:pos="8931"/>
          <w:tab w:val="right" w:pos="9638"/>
        </w:tabs>
        <w:suppressAutoHyphens/>
        <w:spacing w:after="120"/>
        <w:rPr>
          <w:lang w:val="fr-FR"/>
        </w:rPr>
      </w:pPr>
      <w:r w:rsidRPr="00EA05B3">
        <w:rPr>
          <w:lang w:val="fr-FR"/>
        </w:rPr>
        <w:tab/>
      </w:r>
      <w:r w:rsidRPr="00EA05B3">
        <w:rPr>
          <w:lang w:val="fr-FR"/>
        </w:rPr>
        <w:tab/>
        <w:t>G.</w:t>
      </w:r>
      <w:r w:rsidRPr="00EA05B3">
        <w:rPr>
          <w:lang w:val="fr-FR"/>
        </w:rPr>
        <w:tab/>
        <w:t>Logement</w:t>
      </w:r>
      <w:r w:rsidRPr="00EA05B3">
        <w:rPr>
          <w:lang w:val="fr-FR"/>
        </w:rPr>
        <w:tab/>
      </w:r>
      <w:r w:rsidR="004D5212" w:rsidRPr="00EA05B3">
        <w:rPr>
          <w:lang w:val="fr-FR"/>
        </w:rPr>
        <w:tab/>
      </w:r>
      <w:r w:rsidR="00223616">
        <w:rPr>
          <w:lang w:val="fr-FR"/>
        </w:rPr>
        <w:t>24</w:t>
      </w:r>
    </w:p>
    <w:p w:rsidR="000B22EA" w:rsidRPr="00EA05B3" w:rsidRDefault="000B22EA">
      <w:pPr>
        <w:tabs>
          <w:tab w:val="right" w:pos="850"/>
          <w:tab w:val="left" w:pos="1134"/>
          <w:tab w:val="left" w:pos="1559"/>
          <w:tab w:val="left" w:pos="1984"/>
          <w:tab w:val="left" w:leader="dot" w:pos="8931"/>
          <w:tab w:val="right" w:pos="9638"/>
        </w:tabs>
        <w:suppressAutoHyphens/>
        <w:spacing w:after="120"/>
        <w:rPr>
          <w:lang w:val="fr-FR"/>
        </w:rPr>
      </w:pPr>
      <w:r w:rsidRPr="00EA05B3">
        <w:rPr>
          <w:lang w:val="fr-FR"/>
        </w:rPr>
        <w:tab/>
      </w:r>
      <w:r w:rsidRPr="00EA05B3">
        <w:rPr>
          <w:lang w:val="fr-FR"/>
        </w:rPr>
        <w:tab/>
        <w:t>H.</w:t>
      </w:r>
      <w:r w:rsidRPr="00EA05B3">
        <w:rPr>
          <w:lang w:val="fr-FR"/>
        </w:rPr>
        <w:tab/>
        <w:t xml:space="preserve">Objectifs pour </w:t>
      </w:r>
      <w:r w:rsidR="009379A7" w:rsidRPr="00EA05B3">
        <w:rPr>
          <w:lang w:val="fr-FR"/>
        </w:rPr>
        <w:t>l’</w:t>
      </w:r>
      <w:r w:rsidRPr="00EA05B3">
        <w:rPr>
          <w:lang w:val="fr-FR"/>
        </w:rPr>
        <w:t>avenir</w:t>
      </w:r>
      <w:r w:rsidRPr="00EA05B3">
        <w:rPr>
          <w:lang w:val="fr-FR"/>
        </w:rPr>
        <w:tab/>
      </w:r>
      <w:r w:rsidR="004D5212" w:rsidRPr="00EA05B3">
        <w:rPr>
          <w:lang w:val="fr-FR"/>
        </w:rPr>
        <w:tab/>
      </w:r>
      <w:r w:rsidR="00163C61" w:rsidRPr="00EA05B3">
        <w:rPr>
          <w:lang w:val="fr-FR"/>
        </w:rPr>
        <w:t>25</w:t>
      </w:r>
    </w:p>
    <w:p w:rsidR="00D60A11" w:rsidRPr="00EA05B3" w:rsidRDefault="0029657A">
      <w:pPr>
        <w:tabs>
          <w:tab w:val="right" w:pos="850"/>
          <w:tab w:val="left" w:pos="1134"/>
          <w:tab w:val="left" w:pos="1559"/>
          <w:tab w:val="left" w:pos="1984"/>
          <w:tab w:val="left" w:leader="dot" w:pos="8931"/>
          <w:tab w:val="right" w:pos="9638"/>
        </w:tabs>
        <w:suppressAutoHyphens/>
        <w:spacing w:after="120"/>
        <w:rPr>
          <w:lang w:val="fr-FR"/>
        </w:rPr>
      </w:pPr>
      <w:r w:rsidRPr="00EA05B3">
        <w:rPr>
          <w:lang w:val="fr-FR"/>
        </w:rPr>
        <w:tab/>
        <w:t>IV.</w:t>
      </w:r>
      <w:r w:rsidR="004D5212" w:rsidRPr="00EA05B3">
        <w:rPr>
          <w:lang w:val="fr-FR"/>
        </w:rPr>
        <w:tab/>
      </w:r>
      <w:r w:rsidRPr="00EA05B3">
        <w:rPr>
          <w:lang w:val="fr-FR"/>
        </w:rPr>
        <w:t xml:space="preserve">Structure constitutionnelle, politique et juridique de </w:t>
      </w:r>
      <w:r w:rsidR="009379A7" w:rsidRPr="00EA05B3">
        <w:rPr>
          <w:lang w:val="fr-FR"/>
        </w:rPr>
        <w:t>l’</w:t>
      </w:r>
      <w:r w:rsidRPr="00EA05B3">
        <w:rPr>
          <w:lang w:val="fr-FR"/>
        </w:rPr>
        <w:t>État</w:t>
      </w:r>
      <w:r w:rsidRPr="00EA05B3">
        <w:rPr>
          <w:lang w:val="fr-FR"/>
        </w:rPr>
        <w:tab/>
      </w:r>
      <w:r w:rsidR="004D5212" w:rsidRPr="00EA05B3">
        <w:rPr>
          <w:lang w:val="fr-FR"/>
        </w:rPr>
        <w:tab/>
      </w:r>
      <w:r w:rsidR="00EB3D87" w:rsidRPr="00EA05B3">
        <w:rPr>
          <w:lang w:val="fr-FR"/>
        </w:rPr>
        <w:t>27</w:t>
      </w:r>
    </w:p>
    <w:p w:rsidR="00D60A11" w:rsidRPr="00EA05B3" w:rsidRDefault="0029657A">
      <w:pPr>
        <w:tabs>
          <w:tab w:val="right" w:pos="850"/>
          <w:tab w:val="left" w:pos="1134"/>
          <w:tab w:val="left" w:pos="1559"/>
          <w:tab w:val="left" w:pos="1984"/>
          <w:tab w:val="left" w:leader="dot" w:pos="8931"/>
          <w:tab w:val="right" w:pos="9638"/>
        </w:tabs>
        <w:suppressAutoHyphens/>
        <w:spacing w:after="120"/>
        <w:rPr>
          <w:lang w:val="fr-FR"/>
        </w:rPr>
      </w:pPr>
      <w:r w:rsidRPr="00EA05B3">
        <w:rPr>
          <w:lang w:val="fr-FR"/>
        </w:rPr>
        <w:tab/>
        <w:t>V.</w:t>
      </w:r>
      <w:r w:rsidRPr="00EA05B3">
        <w:rPr>
          <w:lang w:val="fr-FR"/>
        </w:rPr>
        <w:tab/>
        <w:t xml:space="preserve">Cadre général de la protection et de la promotion des droits de </w:t>
      </w:r>
      <w:r w:rsidR="009379A7" w:rsidRPr="00EA05B3">
        <w:rPr>
          <w:lang w:val="fr-FR"/>
        </w:rPr>
        <w:t>l’</w:t>
      </w:r>
      <w:r w:rsidRPr="00EA05B3">
        <w:rPr>
          <w:lang w:val="fr-FR"/>
        </w:rPr>
        <w:t>homme</w:t>
      </w:r>
      <w:r w:rsidRPr="00EA05B3">
        <w:rPr>
          <w:lang w:val="fr-FR"/>
        </w:rPr>
        <w:tab/>
      </w:r>
      <w:r w:rsidR="004D5212" w:rsidRPr="00EA05B3">
        <w:rPr>
          <w:lang w:val="fr-FR"/>
        </w:rPr>
        <w:tab/>
      </w:r>
      <w:r w:rsidRPr="00EA05B3">
        <w:rPr>
          <w:lang w:val="fr-FR"/>
        </w:rPr>
        <w:t>39</w:t>
      </w:r>
    </w:p>
    <w:p w:rsidR="00D60A11" w:rsidRPr="00EA05B3" w:rsidRDefault="000B22EA">
      <w:pPr>
        <w:tabs>
          <w:tab w:val="right" w:pos="850"/>
          <w:tab w:val="left" w:pos="1134"/>
          <w:tab w:val="left" w:pos="1559"/>
          <w:tab w:val="left" w:pos="1984"/>
          <w:tab w:val="left" w:leader="dot" w:pos="8931"/>
          <w:tab w:val="right" w:pos="9638"/>
        </w:tabs>
        <w:suppressAutoHyphens/>
        <w:spacing w:after="120"/>
        <w:rPr>
          <w:lang w:val="fr-FR"/>
        </w:rPr>
      </w:pPr>
      <w:r w:rsidRPr="00EA05B3">
        <w:rPr>
          <w:lang w:val="fr-FR"/>
        </w:rPr>
        <w:tab/>
      </w:r>
      <w:r w:rsidRPr="00EA05B3">
        <w:rPr>
          <w:lang w:val="fr-FR"/>
        </w:rPr>
        <w:tab/>
        <w:t>A.</w:t>
      </w:r>
      <w:r w:rsidRPr="00EA05B3">
        <w:rPr>
          <w:lang w:val="fr-FR"/>
        </w:rPr>
        <w:tab/>
        <w:t xml:space="preserve">Adhésion aux normes internationales relatives aux droits de </w:t>
      </w:r>
      <w:r w:rsidR="009379A7" w:rsidRPr="00EA05B3">
        <w:rPr>
          <w:lang w:val="fr-FR"/>
        </w:rPr>
        <w:t>l’</w:t>
      </w:r>
      <w:r w:rsidRPr="00EA05B3">
        <w:rPr>
          <w:lang w:val="fr-FR"/>
        </w:rPr>
        <w:t>homme</w:t>
      </w:r>
      <w:r w:rsidRPr="00EA05B3">
        <w:rPr>
          <w:lang w:val="fr-FR"/>
        </w:rPr>
        <w:tab/>
      </w:r>
      <w:r w:rsidR="004D5212" w:rsidRPr="00EA05B3">
        <w:rPr>
          <w:lang w:val="fr-FR"/>
        </w:rPr>
        <w:tab/>
      </w:r>
      <w:r w:rsidR="00163C61" w:rsidRPr="00EA05B3">
        <w:rPr>
          <w:lang w:val="fr-FR"/>
        </w:rPr>
        <w:t>40</w:t>
      </w:r>
    </w:p>
    <w:p w:rsidR="00D60A11" w:rsidRPr="00EA05B3" w:rsidRDefault="00163C61">
      <w:pPr>
        <w:tabs>
          <w:tab w:val="right" w:pos="850"/>
          <w:tab w:val="left" w:pos="1134"/>
          <w:tab w:val="left" w:pos="1559"/>
          <w:tab w:val="left" w:pos="1984"/>
          <w:tab w:val="left" w:leader="dot" w:pos="8931"/>
          <w:tab w:val="right" w:pos="9638"/>
        </w:tabs>
        <w:suppressAutoHyphens/>
        <w:spacing w:after="120"/>
        <w:rPr>
          <w:lang w:val="fr-FR"/>
        </w:rPr>
      </w:pPr>
      <w:r w:rsidRPr="00EA05B3">
        <w:rPr>
          <w:lang w:val="fr-FR"/>
        </w:rPr>
        <w:tab/>
      </w:r>
      <w:r w:rsidRPr="00EA05B3">
        <w:rPr>
          <w:lang w:val="fr-FR"/>
        </w:rPr>
        <w:tab/>
        <w:t>B.</w:t>
      </w:r>
      <w:r w:rsidRPr="00EA05B3">
        <w:rPr>
          <w:lang w:val="fr-FR"/>
        </w:rPr>
        <w:tab/>
      </w:r>
      <w:r w:rsidR="000B22EA" w:rsidRPr="00EA05B3">
        <w:rPr>
          <w:lang w:val="fr-FR"/>
        </w:rPr>
        <w:t xml:space="preserve">Cadre juridique de la protection des droits de </w:t>
      </w:r>
      <w:r w:rsidR="009379A7" w:rsidRPr="00EA05B3">
        <w:rPr>
          <w:lang w:val="fr-FR"/>
        </w:rPr>
        <w:t>l’</w:t>
      </w:r>
      <w:r w:rsidR="000B22EA" w:rsidRPr="00EA05B3">
        <w:rPr>
          <w:lang w:val="fr-FR"/>
        </w:rPr>
        <w:t>homme au niveau national</w:t>
      </w:r>
      <w:r w:rsidR="000B22EA" w:rsidRPr="00EA05B3">
        <w:rPr>
          <w:lang w:val="fr-FR"/>
        </w:rPr>
        <w:tab/>
      </w:r>
      <w:r w:rsidR="004D5212" w:rsidRPr="00EA05B3">
        <w:rPr>
          <w:lang w:val="fr-FR"/>
        </w:rPr>
        <w:tab/>
      </w:r>
      <w:r w:rsidRPr="00EA05B3">
        <w:rPr>
          <w:lang w:val="fr-FR"/>
        </w:rPr>
        <w:t>41</w:t>
      </w:r>
    </w:p>
    <w:p w:rsidR="00D60A11" w:rsidRPr="00EA05B3" w:rsidRDefault="000B22EA">
      <w:pPr>
        <w:tabs>
          <w:tab w:val="right" w:pos="850"/>
          <w:tab w:val="left" w:pos="1134"/>
          <w:tab w:val="left" w:pos="1559"/>
          <w:tab w:val="left" w:pos="1984"/>
          <w:tab w:val="left" w:leader="dot" w:pos="8931"/>
          <w:tab w:val="right" w:pos="9638"/>
        </w:tabs>
        <w:suppressAutoHyphens/>
        <w:spacing w:after="120"/>
        <w:rPr>
          <w:lang w:val="fr-FR"/>
        </w:rPr>
      </w:pPr>
      <w:r w:rsidRPr="00EA05B3">
        <w:rPr>
          <w:lang w:val="fr-FR"/>
        </w:rPr>
        <w:tab/>
      </w:r>
      <w:r w:rsidRPr="00EA05B3">
        <w:rPr>
          <w:lang w:val="fr-FR"/>
        </w:rPr>
        <w:tab/>
        <w:t>C.</w:t>
      </w:r>
      <w:r w:rsidR="00163C61" w:rsidRPr="00EA05B3">
        <w:rPr>
          <w:lang w:val="fr-FR"/>
        </w:rPr>
        <w:tab/>
      </w:r>
      <w:r w:rsidRPr="00EA05B3">
        <w:rPr>
          <w:lang w:val="fr-FR"/>
        </w:rPr>
        <w:t xml:space="preserve"> Cadre de la promotion des droits de </w:t>
      </w:r>
      <w:r w:rsidR="009379A7" w:rsidRPr="00EA05B3">
        <w:rPr>
          <w:lang w:val="fr-FR"/>
        </w:rPr>
        <w:t>l’</w:t>
      </w:r>
      <w:r w:rsidRPr="00EA05B3">
        <w:rPr>
          <w:lang w:val="fr-FR"/>
        </w:rPr>
        <w:t>homme au niveau national</w:t>
      </w:r>
      <w:r w:rsidRPr="00EA05B3">
        <w:rPr>
          <w:lang w:val="fr-FR"/>
        </w:rPr>
        <w:tab/>
      </w:r>
      <w:r w:rsidR="004D5212" w:rsidRPr="00EA05B3">
        <w:rPr>
          <w:lang w:val="fr-FR"/>
        </w:rPr>
        <w:tab/>
      </w:r>
      <w:r w:rsidR="00163C61" w:rsidRPr="00EA05B3">
        <w:rPr>
          <w:lang w:val="fr-FR"/>
        </w:rPr>
        <w:t>48</w:t>
      </w:r>
    </w:p>
    <w:p w:rsidR="00D60A11" w:rsidRPr="00EA05B3" w:rsidRDefault="000D57A5">
      <w:pPr>
        <w:tabs>
          <w:tab w:val="right" w:pos="850"/>
          <w:tab w:val="left" w:pos="1134"/>
          <w:tab w:val="left" w:pos="1559"/>
          <w:tab w:val="left" w:pos="1984"/>
          <w:tab w:val="left" w:leader="dot" w:pos="8931"/>
          <w:tab w:val="right" w:pos="9638"/>
        </w:tabs>
        <w:suppressAutoHyphens/>
        <w:spacing w:after="120"/>
        <w:rPr>
          <w:lang w:val="fr-FR"/>
        </w:rPr>
      </w:pPr>
      <w:r w:rsidRPr="00EA05B3">
        <w:rPr>
          <w:lang w:val="fr-FR"/>
        </w:rPr>
        <w:tab/>
      </w:r>
      <w:r w:rsidRPr="00EA05B3">
        <w:rPr>
          <w:lang w:val="fr-FR"/>
        </w:rPr>
        <w:tab/>
        <w:t>D.</w:t>
      </w:r>
      <w:r w:rsidRPr="00EA05B3">
        <w:rPr>
          <w:lang w:val="fr-FR"/>
        </w:rPr>
        <w:tab/>
      </w:r>
      <w:r w:rsidR="000B22EA" w:rsidRPr="00EA05B3">
        <w:rPr>
          <w:lang w:val="fr-FR"/>
        </w:rPr>
        <w:t xml:space="preserve">Rapports élaborés </w:t>
      </w:r>
      <w:r w:rsidR="00EB3D87" w:rsidRPr="00EA05B3">
        <w:rPr>
          <w:lang w:val="fr-FR"/>
        </w:rPr>
        <w:t>conformément aux</w:t>
      </w:r>
      <w:r w:rsidR="000B22EA" w:rsidRPr="00EA05B3">
        <w:rPr>
          <w:lang w:val="fr-FR"/>
        </w:rPr>
        <w:t xml:space="preserve"> obligations internationales</w:t>
      </w:r>
      <w:r w:rsidR="000B22EA" w:rsidRPr="00EA05B3">
        <w:rPr>
          <w:lang w:val="fr-FR"/>
        </w:rPr>
        <w:tab/>
      </w:r>
      <w:r w:rsidR="004D5212" w:rsidRPr="00EA05B3">
        <w:rPr>
          <w:lang w:val="fr-FR"/>
        </w:rPr>
        <w:tab/>
      </w:r>
      <w:r w:rsidR="00163C61" w:rsidRPr="00EA05B3">
        <w:rPr>
          <w:lang w:val="fr-FR"/>
        </w:rPr>
        <w:t>50</w:t>
      </w:r>
    </w:p>
    <w:p w:rsidR="00D60A11" w:rsidRPr="00EA05B3" w:rsidRDefault="000B22EA">
      <w:pPr>
        <w:tabs>
          <w:tab w:val="right" w:pos="850"/>
          <w:tab w:val="left" w:pos="1134"/>
          <w:tab w:val="left" w:pos="1559"/>
          <w:tab w:val="left" w:pos="1984"/>
          <w:tab w:val="left" w:leader="dot" w:pos="8931"/>
          <w:tab w:val="right" w:pos="9638"/>
        </w:tabs>
        <w:suppressAutoHyphens/>
        <w:spacing w:after="120"/>
        <w:rPr>
          <w:lang w:val="fr-FR"/>
        </w:rPr>
      </w:pPr>
      <w:r w:rsidRPr="00EA05B3">
        <w:rPr>
          <w:lang w:val="fr-FR"/>
        </w:rPr>
        <w:tab/>
      </w:r>
      <w:r w:rsidRPr="00EA05B3">
        <w:rPr>
          <w:lang w:val="fr-FR"/>
        </w:rPr>
        <w:tab/>
        <w:t>E.</w:t>
      </w:r>
      <w:r w:rsidRPr="00EA05B3">
        <w:rPr>
          <w:lang w:val="fr-FR"/>
        </w:rPr>
        <w:tab/>
        <w:t>Suite donnée aux conférences internationales</w:t>
      </w:r>
      <w:r w:rsidRPr="00EA05B3">
        <w:rPr>
          <w:lang w:val="fr-FR"/>
        </w:rPr>
        <w:tab/>
      </w:r>
      <w:r w:rsidR="004D5212" w:rsidRPr="00EA05B3">
        <w:rPr>
          <w:lang w:val="fr-FR"/>
        </w:rPr>
        <w:tab/>
      </w:r>
      <w:r w:rsidR="00EB3D87" w:rsidRPr="00EA05B3">
        <w:rPr>
          <w:lang w:val="fr-FR"/>
        </w:rPr>
        <w:t>51</w:t>
      </w:r>
    </w:p>
    <w:p w:rsidR="00B36EE6" w:rsidRPr="00EA05B3" w:rsidRDefault="000B22EA" w:rsidP="00EB276C">
      <w:pPr>
        <w:tabs>
          <w:tab w:val="right" w:pos="850"/>
          <w:tab w:val="left" w:pos="1134"/>
          <w:tab w:val="left" w:pos="1559"/>
          <w:tab w:val="left" w:pos="1984"/>
          <w:tab w:val="left" w:leader="dot" w:pos="8931"/>
          <w:tab w:val="right" w:pos="9638"/>
        </w:tabs>
        <w:suppressAutoHyphens/>
        <w:spacing w:after="120"/>
        <w:rPr>
          <w:lang w:val="fr-FR"/>
        </w:rPr>
      </w:pPr>
      <w:r w:rsidRPr="00EA05B3">
        <w:rPr>
          <w:lang w:val="fr-FR"/>
        </w:rPr>
        <w:tab/>
      </w:r>
      <w:r w:rsidRPr="00EA05B3">
        <w:rPr>
          <w:lang w:val="fr-FR"/>
        </w:rPr>
        <w:tab/>
        <w:t>F.</w:t>
      </w:r>
      <w:r w:rsidRPr="00EA05B3">
        <w:rPr>
          <w:lang w:val="fr-FR"/>
        </w:rPr>
        <w:tab/>
        <w:t xml:space="preserve">Mesures concernant la non-discrimination et </w:t>
      </w:r>
      <w:r w:rsidR="009379A7" w:rsidRPr="00EA05B3">
        <w:rPr>
          <w:lang w:val="fr-FR"/>
        </w:rPr>
        <w:t>l’</w:t>
      </w:r>
      <w:r w:rsidRPr="00EA05B3">
        <w:rPr>
          <w:lang w:val="fr-FR"/>
        </w:rPr>
        <w:t>égalité</w:t>
      </w:r>
      <w:r w:rsidRPr="00EA05B3">
        <w:rPr>
          <w:lang w:val="fr-FR"/>
        </w:rPr>
        <w:tab/>
      </w:r>
      <w:r w:rsidR="004D5212" w:rsidRPr="00EA05B3">
        <w:rPr>
          <w:lang w:val="fr-FR"/>
        </w:rPr>
        <w:tab/>
      </w:r>
      <w:r w:rsidRPr="00EA05B3">
        <w:rPr>
          <w:lang w:val="fr-FR"/>
        </w:rPr>
        <w:t>51</w:t>
      </w:r>
    </w:p>
    <w:p w:rsidR="00D60A11" w:rsidRPr="00EA05B3" w:rsidRDefault="00D60A11" w:rsidP="00EB276C">
      <w:pPr>
        <w:pStyle w:val="HChG"/>
        <w:rPr>
          <w:lang w:val="fr-FR"/>
        </w:rPr>
      </w:pPr>
      <w:bookmarkStart w:id="0" w:name="_Toc392676775"/>
      <w:r w:rsidRPr="00EA05B3">
        <w:rPr>
          <w:lang w:val="fr-FR"/>
        </w:rPr>
        <w:br w:type="page"/>
      </w:r>
      <w:bookmarkEnd w:id="0"/>
      <w:r w:rsidRPr="00EA05B3">
        <w:rPr>
          <w:lang w:val="fr-FR"/>
        </w:rPr>
        <w:tab/>
        <w:t>I.</w:t>
      </w:r>
      <w:r w:rsidR="000D57A5" w:rsidRPr="00EA05B3">
        <w:rPr>
          <w:lang w:val="fr-FR"/>
        </w:rPr>
        <w:tab/>
      </w:r>
      <w:r w:rsidRPr="00EA05B3">
        <w:rPr>
          <w:lang w:val="fr-FR"/>
        </w:rPr>
        <w:t>Présentation</w:t>
      </w:r>
    </w:p>
    <w:p w:rsidR="00D60A11" w:rsidRPr="00EA05B3" w:rsidRDefault="007E2774" w:rsidP="007E2774">
      <w:pPr>
        <w:pStyle w:val="SingleTxtG"/>
        <w:rPr>
          <w:lang w:val="fr-FR"/>
        </w:rPr>
      </w:pPr>
      <w:r w:rsidRPr="00EA05B3">
        <w:rPr>
          <w:lang w:val="fr-FR"/>
        </w:rPr>
        <w:t>1.</w:t>
      </w:r>
      <w:r w:rsidRPr="00EA05B3">
        <w:rPr>
          <w:lang w:val="fr-FR"/>
        </w:rPr>
        <w:tab/>
      </w:r>
      <w:r w:rsidR="00D60A11" w:rsidRPr="00EA05B3">
        <w:rPr>
          <w:lang w:val="fr-FR"/>
        </w:rPr>
        <w:t xml:space="preserve">Le présent document de base commun contient des données générales sur </w:t>
      </w:r>
      <w:r w:rsidR="009379A7" w:rsidRPr="00EA05B3">
        <w:rPr>
          <w:lang w:val="fr-FR"/>
        </w:rPr>
        <w:t>l’</w:t>
      </w:r>
      <w:r w:rsidR="00D60A11" w:rsidRPr="00EA05B3">
        <w:rPr>
          <w:lang w:val="fr-FR"/>
        </w:rPr>
        <w:t xml:space="preserve">Équateur, ses caractéristiques démographiques, sa structure constitutionnelle, politique, juridique, économique et sociale et son régime général de protection des droits de </w:t>
      </w:r>
      <w:r w:rsidR="009379A7" w:rsidRPr="00EA05B3">
        <w:rPr>
          <w:lang w:val="fr-FR"/>
        </w:rPr>
        <w:t>l’</w:t>
      </w:r>
      <w:r w:rsidR="00D60A11" w:rsidRPr="00EA05B3">
        <w:rPr>
          <w:lang w:val="fr-FR"/>
        </w:rPr>
        <w:t xml:space="preserve">homme. </w:t>
      </w:r>
      <w:r w:rsidR="00163C61" w:rsidRPr="00EA05B3">
        <w:rPr>
          <w:lang w:val="fr-FR"/>
        </w:rPr>
        <w:t>Il</w:t>
      </w:r>
      <w:r w:rsidR="00D60A11" w:rsidRPr="00EA05B3">
        <w:rPr>
          <w:lang w:val="fr-FR"/>
        </w:rPr>
        <w:t xml:space="preserve"> a été validé par les institutions nationales qui ont participé à sa rédaction. </w:t>
      </w:r>
    </w:p>
    <w:p w:rsidR="00D60A11" w:rsidRPr="00EA05B3" w:rsidRDefault="007E2774" w:rsidP="007E2774">
      <w:pPr>
        <w:pStyle w:val="SingleTxtG"/>
        <w:rPr>
          <w:lang w:val="fr-FR"/>
        </w:rPr>
      </w:pPr>
      <w:r w:rsidRPr="00EA05B3">
        <w:rPr>
          <w:lang w:val="fr-FR"/>
        </w:rPr>
        <w:t>2.</w:t>
      </w:r>
      <w:r w:rsidRPr="00EA05B3">
        <w:rPr>
          <w:lang w:val="fr-FR"/>
        </w:rPr>
        <w:tab/>
      </w:r>
      <w:r w:rsidR="009379A7" w:rsidRPr="00EA05B3">
        <w:rPr>
          <w:lang w:val="fr-FR"/>
        </w:rPr>
        <w:t>L</w:t>
      </w:r>
      <w:r w:rsidR="00726894" w:rsidRPr="00EA05B3">
        <w:rPr>
          <w:lang w:val="fr-FR"/>
        </w:rPr>
        <w:t>ors de l</w:t>
      </w:r>
      <w:r w:rsidR="009379A7" w:rsidRPr="00EA05B3">
        <w:rPr>
          <w:lang w:val="fr-FR"/>
        </w:rPr>
        <w:t>’</w:t>
      </w:r>
      <w:r w:rsidR="00D60A11" w:rsidRPr="00EA05B3">
        <w:rPr>
          <w:lang w:val="fr-FR"/>
        </w:rPr>
        <w:t>élaboration du présent document</w:t>
      </w:r>
      <w:r w:rsidR="00726894" w:rsidRPr="00EA05B3">
        <w:rPr>
          <w:lang w:val="fr-FR"/>
        </w:rPr>
        <w:t>, il a été dûment tenu</w:t>
      </w:r>
      <w:r w:rsidR="00D60A11" w:rsidRPr="00EA05B3">
        <w:rPr>
          <w:lang w:val="fr-FR"/>
        </w:rPr>
        <w:t xml:space="preserve"> compte </w:t>
      </w:r>
      <w:r w:rsidR="00C50345" w:rsidRPr="00EA05B3">
        <w:rPr>
          <w:lang w:val="fr-FR"/>
        </w:rPr>
        <w:t>d</w:t>
      </w:r>
      <w:r w:rsidR="00D60A11" w:rsidRPr="00EA05B3">
        <w:rPr>
          <w:lang w:val="fr-FR"/>
        </w:rPr>
        <w:t xml:space="preserve">es directives harmonisées </w:t>
      </w:r>
      <w:r w:rsidR="00726894" w:rsidRPr="00EA05B3">
        <w:rPr>
          <w:lang w:val="fr-FR"/>
        </w:rPr>
        <w:t xml:space="preserve">figurant </w:t>
      </w:r>
      <w:r w:rsidR="00D60A11" w:rsidRPr="00EA05B3">
        <w:rPr>
          <w:lang w:val="fr-FR"/>
        </w:rPr>
        <w:t>dans les documents HRI/GEN/2/Rev.5 du 29 mai 2008 et HRI/GEN/2/Rev.6 du 3 juin 2009.</w:t>
      </w:r>
    </w:p>
    <w:p w:rsidR="00D60A11" w:rsidRPr="00EA05B3" w:rsidRDefault="007E2774" w:rsidP="007E2774">
      <w:pPr>
        <w:pStyle w:val="SingleTxtG"/>
        <w:rPr>
          <w:lang w:val="fr-FR"/>
        </w:rPr>
      </w:pPr>
      <w:r w:rsidRPr="00EA05B3">
        <w:rPr>
          <w:lang w:val="fr-FR"/>
        </w:rPr>
        <w:t>3.</w:t>
      </w:r>
      <w:r w:rsidRPr="00EA05B3">
        <w:rPr>
          <w:lang w:val="fr-FR"/>
        </w:rPr>
        <w:tab/>
      </w:r>
      <w:r w:rsidR="00D60A11" w:rsidRPr="00EA05B3">
        <w:rPr>
          <w:lang w:val="fr-FR"/>
        </w:rPr>
        <w:t xml:space="preserve">Le Ministère des relations extérieures et de la mobilité humaine et le Ministère de la justice, des droits de </w:t>
      </w:r>
      <w:r w:rsidR="009379A7" w:rsidRPr="00EA05B3">
        <w:rPr>
          <w:lang w:val="fr-FR"/>
        </w:rPr>
        <w:t>l’</w:t>
      </w:r>
      <w:r w:rsidR="00D60A11" w:rsidRPr="00EA05B3">
        <w:rPr>
          <w:lang w:val="fr-FR"/>
        </w:rPr>
        <w:t>homme et des cultes ont élaboré et validé conjointement le présent rapport. Ils ont rassemblé les données</w:t>
      </w:r>
      <w:r w:rsidR="00163C61" w:rsidRPr="00EA05B3">
        <w:rPr>
          <w:lang w:val="fr-FR"/>
        </w:rPr>
        <w:t xml:space="preserve"> nécessaires à sa préparation, à sa présentation et à sa rédaction</w:t>
      </w:r>
      <w:r w:rsidR="00D60A11" w:rsidRPr="00EA05B3">
        <w:rPr>
          <w:lang w:val="fr-FR"/>
        </w:rPr>
        <w:t>, conformément aux dispositions du décret exécutif n</w:t>
      </w:r>
      <w:r w:rsidR="00B36EE6" w:rsidRPr="00EA05B3">
        <w:rPr>
          <w:vertAlign w:val="superscript"/>
          <w:lang w:val="fr-FR"/>
        </w:rPr>
        <w:t>o</w:t>
      </w:r>
      <w:r w:rsidR="00B36EE6" w:rsidRPr="00EA05B3">
        <w:rPr>
          <w:lang w:val="fr-FR"/>
        </w:rPr>
        <w:t> </w:t>
      </w:r>
      <w:r w:rsidR="00D60A11" w:rsidRPr="00EA05B3">
        <w:rPr>
          <w:lang w:val="fr-FR"/>
        </w:rPr>
        <w:t>1317 du 9 septembre 2008</w:t>
      </w:r>
      <w:r w:rsidR="00D60A11" w:rsidRPr="002E6C77">
        <w:rPr>
          <w:rStyle w:val="FootnoteReference"/>
          <w:szCs w:val="18"/>
          <w:lang w:val="fr-FR"/>
        </w:rPr>
        <w:footnoteReference w:id="3"/>
      </w:r>
      <w:r w:rsidR="00D60A11" w:rsidRPr="00EA05B3">
        <w:rPr>
          <w:lang w:val="fr-FR"/>
        </w:rPr>
        <w:t>, publié au Journal officiel n</w:t>
      </w:r>
      <w:r w:rsidR="00B73D8E" w:rsidRPr="00EA05B3">
        <w:rPr>
          <w:vertAlign w:val="superscript"/>
          <w:lang w:val="fr-FR"/>
        </w:rPr>
        <w:t>o</w:t>
      </w:r>
      <w:r w:rsidR="00B73D8E" w:rsidRPr="00EA05B3">
        <w:rPr>
          <w:lang w:val="fr-FR"/>
        </w:rPr>
        <w:t> </w:t>
      </w:r>
      <w:r w:rsidR="00D60A11" w:rsidRPr="00EA05B3">
        <w:rPr>
          <w:lang w:val="fr-FR"/>
        </w:rPr>
        <w:t>428 du 18 novembre 2008.</w:t>
      </w:r>
      <w:r w:rsidR="000D57A5" w:rsidRPr="00EA05B3">
        <w:rPr>
          <w:lang w:val="fr-FR"/>
        </w:rPr>
        <w:t xml:space="preserve"> </w:t>
      </w:r>
    </w:p>
    <w:p w:rsidR="00D60A11" w:rsidRPr="00EA05B3" w:rsidRDefault="007E2774" w:rsidP="007E2774">
      <w:pPr>
        <w:pStyle w:val="SingleTxtG"/>
        <w:rPr>
          <w:lang w:val="fr-FR"/>
        </w:rPr>
      </w:pPr>
      <w:r w:rsidRPr="00EA05B3">
        <w:rPr>
          <w:lang w:val="fr-FR"/>
        </w:rPr>
        <w:t>4.</w:t>
      </w:r>
      <w:r w:rsidRPr="00EA05B3">
        <w:rPr>
          <w:lang w:val="fr-FR"/>
        </w:rPr>
        <w:tab/>
      </w:r>
      <w:r w:rsidR="009379A7" w:rsidRPr="00EA05B3">
        <w:rPr>
          <w:lang w:val="fr-FR"/>
        </w:rPr>
        <w:t>L’</w:t>
      </w:r>
      <w:r w:rsidR="00D60A11" w:rsidRPr="00EA05B3">
        <w:rPr>
          <w:lang w:val="fr-FR"/>
        </w:rPr>
        <w:t xml:space="preserve">Équateur accorde une importance particulière à la question des droits de </w:t>
      </w:r>
      <w:r w:rsidR="009379A7" w:rsidRPr="00EA05B3">
        <w:rPr>
          <w:lang w:val="fr-FR"/>
        </w:rPr>
        <w:t>l’</w:t>
      </w:r>
      <w:r w:rsidR="00D60A11" w:rsidRPr="00EA05B3">
        <w:rPr>
          <w:lang w:val="fr-FR"/>
        </w:rPr>
        <w:t xml:space="preserve">homme en mettant en œuvre le Plan national pour le bien-vivre 2009-2013 et le dernier Plan 2013-2017. Ces efforts ont été accomplis </w:t>
      </w:r>
      <w:r w:rsidR="00711CB0" w:rsidRPr="00EA05B3">
        <w:rPr>
          <w:lang w:val="fr-FR"/>
        </w:rPr>
        <w:t>conformément à</w:t>
      </w:r>
      <w:r w:rsidR="00D60A11" w:rsidRPr="00EA05B3">
        <w:rPr>
          <w:lang w:val="fr-FR"/>
        </w:rPr>
        <w:t xml:space="preserve"> la dernière Constitution</w:t>
      </w:r>
      <w:r w:rsidR="00D60A11" w:rsidRPr="00EA05B3">
        <w:rPr>
          <w:rStyle w:val="FootnoteReference"/>
          <w:lang w:val="fr-FR"/>
        </w:rPr>
        <w:footnoteReference w:id="4"/>
      </w:r>
      <w:r w:rsidR="00D60A11" w:rsidRPr="00EA05B3">
        <w:rPr>
          <w:lang w:val="fr-FR"/>
        </w:rPr>
        <w:t xml:space="preserve">, adoptée à la majorité </w:t>
      </w:r>
      <w:r w:rsidR="00711CB0" w:rsidRPr="00EA05B3">
        <w:rPr>
          <w:lang w:val="fr-FR"/>
        </w:rPr>
        <w:t xml:space="preserve">à l’issue de la </w:t>
      </w:r>
      <w:r w:rsidR="00D60A11" w:rsidRPr="00EA05B3">
        <w:rPr>
          <w:lang w:val="fr-FR"/>
        </w:rPr>
        <w:t xml:space="preserve">consultation populaire </w:t>
      </w:r>
      <w:r w:rsidR="00711CB0" w:rsidRPr="00EA05B3">
        <w:rPr>
          <w:lang w:val="fr-FR"/>
        </w:rPr>
        <w:t xml:space="preserve">organisée </w:t>
      </w:r>
      <w:r w:rsidR="00D60A11" w:rsidRPr="00EA05B3">
        <w:rPr>
          <w:lang w:val="fr-FR"/>
        </w:rPr>
        <w:t>en 2008 et entrée en vigueur en octobre de cette même année.</w:t>
      </w:r>
    </w:p>
    <w:p w:rsidR="00D60A11" w:rsidRPr="00EA05B3" w:rsidRDefault="007E2774" w:rsidP="007E2774">
      <w:pPr>
        <w:pStyle w:val="SingleTxtG"/>
        <w:rPr>
          <w:lang w:val="fr-FR"/>
        </w:rPr>
      </w:pPr>
      <w:r w:rsidRPr="00EA05B3">
        <w:rPr>
          <w:lang w:val="fr-FR"/>
        </w:rPr>
        <w:t>5.</w:t>
      </w:r>
      <w:r w:rsidRPr="00EA05B3">
        <w:rPr>
          <w:lang w:val="fr-FR"/>
        </w:rPr>
        <w:tab/>
      </w:r>
      <w:r w:rsidR="00D60A11" w:rsidRPr="00EA05B3">
        <w:rPr>
          <w:lang w:val="fr-FR"/>
        </w:rPr>
        <w:t xml:space="preserve">Dans ce contexte, le Gouvernement équatorien se réjouit de présenter des informations actualisées sur les principaux progrès accomplis par </w:t>
      </w:r>
      <w:r w:rsidR="009379A7" w:rsidRPr="00EA05B3">
        <w:rPr>
          <w:lang w:val="fr-FR"/>
        </w:rPr>
        <w:t>l’</w:t>
      </w:r>
      <w:r w:rsidR="00D60A11" w:rsidRPr="00EA05B3">
        <w:rPr>
          <w:lang w:val="fr-FR"/>
        </w:rPr>
        <w:t xml:space="preserve">Équateur pendant la période visée par le présent rapport, en ce qui concerne </w:t>
      </w:r>
      <w:r w:rsidR="009379A7" w:rsidRPr="00EA05B3">
        <w:rPr>
          <w:lang w:val="fr-FR"/>
        </w:rPr>
        <w:t>l’</w:t>
      </w:r>
      <w:r w:rsidR="00D60A11" w:rsidRPr="00EA05B3">
        <w:rPr>
          <w:lang w:val="fr-FR"/>
        </w:rPr>
        <w:t xml:space="preserve">application progressive des droits de </w:t>
      </w:r>
      <w:r w:rsidR="009379A7" w:rsidRPr="00EA05B3">
        <w:rPr>
          <w:lang w:val="fr-FR"/>
        </w:rPr>
        <w:t>l’</w:t>
      </w:r>
      <w:r w:rsidR="00D60A11" w:rsidRPr="00EA05B3">
        <w:rPr>
          <w:lang w:val="fr-FR"/>
        </w:rPr>
        <w:t xml:space="preserve">homme. Le Gouvernement actuel et la nouvelle Constitution de 2008 considèrent que le plein développement du peuple équatorien repose sur le respect de ces droits, qui permettent </w:t>
      </w:r>
      <w:r w:rsidR="009379A7" w:rsidRPr="00EA05B3">
        <w:rPr>
          <w:lang w:val="fr-FR"/>
        </w:rPr>
        <w:t>d’</w:t>
      </w:r>
      <w:r w:rsidR="00D60A11" w:rsidRPr="00EA05B3">
        <w:rPr>
          <w:lang w:val="fr-FR"/>
        </w:rPr>
        <w:t>établir un nouveau mode de coexistence citoyenne, respectueux de la diversité et en harmonie avec la nature, pour atteindre le bien-vivre ou s</w:t>
      </w:r>
      <w:r w:rsidR="00D60A11" w:rsidRPr="00EA05B3">
        <w:rPr>
          <w:i/>
          <w:lang w:val="fr-FR"/>
        </w:rPr>
        <w:t>umak kawsay</w:t>
      </w:r>
      <w:r w:rsidR="00D60A11" w:rsidRPr="00EA05B3">
        <w:rPr>
          <w:lang w:val="fr-FR"/>
        </w:rPr>
        <w:t>.</w:t>
      </w:r>
    </w:p>
    <w:p w:rsidR="00D60A11" w:rsidRPr="00EA05B3" w:rsidRDefault="005A3D11" w:rsidP="00EB276C">
      <w:pPr>
        <w:pStyle w:val="HChG"/>
        <w:rPr>
          <w:lang w:val="fr-FR"/>
        </w:rPr>
      </w:pPr>
      <w:r w:rsidRPr="00EA05B3">
        <w:rPr>
          <w:lang w:val="fr-FR"/>
        </w:rPr>
        <w:tab/>
        <w:t>II.</w:t>
      </w:r>
      <w:r w:rsidRPr="00EA05B3">
        <w:rPr>
          <w:lang w:val="fr-FR"/>
        </w:rPr>
        <w:tab/>
      </w:r>
      <w:bookmarkStart w:id="1" w:name="_Toc392676776"/>
      <w:r w:rsidRPr="00EA05B3">
        <w:rPr>
          <w:lang w:val="fr-FR"/>
        </w:rPr>
        <w:t xml:space="preserve">Données </w:t>
      </w:r>
      <w:r w:rsidR="009379A7" w:rsidRPr="00EA05B3">
        <w:rPr>
          <w:lang w:val="fr-FR"/>
        </w:rPr>
        <w:t>d’</w:t>
      </w:r>
      <w:r w:rsidRPr="00EA05B3">
        <w:rPr>
          <w:lang w:val="fr-FR"/>
        </w:rPr>
        <w:t xml:space="preserve">ordre général sur la </w:t>
      </w:r>
      <w:bookmarkEnd w:id="1"/>
      <w:r w:rsidR="00065D74" w:rsidRPr="00EA05B3">
        <w:rPr>
          <w:lang w:val="fr-FR"/>
        </w:rPr>
        <w:t>République de l</w:t>
      </w:r>
      <w:r w:rsidR="008F6A8B" w:rsidRPr="00EA05B3">
        <w:rPr>
          <w:lang w:val="fr-FR"/>
        </w:rPr>
        <w:t>’</w:t>
      </w:r>
      <w:r w:rsidR="00065D74" w:rsidRPr="00EA05B3">
        <w:rPr>
          <w:lang w:val="fr-FR"/>
        </w:rPr>
        <w:t>Équateur</w:t>
      </w:r>
    </w:p>
    <w:p w:rsidR="00D60A11" w:rsidRPr="00EA05B3" w:rsidRDefault="007E2774" w:rsidP="007E2774">
      <w:pPr>
        <w:pStyle w:val="SingleTxtG"/>
        <w:rPr>
          <w:lang w:val="fr-FR"/>
        </w:rPr>
      </w:pPr>
      <w:r w:rsidRPr="00EA05B3">
        <w:rPr>
          <w:lang w:val="fr-FR"/>
        </w:rPr>
        <w:t>6.</w:t>
      </w:r>
      <w:r w:rsidRPr="00EA05B3">
        <w:rPr>
          <w:lang w:val="fr-FR"/>
        </w:rPr>
        <w:tab/>
      </w:r>
      <w:r w:rsidR="00D60A11" w:rsidRPr="00EA05B3">
        <w:rPr>
          <w:lang w:val="fr-FR"/>
        </w:rPr>
        <w:t xml:space="preserve">La </w:t>
      </w:r>
      <w:r w:rsidR="00065D74" w:rsidRPr="00EA05B3">
        <w:rPr>
          <w:lang w:val="fr-FR"/>
        </w:rPr>
        <w:t xml:space="preserve">République de </w:t>
      </w:r>
      <w:r w:rsidR="00B73D8E" w:rsidRPr="00EA05B3">
        <w:rPr>
          <w:lang w:val="fr-FR"/>
        </w:rPr>
        <w:t xml:space="preserve">l’Équateur </w:t>
      </w:r>
      <w:r w:rsidR="00D60A11" w:rsidRPr="00EA05B3">
        <w:rPr>
          <w:lang w:val="fr-FR"/>
        </w:rPr>
        <w:t xml:space="preserve">est un État sud-américain libre et indépendant depuis </w:t>
      </w:r>
      <w:r w:rsidR="009379A7" w:rsidRPr="00EA05B3">
        <w:rPr>
          <w:lang w:val="fr-FR"/>
        </w:rPr>
        <w:t>qu’</w:t>
      </w:r>
      <w:r w:rsidR="00D60A11" w:rsidRPr="00EA05B3">
        <w:rPr>
          <w:lang w:val="fr-FR"/>
        </w:rPr>
        <w:t xml:space="preserve">il </w:t>
      </w:r>
      <w:r w:rsidR="009379A7" w:rsidRPr="00EA05B3">
        <w:rPr>
          <w:lang w:val="fr-FR"/>
        </w:rPr>
        <w:t>s’</w:t>
      </w:r>
      <w:r w:rsidR="00D60A11" w:rsidRPr="00EA05B3">
        <w:rPr>
          <w:lang w:val="fr-FR"/>
        </w:rPr>
        <w:t>est séparé de la Grande Colombie en 1830.</w:t>
      </w:r>
      <w:r w:rsidR="000D57A5" w:rsidRPr="00EA05B3">
        <w:rPr>
          <w:lang w:val="fr-FR"/>
        </w:rPr>
        <w:t xml:space="preserve"> </w:t>
      </w:r>
      <w:r w:rsidR="00D60A11" w:rsidRPr="00EA05B3">
        <w:rPr>
          <w:lang w:val="fr-FR"/>
        </w:rPr>
        <w:t xml:space="preserve">Depuis cette date, </w:t>
      </w:r>
      <w:r w:rsidR="009379A7" w:rsidRPr="00EA05B3">
        <w:rPr>
          <w:lang w:val="fr-FR"/>
        </w:rPr>
        <w:t>l’</w:t>
      </w:r>
      <w:r w:rsidR="00D60A11" w:rsidRPr="00EA05B3">
        <w:rPr>
          <w:lang w:val="fr-FR"/>
        </w:rPr>
        <w:t xml:space="preserve">Équateur a connu 19 constitutions successives. La Constitution actuelle, adoptée par référendum </w:t>
      </w:r>
      <w:r w:rsidR="00B73D8E" w:rsidRPr="00EA05B3">
        <w:rPr>
          <w:lang w:val="fr-FR"/>
        </w:rPr>
        <w:t xml:space="preserve">en </w:t>
      </w:r>
      <w:r w:rsidR="00D60A11" w:rsidRPr="00EA05B3">
        <w:rPr>
          <w:lang w:val="fr-FR"/>
        </w:rPr>
        <w:t xml:space="preserve">septembre 2008, régit les institutions et les compétences de </w:t>
      </w:r>
      <w:r w:rsidR="009379A7" w:rsidRPr="00EA05B3">
        <w:rPr>
          <w:lang w:val="fr-FR"/>
        </w:rPr>
        <w:t>l’</w:t>
      </w:r>
      <w:r w:rsidR="00D60A11" w:rsidRPr="00EA05B3">
        <w:rPr>
          <w:lang w:val="fr-FR"/>
        </w:rPr>
        <w:t xml:space="preserve">État et reconnaît un large éventail de droits et de garanties aux personnes qui relèvent de la juridiction de </w:t>
      </w:r>
      <w:r w:rsidR="009379A7" w:rsidRPr="00EA05B3">
        <w:rPr>
          <w:lang w:val="fr-FR"/>
        </w:rPr>
        <w:t>l’</w:t>
      </w:r>
      <w:r w:rsidR="00D60A11" w:rsidRPr="00EA05B3">
        <w:rPr>
          <w:lang w:val="fr-FR"/>
        </w:rPr>
        <w:t xml:space="preserve">État, ainsi </w:t>
      </w:r>
      <w:r w:rsidR="009379A7" w:rsidRPr="00EA05B3">
        <w:rPr>
          <w:lang w:val="fr-FR"/>
        </w:rPr>
        <w:t>qu</w:t>
      </w:r>
      <w:r w:rsidR="008F6A8B" w:rsidRPr="00EA05B3">
        <w:rPr>
          <w:lang w:val="fr-FR"/>
        </w:rPr>
        <w:t>’</w:t>
      </w:r>
      <w:r w:rsidR="00D60A11" w:rsidRPr="00EA05B3">
        <w:rPr>
          <w:lang w:val="fr-FR"/>
        </w:rPr>
        <w:t xml:space="preserve">aux Équatoriens qui résident à </w:t>
      </w:r>
      <w:r w:rsidR="009379A7" w:rsidRPr="00EA05B3">
        <w:rPr>
          <w:lang w:val="fr-FR"/>
        </w:rPr>
        <w:t>l’</w:t>
      </w:r>
      <w:r w:rsidR="00D60A11" w:rsidRPr="00EA05B3">
        <w:rPr>
          <w:lang w:val="fr-FR"/>
        </w:rPr>
        <w:t xml:space="preserve">étranger. </w:t>
      </w:r>
    </w:p>
    <w:p w:rsidR="00D60A11" w:rsidRPr="00EA05B3" w:rsidRDefault="007E2774" w:rsidP="007E2774">
      <w:pPr>
        <w:pStyle w:val="SingleTxtG"/>
        <w:rPr>
          <w:lang w:val="fr-FR"/>
        </w:rPr>
      </w:pPr>
      <w:r w:rsidRPr="00EA05B3">
        <w:rPr>
          <w:lang w:val="fr-FR"/>
        </w:rPr>
        <w:t>7.</w:t>
      </w:r>
      <w:r w:rsidRPr="00EA05B3">
        <w:rPr>
          <w:lang w:val="fr-FR"/>
        </w:rPr>
        <w:tab/>
      </w:r>
      <w:r w:rsidR="00D60A11" w:rsidRPr="00EA05B3">
        <w:rPr>
          <w:lang w:val="fr-FR"/>
        </w:rPr>
        <w:t xml:space="preserve">Il convient de souligner que la nouvelle Constitution a ouvert une période de changement politique, institutionnel, normatif, économique et social qui passe par </w:t>
      </w:r>
      <w:r w:rsidR="009379A7" w:rsidRPr="00EA05B3">
        <w:rPr>
          <w:lang w:val="fr-FR"/>
        </w:rPr>
        <w:t>l’</w:t>
      </w:r>
      <w:r w:rsidR="00D60A11" w:rsidRPr="00EA05B3">
        <w:rPr>
          <w:lang w:val="fr-FR"/>
        </w:rPr>
        <w:t xml:space="preserve">adoption de lois, de politiques ou </w:t>
      </w:r>
      <w:r w:rsidR="009379A7" w:rsidRPr="00EA05B3">
        <w:rPr>
          <w:lang w:val="fr-FR"/>
        </w:rPr>
        <w:t>d’</w:t>
      </w:r>
      <w:r w:rsidR="00D60A11" w:rsidRPr="00EA05B3">
        <w:rPr>
          <w:lang w:val="fr-FR"/>
        </w:rPr>
        <w:t>institutions nouvelles ou la modification de celles qui sont devenues inadaptées.</w:t>
      </w:r>
    </w:p>
    <w:p w:rsidR="00D60A11" w:rsidRPr="00EA05B3" w:rsidRDefault="007E2774" w:rsidP="007E2774">
      <w:pPr>
        <w:pStyle w:val="SingleTxtG"/>
        <w:rPr>
          <w:lang w:val="fr-FR"/>
        </w:rPr>
      </w:pPr>
      <w:r w:rsidRPr="00EA05B3">
        <w:rPr>
          <w:lang w:val="fr-FR"/>
        </w:rPr>
        <w:t>8.</w:t>
      </w:r>
      <w:r w:rsidRPr="00EA05B3">
        <w:rPr>
          <w:lang w:val="fr-FR"/>
        </w:rPr>
        <w:tab/>
      </w:r>
      <w:r w:rsidR="009379A7" w:rsidRPr="00EA05B3">
        <w:rPr>
          <w:lang w:val="fr-FR"/>
        </w:rPr>
        <w:t>L’</w:t>
      </w:r>
      <w:r w:rsidR="00D60A11" w:rsidRPr="00EA05B3">
        <w:rPr>
          <w:lang w:val="fr-FR"/>
        </w:rPr>
        <w:t xml:space="preserve">Accord de Brasilia, signé avec le Pérou le 26 octobre 1998, établit la superficie du pays à 256 369,6 kilomètres carrés et garantit en outre à </w:t>
      </w:r>
      <w:r w:rsidR="009379A7" w:rsidRPr="00EA05B3">
        <w:rPr>
          <w:lang w:val="fr-FR"/>
        </w:rPr>
        <w:t>l’</w:t>
      </w:r>
      <w:r w:rsidR="00D60A11" w:rsidRPr="00EA05B3">
        <w:rPr>
          <w:lang w:val="fr-FR"/>
        </w:rPr>
        <w:t xml:space="preserve">Équateur des droits de propriété sans souveraineté sur une bande de terre de 1 kilomètre carré à Tiwinza, à </w:t>
      </w:r>
      <w:r w:rsidR="009379A7" w:rsidRPr="00EA05B3">
        <w:rPr>
          <w:lang w:val="fr-FR"/>
        </w:rPr>
        <w:t>l’</w:t>
      </w:r>
      <w:r w:rsidR="00D60A11" w:rsidRPr="00EA05B3">
        <w:rPr>
          <w:lang w:val="fr-FR"/>
        </w:rPr>
        <w:t>intérieur de la forêt péruvienne, lieu particulièrement emblématique du fait du conflit frontalier de 1995 avec le Pérou.</w:t>
      </w:r>
      <w:r w:rsidR="000D57A5" w:rsidRPr="00EA05B3">
        <w:rPr>
          <w:lang w:val="fr-FR"/>
        </w:rPr>
        <w:t xml:space="preserve"> </w:t>
      </w:r>
      <w:r w:rsidR="009379A7" w:rsidRPr="00EA05B3">
        <w:rPr>
          <w:lang w:val="fr-FR"/>
        </w:rPr>
        <w:t>L’</w:t>
      </w:r>
      <w:r w:rsidR="00D60A11" w:rsidRPr="00EA05B3">
        <w:rPr>
          <w:lang w:val="fr-FR"/>
        </w:rPr>
        <w:t xml:space="preserve">Équateur possède des frontières avec la Colombie au nord, le Pérou à </w:t>
      </w:r>
      <w:r w:rsidR="009379A7" w:rsidRPr="00EA05B3">
        <w:rPr>
          <w:lang w:val="fr-FR"/>
        </w:rPr>
        <w:t>l’</w:t>
      </w:r>
      <w:r w:rsidR="00D60A11" w:rsidRPr="00EA05B3">
        <w:rPr>
          <w:lang w:val="fr-FR"/>
        </w:rPr>
        <w:t xml:space="preserve">est et </w:t>
      </w:r>
      <w:r w:rsidR="009379A7" w:rsidRPr="00EA05B3">
        <w:rPr>
          <w:lang w:val="fr-FR"/>
        </w:rPr>
        <w:t>l’</w:t>
      </w:r>
      <w:r w:rsidR="00D60A11" w:rsidRPr="00EA05B3">
        <w:rPr>
          <w:lang w:val="fr-FR"/>
        </w:rPr>
        <w:t xml:space="preserve">océan Pacifique à </w:t>
      </w:r>
      <w:r w:rsidR="009379A7" w:rsidRPr="00EA05B3">
        <w:rPr>
          <w:lang w:val="fr-FR"/>
        </w:rPr>
        <w:t>l’</w:t>
      </w:r>
      <w:r w:rsidR="00D60A11" w:rsidRPr="00EA05B3">
        <w:rPr>
          <w:lang w:val="fr-FR"/>
        </w:rPr>
        <w:t xml:space="preserve">ouest. </w:t>
      </w:r>
    </w:p>
    <w:p w:rsidR="00D60A11" w:rsidRPr="00EA05B3" w:rsidRDefault="007E2774" w:rsidP="007E2774">
      <w:pPr>
        <w:pStyle w:val="SingleTxtG"/>
        <w:rPr>
          <w:lang w:val="fr-FR"/>
        </w:rPr>
      </w:pPr>
      <w:r w:rsidRPr="00EA05B3">
        <w:rPr>
          <w:lang w:val="fr-FR"/>
        </w:rPr>
        <w:t>9.</w:t>
      </w:r>
      <w:r w:rsidRPr="00EA05B3">
        <w:rPr>
          <w:lang w:val="fr-FR"/>
        </w:rPr>
        <w:tab/>
      </w:r>
      <w:r w:rsidR="00D60A11" w:rsidRPr="00EA05B3">
        <w:rPr>
          <w:lang w:val="fr-FR"/>
        </w:rPr>
        <w:t>Le territoire national est divisé géographiquement et administrativement en 24 provinces</w:t>
      </w:r>
      <w:r w:rsidR="00D60A11" w:rsidRPr="002E6C77">
        <w:rPr>
          <w:sz w:val="18"/>
          <w:szCs w:val="18"/>
          <w:vertAlign w:val="superscript"/>
          <w:lang w:val="fr-FR"/>
        </w:rPr>
        <w:footnoteReference w:id="5"/>
      </w:r>
      <w:r w:rsidR="00B36EE6" w:rsidRPr="00EA05B3">
        <w:rPr>
          <w:lang w:val="fr-FR"/>
        </w:rPr>
        <w:t>:</w:t>
      </w:r>
      <w:r w:rsidR="00D60A11" w:rsidRPr="00EA05B3">
        <w:rPr>
          <w:lang w:val="fr-FR"/>
        </w:rPr>
        <w:t xml:space="preserve"> 1 dans la région des îles, 7 dans la région continentale côtière (Costa), 10 dans la région continentale montagneuse (Sierra) et 6 dans la région continentale amazonienne ou transandine. Le tracé des régions correspond essentiellement à la situation géographique et climatique du pays, qui compte neuf zones climatiques. </w:t>
      </w:r>
    </w:p>
    <w:p w:rsidR="00D60A11" w:rsidRPr="00EA05B3" w:rsidRDefault="007E2774" w:rsidP="007E2774">
      <w:pPr>
        <w:pStyle w:val="SingleTxtG"/>
        <w:rPr>
          <w:lang w:val="fr-FR"/>
        </w:rPr>
      </w:pPr>
      <w:r w:rsidRPr="00EA05B3">
        <w:rPr>
          <w:lang w:val="fr-FR"/>
        </w:rPr>
        <w:t>10.</w:t>
      </w:r>
      <w:r w:rsidRPr="00EA05B3">
        <w:rPr>
          <w:lang w:val="fr-FR"/>
        </w:rPr>
        <w:tab/>
      </w:r>
      <w:r w:rsidR="00D60A11" w:rsidRPr="00EA05B3">
        <w:rPr>
          <w:lang w:val="fr-FR"/>
        </w:rPr>
        <w:t xml:space="preserve">La région des îles est un archipel </w:t>
      </w:r>
      <w:r w:rsidR="009379A7" w:rsidRPr="00EA05B3">
        <w:rPr>
          <w:lang w:val="fr-FR"/>
        </w:rPr>
        <w:t>d’</w:t>
      </w:r>
      <w:r w:rsidR="00D60A11" w:rsidRPr="00EA05B3">
        <w:rPr>
          <w:lang w:val="fr-FR"/>
        </w:rPr>
        <w:t xml:space="preserve">origine volcanique, situé dans </w:t>
      </w:r>
      <w:r w:rsidR="009379A7" w:rsidRPr="00EA05B3">
        <w:rPr>
          <w:lang w:val="fr-FR"/>
        </w:rPr>
        <w:t>l’</w:t>
      </w:r>
      <w:r w:rsidR="00D60A11" w:rsidRPr="00EA05B3">
        <w:rPr>
          <w:lang w:val="fr-FR"/>
        </w:rPr>
        <w:t>océan Pacifique à 1 050 kilomètres de la région continentale côtière et constitué de 13 grandes îles, 6 petites îles et 107 îlots. Elle couvre une superficie de 8 010 kilomètres carrés et son climat est de type équatorial</w:t>
      </w:r>
      <w:r w:rsidR="00D60A11" w:rsidRPr="002E6C77">
        <w:rPr>
          <w:sz w:val="18"/>
          <w:szCs w:val="18"/>
          <w:vertAlign w:val="superscript"/>
          <w:lang w:val="fr-FR"/>
        </w:rPr>
        <w:footnoteReference w:id="6"/>
      </w:r>
      <w:r w:rsidR="00D60A11" w:rsidRPr="00EA05B3">
        <w:rPr>
          <w:lang w:val="fr-FR"/>
        </w:rPr>
        <w:t>.</w:t>
      </w:r>
    </w:p>
    <w:p w:rsidR="00D60A11" w:rsidRPr="00EA05B3" w:rsidRDefault="007E2774" w:rsidP="007E2774">
      <w:pPr>
        <w:pStyle w:val="SingleTxtG"/>
        <w:rPr>
          <w:lang w:val="fr-FR"/>
        </w:rPr>
      </w:pPr>
      <w:r w:rsidRPr="00EA05B3">
        <w:rPr>
          <w:lang w:val="fr-FR"/>
        </w:rPr>
        <w:t>11.</w:t>
      </w:r>
      <w:r w:rsidRPr="00EA05B3">
        <w:rPr>
          <w:lang w:val="fr-FR"/>
        </w:rPr>
        <w:tab/>
      </w:r>
      <w:r w:rsidR="00D60A11" w:rsidRPr="00EA05B3">
        <w:rPr>
          <w:lang w:val="fr-FR"/>
        </w:rPr>
        <w:t>La région côtière se situe dans la partie occidentale du pays. De la côte maritime à la limite avec la région montagneuse, elle présente un paysage de savane, de forêt tropicale luxuriante et de forêt dense, où se côtoient les climats sec</w:t>
      </w:r>
      <w:r w:rsidR="00D60A11" w:rsidRPr="00EA05B3">
        <w:rPr>
          <w:rStyle w:val="FootnoteReference"/>
          <w:lang w:val="fr-FR"/>
        </w:rPr>
        <w:footnoteReference w:id="7"/>
      </w:r>
      <w:r w:rsidR="00D60A11" w:rsidRPr="00EA05B3">
        <w:rPr>
          <w:lang w:val="fr-FR"/>
        </w:rPr>
        <w:t>, tropical</w:t>
      </w:r>
      <w:r w:rsidR="00D60A11" w:rsidRPr="00EA05B3">
        <w:rPr>
          <w:rStyle w:val="FootnoteReference"/>
          <w:lang w:val="fr-FR"/>
        </w:rPr>
        <w:footnoteReference w:id="8"/>
      </w:r>
      <w:r w:rsidR="00D60A11" w:rsidRPr="00EA05B3">
        <w:rPr>
          <w:lang w:val="fr-FR"/>
        </w:rPr>
        <w:t>, de mousson</w:t>
      </w:r>
      <w:r w:rsidR="00D60A11" w:rsidRPr="00EA05B3">
        <w:rPr>
          <w:rStyle w:val="FootnoteReference"/>
          <w:lang w:val="fr-FR"/>
        </w:rPr>
        <w:footnoteReference w:id="9"/>
      </w:r>
      <w:r w:rsidR="00D60A11" w:rsidRPr="00EA05B3">
        <w:rPr>
          <w:lang w:val="fr-FR"/>
        </w:rPr>
        <w:t>, tropical humide</w:t>
      </w:r>
      <w:r w:rsidR="00D60A11" w:rsidRPr="00EA05B3">
        <w:rPr>
          <w:rStyle w:val="FootnoteReference"/>
          <w:lang w:val="fr-FR"/>
        </w:rPr>
        <w:footnoteReference w:id="10"/>
      </w:r>
      <w:r w:rsidR="00D60A11" w:rsidRPr="00EA05B3">
        <w:rPr>
          <w:lang w:val="fr-FR"/>
        </w:rPr>
        <w:t xml:space="preserve"> et mésothermique</w:t>
      </w:r>
      <w:r w:rsidR="00D60A11" w:rsidRPr="00EA05B3">
        <w:rPr>
          <w:rStyle w:val="FootnoteReference"/>
          <w:lang w:val="fr-FR"/>
        </w:rPr>
        <w:footnoteReference w:id="11"/>
      </w:r>
      <w:r w:rsidR="00D60A11" w:rsidRPr="00EA05B3">
        <w:rPr>
          <w:lang w:val="fr-FR"/>
        </w:rPr>
        <w:t xml:space="preserve">. Parmi les sept provinces de la région côtière, seules Esmeraldas, Manabí, Santa Elena, Guayas et El Oro sont bordées par la mer, Santo Domingo de los Tsáchilas et Los Ríos étant délimitées par les provinces côtières et montagneuses. La région côtière </w:t>
      </w:r>
      <w:r w:rsidR="009379A7" w:rsidRPr="00EA05B3">
        <w:rPr>
          <w:lang w:val="fr-FR"/>
        </w:rPr>
        <w:t>s’</w:t>
      </w:r>
      <w:r w:rsidR="00D60A11" w:rsidRPr="00EA05B3">
        <w:rPr>
          <w:lang w:val="fr-FR"/>
        </w:rPr>
        <w:t xml:space="preserve">étend sur 68 323,6 kilomètres carrés, mais la superficie côtière du pays atteint au total 70 000 kilomètres carrés si </w:t>
      </w:r>
      <w:r w:rsidR="009379A7" w:rsidRPr="00EA05B3">
        <w:rPr>
          <w:lang w:val="fr-FR"/>
        </w:rPr>
        <w:t>l’</w:t>
      </w:r>
      <w:r w:rsidR="00D60A11" w:rsidRPr="00EA05B3">
        <w:rPr>
          <w:lang w:val="fr-FR"/>
        </w:rPr>
        <w:t>on ajoute la région des îles.</w:t>
      </w:r>
    </w:p>
    <w:p w:rsidR="00D60A11" w:rsidRPr="00EA05B3" w:rsidRDefault="007E2774" w:rsidP="007E2774">
      <w:pPr>
        <w:pStyle w:val="SingleTxtG"/>
        <w:rPr>
          <w:lang w:val="fr-FR"/>
        </w:rPr>
      </w:pPr>
      <w:r w:rsidRPr="00EA05B3">
        <w:rPr>
          <w:lang w:val="fr-FR"/>
        </w:rPr>
        <w:t>12.</w:t>
      </w:r>
      <w:r w:rsidRPr="00EA05B3">
        <w:rPr>
          <w:lang w:val="fr-FR"/>
        </w:rPr>
        <w:tab/>
      </w:r>
      <w:r w:rsidR="00D60A11" w:rsidRPr="00EA05B3">
        <w:rPr>
          <w:lang w:val="fr-FR"/>
        </w:rPr>
        <w:t xml:space="preserve">La région montagneuse se situe dans la cordillère des Andes, elle est constituée de vallées chaudes et froides, de forêts montagneuses, de reliefs montagneux, de </w:t>
      </w:r>
      <w:r w:rsidR="00D60A11" w:rsidRPr="00EA05B3">
        <w:rPr>
          <w:i/>
          <w:lang w:val="fr-FR"/>
        </w:rPr>
        <w:t>páramo</w:t>
      </w:r>
      <w:r w:rsidR="00D60A11" w:rsidRPr="00EA05B3">
        <w:rPr>
          <w:lang w:val="fr-FR"/>
        </w:rPr>
        <w:t>s et de sommets enneigés, qui correspondent aux climats mésothermique semi-humide</w:t>
      </w:r>
      <w:r w:rsidR="00D60A11" w:rsidRPr="00EA05B3">
        <w:rPr>
          <w:rStyle w:val="FootnoteReference"/>
          <w:lang w:val="fr-FR"/>
        </w:rPr>
        <w:footnoteReference w:id="12"/>
      </w:r>
      <w:r w:rsidR="00D60A11" w:rsidRPr="00EA05B3">
        <w:rPr>
          <w:lang w:val="fr-FR"/>
        </w:rPr>
        <w:t>, mésothermique sec</w:t>
      </w:r>
      <w:r w:rsidR="00D60A11" w:rsidRPr="00EA05B3">
        <w:rPr>
          <w:rStyle w:val="FootnoteReference"/>
          <w:lang w:val="fr-FR"/>
        </w:rPr>
        <w:footnoteReference w:id="13"/>
      </w:r>
      <w:r w:rsidR="00D60A11" w:rsidRPr="00EA05B3">
        <w:rPr>
          <w:lang w:val="fr-FR"/>
        </w:rPr>
        <w:t xml:space="preserve"> et de </w:t>
      </w:r>
      <w:r w:rsidR="00D60A11" w:rsidRPr="00EA05B3">
        <w:rPr>
          <w:i/>
          <w:lang w:val="fr-FR"/>
        </w:rPr>
        <w:t>páramo</w:t>
      </w:r>
      <w:r w:rsidR="00D60A11" w:rsidRPr="00EA05B3">
        <w:rPr>
          <w:rStyle w:val="FootnoteReference"/>
          <w:lang w:val="fr-FR"/>
        </w:rPr>
        <w:footnoteReference w:id="14"/>
      </w:r>
      <w:r w:rsidR="00D60A11" w:rsidRPr="00EA05B3">
        <w:rPr>
          <w:lang w:val="fr-FR"/>
        </w:rPr>
        <w:t xml:space="preserve">, et </w:t>
      </w:r>
      <w:r w:rsidR="009379A7" w:rsidRPr="00EA05B3">
        <w:rPr>
          <w:lang w:val="fr-FR"/>
        </w:rPr>
        <w:t>s’</w:t>
      </w:r>
      <w:r w:rsidR="00D60A11" w:rsidRPr="00EA05B3">
        <w:rPr>
          <w:lang w:val="fr-FR"/>
        </w:rPr>
        <w:t>étend sur 63 515,9 kilomètres carrés.</w:t>
      </w:r>
    </w:p>
    <w:p w:rsidR="00D60A11" w:rsidRPr="00EA05B3" w:rsidRDefault="007E2774" w:rsidP="007E2774">
      <w:pPr>
        <w:pStyle w:val="SingleTxtG"/>
        <w:rPr>
          <w:lang w:val="fr-FR"/>
        </w:rPr>
      </w:pPr>
      <w:r w:rsidRPr="00EA05B3">
        <w:rPr>
          <w:lang w:val="fr-FR"/>
        </w:rPr>
        <w:t>13.</w:t>
      </w:r>
      <w:r w:rsidRPr="00EA05B3">
        <w:rPr>
          <w:lang w:val="fr-FR"/>
        </w:rPr>
        <w:tab/>
      </w:r>
      <w:r w:rsidR="00D60A11" w:rsidRPr="00EA05B3">
        <w:rPr>
          <w:lang w:val="fr-FR"/>
        </w:rPr>
        <w:t>Enfin, la région amazonienne ou transandine se situe dans la zone continentale orientale recouverte par la forêt amazonienne qui, depuis les versants des Andes jus</w:t>
      </w:r>
      <w:r w:rsidR="009379A7" w:rsidRPr="00EA05B3">
        <w:rPr>
          <w:lang w:val="fr-FR"/>
        </w:rPr>
        <w:t>qu’</w:t>
      </w:r>
      <w:r w:rsidR="00D60A11" w:rsidRPr="00EA05B3">
        <w:rPr>
          <w:lang w:val="fr-FR"/>
        </w:rPr>
        <w:t xml:space="preserve">à la forêt tropicale, offre un paysage composé de forêts denses et luxuriantes et de rivières à fort débit − formées par le dégel des reliefs andins et les pluies des forêts tropicales − qui alimentent </w:t>
      </w:r>
      <w:r w:rsidR="009379A7" w:rsidRPr="00EA05B3">
        <w:rPr>
          <w:lang w:val="fr-FR"/>
        </w:rPr>
        <w:t>l’</w:t>
      </w:r>
      <w:r w:rsidR="00D60A11" w:rsidRPr="00EA05B3">
        <w:rPr>
          <w:lang w:val="fr-FR"/>
        </w:rPr>
        <w:t>Amazone. Elle correspond aux climats mésothermique et tropical humide et couvre une superficie de 115 744,9 kilomètres carrés.</w:t>
      </w:r>
    </w:p>
    <w:p w:rsidR="00D60A11" w:rsidRPr="00EA05B3" w:rsidRDefault="007E2774" w:rsidP="007E2774">
      <w:pPr>
        <w:pStyle w:val="SingleTxtG"/>
        <w:rPr>
          <w:lang w:val="fr-FR"/>
        </w:rPr>
      </w:pPr>
      <w:r w:rsidRPr="00EA05B3">
        <w:rPr>
          <w:lang w:val="fr-FR"/>
        </w:rPr>
        <w:t>14.</w:t>
      </w:r>
      <w:r w:rsidRPr="00EA05B3">
        <w:rPr>
          <w:lang w:val="fr-FR"/>
        </w:rPr>
        <w:tab/>
      </w:r>
      <w:r w:rsidR="00D60A11" w:rsidRPr="00EA05B3">
        <w:rPr>
          <w:lang w:val="fr-FR"/>
        </w:rPr>
        <w:t xml:space="preserve">Le 9 janvier 2000, la monnaie équatorienne a été alignée sur le dollar (dollarisation), au taux de 25 000 sucres pour 1 dollar des États-Unis. Cette mesure a pris effet immédiatement, en vertu de la loi pour la transformation économique de </w:t>
      </w:r>
      <w:r w:rsidR="009379A7" w:rsidRPr="00EA05B3">
        <w:rPr>
          <w:lang w:val="fr-FR"/>
        </w:rPr>
        <w:t>l’</w:t>
      </w:r>
      <w:r w:rsidR="00D60A11" w:rsidRPr="00EA05B3">
        <w:rPr>
          <w:lang w:val="fr-FR"/>
        </w:rPr>
        <w:t xml:space="preserve">Équateur du 29 février 2000, laquelle dispose </w:t>
      </w:r>
      <w:r w:rsidR="009379A7" w:rsidRPr="00EA05B3">
        <w:rPr>
          <w:lang w:val="fr-FR"/>
        </w:rPr>
        <w:t>qu’</w:t>
      </w:r>
      <w:r w:rsidR="00D60A11" w:rsidRPr="00EA05B3">
        <w:rPr>
          <w:lang w:val="fr-FR"/>
        </w:rPr>
        <w:t xml:space="preserve">à compter de la date de son entrée en vigueur, la Banque centrale de </w:t>
      </w:r>
      <w:r w:rsidR="009379A7" w:rsidRPr="00EA05B3">
        <w:rPr>
          <w:lang w:val="fr-FR"/>
        </w:rPr>
        <w:t>l’</w:t>
      </w:r>
      <w:r w:rsidR="00D60A11" w:rsidRPr="00EA05B3">
        <w:rPr>
          <w:lang w:val="fr-FR"/>
        </w:rPr>
        <w:t>Équateur doit retirer du marché les sucres en circulation et les convertir en dollars des États-Unis, au taux fixe et non modifiable de 25 000 sucres pour 1</w:t>
      </w:r>
      <w:r w:rsidR="00B73D8E" w:rsidRPr="00EA05B3">
        <w:rPr>
          <w:lang w:val="fr-FR"/>
        </w:rPr>
        <w:t> </w:t>
      </w:r>
      <w:r w:rsidR="00D60A11" w:rsidRPr="00EA05B3">
        <w:rPr>
          <w:lang w:val="fr-FR"/>
        </w:rPr>
        <w:t xml:space="preserve">dollar. Par ailleurs, la loi interdit </w:t>
      </w:r>
      <w:r w:rsidR="009379A7" w:rsidRPr="00EA05B3">
        <w:rPr>
          <w:lang w:val="fr-FR"/>
        </w:rPr>
        <w:t>l’</w:t>
      </w:r>
      <w:r w:rsidR="00D60A11" w:rsidRPr="00EA05B3">
        <w:rPr>
          <w:lang w:val="fr-FR"/>
        </w:rPr>
        <w:t xml:space="preserve">émission de nouveaux sucres, si ce </w:t>
      </w:r>
      <w:r w:rsidR="009379A7" w:rsidRPr="00EA05B3">
        <w:rPr>
          <w:lang w:val="fr-FR"/>
        </w:rPr>
        <w:t>n’</w:t>
      </w:r>
      <w:r w:rsidR="00D60A11" w:rsidRPr="00EA05B3">
        <w:rPr>
          <w:lang w:val="fr-FR"/>
        </w:rPr>
        <w:t xml:space="preserve">est en tant que monnaie fractionnaire pouvant être mise en circulation comme monnaie </w:t>
      </w:r>
      <w:r w:rsidR="009379A7" w:rsidRPr="00EA05B3">
        <w:rPr>
          <w:lang w:val="fr-FR"/>
        </w:rPr>
        <w:t>d’</w:t>
      </w:r>
      <w:r w:rsidR="00D60A11" w:rsidRPr="00EA05B3">
        <w:rPr>
          <w:lang w:val="fr-FR"/>
        </w:rPr>
        <w:t>échange contre les sucres existants. La dollarisation a été achevée le 13 septembre 2000.</w:t>
      </w:r>
    </w:p>
    <w:p w:rsidR="00D60A11" w:rsidRPr="00EA05B3" w:rsidRDefault="007E2774" w:rsidP="007E2774">
      <w:pPr>
        <w:pStyle w:val="SingleTxtG"/>
        <w:rPr>
          <w:b/>
          <w:lang w:val="fr-FR"/>
        </w:rPr>
      </w:pPr>
      <w:r w:rsidRPr="00EA05B3">
        <w:rPr>
          <w:lang w:val="fr-FR"/>
        </w:rPr>
        <w:t>15.</w:t>
      </w:r>
      <w:r w:rsidRPr="00EA05B3">
        <w:rPr>
          <w:lang w:val="fr-FR"/>
        </w:rPr>
        <w:tab/>
      </w:r>
      <w:r w:rsidR="009379A7" w:rsidRPr="00EA05B3">
        <w:rPr>
          <w:lang w:val="fr-FR"/>
        </w:rPr>
        <w:t>L’</w:t>
      </w:r>
      <w:r w:rsidR="00D60A11" w:rsidRPr="00EA05B3">
        <w:rPr>
          <w:lang w:val="fr-FR"/>
        </w:rPr>
        <w:t xml:space="preserve">Équateur est membre actif de la communauté internationale et joue un rôle prépondérant dans les processus </w:t>
      </w:r>
      <w:r w:rsidR="009379A7" w:rsidRPr="00EA05B3">
        <w:rPr>
          <w:lang w:val="fr-FR"/>
        </w:rPr>
        <w:t>d’</w:t>
      </w:r>
      <w:r w:rsidR="00D60A11" w:rsidRPr="00EA05B3">
        <w:rPr>
          <w:lang w:val="fr-FR"/>
        </w:rPr>
        <w:t xml:space="preserve">intégration régionale. Il est membre des principales organisations internationales, telles que </w:t>
      </w:r>
      <w:r w:rsidR="009379A7" w:rsidRPr="00EA05B3">
        <w:rPr>
          <w:lang w:val="fr-FR"/>
        </w:rPr>
        <w:t>l’</w:t>
      </w:r>
      <w:r w:rsidR="00D60A11" w:rsidRPr="00EA05B3">
        <w:rPr>
          <w:lang w:val="fr-FR"/>
        </w:rPr>
        <w:t xml:space="preserve">Organisation des Nations Unies, </w:t>
      </w:r>
      <w:r w:rsidR="009379A7" w:rsidRPr="00EA05B3">
        <w:rPr>
          <w:lang w:val="fr-FR"/>
        </w:rPr>
        <w:t>l’</w:t>
      </w:r>
      <w:r w:rsidR="00D60A11" w:rsidRPr="00EA05B3">
        <w:rPr>
          <w:lang w:val="fr-FR"/>
        </w:rPr>
        <w:t xml:space="preserve">Organisation des États américains (OEA), le Groupe de Rio, </w:t>
      </w:r>
      <w:r w:rsidR="009379A7" w:rsidRPr="00EA05B3">
        <w:rPr>
          <w:lang w:val="fr-FR"/>
        </w:rPr>
        <w:t>l’</w:t>
      </w:r>
      <w:r w:rsidR="00D60A11" w:rsidRPr="00EA05B3">
        <w:rPr>
          <w:lang w:val="fr-FR"/>
        </w:rPr>
        <w:t xml:space="preserve">Union des nations de </w:t>
      </w:r>
      <w:r w:rsidR="009379A7" w:rsidRPr="00EA05B3">
        <w:rPr>
          <w:lang w:val="fr-FR"/>
        </w:rPr>
        <w:t>l’</w:t>
      </w:r>
      <w:r w:rsidR="00D60A11" w:rsidRPr="00EA05B3">
        <w:rPr>
          <w:lang w:val="fr-FR"/>
        </w:rPr>
        <w:t xml:space="preserve">Amérique du Sud (UNASUR), la Communauté andine des nations (CAN), </w:t>
      </w:r>
      <w:r w:rsidR="009379A7" w:rsidRPr="00EA05B3">
        <w:rPr>
          <w:lang w:val="fr-FR"/>
        </w:rPr>
        <w:t>l’</w:t>
      </w:r>
      <w:r w:rsidR="00D60A11" w:rsidRPr="00EA05B3">
        <w:rPr>
          <w:lang w:val="fr-FR"/>
        </w:rPr>
        <w:t>Organisation mondiale du commerce (OMC),</w:t>
      </w:r>
      <w:r w:rsidR="000D57A5" w:rsidRPr="00EA05B3">
        <w:rPr>
          <w:lang w:val="fr-FR"/>
        </w:rPr>
        <w:t xml:space="preserve"> </w:t>
      </w:r>
      <w:r w:rsidR="00D60A11" w:rsidRPr="00EA05B3">
        <w:rPr>
          <w:lang w:val="fr-FR"/>
        </w:rPr>
        <w:t xml:space="preserve">la Banque interaméricaine de développement (BID), le Fonds latino-américain de réserve (FLAR), </w:t>
      </w:r>
      <w:r w:rsidR="009379A7" w:rsidRPr="00EA05B3">
        <w:rPr>
          <w:lang w:val="fr-FR"/>
        </w:rPr>
        <w:t>l’</w:t>
      </w:r>
      <w:r w:rsidR="00D60A11" w:rsidRPr="00EA05B3">
        <w:rPr>
          <w:lang w:val="fr-FR"/>
        </w:rPr>
        <w:t xml:space="preserve">Organisation des pays exportateurs de pétrole (OPEP), </w:t>
      </w:r>
      <w:r w:rsidR="009379A7" w:rsidRPr="00EA05B3">
        <w:rPr>
          <w:lang w:val="fr-FR"/>
        </w:rPr>
        <w:t>l’</w:t>
      </w:r>
      <w:r w:rsidR="00D60A11" w:rsidRPr="00EA05B3">
        <w:rPr>
          <w:lang w:val="fr-FR"/>
        </w:rPr>
        <w:t xml:space="preserve">Organisation latino-américaine de </w:t>
      </w:r>
      <w:r w:rsidR="009379A7" w:rsidRPr="00EA05B3">
        <w:rPr>
          <w:lang w:val="fr-FR"/>
        </w:rPr>
        <w:t>l’</w:t>
      </w:r>
      <w:r w:rsidR="00D60A11" w:rsidRPr="00EA05B3">
        <w:rPr>
          <w:lang w:val="fr-FR"/>
        </w:rPr>
        <w:t xml:space="preserve">énergie (OLADE). Il possède le statut de membre associé du Marché commun du Sud (MERCOSUR) depuis 2007, de </w:t>
      </w:r>
      <w:r w:rsidR="009379A7" w:rsidRPr="00EA05B3">
        <w:rPr>
          <w:lang w:val="fr-FR"/>
        </w:rPr>
        <w:t>l’</w:t>
      </w:r>
      <w:r w:rsidR="00D60A11" w:rsidRPr="00EA05B3">
        <w:rPr>
          <w:lang w:val="fr-FR"/>
        </w:rPr>
        <w:t xml:space="preserve">Alliance bolivarienne pour les peuples </w:t>
      </w:r>
      <w:r w:rsidR="009379A7" w:rsidRPr="00EA05B3">
        <w:rPr>
          <w:lang w:val="fr-FR"/>
        </w:rPr>
        <w:t>d’</w:t>
      </w:r>
      <w:r w:rsidR="00D60A11" w:rsidRPr="00EA05B3">
        <w:rPr>
          <w:lang w:val="fr-FR"/>
        </w:rPr>
        <w:t>Amérique latine et du Traité de commerce entre les peuples (ALBA-TCP) depuis fin 2009.</w:t>
      </w:r>
    </w:p>
    <w:p w:rsidR="00D60A11" w:rsidRPr="00EA05B3" w:rsidRDefault="00563B9D" w:rsidP="008F6A8B">
      <w:pPr>
        <w:pStyle w:val="HChG"/>
        <w:tabs>
          <w:tab w:val="clear" w:pos="851"/>
        </w:tabs>
        <w:ind w:hanging="567"/>
        <w:rPr>
          <w:lang w:val="fr-FR"/>
        </w:rPr>
      </w:pPr>
      <w:bookmarkStart w:id="2" w:name="_Toc392676777"/>
      <w:r w:rsidRPr="00EA05B3">
        <w:rPr>
          <w:lang w:val="fr-FR"/>
        </w:rPr>
        <w:t>III.</w:t>
      </w:r>
      <w:r w:rsidRPr="00EA05B3">
        <w:rPr>
          <w:lang w:val="fr-FR"/>
        </w:rPr>
        <w:tab/>
        <w:t>Caractéristiques démograph</w:t>
      </w:r>
      <w:r w:rsidR="008F6A8B" w:rsidRPr="00EA05B3">
        <w:rPr>
          <w:lang w:val="fr-FR"/>
        </w:rPr>
        <w:t>iques, économiques, sociales et </w:t>
      </w:r>
      <w:r w:rsidRPr="00EA05B3">
        <w:rPr>
          <w:lang w:val="fr-FR"/>
        </w:rPr>
        <w:t xml:space="preserve">culturelles de la </w:t>
      </w:r>
      <w:bookmarkEnd w:id="2"/>
      <w:r w:rsidR="00065D74" w:rsidRPr="00EA05B3">
        <w:rPr>
          <w:lang w:val="fr-FR"/>
        </w:rPr>
        <w:t>République de l</w:t>
      </w:r>
      <w:r w:rsidR="008F6A8B" w:rsidRPr="00EA05B3">
        <w:rPr>
          <w:lang w:val="fr-FR"/>
        </w:rPr>
        <w:t>’</w:t>
      </w:r>
      <w:r w:rsidR="00065D74" w:rsidRPr="00EA05B3">
        <w:rPr>
          <w:lang w:val="fr-FR"/>
        </w:rPr>
        <w:t>Equateur</w:t>
      </w:r>
    </w:p>
    <w:p w:rsidR="00D60A11" w:rsidRPr="00EA05B3" w:rsidRDefault="007E2774" w:rsidP="007E2774">
      <w:pPr>
        <w:pStyle w:val="SingleTxtG"/>
        <w:rPr>
          <w:iCs/>
          <w:lang w:val="fr-FR"/>
        </w:rPr>
      </w:pPr>
      <w:r w:rsidRPr="00EA05B3">
        <w:rPr>
          <w:lang w:val="fr-FR"/>
        </w:rPr>
        <w:t>16.</w:t>
      </w:r>
      <w:r w:rsidRPr="00EA05B3">
        <w:rPr>
          <w:lang w:val="fr-FR"/>
        </w:rPr>
        <w:tab/>
      </w:r>
      <w:r w:rsidR="00D60A11" w:rsidRPr="00EA05B3">
        <w:rPr>
          <w:lang w:val="fr-FR"/>
        </w:rPr>
        <w:t xml:space="preserve">Le Plan national pour le bien-vivre est le principal instrument </w:t>
      </w:r>
      <w:r w:rsidR="009379A7" w:rsidRPr="00EA05B3">
        <w:rPr>
          <w:lang w:val="fr-FR"/>
        </w:rPr>
        <w:t>d’</w:t>
      </w:r>
      <w:r w:rsidR="00D60A11" w:rsidRPr="00EA05B3">
        <w:rPr>
          <w:lang w:val="fr-FR"/>
        </w:rPr>
        <w:t xml:space="preserve">action publique de </w:t>
      </w:r>
      <w:r w:rsidR="009379A7" w:rsidRPr="00EA05B3">
        <w:rPr>
          <w:lang w:val="fr-FR"/>
        </w:rPr>
        <w:t>l’</w:t>
      </w:r>
      <w:r w:rsidR="00D60A11" w:rsidRPr="00EA05B3">
        <w:rPr>
          <w:lang w:val="fr-FR"/>
        </w:rPr>
        <w:t xml:space="preserve">État équatorien. Il a été élaboré et mis en œuvre grâce à un procédé </w:t>
      </w:r>
      <w:r w:rsidR="00163C61" w:rsidRPr="00EA05B3">
        <w:rPr>
          <w:lang w:val="fr-FR"/>
        </w:rPr>
        <w:t xml:space="preserve">fondé sur </w:t>
      </w:r>
      <w:r w:rsidR="009379A7" w:rsidRPr="00EA05B3">
        <w:rPr>
          <w:lang w:val="fr-FR"/>
        </w:rPr>
        <w:t>l’</w:t>
      </w:r>
      <w:r w:rsidR="00D60A11" w:rsidRPr="00EA05B3">
        <w:rPr>
          <w:lang w:val="fr-FR"/>
        </w:rPr>
        <w:t xml:space="preserve">enracinement de la démocratie, dont </w:t>
      </w:r>
      <w:r w:rsidR="009379A7" w:rsidRPr="00EA05B3">
        <w:rPr>
          <w:lang w:val="fr-FR"/>
        </w:rPr>
        <w:t>l’</w:t>
      </w:r>
      <w:r w:rsidR="00D60A11" w:rsidRPr="00EA05B3">
        <w:rPr>
          <w:lang w:val="fr-FR"/>
        </w:rPr>
        <w:t>un des objectifs</w:t>
      </w:r>
      <w:r w:rsidR="000D57A5" w:rsidRPr="00EA05B3">
        <w:rPr>
          <w:lang w:val="fr-FR"/>
        </w:rPr>
        <w:t xml:space="preserve"> </w:t>
      </w:r>
      <w:r w:rsidR="007D1A71" w:rsidRPr="00EA05B3">
        <w:rPr>
          <w:lang w:val="fr-FR"/>
        </w:rPr>
        <w:t>socioéconomiques</w:t>
      </w:r>
      <w:r w:rsidR="00D60A11" w:rsidRPr="00EA05B3">
        <w:rPr>
          <w:lang w:val="fr-FR"/>
        </w:rPr>
        <w:t xml:space="preserve"> les plus importants est </w:t>
      </w:r>
      <w:r w:rsidR="009379A7" w:rsidRPr="00EA05B3">
        <w:rPr>
          <w:lang w:val="fr-FR"/>
        </w:rPr>
        <w:t>d’</w:t>
      </w:r>
      <w:r w:rsidR="00D60A11" w:rsidRPr="00EA05B3">
        <w:rPr>
          <w:lang w:val="fr-FR"/>
        </w:rPr>
        <w:t>éliminer</w:t>
      </w:r>
      <w:r w:rsidR="000D57A5" w:rsidRPr="00EA05B3">
        <w:rPr>
          <w:lang w:val="fr-FR"/>
        </w:rPr>
        <w:t xml:space="preserve"> </w:t>
      </w:r>
      <w:r w:rsidR="00D60A11" w:rsidRPr="00EA05B3">
        <w:rPr>
          <w:lang w:val="fr-FR"/>
        </w:rPr>
        <w:t xml:space="preserve">les phénomènes historiques </w:t>
      </w:r>
      <w:r w:rsidR="009379A7" w:rsidRPr="00EA05B3">
        <w:rPr>
          <w:lang w:val="fr-FR"/>
        </w:rPr>
        <w:t>d’</w:t>
      </w:r>
      <w:r w:rsidR="00D60A11" w:rsidRPr="00EA05B3">
        <w:rPr>
          <w:lang w:val="fr-FR"/>
        </w:rPr>
        <w:t xml:space="preserve">inégalité et </w:t>
      </w:r>
      <w:r w:rsidR="009379A7" w:rsidRPr="00EA05B3">
        <w:rPr>
          <w:lang w:val="fr-FR"/>
        </w:rPr>
        <w:t>d’</w:t>
      </w:r>
      <w:r w:rsidR="00D60A11" w:rsidRPr="00EA05B3">
        <w:rPr>
          <w:lang w:val="fr-FR"/>
        </w:rPr>
        <w:t>oppression.</w:t>
      </w:r>
    </w:p>
    <w:p w:rsidR="00D60A11" w:rsidRPr="00EA05B3" w:rsidRDefault="007E2774" w:rsidP="007E2774">
      <w:pPr>
        <w:pStyle w:val="SingleTxtG"/>
        <w:rPr>
          <w:lang w:val="fr-FR"/>
        </w:rPr>
      </w:pPr>
      <w:r w:rsidRPr="00EA05B3">
        <w:rPr>
          <w:lang w:val="fr-FR"/>
        </w:rPr>
        <w:t>17.</w:t>
      </w:r>
      <w:r w:rsidRPr="00EA05B3">
        <w:rPr>
          <w:lang w:val="fr-FR"/>
        </w:rPr>
        <w:tab/>
      </w:r>
      <w:r w:rsidR="00D60A11" w:rsidRPr="00EA05B3">
        <w:rPr>
          <w:lang w:val="fr-FR"/>
        </w:rPr>
        <w:t xml:space="preserve">La Constitution de 2008 dispose que la planification du développement à </w:t>
      </w:r>
      <w:r w:rsidR="009379A7" w:rsidRPr="00EA05B3">
        <w:rPr>
          <w:lang w:val="fr-FR"/>
        </w:rPr>
        <w:t>l’</w:t>
      </w:r>
      <w:r w:rsidR="00D60A11" w:rsidRPr="00EA05B3">
        <w:rPr>
          <w:lang w:val="fr-FR"/>
        </w:rPr>
        <w:t>échelon national et local repose sur la notion du bien-vivre ou s</w:t>
      </w:r>
      <w:r w:rsidR="00D60A11" w:rsidRPr="00EA05B3">
        <w:rPr>
          <w:i/>
          <w:lang w:val="fr-FR"/>
        </w:rPr>
        <w:t>umak kawsay</w:t>
      </w:r>
      <w:r w:rsidR="00D60A11" w:rsidRPr="00EA05B3">
        <w:rPr>
          <w:lang w:val="fr-FR"/>
        </w:rPr>
        <w:t xml:space="preserve">. Dans la vision du monde traditionnelle autochtone des peuples andins et amazoniens, le bien-vivre est un processus qui vise à améliorer de manière participative la qualité de la vie. Il </w:t>
      </w:r>
      <w:r w:rsidR="009379A7" w:rsidRPr="00EA05B3">
        <w:rPr>
          <w:lang w:val="fr-FR"/>
        </w:rPr>
        <w:t>s’</w:t>
      </w:r>
      <w:r w:rsidR="00D60A11" w:rsidRPr="00EA05B3">
        <w:rPr>
          <w:lang w:val="fr-FR"/>
        </w:rPr>
        <w:t xml:space="preserve">inscrit dans une relation harmonieuse avec la nature, la pleine réalisation de </w:t>
      </w:r>
      <w:r w:rsidR="009379A7" w:rsidRPr="00EA05B3">
        <w:rPr>
          <w:lang w:val="fr-FR"/>
        </w:rPr>
        <w:t>l’</w:t>
      </w:r>
      <w:r w:rsidR="00D60A11" w:rsidRPr="00EA05B3">
        <w:rPr>
          <w:lang w:val="fr-FR"/>
        </w:rPr>
        <w:t xml:space="preserve">homme ne pouvant pas aller </w:t>
      </w:r>
      <w:r w:rsidR="00960EC6" w:rsidRPr="00EA05B3">
        <w:rPr>
          <w:lang w:val="fr-FR"/>
        </w:rPr>
        <w:t>au-delà</w:t>
      </w:r>
      <w:r w:rsidR="00D60A11" w:rsidRPr="00EA05B3">
        <w:rPr>
          <w:lang w:val="fr-FR"/>
        </w:rPr>
        <w:t xml:space="preserve"> des limites des écosystèmes sur lesquels elle </w:t>
      </w:r>
      <w:r w:rsidR="009379A7" w:rsidRPr="00EA05B3">
        <w:rPr>
          <w:lang w:val="fr-FR"/>
        </w:rPr>
        <w:t>s’</w:t>
      </w:r>
      <w:r w:rsidR="00D60A11" w:rsidRPr="00EA05B3">
        <w:rPr>
          <w:lang w:val="fr-FR"/>
        </w:rPr>
        <w:t>appuie.</w:t>
      </w:r>
    </w:p>
    <w:p w:rsidR="00D60A11" w:rsidRPr="00EA05B3" w:rsidRDefault="007E2774" w:rsidP="007E2774">
      <w:pPr>
        <w:pStyle w:val="SingleTxtG"/>
        <w:rPr>
          <w:lang w:val="fr-FR"/>
        </w:rPr>
      </w:pPr>
      <w:r w:rsidRPr="00EA05B3">
        <w:rPr>
          <w:lang w:val="fr-FR"/>
        </w:rPr>
        <w:t>18.</w:t>
      </w:r>
      <w:r w:rsidRPr="00EA05B3">
        <w:rPr>
          <w:lang w:val="fr-FR"/>
        </w:rPr>
        <w:tab/>
      </w:r>
      <w:r w:rsidR="00D60A11" w:rsidRPr="00EA05B3">
        <w:rPr>
          <w:lang w:val="fr-FR"/>
        </w:rPr>
        <w:t xml:space="preserve">Les besoins de base des êtres humains comprennent </w:t>
      </w:r>
      <w:r w:rsidR="009379A7" w:rsidRPr="00EA05B3">
        <w:rPr>
          <w:lang w:val="fr-FR"/>
        </w:rPr>
        <w:t>l’</w:t>
      </w:r>
      <w:r w:rsidR="00D60A11" w:rsidRPr="00EA05B3">
        <w:rPr>
          <w:lang w:val="fr-FR"/>
        </w:rPr>
        <w:t xml:space="preserve">éducation, </w:t>
      </w:r>
      <w:r w:rsidR="009379A7" w:rsidRPr="00EA05B3">
        <w:rPr>
          <w:lang w:val="fr-FR"/>
        </w:rPr>
        <w:t>l’</w:t>
      </w:r>
      <w:r w:rsidR="00D60A11" w:rsidRPr="00EA05B3">
        <w:rPr>
          <w:lang w:val="fr-FR"/>
        </w:rPr>
        <w:t xml:space="preserve">alimentation, la santé, </w:t>
      </w:r>
      <w:r w:rsidR="009379A7" w:rsidRPr="00EA05B3">
        <w:rPr>
          <w:lang w:val="fr-FR"/>
        </w:rPr>
        <w:t>l’</w:t>
      </w:r>
      <w:r w:rsidR="00D60A11" w:rsidRPr="00EA05B3">
        <w:rPr>
          <w:lang w:val="fr-FR"/>
        </w:rPr>
        <w:t xml:space="preserve">emploi et le travail, le logement et </w:t>
      </w:r>
      <w:r w:rsidR="009379A7" w:rsidRPr="00EA05B3">
        <w:rPr>
          <w:lang w:val="fr-FR"/>
        </w:rPr>
        <w:t>l’</w:t>
      </w:r>
      <w:r w:rsidR="00D60A11" w:rsidRPr="00EA05B3">
        <w:rPr>
          <w:lang w:val="fr-FR"/>
        </w:rPr>
        <w:t>habitat</w:t>
      </w:r>
      <w:r w:rsidR="00B36EE6" w:rsidRPr="00EA05B3">
        <w:rPr>
          <w:lang w:val="fr-FR"/>
        </w:rPr>
        <w:t>;</w:t>
      </w:r>
      <w:r w:rsidR="00D60A11" w:rsidRPr="00EA05B3">
        <w:rPr>
          <w:lang w:val="fr-FR"/>
        </w:rPr>
        <w:t xml:space="preserve"> ils doivent être satisfaits sans discrimination, de manière participative et dans le respect des droits de </w:t>
      </w:r>
      <w:r w:rsidR="009379A7" w:rsidRPr="00EA05B3">
        <w:rPr>
          <w:lang w:val="fr-FR"/>
        </w:rPr>
        <w:t>l’</w:t>
      </w:r>
      <w:r w:rsidR="00D60A11" w:rsidRPr="00EA05B3">
        <w:rPr>
          <w:lang w:val="fr-FR"/>
        </w:rPr>
        <w:t xml:space="preserve">homme. La pauvreté et </w:t>
      </w:r>
      <w:r w:rsidR="009379A7" w:rsidRPr="00EA05B3">
        <w:rPr>
          <w:lang w:val="fr-FR"/>
        </w:rPr>
        <w:t>l’</w:t>
      </w:r>
      <w:r w:rsidR="00D60A11" w:rsidRPr="00EA05B3">
        <w:rPr>
          <w:lang w:val="fr-FR"/>
        </w:rPr>
        <w:t>inégalité sont contraires à la citoyenneté</w:t>
      </w:r>
      <w:r w:rsidR="00B36EE6" w:rsidRPr="00EA05B3">
        <w:rPr>
          <w:lang w:val="fr-FR"/>
        </w:rPr>
        <w:t>:</w:t>
      </w:r>
      <w:r w:rsidR="00D60A11" w:rsidRPr="00EA05B3">
        <w:rPr>
          <w:lang w:val="fr-FR"/>
        </w:rPr>
        <w:t xml:space="preserve"> elles constituent les principaux obstacles à </w:t>
      </w:r>
      <w:r w:rsidR="009379A7" w:rsidRPr="00EA05B3">
        <w:rPr>
          <w:lang w:val="fr-FR"/>
        </w:rPr>
        <w:t>l’</w:t>
      </w:r>
      <w:r w:rsidR="00D60A11" w:rsidRPr="00EA05B3">
        <w:rPr>
          <w:lang w:val="fr-FR"/>
        </w:rPr>
        <w:t>implantation de la société du bien-vivre puis</w:t>
      </w:r>
      <w:r w:rsidR="009379A7" w:rsidRPr="00EA05B3">
        <w:rPr>
          <w:lang w:val="fr-FR"/>
        </w:rPr>
        <w:t>qu’</w:t>
      </w:r>
      <w:r w:rsidR="00D60A11" w:rsidRPr="00EA05B3">
        <w:rPr>
          <w:lang w:val="fr-FR"/>
        </w:rPr>
        <w:t xml:space="preserve">elles ne permettent pas le plein exercice des droits. </w:t>
      </w:r>
      <w:r w:rsidR="009379A7" w:rsidRPr="00EA05B3">
        <w:rPr>
          <w:lang w:val="fr-FR"/>
        </w:rPr>
        <w:t>C’</w:t>
      </w:r>
      <w:r w:rsidR="00D60A11" w:rsidRPr="00EA05B3">
        <w:rPr>
          <w:lang w:val="fr-FR"/>
        </w:rPr>
        <w:t xml:space="preserve">est pourquoi ces questions occupent une place centrale dans les politiques publiques et </w:t>
      </w:r>
      <w:r w:rsidR="009379A7" w:rsidRPr="00EA05B3">
        <w:rPr>
          <w:lang w:val="fr-FR"/>
        </w:rPr>
        <w:t>l’</w:t>
      </w:r>
      <w:r w:rsidR="00D60A11" w:rsidRPr="00EA05B3">
        <w:rPr>
          <w:lang w:val="fr-FR"/>
        </w:rPr>
        <w:t xml:space="preserve">élimination de </w:t>
      </w:r>
      <w:r w:rsidR="009379A7" w:rsidRPr="00EA05B3">
        <w:rPr>
          <w:lang w:val="fr-FR"/>
        </w:rPr>
        <w:t>l’</w:t>
      </w:r>
      <w:r w:rsidR="00D60A11" w:rsidRPr="00EA05B3">
        <w:rPr>
          <w:lang w:val="fr-FR"/>
        </w:rPr>
        <w:t xml:space="preserve">extrême pauvreté a été définie comme </w:t>
      </w:r>
      <w:r w:rsidR="009379A7" w:rsidRPr="00EA05B3">
        <w:rPr>
          <w:lang w:val="fr-FR"/>
        </w:rPr>
        <w:t>l’</w:t>
      </w:r>
      <w:r w:rsidR="00D60A11" w:rsidRPr="00EA05B3">
        <w:rPr>
          <w:lang w:val="fr-FR"/>
        </w:rPr>
        <w:t>un des objectifs pour 2017.</w:t>
      </w:r>
    </w:p>
    <w:p w:rsidR="00D60A11" w:rsidRPr="00EA05B3" w:rsidRDefault="007E2774" w:rsidP="007E2774">
      <w:pPr>
        <w:pStyle w:val="SingleTxtG"/>
        <w:rPr>
          <w:lang w:val="fr-FR"/>
        </w:rPr>
      </w:pPr>
      <w:r w:rsidRPr="00EA05B3">
        <w:rPr>
          <w:lang w:val="fr-FR"/>
        </w:rPr>
        <w:t>19.</w:t>
      </w:r>
      <w:r w:rsidRPr="00EA05B3">
        <w:rPr>
          <w:lang w:val="fr-FR"/>
        </w:rPr>
        <w:tab/>
      </w:r>
      <w:r w:rsidR="00D60A11" w:rsidRPr="00EA05B3">
        <w:rPr>
          <w:lang w:val="fr-FR"/>
        </w:rPr>
        <w:t xml:space="preserve">La Constitution actuelle reconnaît </w:t>
      </w:r>
      <w:r w:rsidR="009379A7" w:rsidRPr="00EA05B3">
        <w:rPr>
          <w:lang w:val="fr-FR"/>
        </w:rPr>
        <w:t>l’</w:t>
      </w:r>
      <w:r w:rsidR="00D60A11" w:rsidRPr="00EA05B3">
        <w:rPr>
          <w:lang w:val="fr-FR"/>
        </w:rPr>
        <w:t>universalité des droits sociaux et considère les objectifs du bien-vivre</w:t>
      </w:r>
      <w:r w:rsidR="00D60A11" w:rsidRPr="00EA05B3">
        <w:rPr>
          <w:rStyle w:val="FootnoteReference"/>
          <w:lang w:val="fr-FR"/>
        </w:rPr>
        <w:footnoteReference w:id="15"/>
      </w:r>
      <w:r w:rsidR="00D60A11" w:rsidRPr="00EA05B3">
        <w:rPr>
          <w:lang w:val="fr-FR"/>
        </w:rPr>
        <w:t xml:space="preserve"> comme un axe fondamental des politiques publiques. Les droits sociaux ont par nature un caractère progressif</w:t>
      </w:r>
      <w:r w:rsidR="00B36EE6" w:rsidRPr="00EA05B3">
        <w:rPr>
          <w:lang w:val="fr-FR"/>
        </w:rPr>
        <w:t>;</w:t>
      </w:r>
      <w:r w:rsidR="00D60A11" w:rsidRPr="00EA05B3">
        <w:rPr>
          <w:lang w:val="fr-FR"/>
        </w:rPr>
        <w:t xml:space="preserve"> leur réalisation </w:t>
      </w:r>
      <w:r w:rsidR="009379A7" w:rsidRPr="00EA05B3">
        <w:rPr>
          <w:lang w:val="fr-FR"/>
        </w:rPr>
        <w:t>s’</w:t>
      </w:r>
      <w:r w:rsidR="00D60A11" w:rsidRPr="00EA05B3">
        <w:rPr>
          <w:lang w:val="fr-FR"/>
        </w:rPr>
        <w:t xml:space="preserve">inscrit dans un processus </w:t>
      </w:r>
      <w:r w:rsidR="00163C61" w:rsidRPr="00EA05B3">
        <w:rPr>
          <w:lang w:val="fr-FR"/>
        </w:rPr>
        <w:t xml:space="preserve">à </w:t>
      </w:r>
      <w:r w:rsidR="00D60A11" w:rsidRPr="00EA05B3">
        <w:rPr>
          <w:lang w:val="fr-FR"/>
        </w:rPr>
        <w:t xml:space="preserve">long </w:t>
      </w:r>
      <w:r w:rsidR="00163C61" w:rsidRPr="00EA05B3">
        <w:rPr>
          <w:lang w:val="fr-FR"/>
        </w:rPr>
        <w:t xml:space="preserve">terme </w:t>
      </w:r>
      <w:r w:rsidR="00D60A11" w:rsidRPr="00EA05B3">
        <w:rPr>
          <w:lang w:val="fr-FR"/>
        </w:rPr>
        <w:t xml:space="preserve">qui, avec la participation active de </w:t>
      </w:r>
      <w:r w:rsidR="009379A7" w:rsidRPr="00EA05B3">
        <w:rPr>
          <w:lang w:val="fr-FR"/>
        </w:rPr>
        <w:t>l’</w:t>
      </w:r>
      <w:r w:rsidR="00D60A11" w:rsidRPr="00EA05B3">
        <w:rPr>
          <w:lang w:val="fr-FR"/>
        </w:rPr>
        <w:t>État, permet de satisfaire les besoins humains.</w:t>
      </w:r>
    </w:p>
    <w:p w:rsidR="00D60A11" w:rsidRPr="00EA05B3" w:rsidRDefault="007E2774" w:rsidP="007E2774">
      <w:pPr>
        <w:pStyle w:val="SingleTxtG"/>
        <w:rPr>
          <w:lang w:val="fr-FR"/>
        </w:rPr>
      </w:pPr>
      <w:r w:rsidRPr="00EA05B3">
        <w:rPr>
          <w:lang w:val="fr-FR"/>
        </w:rPr>
        <w:t>20.</w:t>
      </w:r>
      <w:r w:rsidRPr="00EA05B3">
        <w:rPr>
          <w:lang w:val="fr-FR"/>
        </w:rPr>
        <w:tab/>
      </w:r>
      <w:r w:rsidR="009379A7" w:rsidRPr="00EA05B3">
        <w:rPr>
          <w:lang w:val="fr-FR"/>
        </w:rPr>
        <w:t>L’</w:t>
      </w:r>
      <w:r w:rsidR="00D60A11" w:rsidRPr="00EA05B3">
        <w:rPr>
          <w:lang w:val="fr-FR"/>
        </w:rPr>
        <w:t>agenda du développement</w:t>
      </w:r>
      <w:r w:rsidR="00163C61" w:rsidRPr="00EA05B3">
        <w:rPr>
          <w:lang w:val="fr-FR"/>
        </w:rPr>
        <w:t>,</w:t>
      </w:r>
      <w:r w:rsidR="00D60A11" w:rsidRPr="00EA05B3">
        <w:rPr>
          <w:lang w:val="fr-FR"/>
        </w:rPr>
        <w:t xml:space="preserve"> centré sur les droits de </w:t>
      </w:r>
      <w:r w:rsidR="009379A7" w:rsidRPr="00EA05B3">
        <w:rPr>
          <w:lang w:val="fr-FR"/>
        </w:rPr>
        <w:t>l’</w:t>
      </w:r>
      <w:r w:rsidR="00D60A11" w:rsidRPr="00EA05B3">
        <w:rPr>
          <w:lang w:val="fr-FR"/>
        </w:rPr>
        <w:t>homme</w:t>
      </w:r>
      <w:r w:rsidR="00163C61" w:rsidRPr="00EA05B3">
        <w:rPr>
          <w:lang w:val="fr-FR"/>
        </w:rPr>
        <w:t>,</w:t>
      </w:r>
      <w:r w:rsidR="00D60A11" w:rsidRPr="00EA05B3">
        <w:rPr>
          <w:lang w:val="fr-FR"/>
        </w:rPr>
        <w:t xml:space="preserve"> élabore des stratégies ou des plans de développement visant à supprimer les inégalités structurelles et à accorder une attention prioritaire aux groupes les plus marginalisés.</w:t>
      </w:r>
    </w:p>
    <w:p w:rsidR="00D60A11" w:rsidRPr="00EA05B3" w:rsidRDefault="007E2774" w:rsidP="007E2774">
      <w:pPr>
        <w:pStyle w:val="SingleTxtG"/>
        <w:rPr>
          <w:lang w:val="fr-FR"/>
        </w:rPr>
      </w:pPr>
      <w:r w:rsidRPr="00EA05B3">
        <w:rPr>
          <w:lang w:val="fr-FR"/>
        </w:rPr>
        <w:t>21.</w:t>
      </w:r>
      <w:r w:rsidRPr="00EA05B3">
        <w:rPr>
          <w:lang w:val="fr-FR"/>
        </w:rPr>
        <w:tab/>
      </w:r>
      <w:r w:rsidR="00D60A11" w:rsidRPr="00EA05B3">
        <w:rPr>
          <w:lang w:val="fr-FR"/>
        </w:rPr>
        <w:t>La société équatorienne est caractérisée par une hétérogénéité culturelle et des visions du monde et des pratiques socioculturelles aussi diverses que celles des métis, des Afro-</w:t>
      </w:r>
      <w:r w:rsidRPr="00EA05B3">
        <w:rPr>
          <w:lang w:val="fr-FR"/>
        </w:rPr>
        <w:t>Équatoriens</w:t>
      </w:r>
      <w:r w:rsidR="00D60A11" w:rsidRPr="00EA05B3">
        <w:rPr>
          <w:lang w:val="fr-FR"/>
        </w:rPr>
        <w:t>, du peuple montubio, des nationalités autochtones et des immigr</w:t>
      </w:r>
      <w:r w:rsidR="00960EC6" w:rsidRPr="00EA05B3">
        <w:rPr>
          <w:lang w:val="fr-FR"/>
        </w:rPr>
        <w:t>é</w:t>
      </w:r>
      <w:r w:rsidR="00D60A11" w:rsidRPr="00EA05B3">
        <w:rPr>
          <w:lang w:val="fr-FR"/>
        </w:rPr>
        <w:t>s de différents pays.</w:t>
      </w:r>
    </w:p>
    <w:p w:rsidR="00D60A11" w:rsidRPr="00EA05B3" w:rsidRDefault="007E2774" w:rsidP="007E2774">
      <w:pPr>
        <w:pStyle w:val="SingleTxtG"/>
        <w:rPr>
          <w:lang w:val="fr-FR"/>
        </w:rPr>
      </w:pPr>
      <w:r w:rsidRPr="00EA05B3">
        <w:rPr>
          <w:lang w:val="fr-FR"/>
        </w:rPr>
        <w:t>22.</w:t>
      </w:r>
      <w:r w:rsidRPr="00EA05B3">
        <w:rPr>
          <w:lang w:val="fr-FR"/>
        </w:rPr>
        <w:tab/>
      </w:r>
      <w:r w:rsidR="00D60A11" w:rsidRPr="00EA05B3">
        <w:rPr>
          <w:lang w:val="fr-FR"/>
        </w:rPr>
        <w:t xml:space="preserve">Sur ce point, la Constitution consacre </w:t>
      </w:r>
      <w:r w:rsidR="009379A7" w:rsidRPr="00EA05B3">
        <w:rPr>
          <w:lang w:val="fr-FR"/>
        </w:rPr>
        <w:t>l’</w:t>
      </w:r>
      <w:r w:rsidR="00D60A11" w:rsidRPr="00EA05B3">
        <w:rPr>
          <w:lang w:val="fr-FR"/>
        </w:rPr>
        <w:t xml:space="preserve">égalité devant la loi, </w:t>
      </w:r>
      <w:r w:rsidR="009379A7" w:rsidRPr="00EA05B3">
        <w:rPr>
          <w:lang w:val="fr-FR"/>
        </w:rPr>
        <w:t>l’</w:t>
      </w:r>
      <w:r w:rsidR="00D60A11" w:rsidRPr="00EA05B3">
        <w:rPr>
          <w:lang w:val="fr-FR"/>
        </w:rPr>
        <w:t xml:space="preserve">égalité dans la jouissance des droits et </w:t>
      </w:r>
      <w:r w:rsidR="009379A7" w:rsidRPr="00EA05B3">
        <w:rPr>
          <w:lang w:val="fr-FR"/>
        </w:rPr>
        <w:t>l’</w:t>
      </w:r>
      <w:r w:rsidR="00D60A11" w:rsidRPr="00EA05B3">
        <w:rPr>
          <w:lang w:val="fr-FR"/>
        </w:rPr>
        <w:t xml:space="preserve">égalité des chances et </w:t>
      </w:r>
      <w:r w:rsidR="00163C61" w:rsidRPr="00EA05B3">
        <w:rPr>
          <w:lang w:val="fr-FR"/>
        </w:rPr>
        <w:t xml:space="preserve">énumère l’ensemble des motifs de </w:t>
      </w:r>
      <w:r w:rsidR="00D60A11" w:rsidRPr="00EA05B3">
        <w:rPr>
          <w:lang w:val="fr-FR"/>
        </w:rPr>
        <w:t>discrimination interdit</w:t>
      </w:r>
      <w:r w:rsidR="00163C61" w:rsidRPr="00EA05B3">
        <w:rPr>
          <w:lang w:val="fr-FR"/>
        </w:rPr>
        <w:t>s</w:t>
      </w:r>
      <w:r w:rsidR="00D60A11" w:rsidRPr="00EA05B3">
        <w:rPr>
          <w:lang w:val="fr-FR"/>
        </w:rPr>
        <w:t xml:space="preserve">. </w:t>
      </w:r>
      <w:r w:rsidR="009379A7" w:rsidRPr="00EA05B3">
        <w:rPr>
          <w:lang w:val="fr-FR"/>
        </w:rPr>
        <w:t>L’</w:t>
      </w:r>
      <w:r w:rsidR="00D60A11" w:rsidRPr="00EA05B3">
        <w:rPr>
          <w:lang w:val="fr-FR"/>
        </w:rPr>
        <w:t>article 66.4</w:t>
      </w:r>
      <w:r w:rsidR="00D60A11" w:rsidRPr="00EA05B3">
        <w:rPr>
          <w:rStyle w:val="FootnoteReference"/>
          <w:lang w:val="fr-FR"/>
        </w:rPr>
        <w:footnoteReference w:id="16"/>
      </w:r>
      <w:r w:rsidR="00D60A11" w:rsidRPr="00EA05B3">
        <w:rPr>
          <w:lang w:val="fr-FR"/>
        </w:rPr>
        <w:t xml:space="preserve"> inclut </w:t>
      </w:r>
      <w:r w:rsidR="009379A7" w:rsidRPr="00EA05B3">
        <w:rPr>
          <w:lang w:val="fr-FR"/>
        </w:rPr>
        <w:t>l’</w:t>
      </w:r>
      <w:r w:rsidR="00D60A11" w:rsidRPr="00EA05B3">
        <w:rPr>
          <w:lang w:val="fr-FR"/>
        </w:rPr>
        <w:t xml:space="preserve">égalité et la non-discrimination dans les droits relatifs à la liberté et précise </w:t>
      </w:r>
      <w:r w:rsidR="009379A7" w:rsidRPr="00EA05B3">
        <w:rPr>
          <w:lang w:val="fr-FR"/>
        </w:rPr>
        <w:t>qu’</w:t>
      </w:r>
      <w:r w:rsidR="00D60A11" w:rsidRPr="00EA05B3">
        <w:rPr>
          <w:lang w:val="fr-FR"/>
        </w:rPr>
        <w:t>elle se manifeste sous trois formes</w:t>
      </w:r>
      <w:r w:rsidR="00B36EE6" w:rsidRPr="00EA05B3">
        <w:rPr>
          <w:lang w:val="fr-FR"/>
        </w:rPr>
        <w:t>:</w:t>
      </w:r>
      <w:r w:rsidR="00D60A11" w:rsidRPr="00EA05B3">
        <w:rPr>
          <w:lang w:val="fr-FR"/>
        </w:rPr>
        <w:t xml:space="preserve"> </w:t>
      </w:r>
      <w:r w:rsidR="00B15670" w:rsidRPr="00EA05B3">
        <w:rPr>
          <w:lang w:val="fr-FR"/>
        </w:rPr>
        <w:t>«</w:t>
      </w:r>
      <w:r w:rsidR="00D60A11" w:rsidRPr="00EA05B3">
        <w:rPr>
          <w:lang w:val="fr-FR"/>
        </w:rPr>
        <w:t>égalité formelle, égalité matérielle et principe de non-discrimination</w:t>
      </w:r>
      <w:r w:rsidR="00B15670" w:rsidRPr="00EA05B3">
        <w:rPr>
          <w:lang w:val="fr-FR"/>
        </w:rPr>
        <w:t>»</w:t>
      </w:r>
      <w:r w:rsidR="00D60A11" w:rsidRPr="00EA05B3">
        <w:rPr>
          <w:lang w:val="fr-FR"/>
        </w:rPr>
        <w:t>.</w:t>
      </w:r>
    </w:p>
    <w:p w:rsidR="00D60A11" w:rsidRPr="00EA05B3" w:rsidRDefault="007E2774" w:rsidP="007E2774">
      <w:pPr>
        <w:pStyle w:val="SingleTxtG"/>
        <w:rPr>
          <w:lang w:val="fr-FR"/>
        </w:rPr>
      </w:pPr>
      <w:r w:rsidRPr="00EA05B3">
        <w:rPr>
          <w:lang w:val="fr-FR"/>
        </w:rPr>
        <w:t>23.</w:t>
      </w:r>
      <w:r w:rsidRPr="00EA05B3">
        <w:rPr>
          <w:lang w:val="fr-FR"/>
        </w:rPr>
        <w:tab/>
      </w:r>
      <w:r w:rsidR="00D60A11" w:rsidRPr="00EA05B3">
        <w:rPr>
          <w:lang w:val="fr-FR"/>
        </w:rPr>
        <w:t xml:space="preserve">En ce qui concerne la réduction des inégalités, </w:t>
      </w:r>
      <w:r w:rsidR="009379A7" w:rsidRPr="00EA05B3">
        <w:rPr>
          <w:lang w:val="fr-FR"/>
        </w:rPr>
        <w:t>l’</w:t>
      </w:r>
      <w:r w:rsidR="00D60A11" w:rsidRPr="00EA05B3">
        <w:rPr>
          <w:lang w:val="fr-FR"/>
        </w:rPr>
        <w:t>article 11.2 de la Constitution dispose que</w:t>
      </w:r>
      <w:r w:rsidR="000D57A5" w:rsidRPr="00EA05B3">
        <w:rPr>
          <w:lang w:val="fr-FR"/>
        </w:rPr>
        <w:t xml:space="preserve"> </w:t>
      </w:r>
      <w:r w:rsidR="00B15670" w:rsidRPr="00EA05B3">
        <w:rPr>
          <w:lang w:val="fr-FR"/>
        </w:rPr>
        <w:t>«</w:t>
      </w:r>
      <w:r w:rsidR="009379A7" w:rsidRPr="00EA05B3">
        <w:rPr>
          <w:lang w:val="fr-FR"/>
        </w:rPr>
        <w:t>l’</w:t>
      </w:r>
      <w:r w:rsidR="00D60A11" w:rsidRPr="00EA05B3">
        <w:rPr>
          <w:lang w:val="fr-FR"/>
        </w:rPr>
        <w:t xml:space="preserve">État adopte des mesures </w:t>
      </w:r>
      <w:r w:rsidR="009379A7" w:rsidRPr="00EA05B3">
        <w:rPr>
          <w:lang w:val="fr-FR"/>
        </w:rPr>
        <w:t>d’</w:t>
      </w:r>
      <w:r w:rsidR="00D60A11" w:rsidRPr="00EA05B3">
        <w:rPr>
          <w:lang w:val="fr-FR"/>
        </w:rPr>
        <w:t xml:space="preserve">action positive afin de favoriser </w:t>
      </w:r>
      <w:r w:rsidR="009379A7" w:rsidRPr="00EA05B3">
        <w:rPr>
          <w:lang w:val="fr-FR"/>
        </w:rPr>
        <w:t>l’</w:t>
      </w:r>
      <w:r w:rsidR="00D60A11" w:rsidRPr="00EA05B3">
        <w:rPr>
          <w:lang w:val="fr-FR"/>
        </w:rPr>
        <w:t xml:space="preserve">égalité réelle des détenteurs de droits </w:t>
      </w:r>
      <w:r w:rsidR="00163C61" w:rsidRPr="00EA05B3">
        <w:rPr>
          <w:lang w:val="fr-FR"/>
        </w:rPr>
        <w:t>victimes</w:t>
      </w:r>
      <w:r w:rsidR="00D60A11" w:rsidRPr="00EA05B3">
        <w:rPr>
          <w:lang w:val="fr-FR"/>
        </w:rPr>
        <w:t xml:space="preserve"> </w:t>
      </w:r>
      <w:r w:rsidR="009379A7" w:rsidRPr="00EA05B3">
        <w:rPr>
          <w:lang w:val="fr-FR"/>
        </w:rPr>
        <w:t>d’</w:t>
      </w:r>
      <w:r w:rsidR="00D60A11" w:rsidRPr="00EA05B3">
        <w:rPr>
          <w:lang w:val="fr-FR"/>
        </w:rPr>
        <w:t>inégalités</w:t>
      </w:r>
      <w:r w:rsidR="00B15670" w:rsidRPr="00EA05B3">
        <w:rPr>
          <w:lang w:val="fr-FR"/>
        </w:rPr>
        <w:t>»</w:t>
      </w:r>
      <w:r w:rsidR="00D60A11" w:rsidRPr="00EA05B3">
        <w:rPr>
          <w:lang w:val="fr-FR"/>
        </w:rPr>
        <w:t xml:space="preserve">. Ce traitement différencié se justifie pour atteindre </w:t>
      </w:r>
      <w:r w:rsidR="009379A7" w:rsidRPr="00EA05B3">
        <w:rPr>
          <w:lang w:val="fr-FR"/>
        </w:rPr>
        <w:t>l’</w:t>
      </w:r>
      <w:r w:rsidR="00D60A11" w:rsidRPr="00EA05B3">
        <w:rPr>
          <w:lang w:val="fr-FR"/>
        </w:rPr>
        <w:t>égalité réelle ou matérielle.</w:t>
      </w:r>
    </w:p>
    <w:p w:rsidR="00D60A11" w:rsidRPr="00EA05B3" w:rsidRDefault="007E2774" w:rsidP="007E2774">
      <w:pPr>
        <w:pStyle w:val="SingleTxtG"/>
        <w:rPr>
          <w:lang w:val="fr-FR"/>
        </w:rPr>
      </w:pPr>
      <w:r w:rsidRPr="00EA05B3">
        <w:rPr>
          <w:lang w:val="fr-FR"/>
        </w:rPr>
        <w:t>24.</w:t>
      </w:r>
      <w:r w:rsidRPr="00EA05B3">
        <w:rPr>
          <w:lang w:val="fr-FR"/>
        </w:rPr>
        <w:tab/>
      </w:r>
      <w:r w:rsidR="009379A7" w:rsidRPr="00EA05B3">
        <w:rPr>
          <w:lang w:val="fr-FR"/>
        </w:rPr>
        <w:t>L’</w:t>
      </w:r>
      <w:r w:rsidR="00D60A11" w:rsidRPr="00EA05B3">
        <w:rPr>
          <w:lang w:val="fr-FR"/>
        </w:rPr>
        <w:t>article 85 de la Constitution</w:t>
      </w:r>
      <w:r w:rsidR="00D60A11" w:rsidRPr="00EA05B3">
        <w:rPr>
          <w:rStyle w:val="FootnoteReference"/>
          <w:lang w:val="fr-FR"/>
        </w:rPr>
        <w:footnoteReference w:id="17"/>
      </w:r>
      <w:r w:rsidR="00D60A11" w:rsidRPr="00EA05B3">
        <w:rPr>
          <w:lang w:val="fr-FR"/>
        </w:rPr>
        <w:t xml:space="preserve"> introduit deux notions liées à </w:t>
      </w:r>
      <w:r w:rsidR="009379A7" w:rsidRPr="00EA05B3">
        <w:rPr>
          <w:lang w:val="fr-FR"/>
        </w:rPr>
        <w:t>l’</w:t>
      </w:r>
      <w:r w:rsidR="00D60A11" w:rsidRPr="00EA05B3">
        <w:rPr>
          <w:lang w:val="fr-FR"/>
        </w:rPr>
        <w:t xml:space="preserve">égalité qui renforcent </w:t>
      </w:r>
      <w:r w:rsidR="009379A7" w:rsidRPr="00EA05B3">
        <w:rPr>
          <w:lang w:val="fr-FR"/>
        </w:rPr>
        <w:t>l’</w:t>
      </w:r>
      <w:r w:rsidR="00D60A11" w:rsidRPr="00EA05B3">
        <w:rPr>
          <w:lang w:val="fr-FR"/>
        </w:rPr>
        <w:t xml:space="preserve">Équateur en tant </w:t>
      </w:r>
      <w:r w:rsidR="009379A7" w:rsidRPr="00EA05B3">
        <w:rPr>
          <w:lang w:val="fr-FR"/>
        </w:rPr>
        <w:t>qu’</w:t>
      </w:r>
      <w:r w:rsidR="00D60A11" w:rsidRPr="00EA05B3">
        <w:rPr>
          <w:lang w:val="fr-FR"/>
        </w:rPr>
        <w:t xml:space="preserve">État de justice et de droits, </w:t>
      </w:r>
      <w:r w:rsidR="009379A7" w:rsidRPr="00EA05B3">
        <w:rPr>
          <w:lang w:val="fr-FR"/>
        </w:rPr>
        <w:t>d’</w:t>
      </w:r>
      <w:r w:rsidR="00D60A11" w:rsidRPr="00EA05B3">
        <w:rPr>
          <w:lang w:val="fr-FR"/>
        </w:rPr>
        <w:t xml:space="preserve">égalité et de solidarité. Il dispose que les politiques publiques, la fourniture de biens et la prestation de services publics sont axées sur la réalisation du bien-vivre et de tous les droits, et reposent sur le principe de solidarité. </w:t>
      </w:r>
    </w:p>
    <w:p w:rsidR="00D60A11" w:rsidRPr="00EA05B3" w:rsidRDefault="007E2774" w:rsidP="007E2774">
      <w:pPr>
        <w:pStyle w:val="SingleTxtG"/>
        <w:rPr>
          <w:lang w:val="fr-FR"/>
        </w:rPr>
      </w:pPr>
      <w:r w:rsidRPr="00EA05B3">
        <w:rPr>
          <w:lang w:val="fr-FR"/>
        </w:rPr>
        <w:t>25.</w:t>
      </w:r>
      <w:r w:rsidRPr="00EA05B3">
        <w:rPr>
          <w:lang w:val="fr-FR"/>
        </w:rPr>
        <w:tab/>
      </w:r>
      <w:r w:rsidR="00D60A11" w:rsidRPr="00EA05B3">
        <w:rPr>
          <w:lang w:val="fr-FR"/>
        </w:rPr>
        <w:t xml:space="preserve">La Constitution a posé les bases du redressement du secteur public et du rétablissement de </w:t>
      </w:r>
      <w:r w:rsidR="009379A7" w:rsidRPr="00EA05B3">
        <w:rPr>
          <w:lang w:val="fr-FR"/>
        </w:rPr>
        <w:t>l’</w:t>
      </w:r>
      <w:r w:rsidR="00D60A11" w:rsidRPr="00EA05B3">
        <w:rPr>
          <w:lang w:val="fr-FR"/>
        </w:rPr>
        <w:t>État, de son rôle régulateur et du mode de gouvernance déconcentré et décentralisé.</w:t>
      </w:r>
    </w:p>
    <w:p w:rsidR="00D60A11" w:rsidRPr="00EA05B3" w:rsidRDefault="007E2774" w:rsidP="007E2774">
      <w:pPr>
        <w:pStyle w:val="SingleTxtG"/>
        <w:rPr>
          <w:lang w:val="fr-FR"/>
        </w:rPr>
      </w:pPr>
      <w:r w:rsidRPr="00EA05B3">
        <w:rPr>
          <w:lang w:val="fr-FR"/>
        </w:rPr>
        <w:t>26.</w:t>
      </w:r>
      <w:r w:rsidRPr="00EA05B3">
        <w:rPr>
          <w:lang w:val="fr-FR"/>
        </w:rPr>
        <w:tab/>
      </w:r>
      <w:r w:rsidR="009379A7" w:rsidRPr="00EA05B3">
        <w:rPr>
          <w:lang w:val="fr-FR"/>
        </w:rPr>
        <w:t>L’</w:t>
      </w:r>
      <w:r w:rsidR="00D60A11" w:rsidRPr="00EA05B3">
        <w:rPr>
          <w:lang w:val="fr-FR"/>
        </w:rPr>
        <w:t xml:space="preserve">investissement social et le rôle de </w:t>
      </w:r>
      <w:r w:rsidR="009379A7" w:rsidRPr="00EA05B3">
        <w:rPr>
          <w:lang w:val="fr-FR"/>
        </w:rPr>
        <w:t>l’</w:t>
      </w:r>
      <w:r w:rsidR="00D60A11" w:rsidRPr="00EA05B3">
        <w:rPr>
          <w:lang w:val="fr-FR"/>
        </w:rPr>
        <w:t xml:space="preserve">État sur le plan économique ont été renforcés à partir de 2007, avec </w:t>
      </w:r>
      <w:r w:rsidR="009379A7" w:rsidRPr="00EA05B3">
        <w:rPr>
          <w:lang w:val="fr-FR"/>
        </w:rPr>
        <w:t>l’</w:t>
      </w:r>
      <w:r w:rsidR="00D60A11" w:rsidRPr="00EA05B3">
        <w:rPr>
          <w:lang w:val="fr-FR"/>
        </w:rPr>
        <w:t xml:space="preserve">adoption </w:t>
      </w:r>
      <w:r w:rsidR="009379A7" w:rsidRPr="00EA05B3">
        <w:rPr>
          <w:lang w:val="fr-FR"/>
        </w:rPr>
        <w:t>d’</w:t>
      </w:r>
      <w:r w:rsidR="00D60A11" w:rsidRPr="00EA05B3">
        <w:rPr>
          <w:lang w:val="fr-FR"/>
        </w:rPr>
        <w:t>une nouvelle stratégie de développement visant à réaliser une transformation économique durable et plus inclusive socialement.</w:t>
      </w:r>
    </w:p>
    <w:p w:rsidR="00D60A11" w:rsidRPr="00EA05B3" w:rsidRDefault="007E2774" w:rsidP="007E2774">
      <w:pPr>
        <w:pStyle w:val="SingleTxtG"/>
        <w:rPr>
          <w:lang w:val="fr-FR"/>
        </w:rPr>
      </w:pPr>
      <w:r w:rsidRPr="00EA05B3">
        <w:rPr>
          <w:lang w:val="fr-FR"/>
        </w:rPr>
        <w:t>27.</w:t>
      </w:r>
      <w:r w:rsidRPr="00EA05B3">
        <w:rPr>
          <w:lang w:val="fr-FR"/>
        </w:rPr>
        <w:tab/>
      </w:r>
      <w:r w:rsidR="00D60A11" w:rsidRPr="00EA05B3">
        <w:rPr>
          <w:lang w:val="fr-FR"/>
        </w:rPr>
        <w:t xml:space="preserve">La réorganisation territoriale, entreprise dans le but </w:t>
      </w:r>
      <w:r w:rsidR="009379A7" w:rsidRPr="00EA05B3">
        <w:rPr>
          <w:lang w:val="fr-FR"/>
        </w:rPr>
        <w:t>d’</w:t>
      </w:r>
      <w:r w:rsidR="00D60A11" w:rsidRPr="00EA05B3">
        <w:rPr>
          <w:lang w:val="fr-FR"/>
        </w:rPr>
        <w:t xml:space="preserve">instaurer </w:t>
      </w:r>
      <w:r w:rsidR="009379A7" w:rsidRPr="00EA05B3">
        <w:rPr>
          <w:lang w:val="fr-FR"/>
        </w:rPr>
        <w:t>l’</w:t>
      </w:r>
      <w:r w:rsidR="00D60A11" w:rsidRPr="00EA05B3">
        <w:rPr>
          <w:lang w:val="fr-FR"/>
        </w:rPr>
        <w:t>équité et la cohésion territoriale</w:t>
      </w:r>
      <w:r w:rsidR="00DB6EE1" w:rsidRPr="00EA05B3">
        <w:rPr>
          <w:lang w:val="fr-FR"/>
        </w:rPr>
        <w:t>,</w:t>
      </w:r>
      <w:r w:rsidR="00D60A11" w:rsidRPr="00EA05B3">
        <w:rPr>
          <w:lang w:val="fr-FR"/>
        </w:rPr>
        <w:t xml:space="preserve"> a joué un rôle important dans la transformation et le renforcement de </w:t>
      </w:r>
      <w:r w:rsidR="009379A7" w:rsidRPr="00EA05B3">
        <w:rPr>
          <w:lang w:val="fr-FR"/>
        </w:rPr>
        <w:t>l’</w:t>
      </w:r>
      <w:r w:rsidR="00D60A11" w:rsidRPr="00EA05B3">
        <w:rPr>
          <w:lang w:val="fr-FR"/>
        </w:rPr>
        <w:t>État équatorien.</w:t>
      </w:r>
    </w:p>
    <w:p w:rsidR="00D60A11" w:rsidRPr="00EA05B3" w:rsidRDefault="007E2774" w:rsidP="007E2774">
      <w:pPr>
        <w:pStyle w:val="SingleTxtG"/>
        <w:rPr>
          <w:lang w:val="fr-FR"/>
        </w:rPr>
      </w:pPr>
      <w:r w:rsidRPr="00EA05B3">
        <w:rPr>
          <w:lang w:val="fr-FR"/>
        </w:rPr>
        <w:t>28.</w:t>
      </w:r>
      <w:r w:rsidRPr="00EA05B3">
        <w:rPr>
          <w:lang w:val="fr-FR"/>
        </w:rPr>
        <w:tab/>
      </w:r>
      <w:r w:rsidR="009379A7" w:rsidRPr="00EA05B3">
        <w:rPr>
          <w:lang w:val="fr-FR"/>
        </w:rPr>
        <w:t>L’</w:t>
      </w:r>
      <w:r w:rsidR="00D60A11" w:rsidRPr="00EA05B3">
        <w:rPr>
          <w:lang w:val="fr-FR"/>
        </w:rPr>
        <w:t xml:space="preserve">article 156 de la Constitution instaure une nouvelle conception institutionnelle de </w:t>
      </w:r>
      <w:r w:rsidR="009379A7" w:rsidRPr="00EA05B3">
        <w:rPr>
          <w:lang w:val="fr-FR"/>
        </w:rPr>
        <w:t>l’</w:t>
      </w:r>
      <w:r w:rsidR="00D60A11" w:rsidRPr="00EA05B3">
        <w:rPr>
          <w:lang w:val="fr-FR"/>
        </w:rPr>
        <w:t xml:space="preserve">État, dans laquelle les </w:t>
      </w:r>
      <w:r w:rsidR="00163C61" w:rsidRPr="00EA05B3">
        <w:rPr>
          <w:lang w:val="fr-FR"/>
        </w:rPr>
        <w:t xml:space="preserve">conseils </w:t>
      </w:r>
      <w:r w:rsidR="00D60A11" w:rsidRPr="00EA05B3">
        <w:rPr>
          <w:lang w:val="fr-FR"/>
        </w:rPr>
        <w:t xml:space="preserve">nationaux de </w:t>
      </w:r>
      <w:r w:rsidR="009379A7" w:rsidRPr="00EA05B3">
        <w:rPr>
          <w:lang w:val="fr-FR"/>
        </w:rPr>
        <w:t>l’</w:t>
      </w:r>
      <w:r w:rsidR="00D60A11" w:rsidRPr="00EA05B3">
        <w:rPr>
          <w:lang w:val="fr-FR"/>
        </w:rPr>
        <w:t xml:space="preserve">égalité sont chargés de garantir le plein exercice et le respect des droits consacrés par la Constitution et les instruments internationaux relatifs aux droits de </w:t>
      </w:r>
      <w:r w:rsidR="009379A7" w:rsidRPr="00EA05B3">
        <w:rPr>
          <w:lang w:val="fr-FR"/>
        </w:rPr>
        <w:t>l’</w:t>
      </w:r>
      <w:r w:rsidR="00D60A11" w:rsidRPr="00EA05B3">
        <w:rPr>
          <w:lang w:val="fr-FR"/>
        </w:rPr>
        <w:t xml:space="preserve">homme. Ces </w:t>
      </w:r>
      <w:r w:rsidR="00163C61" w:rsidRPr="00EA05B3">
        <w:rPr>
          <w:lang w:val="fr-FR"/>
        </w:rPr>
        <w:t xml:space="preserve">conseils </w:t>
      </w:r>
      <w:r w:rsidR="00D60A11" w:rsidRPr="00EA05B3">
        <w:rPr>
          <w:lang w:val="fr-FR"/>
        </w:rPr>
        <w:t xml:space="preserve">ont pour vocation de favoriser la formulation, la transversalisation, le respect, le suivi et </w:t>
      </w:r>
      <w:r w:rsidR="009379A7" w:rsidRPr="00EA05B3">
        <w:rPr>
          <w:lang w:val="fr-FR"/>
        </w:rPr>
        <w:t>l’</w:t>
      </w:r>
      <w:r w:rsidR="00D60A11" w:rsidRPr="00EA05B3">
        <w:rPr>
          <w:lang w:val="fr-FR"/>
        </w:rPr>
        <w:t xml:space="preserve">évaluation des politiques publiques en matière </w:t>
      </w:r>
      <w:r w:rsidR="009379A7" w:rsidRPr="00EA05B3">
        <w:rPr>
          <w:lang w:val="fr-FR"/>
        </w:rPr>
        <w:t>d’</w:t>
      </w:r>
      <w:r w:rsidR="00D60A11" w:rsidRPr="00EA05B3">
        <w:rPr>
          <w:lang w:val="fr-FR"/>
        </w:rPr>
        <w:t xml:space="preserve">égalité des sexes et de protection de certains groupes ethniques et générationnels, </w:t>
      </w:r>
      <w:r w:rsidR="009379A7" w:rsidRPr="00EA05B3">
        <w:rPr>
          <w:lang w:val="fr-FR"/>
        </w:rPr>
        <w:t>d’</w:t>
      </w:r>
      <w:r w:rsidR="00D60A11" w:rsidRPr="00EA05B3">
        <w:rPr>
          <w:lang w:val="fr-FR"/>
        </w:rPr>
        <w:t xml:space="preserve">interculturalité, de protection des handicapés et des migrants, en coordination avec les instances de décision et </w:t>
      </w:r>
      <w:r w:rsidR="009379A7" w:rsidRPr="00EA05B3">
        <w:rPr>
          <w:lang w:val="fr-FR"/>
        </w:rPr>
        <w:t>d’</w:t>
      </w:r>
      <w:r w:rsidR="00D60A11" w:rsidRPr="00EA05B3">
        <w:rPr>
          <w:lang w:val="fr-FR"/>
        </w:rPr>
        <w:t xml:space="preserve">exécution et avec les organismes spécialisés dans la protection des droits à tous les niveaux de </w:t>
      </w:r>
      <w:r w:rsidR="009379A7" w:rsidRPr="00EA05B3">
        <w:rPr>
          <w:lang w:val="fr-FR"/>
        </w:rPr>
        <w:t>l’</w:t>
      </w:r>
      <w:r w:rsidR="00D60A11" w:rsidRPr="00EA05B3">
        <w:rPr>
          <w:lang w:val="fr-FR"/>
        </w:rPr>
        <w:t>État.</w:t>
      </w:r>
    </w:p>
    <w:p w:rsidR="00D60A11" w:rsidRPr="00EA05B3" w:rsidRDefault="007E2774" w:rsidP="007E2774">
      <w:pPr>
        <w:pStyle w:val="SingleTxtG"/>
        <w:rPr>
          <w:lang w:val="fr-FR"/>
        </w:rPr>
      </w:pPr>
      <w:r w:rsidRPr="00EA05B3">
        <w:rPr>
          <w:lang w:val="fr-FR"/>
        </w:rPr>
        <w:t>29.</w:t>
      </w:r>
      <w:r w:rsidRPr="00EA05B3">
        <w:rPr>
          <w:lang w:val="fr-FR"/>
        </w:rPr>
        <w:tab/>
      </w:r>
      <w:r w:rsidR="00D60A11" w:rsidRPr="00EA05B3">
        <w:rPr>
          <w:lang w:val="fr-FR"/>
        </w:rPr>
        <w:t xml:space="preserve">Le Système national décentralisé de planification participative (SNDPP), créé par la Constitution de 2008, est régi par </w:t>
      </w:r>
      <w:r w:rsidR="009379A7" w:rsidRPr="00EA05B3">
        <w:rPr>
          <w:lang w:val="fr-FR"/>
        </w:rPr>
        <w:t>l’</w:t>
      </w:r>
      <w:r w:rsidR="00D60A11" w:rsidRPr="00EA05B3">
        <w:rPr>
          <w:lang w:val="fr-FR"/>
        </w:rPr>
        <w:t>article 279</w:t>
      </w:r>
      <w:r w:rsidR="00D60A11" w:rsidRPr="00EA05B3">
        <w:rPr>
          <w:rStyle w:val="FootnoteReference"/>
          <w:lang w:val="fr-FR"/>
        </w:rPr>
        <w:footnoteReference w:id="18"/>
      </w:r>
      <w:r w:rsidR="00D60A11" w:rsidRPr="00EA05B3">
        <w:rPr>
          <w:lang w:val="fr-FR"/>
        </w:rPr>
        <w:t xml:space="preserve">. Il comporte le Conseil national de la planification, les conseils sectoriels de politique publique du pouvoir exécutif, les conseils nationaux de </w:t>
      </w:r>
      <w:r w:rsidR="009379A7" w:rsidRPr="00EA05B3">
        <w:rPr>
          <w:lang w:val="fr-FR"/>
        </w:rPr>
        <w:t>l’</w:t>
      </w:r>
      <w:r w:rsidR="00D60A11" w:rsidRPr="00EA05B3">
        <w:rPr>
          <w:lang w:val="fr-FR"/>
        </w:rPr>
        <w:t xml:space="preserve">égalité, les conseils de planification des gouvernements autonomes décentralisés, les conseils citoyens sectoriels et autres instances de participation. </w:t>
      </w:r>
    </w:p>
    <w:p w:rsidR="00D60A11" w:rsidRPr="00EA05B3" w:rsidRDefault="007E2774" w:rsidP="007E2774">
      <w:pPr>
        <w:pStyle w:val="SingleTxtG"/>
        <w:rPr>
          <w:lang w:val="fr-FR"/>
        </w:rPr>
      </w:pPr>
      <w:r w:rsidRPr="00EA05B3">
        <w:rPr>
          <w:lang w:val="fr-FR"/>
        </w:rPr>
        <w:t>30.</w:t>
      </w:r>
      <w:r w:rsidRPr="00EA05B3">
        <w:rPr>
          <w:lang w:val="fr-FR"/>
        </w:rPr>
        <w:tab/>
      </w:r>
      <w:r w:rsidR="00D60A11" w:rsidRPr="00EA05B3">
        <w:rPr>
          <w:lang w:val="fr-FR"/>
        </w:rPr>
        <w:t xml:space="preserve">Les politiques publiques sectorielles appliquent la planification nationale dans les divers secteurs </w:t>
      </w:r>
      <w:r w:rsidR="009379A7" w:rsidRPr="00EA05B3">
        <w:rPr>
          <w:lang w:val="fr-FR"/>
        </w:rPr>
        <w:t>d’</w:t>
      </w:r>
      <w:r w:rsidR="00D60A11" w:rsidRPr="00EA05B3">
        <w:rPr>
          <w:lang w:val="fr-FR"/>
        </w:rPr>
        <w:t xml:space="preserve">intervention gouvernementale. Les politiques publiques pour </w:t>
      </w:r>
      <w:r w:rsidR="009379A7" w:rsidRPr="00EA05B3">
        <w:rPr>
          <w:lang w:val="fr-FR"/>
        </w:rPr>
        <w:t>l’</w:t>
      </w:r>
      <w:r w:rsidR="00D60A11" w:rsidRPr="00EA05B3">
        <w:rPr>
          <w:lang w:val="fr-FR"/>
        </w:rPr>
        <w:t xml:space="preserve">égalité </w:t>
      </w:r>
      <w:r w:rsidR="00163C61" w:rsidRPr="00EA05B3">
        <w:rPr>
          <w:lang w:val="fr-FR"/>
        </w:rPr>
        <w:t xml:space="preserve">renforcent </w:t>
      </w:r>
      <w:r w:rsidR="00D60A11" w:rsidRPr="00EA05B3">
        <w:rPr>
          <w:lang w:val="fr-FR"/>
        </w:rPr>
        <w:t xml:space="preserve">les lignes directrices concernant </w:t>
      </w:r>
      <w:r w:rsidR="009379A7" w:rsidRPr="00EA05B3">
        <w:rPr>
          <w:lang w:val="fr-FR"/>
        </w:rPr>
        <w:t>l’</w:t>
      </w:r>
      <w:r w:rsidR="00D60A11" w:rsidRPr="00EA05B3">
        <w:rPr>
          <w:lang w:val="fr-FR"/>
        </w:rPr>
        <w:t>inclusion des femmes, des personnes handicapées, des peuples et des nationalités autochtones, des enfants, des personnes âg</w:t>
      </w:r>
      <w:r w:rsidR="00DB6EE1" w:rsidRPr="00EA05B3">
        <w:rPr>
          <w:lang w:val="fr-FR"/>
        </w:rPr>
        <w:t>é</w:t>
      </w:r>
      <w:r w:rsidR="00D60A11" w:rsidRPr="00EA05B3">
        <w:rPr>
          <w:lang w:val="fr-FR"/>
        </w:rPr>
        <w:t>es et des migrants, entre autres.</w:t>
      </w:r>
    </w:p>
    <w:p w:rsidR="00D60A11" w:rsidRPr="00EA05B3" w:rsidRDefault="007E2774" w:rsidP="007E2774">
      <w:pPr>
        <w:pStyle w:val="SingleTxtG"/>
        <w:rPr>
          <w:lang w:val="fr-FR"/>
        </w:rPr>
      </w:pPr>
      <w:r w:rsidRPr="00EA05B3">
        <w:rPr>
          <w:lang w:val="fr-FR"/>
        </w:rPr>
        <w:t>31.</w:t>
      </w:r>
      <w:r w:rsidRPr="00EA05B3">
        <w:rPr>
          <w:lang w:val="fr-FR"/>
        </w:rPr>
        <w:tab/>
      </w:r>
      <w:r w:rsidR="00D60A11" w:rsidRPr="00EA05B3">
        <w:rPr>
          <w:lang w:val="fr-FR"/>
        </w:rPr>
        <w:t xml:space="preserve">La transformation de </w:t>
      </w:r>
      <w:r w:rsidR="009379A7" w:rsidRPr="00EA05B3">
        <w:rPr>
          <w:lang w:val="fr-FR"/>
        </w:rPr>
        <w:t>l’</w:t>
      </w:r>
      <w:r w:rsidR="00D60A11" w:rsidRPr="00EA05B3">
        <w:rPr>
          <w:lang w:val="fr-FR"/>
        </w:rPr>
        <w:t xml:space="preserve">État </w:t>
      </w:r>
      <w:r w:rsidR="009379A7" w:rsidRPr="00EA05B3">
        <w:rPr>
          <w:lang w:val="fr-FR"/>
        </w:rPr>
        <w:t>s’</w:t>
      </w:r>
      <w:r w:rsidR="00D60A11" w:rsidRPr="00EA05B3">
        <w:rPr>
          <w:lang w:val="fr-FR"/>
        </w:rPr>
        <w:t xml:space="preserve">exprime par la répartition équilibrée du pouvoir </w:t>
      </w:r>
      <w:r w:rsidR="00EA5A97" w:rsidRPr="00EA05B3">
        <w:rPr>
          <w:lang w:val="fr-FR"/>
        </w:rPr>
        <w:t xml:space="preserve">au moyen </w:t>
      </w:r>
      <w:r w:rsidR="00D60A11" w:rsidRPr="00EA05B3">
        <w:rPr>
          <w:lang w:val="fr-FR"/>
        </w:rPr>
        <w:t>de processus de décentralisation, qui font partie intégrante de la démocratisation.</w:t>
      </w:r>
    </w:p>
    <w:p w:rsidR="00D60A11" w:rsidRPr="00EA05B3" w:rsidRDefault="007E2774" w:rsidP="007E2774">
      <w:pPr>
        <w:pStyle w:val="SingleTxtG"/>
        <w:rPr>
          <w:lang w:val="fr-FR"/>
        </w:rPr>
      </w:pPr>
      <w:r w:rsidRPr="00EA05B3">
        <w:rPr>
          <w:lang w:val="fr-FR"/>
        </w:rPr>
        <w:t>32.</w:t>
      </w:r>
      <w:r w:rsidRPr="00EA05B3">
        <w:rPr>
          <w:lang w:val="fr-FR"/>
        </w:rPr>
        <w:tab/>
      </w:r>
      <w:r w:rsidR="00D60A11" w:rsidRPr="00EA05B3">
        <w:rPr>
          <w:lang w:val="fr-FR"/>
        </w:rPr>
        <w:t>Le Plan national de développement 2007-2010</w:t>
      </w:r>
      <w:r w:rsidR="00D60A11" w:rsidRPr="00EA05B3">
        <w:rPr>
          <w:rStyle w:val="FootnoteReference"/>
          <w:lang w:val="fr-FR"/>
        </w:rPr>
        <w:footnoteReference w:id="19"/>
      </w:r>
      <w:r w:rsidR="00D60A11" w:rsidRPr="00EA05B3">
        <w:rPr>
          <w:lang w:val="fr-FR"/>
        </w:rPr>
        <w:t>, mis en œuvre à partir de 2007, a permis de concrétiser la proposition de changement définie par le Programme de gouvernement présenté aux citoyens lors des élections de 2006. Ce plan a été appliqué jus</w:t>
      </w:r>
      <w:r w:rsidR="009379A7" w:rsidRPr="00EA05B3">
        <w:rPr>
          <w:lang w:val="fr-FR"/>
        </w:rPr>
        <w:t>qu’</w:t>
      </w:r>
      <w:r w:rsidR="00D60A11" w:rsidRPr="00EA05B3">
        <w:rPr>
          <w:lang w:val="fr-FR"/>
        </w:rPr>
        <w:t>en 2008, date à laquelle le Plan national pour le bien-vivre 2009-2013</w:t>
      </w:r>
      <w:r w:rsidR="00D60A11" w:rsidRPr="00EA05B3">
        <w:rPr>
          <w:rStyle w:val="FootnoteReference"/>
          <w:lang w:val="fr-FR"/>
        </w:rPr>
        <w:footnoteReference w:id="20"/>
      </w:r>
      <w:r w:rsidR="00D60A11" w:rsidRPr="00EA05B3">
        <w:rPr>
          <w:lang w:val="fr-FR"/>
        </w:rPr>
        <w:t xml:space="preserve"> a pris le relais. Le Plan national pour le bien-vivre 2013-2017</w:t>
      </w:r>
      <w:r w:rsidR="00D60A11" w:rsidRPr="00EA05B3">
        <w:rPr>
          <w:rStyle w:val="FootnoteReference"/>
          <w:lang w:val="fr-FR"/>
        </w:rPr>
        <w:footnoteReference w:id="21"/>
      </w:r>
      <w:r w:rsidR="00D60A11" w:rsidRPr="00EA05B3">
        <w:rPr>
          <w:lang w:val="fr-FR"/>
        </w:rPr>
        <w:t xml:space="preserve">, troisième plan à </w:t>
      </w:r>
      <w:r w:rsidR="009379A7" w:rsidRPr="00EA05B3">
        <w:rPr>
          <w:lang w:val="fr-FR"/>
        </w:rPr>
        <w:t>l’</w:t>
      </w:r>
      <w:r w:rsidR="00D60A11" w:rsidRPr="00EA05B3">
        <w:rPr>
          <w:lang w:val="fr-FR"/>
        </w:rPr>
        <w:t xml:space="preserve">échelle nationale, est actuellement en cours. </w:t>
      </w:r>
    </w:p>
    <w:p w:rsidR="00D60A11" w:rsidRPr="00EA05B3" w:rsidRDefault="007E2774" w:rsidP="007E2774">
      <w:pPr>
        <w:pStyle w:val="SingleTxtG"/>
        <w:rPr>
          <w:lang w:val="fr-FR"/>
        </w:rPr>
      </w:pPr>
      <w:r w:rsidRPr="00EA05B3">
        <w:rPr>
          <w:lang w:val="fr-FR"/>
        </w:rPr>
        <w:t>33.</w:t>
      </w:r>
      <w:r w:rsidRPr="00EA05B3">
        <w:rPr>
          <w:lang w:val="fr-FR"/>
        </w:rPr>
        <w:tab/>
      </w:r>
      <w:r w:rsidR="00043FF2" w:rsidRPr="00EA05B3">
        <w:rPr>
          <w:lang w:val="fr-FR"/>
        </w:rPr>
        <w:t>Les objectifs du plan national</w:t>
      </w:r>
      <w:r w:rsidR="00043FF2" w:rsidRPr="00EA05B3">
        <w:rPr>
          <w:rStyle w:val="FootnoteReference"/>
          <w:lang w:val="fr-FR"/>
        </w:rPr>
        <w:footnoteReference w:id="22"/>
      </w:r>
      <w:r w:rsidR="00043FF2" w:rsidRPr="00EA05B3">
        <w:rPr>
          <w:lang w:val="fr-FR"/>
        </w:rPr>
        <w:t xml:space="preserve"> sont les suivants</w:t>
      </w:r>
      <w:r w:rsidR="00B36EE6" w:rsidRPr="00EA05B3">
        <w:rPr>
          <w:lang w:val="fr-FR"/>
        </w:rPr>
        <w:t>:</w:t>
      </w:r>
      <w:r w:rsidR="00043FF2" w:rsidRPr="00EA05B3">
        <w:rPr>
          <w:lang w:val="fr-FR"/>
        </w:rPr>
        <w:t xml:space="preserve"> </w:t>
      </w:r>
    </w:p>
    <w:p w:rsidR="00D60A11" w:rsidRPr="00EA05B3" w:rsidRDefault="00563B9D" w:rsidP="00563B9D">
      <w:pPr>
        <w:pStyle w:val="Bullet1G"/>
        <w:numPr>
          <w:ilvl w:val="0"/>
          <w:numId w:val="0"/>
        </w:numPr>
        <w:tabs>
          <w:tab w:val="left" w:pos="1701"/>
        </w:tabs>
        <w:ind w:left="1701" w:hanging="170"/>
        <w:rPr>
          <w:lang w:val="fr-FR"/>
        </w:rPr>
      </w:pPr>
      <w:r w:rsidRPr="00EA05B3">
        <w:rPr>
          <w:lang w:val="fr-FR"/>
        </w:rPr>
        <w:t>•</w:t>
      </w:r>
      <w:r w:rsidRPr="00EA05B3">
        <w:rPr>
          <w:lang w:val="fr-FR"/>
        </w:rPr>
        <w:tab/>
        <w:t xml:space="preserve">Consolider </w:t>
      </w:r>
      <w:r w:rsidR="009379A7" w:rsidRPr="00EA05B3">
        <w:rPr>
          <w:lang w:val="fr-FR"/>
        </w:rPr>
        <w:t>l’</w:t>
      </w:r>
      <w:r w:rsidRPr="00EA05B3">
        <w:rPr>
          <w:lang w:val="fr-FR"/>
        </w:rPr>
        <w:t>État démocratique et le pouvoir populaire</w:t>
      </w:r>
      <w:r w:rsidR="00F5254B" w:rsidRPr="00EA05B3">
        <w:rPr>
          <w:lang w:val="fr-FR"/>
        </w:rPr>
        <w:t xml:space="preserve">; </w:t>
      </w:r>
    </w:p>
    <w:p w:rsidR="00D60A11" w:rsidRPr="00EA05B3" w:rsidRDefault="00563B9D" w:rsidP="00563B9D">
      <w:pPr>
        <w:pStyle w:val="Bullet1G"/>
        <w:numPr>
          <w:ilvl w:val="0"/>
          <w:numId w:val="0"/>
        </w:numPr>
        <w:tabs>
          <w:tab w:val="left" w:pos="1701"/>
        </w:tabs>
        <w:ind w:left="1701" w:hanging="170"/>
        <w:rPr>
          <w:lang w:val="fr-FR"/>
        </w:rPr>
      </w:pPr>
      <w:r w:rsidRPr="00EA05B3">
        <w:rPr>
          <w:lang w:val="fr-FR"/>
        </w:rPr>
        <w:t>•</w:t>
      </w:r>
      <w:r w:rsidRPr="00EA05B3">
        <w:rPr>
          <w:lang w:val="fr-FR"/>
        </w:rPr>
        <w:tab/>
        <w:t xml:space="preserve">Favoriser </w:t>
      </w:r>
      <w:r w:rsidR="009379A7" w:rsidRPr="00EA05B3">
        <w:rPr>
          <w:lang w:val="fr-FR"/>
        </w:rPr>
        <w:t>l’</w:t>
      </w:r>
      <w:r w:rsidRPr="00EA05B3">
        <w:rPr>
          <w:lang w:val="fr-FR"/>
        </w:rPr>
        <w:t xml:space="preserve">égalité, la cohésion, </w:t>
      </w:r>
      <w:r w:rsidR="009379A7" w:rsidRPr="00EA05B3">
        <w:rPr>
          <w:lang w:val="fr-FR"/>
        </w:rPr>
        <w:t>l’</w:t>
      </w:r>
      <w:r w:rsidRPr="00EA05B3">
        <w:rPr>
          <w:lang w:val="fr-FR"/>
        </w:rPr>
        <w:t xml:space="preserve">inclusion et </w:t>
      </w:r>
      <w:r w:rsidR="009379A7" w:rsidRPr="00EA05B3">
        <w:rPr>
          <w:lang w:val="fr-FR"/>
        </w:rPr>
        <w:t>l’</w:t>
      </w:r>
      <w:r w:rsidRPr="00EA05B3">
        <w:rPr>
          <w:lang w:val="fr-FR"/>
        </w:rPr>
        <w:t>équité sociale et territoriale dans le respect de la diversité. Améliorer la qualité de vie de la population. Renforcer les capacités et les potentialités des citoyens</w:t>
      </w:r>
      <w:r w:rsidR="00F5254B" w:rsidRPr="00EA05B3">
        <w:rPr>
          <w:lang w:val="fr-FR"/>
        </w:rPr>
        <w:t>;</w:t>
      </w:r>
    </w:p>
    <w:p w:rsidR="00D60A11" w:rsidRPr="00EA05B3" w:rsidRDefault="00563B9D" w:rsidP="00563B9D">
      <w:pPr>
        <w:pStyle w:val="Bullet1G"/>
        <w:numPr>
          <w:ilvl w:val="0"/>
          <w:numId w:val="0"/>
        </w:numPr>
        <w:tabs>
          <w:tab w:val="left" w:pos="1701"/>
        </w:tabs>
        <w:ind w:left="1701" w:hanging="170"/>
        <w:rPr>
          <w:lang w:val="fr-FR"/>
        </w:rPr>
      </w:pPr>
      <w:r w:rsidRPr="00EA05B3">
        <w:rPr>
          <w:lang w:val="fr-FR"/>
        </w:rPr>
        <w:t>•</w:t>
      </w:r>
      <w:r w:rsidRPr="00EA05B3">
        <w:rPr>
          <w:lang w:val="fr-FR"/>
        </w:rPr>
        <w:tab/>
        <w:t xml:space="preserve">Créer des espaces de rencontre et renforcer </w:t>
      </w:r>
      <w:r w:rsidR="009379A7" w:rsidRPr="00EA05B3">
        <w:rPr>
          <w:lang w:val="fr-FR"/>
        </w:rPr>
        <w:t>l’</w:t>
      </w:r>
      <w:r w:rsidRPr="00EA05B3">
        <w:rPr>
          <w:lang w:val="fr-FR"/>
        </w:rPr>
        <w:t xml:space="preserve">identité nationale, les identités diverses, la plurinationalité et </w:t>
      </w:r>
      <w:r w:rsidR="009379A7" w:rsidRPr="00EA05B3">
        <w:rPr>
          <w:lang w:val="fr-FR"/>
        </w:rPr>
        <w:t>l’</w:t>
      </w:r>
      <w:r w:rsidRPr="00EA05B3">
        <w:rPr>
          <w:lang w:val="fr-FR"/>
        </w:rPr>
        <w:t>interculturalité</w:t>
      </w:r>
      <w:r w:rsidR="00F5254B" w:rsidRPr="00EA05B3">
        <w:rPr>
          <w:lang w:val="fr-FR"/>
        </w:rPr>
        <w:t>;</w:t>
      </w:r>
    </w:p>
    <w:p w:rsidR="00D60A11" w:rsidRPr="00EA05B3" w:rsidRDefault="00563B9D" w:rsidP="00563B9D">
      <w:pPr>
        <w:pStyle w:val="Bullet1G"/>
        <w:numPr>
          <w:ilvl w:val="0"/>
          <w:numId w:val="0"/>
        </w:numPr>
        <w:tabs>
          <w:tab w:val="left" w:pos="1701"/>
        </w:tabs>
        <w:ind w:left="1701" w:hanging="170"/>
        <w:rPr>
          <w:lang w:val="fr-FR"/>
        </w:rPr>
      </w:pPr>
      <w:r w:rsidRPr="00EA05B3">
        <w:rPr>
          <w:lang w:val="fr-FR"/>
        </w:rPr>
        <w:t>•</w:t>
      </w:r>
      <w:r w:rsidRPr="00EA05B3">
        <w:rPr>
          <w:lang w:val="fr-FR"/>
        </w:rPr>
        <w:tab/>
        <w:t xml:space="preserve">Consolider la transformation de la justice et renforcer la sécurité globale en respectant strictement les droits de </w:t>
      </w:r>
      <w:r w:rsidR="009379A7" w:rsidRPr="00EA05B3">
        <w:rPr>
          <w:lang w:val="fr-FR"/>
        </w:rPr>
        <w:t>l’</w:t>
      </w:r>
      <w:r w:rsidRPr="00EA05B3">
        <w:rPr>
          <w:lang w:val="fr-FR"/>
        </w:rPr>
        <w:t>homme. Garantir les droits de la nature et promouvoir la durabilité territoriale et générale</w:t>
      </w:r>
      <w:r w:rsidR="00F5254B" w:rsidRPr="00EA05B3">
        <w:rPr>
          <w:lang w:val="fr-FR"/>
        </w:rPr>
        <w:t>;</w:t>
      </w:r>
    </w:p>
    <w:p w:rsidR="00D60A11" w:rsidRPr="00EA05B3" w:rsidRDefault="00563B9D" w:rsidP="00563B9D">
      <w:pPr>
        <w:pStyle w:val="Bullet1G"/>
        <w:numPr>
          <w:ilvl w:val="0"/>
          <w:numId w:val="0"/>
        </w:numPr>
        <w:tabs>
          <w:tab w:val="left" w:pos="1701"/>
        </w:tabs>
        <w:ind w:left="1701" w:hanging="170"/>
        <w:rPr>
          <w:lang w:val="fr-FR"/>
        </w:rPr>
      </w:pPr>
      <w:r w:rsidRPr="00EA05B3">
        <w:rPr>
          <w:lang w:val="fr-FR"/>
        </w:rPr>
        <w:t>•</w:t>
      </w:r>
      <w:r w:rsidRPr="00EA05B3">
        <w:rPr>
          <w:lang w:val="fr-FR"/>
        </w:rPr>
        <w:tab/>
        <w:t>Consolider de manière durable un système économique social et solidaire. Garantir la dignité du travail sous toutes ses formes</w:t>
      </w:r>
      <w:r w:rsidR="00163C61" w:rsidRPr="00EA05B3">
        <w:rPr>
          <w:lang w:val="fr-FR"/>
        </w:rPr>
        <w:t>.</w:t>
      </w:r>
      <w:r w:rsidRPr="00EA05B3">
        <w:rPr>
          <w:lang w:val="fr-FR"/>
        </w:rPr>
        <w:t xml:space="preserve"> Favoriser la transformation de </w:t>
      </w:r>
      <w:r w:rsidR="009379A7" w:rsidRPr="00EA05B3">
        <w:rPr>
          <w:lang w:val="fr-FR"/>
        </w:rPr>
        <w:t>l’</w:t>
      </w:r>
      <w:r w:rsidRPr="00EA05B3">
        <w:rPr>
          <w:lang w:val="fr-FR"/>
        </w:rPr>
        <w:t>appareil productif</w:t>
      </w:r>
      <w:r w:rsidR="00F5254B" w:rsidRPr="00EA05B3">
        <w:rPr>
          <w:lang w:val="fr-FR"/>
        </w:rPr>
        <w:t>;</w:t>
      </w:r>
    </w:p>
    <w:p w:rsidR="00D60A11" w:rsidRPr="00EA05B3" w:rsidRDefault="00563B9D" w:rsidP="00563B9D">
      <w:pPr>
        <w:pStyle w:val="Bullet1G"/>
        <w:numPr>
          <w:ilvl w:val="0"/>
          <w:numId w:val="0"/>
        </w:numPr>
        <w:tabs>
          <w:tab w:val="left" w:pos="1701"/>
        </w:tabs>
        <w:ind w:left="1701" w:hanging="170"/>
        <w:rPr>
          <w:lang w:val="fr-FR"/>
        </w:rPr>
      </w:pPr>
      <w:r w:rsidRPr="00EA05B3">
        <w:rPr>
          <w:lang w:val="fr-FR"/>
        </w:rPr>
        <w:t>•</w:t>
      </w:r>
      <w:r w:rsidRPr="00EA05B3">
        <w:rPr>
          <w:lang w:val="fr-FR"/>
        </w:rPr>
        <w:tab/>
        <w:t xml:space="preserve">Assurer la souveraineté et </w:t>
      </w:r>
      <w:r w:rsidR="009379A7" w:rsidRPr="00EA05B3">
        <w:rPr>
          <w:lang w:val="fr-FR"/>
        </w:rPr>
        <w:t>l’</w:t>
      </w:r>
      <w:r w:rsidRPr="00EA05B3">
        <w:rPr>
          <w:lang w:val="fr-FR"/>
        </w:rPr>
        <w:t>efficience des secteurs stratégiques pour la transformation industrielle et technologique</w:t>
      </w:r>
      <w:r w:rsidR="00F5254B" w:rsidRPr="00EA05B3">
        <w:rPr>
          <w:lang w:val="fr-FR"/>
        </w:rPr>
        <w:t>;</w:t>
      </w:r>
    </w:p>
    <w:p w:rsidR="00D60A11" w:rsidRPr="00EA05B3" w:rsidRDefault="00563B9D" w:rsidP="00563B9D">
      <w:pPr>
        <w:pStyle w:val="Bullet1G"/>
        <w:numPr>
          <w:ilvl w:val="0"/>
          <w:numId w:val="0"/>
        </w:numPr>
        <w:tabs>
          <w:tab w:val="left" w:pos="1701"/>
        </w:tabs>
        <w:ind w:left="1701" w:hanging="170"/>
        <w:rPr>
          <w:lang w:val="fr-FR"/>
        </w:rPr>
      </w:pPr>
      <w:r w:rsidRPr="00EA05B3">
        <w:rPr>
          <w:lang w:val="fr-FR"/>
        </w:rPr>
        <w:t>•</w:t>
      </w:r>
      <w:r w:rsidRPr="00EA05B3">
        <w:rPr>
          <w:lang w:val="fr-FR"/>
        </w:rPr>
        <w:tab/>
        <w:t xml:space="preserve">Garantir la souveraineté et la paix, développer </w:t>
      </w:r>
      <w:r w:rsidR="009379A7" w:rsidRPr="00EA05B3">
        <w:rPr>
          <w:lang w:val="fr-FR"/>
        </w:rPr>
        <w:t>l’</w:t>
      </w:r>
      <w:r w:rsidRPr="00EA05B3">
        <w:rPr>
          <w:lang w:val="fr-FR"/>
        </w:rPr>
        <w:t xml:space="preserve">insertion stratégique à </w:t>
      </w:r>
      <w:r w:rsidR="009379A7" w:rsidRPr="00EA05B3">
        <w:rPr>
          <w:lang w:val="fr-FR"/>
        </w:rPr>
        <w:t>l’</w:t>
      </w:r>
      <w:r w:rsidRPr="00EA05B3">
        <w:rPr>
          <w:lang w:val="fr-FR"/>
        </w:rPr>
        <w:t xml:space="preserve">échelon mondial et </w:t>
      </w:r>
      <w:r w:rsidR="009379A7" w:rsidRPr="00EA05B3">
        <w:rPr>
          <w:lang w:val="fr-FR"/>
        </w:rPr>
        <w:t>l’</w:t>
      </w:r>
      <w:r w:rsidRPr="00EA05B3">
        <w:rPr>
          <w:lang w:val="fr-FR"/>
        </w:rPr>
        <w:t>intégration latino-américaine.</w:t>
      </w:r>
    </w:p>
    <w:p w:rsidR="00D60A11" w:rsidRPr="00EA05B3" w:rsidRDefault="007E2774" w:rsidP="007E2774">
      <w:pPr>
        <w:pStyle w:val="SingleTxtG"/>
        <w:rPr>
          <w:lang w:val="fr-FR"/>
        </w:rPr>
      </w:pPr>
      <w:r w:rsidRPr="00EA05B3">
        <w:rPr>
          <w:lang w:val="fr-FR"/>
        </w:rPr>
        <w:t>34.</w:t>
      </w:r>
      <w:r w:rsidRPr="00EA05B3">
        <w:rPr>
          <w:lang w:val="fr-FR"/>
        </w:rPr>
        <w:tab/>
      </w:r>
      <w:r w:rsidR="00D60A11" w:rsidRPr="00EA05B3">
        <w:rPr>
          <w:lang w:val="fr-FR"/>
        </w:rPr>
        <w:t>Le nouveau pacte social équatorien comporte cinq axes fondamentaux</w:t>
      </w:r>
      <w:r w:rsidR="00B36EE6" w:rsidRPr="00EA05B3">
        <w:rPr>
          <w:lang w:val="fr-FR"/>
        </w:rPr>
        <w:t>:</w:t>
      </w:r>
    </w:p>
    <w:p w:rsidR="00D60A11" w:rsidRPr="00EA05B3" w:rsidRDefault="000748EE" w:rsidP="000748EE">
      <w:pPr>
        <w:pStyle w:val="SingleTxtG"/>
        <w:rPr>
          <w:lang w:val="fr-FR"/>
        </w:rPr>
      </w:pPr>
      <w:r w:rsidRPr="00EA05B3">
        <w:rPr>
          <w:lang w:val="fr-FR"/>
        </w:rPr>
        <w:t>35.</w:t>
      </w:r>
      <w:r w:rsidRPr="00EA05B3">
        <w:rPr>
          <w:lang w:val="fr-FR"/>
        </w:rPr>
        <w:tab/>
      </w:r>
      <w:r w:rsidR="00996F78" w:rsidRPr="00EA05B3">
        <w:rPr>
          <w:b/>
          <w:lang w:val="fr-FR"/>
        </w:rPr>
        <w:t>État constitutionnel de droit et de justice</w:t>
      </w:r>
      <w:r w:rsidR="00B36EE6" w:rsidRPr="00EA05B3">
        <w:rPr>
          <w:lang w:val="fr-FR"/>
        </w:rPr>
        <w:t>:</w:t>
      </w:r>
      <w:r w:rsidR="00996F78" w:rsidRPr="00EA05B3">
        <w:rPr>
          <w:b/>
          <w:lang w:val="fr-FR"/>
        </w:rPr>
        <w:t xml:space="preserve"> </w:t>
      </w:r>
      <w:r w:rsidR="009379A7" w:rsidRPr="00EA05B3">
        <w:rPr>
          <w:lang w:val="fr-FR"/>
        </w:rPr>
        <w:t>L’</w:t>
      </w:r>
      <w:r w:rsidR="00996F78" w:rsidRPr="00EA05B3">
        <w:rPr>
          <w:lang w:val="fr-FR"/>
        </w:rPr>
        <w:t xml:space="preserve">article </w:t>
      </w:r>
      <w:r w:rsidR="0050005C" w:rsidRPr="00EA05B3">
        <w:rPr>
          <w:lang w:val="fr-FR"/>
        </w:rPr>
        <w:t>premier</w:t>
      </w:r>
      <w:r w:rsidR="00996F78" w:rsidRPr="00EA05B3">
        <w:rPr>
          <w:lang w:val="fr-FR"/>
        </w:rPr>
        <w:t xml:space="preserve"> de la Constitution dispose que </w:t>
      </w:r>
      <w:r w:rsidR="009379A7" w:rsidRPr="00EA05B3">
        <w:rPr>
          <w:lang w:val="fr-FR"/>
        </w:rPr>
        <w:t>l’</w:t>
      </w:r>
      <w:r w:rsidR="00996F78" w:rsidRPr="00EA05B3">
        <w:rPr>
          <w:lang w:val="fr-FR"/>
        </w:rPr>
        <w:t xml:space="preserve">Équateur est un État de droit et place </w:t>
      </w:r>
      <w:r w:rsidR="009379A7" w:rsidRPr="00EA05B3">
        <w:rPr>
          <w:lang w:val="fr-FR"/>
        </w:rPr>
        <w:t>l’</w:t>
      </w:r>
      <w:r w:rsidR="00996F78" w:rsidRPr="00EA05B3">
        <w:rPr>
          <w:lang w:val="fr-FR"/>
        </w:rPr>
        <w:t xml:space="preserve">être humain au </w:t>
      </w:r>
      <w:r w:rsidR="00E25054" w:rsidRPr="00EA05B3">
        <w:rPr>
          <w:lang w:val="fr-FR"/>
        </w:rPr>
        <w:t xml:space="preserve">cœur </w:t>
      </w:r>
      <w:r w:rsidR="00996F78" w:rsidRPr="00EA05B3">
        <w:rPr>
          <w:lang w:val="fr-FR"/>
        </w:rPr>
        <w:t xml:space="preserve">de son action. De ce fait, la garantie des droits devient le principal devoir de </w:t>
      </w:r>
      <w:r w:rsidR="009379A7" w:rsidRPr="00EA05B3">
        <w:rPr>
          <w:lang w:val="fr-FR"/>
        </w:rPr>
        <w:t>l’</w:t>
      </w:r>
      <w:r w:rsidR="00996F78" w:rsidRPr="00EA05B3">
        <w:rPr>
          <w:lang w:val="fr-FR"/>
        </w:rPr>
        <w:t xml:space="preserve">État et a une importance fondamentale. </w:t>
      </w:r>
      <w:r w:rsidR="009379A7" w:rsidRPr="00EA05B3">
        <w:rPr>
          <w:lang w:val="fr-FR"/>
        </w:rPr>
        <w:t>L’</w:t>
      </w:r>
      <w:r w:rsidR="00996F78" w:rsidRPr="00EA05B3">
        <w:rPr>
          <w:lang w:val="fr-FR"/>
        </w:rPr>
        <w:t>article 11, paragraphe 9, dispose que</w:t>
      </w:r>
      <w:r w:rsidR="00B36EE6" w:rsidRPr="00EA05B3">
        <w:rPr>
          <w:lang w:val="fr-FR"/>
        </w:rPr>
        <w:t>:</w:t>
      </w:r>
      <w:r w:rsidR="00996F78" w:rsidRPr="00EA05B3">
        <w:rPr>
          <w:lang w:val="fr-FR"/>
        </w:rPr>
        <w:t xml:space="preserve"> </w:t>
      </w:r>
      <w:r w:rsidR="00B15670" w:rsidRPr="00EA05B3">
        <w:rPr>
          <w:lang w:val="fr-FR"/>
        </w:rPr>
        <w:t>«</w:t>
      </w:r>
      <w:r w:rsidR="00996F78" w:rsidRPr="00EA05B3">
        <w:rPr>
          <w:lang w:val="fr-FR"/>
        </w:rPr>
        <w:t xml:space="preserve">Le devoir le plus élevé de </w:t>
      </w:r>
      <w:r w:rsidR="009379A7" w:rsidRPr="00EA05B3">
        <w:rPr>
          <w:lang w:val="fr-FR"/>
        </w:rPr>
        <w:t>l’</w:t>
      </w:r>
      <w:r w:rsidR="00996F78" w:rsidRPr="00EA05B3">
        <w:rPr>
          <w:lang w:val="fr-FR"/>
        </w:rPr>
        <w:t>État est de respecter et de faire respecter les droits garantis par la Constitution</w:t>
      </w:r>
      <w:r w:rsidR="00B15670" w:rsidRPr="00EA05B3">
        <w:rPr>
          <w:lang w:val="fr-FR"/>
        </w:rPr>
        <w:t>»</w:t>
      </w:r>
      <w:r w:rsidR="00996F78" w:rsidRPr="00EA05B3">
        <w:rPr>
          <w:lang w:val="fr-FR"/>
        </w:rPr>
        <w:t>.</w:t>
      </w:r>
    </w:p>
    <w:p w:rsidR="00D60A11" w:rsidRPr="00EA05B3" w:rsidRDefault="000748EE" w:rsidP="000748EE">
      <w:pPr>
        <w:pStyle w:val="SingleTxtG"/>
        <w:rPr>
          <w:lang w:val="fr-FR"/>
        </w:rPr>
      </w:pPr>
      <w:r w:rsidRPr="00EA05B3">
        <w:rPr>
          <w:lang w:val="fr-FR"/>
        </w:rPr>
        <w:t>36.</w:t>
      </w:r>
      <w:r w:rsidRPr="00EA05B3">
        <w:rPr>
          <w:lang w:val="fr-FR"/>
        </w:rPr>
        <w:tab/>
      </w:r>
      <w:r w:rsidR="00996F78" w:rsidRPr="00EA05B3">
        <w:rPr>
          <w:b/>
          <w:lang w:val="fr-FR"/>
        </w:rPr>
        <w:t>Transformation des institutions</w:t>
      </w:r>
      <w:r w:rsidR="00B36EE6" w:rsidRPr="00EA05B3">
        <w:rPr>
          <w:lang w:val="fr-FR"/>
        </w:rPr>
        <w:t>:</w:t>
      </w:r>
      <w:r w:rsidR="00996F78" w:rsidRPr="00EA05B3">
        <w:rPr>
          <w:b/>
          <w:lang w:val="fr-FR"/>
        </w:rPr>
        <w:t xml:space="preserve"> </w:t>
      </w:r>
      <w:r w:rsidR="009379A7" w:rsidRPr="00EA05B3">
        <w:rPr>
          <w:lang w:val="fr-FR"/>
        </w:rPr>
        <w:t>L’</w:t>
      </w:r>
      <w:r w:rsidR="00996F78" w:rsidRPr="00EA05B3">
        <w:rPr>
          <w:lang w:val="fr-FR"/>
        </w:rPr>
        <w:t xml:space="preserve">action publique joue un rôle fondamental dans la réalisation effective des droits constitutionnels. De la même manière, les organes publics dotés </w:t>
      </w:r>
      <w:r w:rsidR="009379A7" w:rsidRPr="00EA05B3">
        <w:rPr>
          <w:lang w:val="fr-FR"/>
        </w:rPr>
        <w:t>d’</w:t>
      </w:r>
      <w:r w:rsidR="00996F78" w:rsidRPr="00EA05B3">
        <w:rPr>
          <w:lang w:val="fr-FR"/>
        </w:rPr>
        <w:t xml:space="preserve">un pouvoir législatif ou normatif exercent ce pouvoir en respectant les droits de </w:t>
      </w:r>
      <w:r w:rsidR="009379A7" w:rsidRPr="00EA05B3">
        <w:rPr>
          <w:lang w:val="fr-FR"/>
        </w:rPr>
        <w:t>l’</w:t>
      </w:r>
      <w:r w:rsidR="00996F78" w:rsidRPr="00EA05B3">
        <w:rPr>
          <w:lang w:val="fr-FR"/>
        </w:rPr>
        <w:t xml:space="preserve">homme consacrés par la Constitution et les traités internationaux. </w:t>
      </w:r>
    </w:p>
    <w:p w:rsidR="00D60A11" w:rsidRPr="00EA05B3" w:rsidRDefault="000748EE" w:rsidP="000748EE">
      <w:pPr>
        <w:pStyle w:val="SingleTxtG"/>
        <w:rPr>
          <w:lang w:val="fr-FR"/>
        </w:rPr>
      </w:pPr>
      <w:r w:rsidRPr="00EA05B3">
        <w:rPr>
          <w:lang w:val="fr-FR"/>
        </w:rPr>
        <w:t>37.</w:t>
      </w:r>
      <w:r w:rsidRPr="00EA05B3">
        <w:rPr>
          <w:lang w:val="fr-FR"/>
        </w:rPr>
        <w:tab/>
      </w:r>
      <w:r w:rsidR="00996F78" w:rsidRPr="00EA05B3">
        <w:rPr>
          <w:b/>
          <w:lang w:val="fr-FR"/>
        </w:rPr>
        <w:t xml:space="preserve">Système économique et régime </w:t>
      </w:r>
      <w:r w:rsidR="009379A7" w:rsidRPr="00EA05B3">
        <w:rPr>
          <w:b/>
          <w:lang w:val="fr-FR"/>
        </w:rPr>
        <w:t>d’</w:t>
      </w:r>
      <w:r w:rsidR="00996F78" w:rsidRPr="00EA05B3">
        <w:rPr>
          <w:b/>
          <w:lang w:val="fr-FR"/>
        </w:rPr>
        <w:t>accumulation sociale et solidaire</w:t>
      </w:r>
      <w:r w:rsidR="00B36EE6" w:rsidRPr="00EA05B3">
        <w:rPr>
          <w:lang w:val="fr-FR"/>
        </w:rPr>
        <w:t>:</w:t>
      </w:r>
      <w:r w:rsidR="00996F78" w:rsidRPr="00EA05B3">
        <w:rPr>
          <w:b/>
          <w:lang w:val="fr-FR"/>
        </w:rPr>
        <w:t xml:space="preserve"> </w:t>
      </w:r>
      <w:r w:rsidR="00996F78" w:rsidRPr="00EA05B3">
        <w:rPr>
          <w:lang w:val="fr-FR"/>
        </w:rPr>
        <w:t xml:space="preserve">La Constitution de 2008 réaffirme la supériorité de </w:t>
      </w:r>
      <w:r w:rsidR="009379A7" w:rsidRPr="00EA05B3">
        <w:rPr>
          <w:lang w:val="fr-FR"/>
        </w:rPr>
        <w:t>l’</w:t>
      </w:r>
      <w:r w:rsidR="00996F78" w:rsidRPr="00EA05B3">
        <w:rPr>
          <w:lang w:val="fr-FR"/>
        </w:rPr>
        <w:t xml:space="preserve">être humain sur le capital et met en place un système économique social et solidaire. Il </w:t>
      </w:r>
      <w:r w:rsidR="009379A7" w:rsidRPr="00EA05B3">
        <w:rPr>
          <w:lang w:val="fr-FR"/>
        </w:rPr>
        <w:t>s’</w:t>
      </w:r>
      <w:r w:rsidR="00996F78" w:rsidRPr="00EA05B3">
        <w:rPr>
          <w:lang w:val="fr-FR"/>
        </w:rPr>
        <w:t xml:space="preserve">agit </w:t>
      </w:r>
      <w:r w:rsidR="009379A7" w:rsidRPr="00EA05B3">
        <w:rPr>
          <w:lang w:val="fr-FR"/>
        </w:rPr>
        <w:t>d’</w:t>
      </w:r>
      <w:r w:rsidR="00996F78" w:rsidRPr="00EA05B3">
        <w:rPr>
          <w:lang w:val="fr-FR"/>
        </w:rPr>
        <w:t xml:space="preserve">un modèle qui vise à satisfaire les besoins humains en </w:t>
      </w:r>
      <w:r w:rsidR="009379A7" w:rsidRPr="00EA05B3">
        <w:rPr>
          <w:lang w:val="fr-FR"/>
        </w:rPr>
        <w:t>s’</w:t>
      </w:r>
      <w:r w:rsidR="00996F78" w:rsidRPr="00EA05B3">
        <w:rPr>
          <w:lang w:val="fr-FR"/>
        </w:rPr>
        <w:t>appuyant sur la connaissance, la science et la technologie et en respectant la nature.</w:t>
      </w:r>
    </w:p>
    <w:p w:rsidR="00D60A11" w:rsidRPr="00EA05B3" w:rsidRDefault="000748EE" w:rsidP="000748EE">
      <w:pPr>
        <w:pStyle w:val="SingleTxtG"/>
        <w:rPr>
          <w:lang w:val="fr-FR"/>
        </w:rPr>
      </w:pPr>
      <w:r w:rsidRPr="00EA05B3">
        <w:rPr>
          <w:lang w:val="fr-FR"/>
        </w:rPr>
        <w:t>38.</w:t>
      </w:r>
      <w:r w:rsidRPr="00EA05B3">
        <w:rPr>
          <w:lang w:val="fr-FR"/>
        </w:rPr>
        <w:tab/>
      </w:r>
      <w:r w:rsidR="00996F78" w:rsidRPr="00EA05B3">
        <w:rPr>
          <w:b/>
          <w:lang w:val="fr-FR"/>
        </w:rPr>
        <w:t>Équité territoriale</w:t>
      </w:r>
      <w:r w:rsidR="00B36EE6" w:rsidRPr="00EA05B3">
        <w:rPr>
          <w:lang w:val="fr-FR"/>
        </w:rPr>
        <w:t>:</w:t>
      </w:r>
      <w:r w:rsidR="00996F78" w:rsidRPr="00EA05B3">
        <w:rPr>
          <w:b/>
          <w:lang w:val="fr-FR"/>
        </w:rPr>
        <w:t xml:space="preserve"> </w:t>
      </w:r>
      <w:r w:rsidR="00996F78" w:rsidRPr="00EA05B3">
        <w:rPr>
          <w:lang w:val="fr-FR"/>
        </w:rPr>
        <w:t xml:space="preserve">Pour garantir les droits, il est nécessaire de disposer de services publics de qualité mais aussi de définir des politiques publiques permettant </w:t>
      </w:r>
      <w:r w:rsidR="009379A7" w:rsidRPr="00EA05B3">
        <w:rPr>
          <w:lang w:val="fr-FR"/>
        </w:rPr>
        <w:t>d’</w:t>
      </w:r>
      <w:r w:rsidR="00996F78" w:rsidRPr="00EA05B3">
        <w:rPr>
          <w:lang w:val="fr-FR"/>
        </w:rPr>
        <w:t xml:space="preserve">assurer les conditions de </w:t>
      </w:r>
      <w:r w:rsidR="009379A7" w:rsidRPr="00EA05B3">
        <w:rPr>
          <w:lang w:val="fr-FR"/>
        </w:rPr>
        <w:t>l’</w:t>
      </w:r>
      <w:r w:rsidR="00996F78" w:rsidRPr="00EA05B3">
        <w:rPr>
          <w:lang w:val="fr-FR"/>
        </w:rPr>
        <w:t xml:space="preserve">équité territoriale. À cette fin, la Constitution porte création </w:t>
      </w:r>
      <w:r w:rsidR="009379A7" w:rsidRPr="00EA05B3">
        <w:rPr>
          <w:lang w:val="fr-FR"/>
        </w:rPr>
        <w:t>d’</w:t>
      </w:r>
      <w:r w:rsidR="00996F78" w:rsidRPr="00EA05B3">
        <w:rPr>
          <w:lang w:val="fr-FR"/>
        </w:rPr>
        <w:t xml:space="preserve">un Système national de compétences qui organise </w:t>
      </w:r>
      <w:r w:rsidR="009379A7" w:rsidRPr="00EA05B3">
        <w:rPr>
          <w:lang w:val="fr-FR"/>
        </w:rPr>
        <w:t>l’</w:t>
      </w:r>
      <w:r w:rsidR="00996F78" w:rsidRPr="00EA05B3">
        <w:rPr>
          <w:lang w:val="fr-FR"/>
        </w:rPr>
        <w:t xml:space="preserve">exercice des compétences des divers niveaux de gouvernement, en reconnaissant </w:t>
      </w:r>
      <w:r w:rsidR="009379A7" w:rsidRPr="00EA05B3">
        <w:rPr>
          <w:lang w:val="fr-FR"/>
        </w:rPr>
        <w:t>l’</w:t>
      </w:r>
      <w:r w:rsidR="00996F78" w:rsidRPr="00EA05B3">
        <w:rPr>
          <w:lang w:val="fr-FR"/>
        </w:rPr>
        <w:t xml:space="preserve">autonomie politique, administrative et financière des gouvernements autonomes décentralisés, dans le cadre </w:t>
      </w:r>
      <w:r w:rsidR="009379A7" w:rsidRPr="00EA05B3">
        <w:rPr>
          <w:lang w:val="fr-FR"/>
        </w:rPr>
        <w:t>d’</w:t>
      </w:r>
      <w:r w:rsidR="00996F78" w:rsidRPr="00EA05B3">
        <w:rPr>
          <w:lang w:val="fr-FR"/>
        </w:rPr>
        <w:t xml:space="preserve">un État unitaire et décentralisé, et en respectant les principes de solidarité, de subsidiarité, </w:t>
      </w:r>
      <w:r w:rsidR="009379A7" w:rsidRPr="00EA05B3">
        <w:rPr>
          <w:lang w:val="fr-FR"/>
        </w:rPr>
        <w:t>d’</w:t>
      </w:r>
      <w:r w:rsidR="00996F78" w:rsidRPr="00EA05B3">
        <w:rPr>
          <w:lang w:val="fr-FR"/>
        </w:rPr>
        <w:t xml:space="preserve">équité </w:t>
      </w:r>
      <w:r w:rsidR="00822B6B" w:rsidRPr="00EA05B3">
        <w:rPr>
          <w:lang w:val="fr-FR"/>
        </w:rPr>
        <w:t>interterritoriale</w:t>
      </w:r>
      <w:r w:rsidR="00996F78" w:rsidRPr="00EA05B3">
        <w:rPr>
          <w:lang w:val="fr-FR"/>
        </w:rPr>
        <w:t xml:space="preserve">, </w:t>
      </w:r>
      <w:r w:rsidR="009379A7" w:rsidRPr="00EA05B3">
        <w:rPr>
          <w:lang w:val="fr-FR"/>
        </w:rPr>
        <w:t>d’</w:t>
      </w:r>
      <w:r w:rsidR="00996F78" w:rsidRPr="00EA05B3">
        <w:rPr>
          <w:lang w:val="fr-FR"/>
        </w:rPr>
        <w:t xml:space="preserve">intégration et de participation citoyenne. </w:t>
      </w:r>
    </w:p>
    <w:p w:rsidR="00D60A11" w:rsidRPr="00EA05B3" w:rsidRDefault="000748EE" w:rsidP="000748EE">
      <w:pPr>
        <w:pStyle w:val="SingleTxtG"/>
        <w:rPr>
          <w:lang w:val="fr-FR"/>
        </w:rPr>
      </w:pPr>
      <w:r w:rsidRPr="00EA05B3">
        <w:rPr>
          <w:lang w:val="fr-FR"/>
        </w:rPr>
        <w:t>39.</w:t>
      </w:r>
      <w:r w:rsidRPr="00EA05B3">
        <w:rPr>
          <w:lang w:val="fr-FR"/>
        </w:rPr>
        <w:tab/>
      </w:r>
      <w:r w:rsidR="006834FF" w:rsidRPr="00EA05B3">
        <w:rPr>
          <w:b/>
          <w:lang w:val="fr-FR"/>
        </w:rPr>
        <w:t xml:space="preserve">Souverainetés </w:t>
      </w:r>
      <w:r w:rsidR="00996F78" w:rsidRPr="00EA05B3">
        <w:rPr>
          <w:b/>
          <w:lang w:val="fr-FR"/>
        </w:rPr>
        <w:t>plurielles</w:t>
      </w:r>
      <w:r w:rsidR="00B36EE6" w:rsidRPr="00EA05B3">
        <w:rPr>
          <w:lang w:val="fr-FR"/>
        </w:rPr>
        <w:t>:</w:t>
      </w:r>
      <w:r w:rsidR="00996F78" w:rsidRPr="00EA05B3">
        <w:rPr>
          <w:lang w:val="fr-FR"/>
        </w:rPr>
        <w:t xml:space="preserve"> La nouvelle Constitution dispose que les relations internationales du pays doivent défendre les</w:t>
      </w:r>
      <w:r w:rsidR="000D57A5" w:rsidRPr="00EA05B3">
        <w:rPr>
          <w:lang w:val="fr-FR"/>
        </w:rPr>
        <w:t xml:space="preserve"> </w:t>
      </w:r>
      <w:r w:rsidR="00996F78" w:rsidRPr="00EA05B3">
        <w:rPr>
          <w:lang w:val="fr-FR"/>
        </w:rPr>
        <w:t xml:space="preserve">intérêts du peuple équatorien, auquel des comptes sur </w:t>
      </w:r>
      <w:r w:rsidR="009379A7" w:rsidRPr="00EA05B3">
        <w:rPr>
          <w:lang w:val="fr-FR"/>
        </w:rPr>
        <w:t>l’</w:t>
      </w:r>
      <w:r w:rsidR="00996F78" w:rsidRPr="00EA05B3">
        <w:rPr>
          <w:lang w:val="fr-FR"/>
        </w:rPr>
        <w:t xml:space="preserve">action menée doivent être rendus. Elle condamne toute forme </w:t>
      </w:r>
      <w:r w:rsidR="009379A7" w:rsidRPr="00EA05B3">
        <w:rPr>
          <w:lang w:val="fr-FR"/>
        </w:rPr>
        <w:t>d’</w:t>
      </w:r>
      <w:r w:rsidR="00996F78" w:rsidRPr="00EA05B3">
        <w:rPr>
          <w:lang w:val="fr-FR"/>
        </w:rPr>
        <w:t xml:space="preserve">impérialisme, de colonialisme et de néocolonialisme et reconnaît le droit des peuples à résister à toute forme </w:t>
      </w:r>
      <w:r w:rsidR="009379A7" w:rsidRPr="00EA05B3">
        <w:rPr>
          <w:lang w:val="fr-FR"/>
        </w:rPr>
        <w:t>d’</w:t>
      </w:r>
      <w:r w:rsidR="00996F78" w:rsidRPr="00EA05B3">
        <w:rPr>
          <w:lang w:val="fr-FR"/>
        </w:rPr>
        <w:t xml:space="preserve">oppression et à </w:t>
      </w:r>
      <w:r w:rsidR="009379A7" w:rsidRPr="00EA05B3">
        <w:rPr>
          <w:lang w:val="fr-FR"/>
        </w:rPr>
        <w:t>s’</w:t>
      </w:r>
      <w:r w:rsidR="00996F78" w:rsidRPr="00EA05B3">
        <w:rPr>
          <w:lang w:val="fr-FR"/>
        </w:rPr>
        <w:t>en libérer.</w:t>
      </w:r>
    </w:p>
    <w:p w:rsidR="00D60A11" w:rsidRPr="00EA05B3" w:rsidRDefault="000748EE" w:rsidP="000748EE">
      <w:pPr>
        <w:pStyle w:val="SingleTxtG"/>
        <w:rPr>
          <w:i/>
          <w:iCs/>
          <w:lang w:val="fr-FR"/>
        </w:rPr>
      </w:pPr>
      <w:r w:rsidRPr="00EA05B3">
        <w:rPr>
          <w:lang w:val="fr-FR"/>
        </w:rPr>
        <w:t>40.</w:t>
      </w:r>
      <w:r w:rsidRPr="00EA05B3">
        <w:rPr>
          <w:lang w:val="fr-FR"/>
        </w:rPr>
        <w:tab/>
      </w:r>
      <w:r w:rsidR="00D60A11" w:rsidRPr="00EA05B3">
        <w:rPr>
          <w:lang w:val="fr-FR"/>
        </w:rPr>
        <w:t xml:space="preserve">Enfin, il convient de souligner </w:t>
      </w:r>
      <w:r w:rsidR="009379A7" w:rsidRPr="00EA05B3">
        <w:rPr>
          <w:lang w:val="fr-FR"/>
        </w:rPr>
        <w:t>qu’</w:t>
      </w:r>
      <w:r w:rsidR="00163C61" w:rsidRPr="00EA05B3">
        <w:rPr>
          <w:lang w:val="fr-FR"/>
        </w:rPr>
        <w:t xml:space="preserve">en </w:t>
      </w:r>
      <w:r w:rsidR="00E25054" w:rsidRPr="00EA05B3">
        <w:rPr>
          <w:lang w:val="fr-FR"/>
        </w:rPr>
        <w:t>ce qui concerne l</w:t>
      </w:r>
      <w:r w:rsidR="00163C61" w:rsidRPr="00EA05B3">
        <w:rPr>
          <w:lang w:val="fr-FR"/>
        </w:rPr>
        <w:t>’indice de développement humain du Programme des Nations Unies pour le développement (PNUD),</w:t>
      </w:r>
      <w:r w:rsidR="00AD4AA1" w:rsidRPr="00EA05B3">
        <w:rPr>
          <w:lang w:val="fr-FR"/>
        </w:rPr>
        <w:t xml:space="preserve"> en 2011</w:t>
      </w:r>
      <w:r w:rsidR="00E25054" w:rsidRPr="00EA05B3">
        <w:rPr>
          <w:lang w:val="fr-FR"/>
        </w:rPr>
        <w:t>,</w:t>
      </w:r>
      <w:r w:rsidR="00163C61" w:rsidRPr="00EA05B3">
        <w:rPr>
          <w:lang w:val="fr-FR"/>
        </w:rPr>
        <w:t xml:space="preserve"> </w:t>
      </w:r>
      <w:r w:rsidR="009379A7" w:rsidRPr="00EA05B3">
        <w:rPr>
          <w:lang w:val="fr-FR"/>
        </w:rPr>
        <w:t>l’</w:t>
      </w:r>
      <w:r w:rsidR="00D60A11" w:rsidRPr="00EA05B3">
        <w:rPr>
          <w:lang w:val="fr-FR"/>
        </w:rPr>
        <w:t xml:space="preserve">Équateur occupait </w:t>
      </w:r>
      <w:r w:rsidR="00AD4AA1" w:rsidRPr="00EA05B3">
        <w:rPr>
          <w:lang w:val="fr-FR"/>
        </w:rPr>
        <w:t xml:space="preserve">le </w:t>
      </w:r>
      <w:r w:rsidR="00D60A11" w:rsidRPr="00EA05B3">
        <w:rPr>
          <w:lang w:val="fr-FR"/>
        </w:rPr>
        <w:t>83</w:t>
      </w:r>
      <w:r w:rsidR="00D60A11" w:rsidRPr="00EA05B3">
        <w:rPr>
          <w:vertAlign w:val="superscript"/>
          <w:lang w:val="fr-FR"/>
        </w:rPr>
        <w:t>e</w:t>
      </w:r>
      <w:r w:rsidR="00F5254B" w:rsidRPr="00EA05B3">
        <w:rPr>
          <w:lang w:val="fr-FR"/>
        </w:rPr>
        <w:t xml:space="preserve"> </w:t>
      </w:r>
      <w:r w:rsidR="00AD4AA1" w:rsidRPr="00EA05B3">
        <w:rPr>
          <w:lang w:val="fr-FR"/>
        </w:rPr>
        <w:t xml:space="preserve">rang mondial </w:t>
      </w:r>
      <w:r w:rsidR="00D60A11" w:rsidRPr="00EA05B3">
        <w:rPr>
          <w:lang w:val="fr-FR"/>
        </w:rPr>
        <w:t>sur 187 pays.</w:t>
      </w:r>
      <w:r w:rsidR="000D57A5" w:rsidRPr="00EA05B3">
        <w:rPr>
          <w:lang w:val="fr-FR"/>
        </w:rPr>
        <w:t xml:space="preserve"> </w:t>
      </w:r>
      <w:r w:rsidR="00D60A11" w:rsidRPr="00EA05B3">
        <w:rPr>
          <w:lang w:val="fr-FR"/>
        </w:rPr>
        <w:t xml:space="preserve">Le revenu par habitant de </w:t>
      </w:r>
      <w:r w:rsidR="009379A7" w:rsidRPr="00EA05B3">
        <w:rPr>
          <w:lang w:val="fr-FR"/>
        </w:rPr>
        <w:t>l’</w:t>
      </w:r>
      <w:r w:rsidR="00D60A11" w:rsidRPr="00EA05B3">
        <w:rPr>
          <w:lang w:val="fr-FR"/>
        </w:rPr>
        <w:t xml:space="preserve">Équateur demeurait inférieur à la moyenne </w:t>
      </w:r>
      <w:r w:rsidR="00822B6B" w:rsidRPr="00EA05B3">
        <w:rPr>
          <w:lang w:val="fr-FR"/>
        </w:rPr>
        <w:t>latino-américaine</w:t>
      </w:r>
      <w:r w:rsidR="00D60A11" w:rsidRPr="00EA05B3">
        <w:rPr>
          <w:lang w:val="fr-FR"/>
        </w:rPr>
        <w:t xml:space="preserve">, la pauvreté </w:t>
      </w:r>
      <w:r w:rsidR="00E25054" w:rsidRPr="00EA05B3">
        <w:rPr>
          <w:lang w:val="fr-FR"/>
        </w:rPr>
        <w:t xml:space="preserve">touchait </w:t>
      </w:r>
      <w:r w:rsidR="00D60A11" w:rsidRPr="00EA05B3">
        <w:rPr>
          <w:lang w:val="fr-FR"/>
        </w:rPr>
        <w:t>35</w:t>
      </w:r>
      <w:r w:rsidR="009379A7" w:rsidRPr="00EA05B3">
        <w:rPr>
          <w:lang w:val="fr-FR"/>
        </w:rPr>
        <w:t> %</w:t>
      </w:r>
      <w:r w:rsidR="00D60A11" w:rsidRPr="00EA05B3">
        <w:rPr>
          <w:lang w:val="fr-FR"/>
        </w:rPr>
        <w:t xml:space="preserve"> de la population et le coefficient de Gini, qui mesure les inégalités sociales, était de 0,495 en 2010, ce qui dans le contexte international est considéré comme une valeur élevée. </w:t>
      </w:r>
    </w:p>
    <w:p w:rsidR="00D60A11" w:rsidRPr="00EA05B3" w:rsidRDefault="00301DCD" w:rsidP="00301DCD">
      <w:pPr>
        <w:pStyle w:val="H1G"/>
        <w:rPr>
          <w:lang w:val="fr-FR"/>
        </w:rPr>
      </w:pPr>
      <w:bookmarkStart w:id="3" w:name="_Toc392676778"/>
      <w:r w:rsidRPr="00EA05B3">
        <w:rPr>
          <w:lang w:val="fr-FR"/>
        </w:rPr>
        <w:tab/>
        <w:t>A.</w:t>
      </w:r>
      <w:r w:rsidRPr="00EA05B3">
        <w:rPr>
          <w:lang w:val="fr-FR"/>
        </w:rPr>
        <w:tab/>
        <w:t xml:space="preserve">Droit à </w:t>
      </w:r>
      <w:r w:rsidR="009379A7" w:rsidRPr="00EA05B3">
        <w:rPr>
          <w:lang w:val="fr-FR"/>
        </w:rPr>
        <w:t>l’</w:t>
      </w:r>
      <w:r w:rsidRPr="00EA05B3">
        <w:rPr>
          <w:lang w:val="fr-FR"/>
        </w:rPr>
        <w:t>éducation</w:t>
      </w:r>
      <w:bookmarkEnd w:id="3"/>
    </w:p>
    <w:p w:rsidR="00D60A11" w:rsidRPr="00EA05B3" w:rsidRDefault="000748EE" w:rsidP="000748EE">
      <w:pPr>
        <w:pStyle w:val="SingleTxtG"/>
        <w:rPr>
          <w:lang w:val="fr-FR"/>
        </w:rPr>
      </w:pPr>
      <w:r w:rsidRPr="00EA05B3">
        <w:rPr>
          <w:lang w:val="fr-FR"/>
        </w:rPr>
        <w:t>41.</w:t>
      </w:r>
      <w:r w:rsidRPr="00EA05B3">
        <w:rPr>
          <w:lang w:val="fr-FR"/>
        </w:rPr>
        <w:tab/>
      </w:r>
      <w:r w:rsidR="009379A7" w:rsidRPr="00EA05B3">
        <w:rPr>
          <w:lang w:val="fr-FR"/>
        </w:rPr>
        <w:t>L’</w:t>
      </w:r>
      <w:r w:rsidR="00D60A11" w:rsidRPr="00EA05B3">
        <w:rPr>
          <w:lang w:val="fr-FR"/>
        </w:rPr>
        <w:t xml:space="preserve">augmentation de la couverture éducative, notamment en ce qui concerne </w:t>
      </w:r>
      <w:r w:rsidR="009379A7" w:rsidRPr="00EA05B3">
        <w:rPr>
          <w:lang w:val="fr-FR"/>
        </w:rPr>
        <w:t>l’</w:t>
      </w:r>
      <w:r w:rsidR="00D60A11" w:rsidRPr="00EA05B3">
        <w:rPr>
          <w:lang w:val="fr-FR"/>
        </w:rPr>
        <w:t>enseignement secondaire, figure parmi les progrès les plus importants accomplis ces sept dernières années. Le taux net de scolarisation dans le secondaire est passé de 46</w:t>
      </w:r>
      <w:r w:rsidR="009379A7" w:rsidRPr="00EA05B3">
        <w:rPr>
          <w:lang w:val="fr-FR"/>
        </w:rPr>
        <w:t> %</w:t>
      </w:r>
      <w:r w:rsidR="00D60A11" w:rsidRPr="00EA05B3">
        <w:rPr>
          <w:lang w:val="fr-FR"/>
        </w:rPr>
        <w:t xml:space="preserve"> en 2001 à 71</w:t>
      </w:r>
      <w:r w:rsidR="009379A7" w:rsidRPr="00EA05B3">
        <w:rPr>
          <w:lang w:val="fr-FR"/>
        </w:rPr>
        <w:t> %</w:t>
      </w:r>
      <w:r w:rsidR="00D60A11" w:rsidRPr="00EA05B3">
        <w:rPr>
          <w:lang w:val="fr-FR"/>
        </w:rPr>
        <w:t xml:space="preserve"> en 2010, alors </w:t>
      </w:r>
      <w:r w:rsidR="009379A7" w:rsidRPr="00EA05B3">
        <w:rPr>
          <w:lang w:val="fr-FR"/>
        </w:rPr>
        <w:t>qu’</w:t>
      </w:r>
      <w:r w:rsidR="00D60A11" w:rsidRPr="00EA05B3">
        <w:rPr>
          <w:lang w:val="fr-FR"/>
        </w:rPr>
        <w:t>il était resté pratiquement stable entre 1990 et 2001.</w:t>
      </w:r>
    </w:p>
    <w:p w:rsidR="00D60A11" w:rsidRPr="00EA05B3" w:rsidRDefault="000748EE" w:rsidP="000748EE">
      <w:pPr>
        <w:pStyle w:val="SingleTxtG"/>
        <w:rPr>
          <w:lang w:val="fr-FR"/>
        </w:rPr>
      </w:pPr>
      <w:r w:rsidRPr="00EA05B3">
        <w:rPr>
          <w:lang w:val="fr-FR"/>
        </w:rPr>
        <w:t>42.</w:t>
      </w:r>
      <w:r w:rsidRPr="00EA05B3">
        <w:rPr>
          <w:lang w:val="fr-FR"/>
        </w:rPr>
        <w:tab/>
      </w:r>
      <w:r w:rsidR="00D60A11" w:rsidRPr="00EA05B3">
        <w:rPr>
          <w:lang w:val="fr-FR"/>
        </w:rPr>
        <w:t xml:space="preserve">Le tableau suivant indique le pourcentage </w:t>
      </w:r>
      <w:r w:rsidR="009379A7" w:rsidRPr="00EA05B3">
        <w:rPr>
          <w:lang w:val="fr-FR"/>
        </w:rPr>
        <w:t>d’</w:t>
      </w:r>
      <w:r w:rsidR="00D60A11" w:rsidRPr="00EA05B3">
        <w:rPr>
          <w:lang w:val="fr-FR"/>
        </w:rPr>
        <w:t xml:space="preserve">enfants et </w:t>
      </w:r>
      <w:r w:rsidR="009379A7" w:rsidRPr="00EA05B3">
        <w:rPr>
          <w:lang w:val="fr-FR"/>
        </w:rPr>
        <w:t>d’</w:t>
      </w:r>
      <w:r w:rsidR="00D60A11" w:rsidRPr="00EA05B3">
        <w:rPr>
          <w:lang w:val="fr-FR"/>
        </w:rPr>
        <w:t xml:space="preserve">adolescents inscrits dans les divers types </w:t>
      </w:r>
      <w:r w:rsidR="009379A7" w:rsidRPr="00EA05B3">
        <w:rPr>
          <w:lang w:val="fr-FR"/>
        </w:rPr>
        <w:t>d’</w:t>
      </w:r>
      <w:r w:rsidR="00D60A11" w:rsidRPr="00EA05B3">
        <w:rPr>
          <w:lang w:val="fr-FR"/>
        </w:rPr>
        <w:t xml:space="preserve">établissements </w:t>
      </w:r>
      <w:r w:rsidR="009379A7" w:rsidRPr="00EA05B3">
        <w:rPr>
          <w:lang w:val="fr-FR"/>
        </w:rPr>
        <w:t>d’</w:t>
      </w:r>
      <w:r w:rsidR="00D60A11" w:rsidRPr="00EA05B3">
        <w:rPr>
          <w:lang w:val="fr-FR"/>
        </w:rPr>
        <w:t>enseignement</w:t>
      </w:r>
      <w:r w:rsidR="00B36EE6" w:rsidRPr="00EA05B3">
        <w:rPr>
          <w:lang w:val="fr-FR"/>
        </w:rPr>
        <w:t>:</w:t>
      </w:r>
      <w:r w:rsidR="00D60A11" w:rsidRPr="00EA05B3">
        <w:rPr>
          <w:lang w:val="fr-FR"/>
        </w:rPr>
        <w:t xml:space="preserve"> publics, privés et municipaux.</w:t>
      </w:r>
    </w:p>
    <w:p w:rsidR="00D60A11" w:rsidRPr="00EA05B3" w:rsidRDefault="00646BB6" w:rsidP="00172E41">
      <w:pPr>
        <w:pStyle w:val="H23G"/>
        <w:rPr>
          <w:lang w:val="fr-FR"/>
        </w:rPr>
      </w:pPr>
      <w:bookmarkStart w:id="4" w:name="_Toc392676820"/>
      <w:r w:rsidRPr="00EA05B3">
        <w:rPr>
          <w:lang w:val="fr-FR"/>
        </w:rPr>
        <w:tab/>
      </w:r>
      <w:r w:rsidRPr="00EA05B3">
        <w:rPr>
          <w:lang w:val="fr-FR"/>
        </w:rPr>
        <w:tab/>
        <w:t xml:space="preserve">Pourcentage </w:t>
      </w:r>
      <w:r w:rsidR="009379A7" w:rsidRPr="00EA05B3">
        <w:rPr>
          <w:lang w:val="fr-FR"/>
        </w:rPr>
        <w:t>d’</w:t>
      </w:r>
      <w:r w:rsidRPr="00EA05B3">
        <w:rPr>
          <w:lang w:val="fr-FR"/>
        </w:rPr>
        <w:t xml:space="preserve">enfants et </w:t>
      </w:r>
      <w:r w:rsidR="009379A7" w:rsidRPr="00EA05B3">
        <w:rPr>
          <w:lang w:val="fr-FR"/>
        </w:rPr>
        <w:t>d’</w:t>
      </w:r>
      <w:r w:rsidRPr="00EA05B3">
        <w:rPr>
          <w:lang w:val="fr-FR"/>
        </w:rPr>
        <w:t>adolescents scolarisés</w:t>
      </w:r>
      <w:bookmarkEnd w:id="4"/>
    </w:p>
    <w:tbl>
      <w:tblPr>
        <w:tblW w:w="0" w:type="auto"/>
        <w:tblInd w:w="1134" w:type="dxa"/>
        <w:tblBorders>
          <w:top w:val="single" w:sz="4" w:space="0" w:color="auto"/>
          <w:bottom w:val="single" w:sz="12" w:space="0" w:color="auto"/>
        </w:tblBorders>
        <w:tblLayout w:type="fixed"/>
        <w:tblCellMar>
          <w:left w:w="0" w:type="dxa"/>
          <w:right w:w="0" w:type="dxa"/>
        </w:tblCellMar>
        <w:tblLook w:val="04A0"/>
      </w:tblPr>
      <w:tblGrid>
        <w:gridCol w:w="2466"/>
        <w:gridCol w:w="1100"/>
        <w:gridCol w:w="1268"/>
        <w:gridCol w:w="1268"/>
        <w:gridCol w:w="1268"/>
      </w:tblGrid>
      <w:tr w:rsidR="00847929" w:rsidRPr="00EA05B3">
        <w:trPr>
          <w:cantSplit/>
          <w:tblHeader/>
        </w:trPr>
        <w:tc>
          <w:tcPr>
            <w:tcW w:w="2466" w:type="dxa"/>
            <w:tcBorders>
              <w:top w:val="single" w:sz="4" w:space="0" w:color="auto"/>
              <w:bottom w:val="single" w:sz="12" w:space="0" w:color="auto"/>
            </w:tcBorders>
            <w:shd w:val="clear" w:color="auto" w:fill="auto"/>
            <w:vAlign w:val="bottom"/>
          </w:tcPr>
          <w:p w:rsidR="00D60A11" w:rsidRPr="00EA05B3" w:rsidRDefault="00D60A11" w:rsidP="00EB276C">
            <w:pPr>
              <w:keepNext/>
              <w:spacing w:before="80" w:after="80" w:line="200" w:lineRule="exact"/>
              <w:rPr>
                <w:i/>
                <w:iCs/>
                <w:sz w:val="16"/>
                <w:lang w:val="fr-FR"/>
              </w:rPr>
            </w:pPr>
          </w:p>
        </w:tc>
        <w:tc>
          <w:tcPr>
            <w:tcW w:w="1100" w:type="dxa"/>
            <w:tcBorders>
              <w:top w:val="single" w:sz="4" w:space="0" w:color="auto"/>
              <w:bottom w:val="single" w:sz="12" w:space="0" w:color="auto"/>
            </w:tcBorders>
            <w:shd w:val="clear" w:color="auto" w:fill="auto"/>
          </w:tcPr>
          <w:p w:rsidR="00D60A11" w:rsidRPr="00EA05B3" w:rsidRDefault="00D60A11" w:rsidP="00EB276C">
            <w:pPr>
              <w:keepNext/>
              <w:spacing w:before="80" w:after="80" w:line="200" w:lineRule="exact"/>
              <w:rPr>
                <w:i/>
                <w:iCs/>
                <w:sz w:val="16"/>
                <w:lang w:val="fr-FR"/>
              </w:rPr>
            </w:pPr>
          </w:p>
        </w:tc>
        <w:tc>
          <w:tcPr>
            <w:tcW w:w="1268" w:type="dxa"/>
            <w:tcBorders>
              <w:top w:val="single" w:sz="4" w:space="0" w:color="auto"/>
              <w:bottom w:val="single" w:sz="12" w:space="0" w:color="auto"/>
            </w:tcBorders>
            <w:shd w:val="clear" w:color="auto" w:fill="auto"/>
            <w:vAlign w:val="bottom"/>
          </w:tcPr>
          <w:p w:rsidR="00D60A11" w:rsidRPr="00EA05B3" w:rsidRDefault="00D60A11" w:rsidP="00EB276C">
            <w:pPr>
              <w:keepNext/>
              <w:spacing w:before="80" w:after="80" w:line="200" w:lineRule="exact"/>
              <w:jc w:val="right"/>
              <w:rPr>
                <w:b/>
                <w:i/>
                <w:iCs/>
                <w:sz w:val="16"/>
                <w:lang w:val="fr-FR"/>
              </w:rPr>
            </w:pPr>
            <w:r w:rsidRPr="00EA05B3">
              <w:rPr>
                <w:b/>
                <w:i/>
                <w:sz w:val="16"/>
                <w:lang w:val="fr-FR"/>
              </w:rPr>
              <w:t>Total</w:t>
            </w:r>
          </w:p>
        </w:tc>
        <w:tc>
          <w:tcPr>
            <w:tcW w:w="1268" w:type="dxa"/>
            <w:tcBorders>
              <w:top w:val="single" w:sz="4" w:space="0" w:color="auto"/>
              <w:bottom w:val="single" w:sz="12" w:space="0" w:color="auto"/>
            </w:tcBorders>
            <w:shd w:val="clear" w:color="auto" w:fill="auto"/>
            <w:vAlign w:val="bottom"/>
          </w:tcPr>
          <w:p w:rsidR="00D60A11" w:rsidRPr="00EA05B3" w:rsidRDefault="00D60A11" w:rsidP="00EB276C">
            <w:pPr>
              <w:keepNext/>
              <w:spacing w:before="80" w:after="80" w:line="200" w:lineRule="exact"/>
              <w:jc w:val="right"/>
              <w:rPr>
                <w:i/>
                <w:iCs/>
                <w:sz w:val="16"/>
                <w:lang w:val="fr-FR"/>
              </w:rPr>
            </w:pPr>
            <w:r w:rsidRPr="00EA05B3">
              <w:rPr>
                <w:i/>
                <w:sz w:val="16"/>
                <w:lang w:val="fr-FR"/>
              </w:rPr>
              <w:t>Zones urbaines</w:t>
            </w:r>
          </w:p>
        </w:tc>
        <w:tc>
          <w:tcPr>
            <w:tcW w:w="1268" w:type="dxa"/>
            <w:tcBorders>
              <w:top w:val="single" w:sz="4" w:space="0" w:color="auto"/>
              <w:bottom w:val="single" w:sz="12" w:space="0" w:color="auto"/>
            </w:tcBorders>
            <w:shd w:val="clear" w:color="auto" w:fill="auto"/>
            <w:vAlign w:val="bottom"/>
          </w:tcPr>
          <w:p w:rsidR="00D60A11" w:rsidRPr="00EA05B3" w:rsidRDefault="00D60A11" w:rsidP="00EB276C">
            <w:pPr>
              <w:keepNext/>
              <w:spacing w:before="80" w:after="80" w:line="200" w:lineRule="exact"/>
              <w:jc w:val="right"/>
              <w:rPr>
                <w:i/>
                <w:iCs/>
                <w:sz w:val="16"/>
                <w:lang w:val="fr-FR"/>
              </w:rPr>
            </w:pPr>
            <w:r w:rsidRPr="00EA05B3">
              <w:rPr>
                <w:i/>
                <w:sz w:val="16"/>
                <w:lang w:val="fr-FR"/>
              </w:rPr>
              <w:t>Zones rurales</w:t>
            </w:r>
          </w:p>
        </w:tc>
      </w:tr>
      <w:tr w:rsidR="00847929" w:rsidRPr="00EA05B3">
        <w:trPr>
          <w:cantSplit/>
        </w:trPr>
        <w:tc>
          <w:tcPr>
            <w:tcW w:w="2466" w:type="dxa"/>
            <w:tcBorders>
              <w:top w:val="single" w:sz="12" w:space="0" w:color="auto"/>
            </w:tcBorders>
            <w:shd w:val="clear" w:color="auto" w:fill="auto"/>
          </w:tcPr>
          <w:p w:rsidR="00D60A11" w:rsidRPr="00EA05B3" w:rsidRDefault="00D60A11" w:rsidP="00EB276C">
            <w:pPr>
              <w:keepNext/>
              <w:spacing w:before="40" w:after="40" w:line="220" w:lineRule="exact"/>
              <w:rPr>
                <w:bCs/>
                <w:sz w:val="18"/>
                <w:lang w:val="fr-FR"/>
              </w:rPr>
            </w:pPr>
            <w:r w:rsidRPr="00EA05B3">
              <w:rPr>
                <w:sz w:val="18"/>
                <w:lang w:val="fr-FR"/>
              </w:rPr>
              <w:t>Enseignement primaire</w:t>
            </w:r>
          </w:p>
        </w:tc>
        <w:tc>
          <w:tcPr>
            <w:tcW w:w="1100" w:type="dxa"/>
            <w:tcBorders>
              <w:top w:val="single" w:sz="12" w:space="0" w:color="auto"/>
            </w:tcBorders>
            <w:shd w:val="clear" w:color="auto" w:fill="auto"/>
          </w:tcPr>
          <w:p w:rsidR="00D60A11" w:rsidRPr="00EA05B3" w:rsidRDefault="00D60A11" w:rsidP="00EB276C">
            <w:pPr>
              <w:keepNext/>
              <w:spacing w:before="40" w:after="40" w:line="220" w:lineRule="exact"/>
              <w:rPr>
                <w:sz w:val="18"/>
                <w:lang w:val="fr-FR"/>
              </w:rPr>
            </w:pPr>
          </w:p>
        </w:tc>
        <w:tc>
          <w:tcPr>
            <w:tcW w:w="1268" w:type="dxa"/>
            <w:tcBorders>
              <w:top w:val="single" w:sz="12" w:space="0" w:color="auto"/>
            </w:tcBorders>
            <w:shd w:val="clear" w:color="auto" w:fill="auto"/>
          </w:tcPr>
          <w:p w:rsidR="00D60A11" w:rsidRPr="00EA05B3" w:rsidRDefault="009C5BB8" w:rsidP="00EB276C">
            <w:pPr>
              <w:keepNext/>
              <w:spacing w:before="40" w:after="40" w:line="220" w:lineRule="exact"/>
              <w:jc w:val="right"/>
              <w:rPr>
                <w:b/>
                <w:sz w:val="18"/>
                <w:lang w:val="fr-FR"/>
              </w:rPr>
            </w:pPr>
            <w:r w:rsidRPr="00EA05B3">
              <w:rPr>
                <w:b/>
                <w:sz w:val="18"/>
                <w:lang w:val="fr-FR"/>
              </w:rPr>
              <w:t xml:space="preserve"> </w:t>
            </w:r>
          </w:p>
        </w:tc>
        <w:tc>
          <w:tcPr>
            <w:tcW w:w="1268" w:type="dxa"/>
            <w:tcBorders>
              <w:top w:val="single" w:sz="12" w:space="0" w:color="auto"/>
            </w:tcBorders>
            <w:shd w:val="clear" w:color="auto" w:fill="auto"/>
          </w:tcPr>
          <w:p w:rsidR="00D60A11" w:rsidRPr="00EA05B3" w:rsidRDefault="009C5BB8" w:rsidP="00EB276C">
            <w:pPr>
              <w:keepNext/>
              <w:spacing w:before="40" w:after="40" w:line="220" w:lineRule="exact"/>
              <w:jc w:val="right"/>
              <w:rPr>
                <w:sz w:val="18"/>
                <w:lang w:val="fr-FR"/>
              </w:rPr>
            </w:pPr>
            <w:r w:rsidRPr="00EA05B3">
              <w:rPr>
                <w:sz w:val="18"/>
                <w:lang w:val="fr-FR"/>
              </w:rPr>
              <w:t xml:space="preserve"> </w:t>
            </w:r>
          </w:p>
        </w:tc>
        <w:tc>
          <w:tcPr>
            <w:tcW w:w="1268" w:type="dxa"/>
            <w:tcBorders>
              <w:top w:val="single" w:sz="12" w:space="0" w:color="auto"/>
            </w:tcBorders>
            <w:shd w:val="clear" w:color="auto" w:fill="auto"/>
          </w:tcPr>
          <w:p w:rsidR="00D60A11" w:rsidRPr="00EA05B3" w:rsidRDefault="009C5BB8" w:rsidP="00EB276C">
            <w:pPr>
              <w:keepNext/>
              <w:spacing w:before="40" w:after="40" w:line="220" w:lineRule="exact"/>
              <w:jc w:val="right"/>
              <w:rPr>
                <w:sz w:val="18"/>
                <w:lang w:val="fr-FR"/>
              </w:rPr>
            </w:pPr>
            <w:r w:rsidRPr="00EA05B3">
              <w:rPr>
                <w:sz w:val="18"/>
                <w:lang w:val="fr-FR"/>
              </w:rPr>
              <w:t xml:space="preserve"> </w:t>
            </w:r>
          </w:p>
        </w:tc>
      </w:tr>
      <w:tr w:rsidR="00847929" w:rsidRPr="00EA05B3">
        <w:trPr>
          <w:cantSplit/>
        </w:trPr>
        <w:tc>
          <w:tcPr>
            <w:tcW w:w="2466" w:type="dxa"/>
            <w:vMerge w:val="restart"/>
            <w:shd w:val="clear" w:color="auto" w:fill="auto"/>
          </w:tcPr>
          <w:p w:rsidR="00D60A11" w:rsidRPr="00EA05B3" w:rsidRDefault="00D60A11" w:rsidP="003273A2">
            <w:pPr>
              <w:spacing w:before="40" w:after="40" w:line="220" w:lineRule="exact"/>
              <w:rPr>
                <w:sz w:val="18"/>
                <w:lang w:val="fr-FR"/>
              </w:rPr>
            </w:pPr>
            <w:r w:rsidRPr="00EA05B3">
              <w:rPr>
                <w:sz w:val="18"/>
                <w:lang w:val="fr-FR"/>
              </w:rPr>
              <w:t>Établissements publics</w:t>
            </w:r>
          </w:p>
        </w:tc>
        <w:tc>
          <w:tcPr>
            <w:tcW w:w="1100" w:type="dxa"/>
            <w:shd w:val="clear" w:color="auto" w:fill="auto"/>
          </w:tcPr>
          <w:p w:rsidR="00D60A11" w:rsidRPr="00EA05B3" w:rsidRDefault="00D60A11" w:rsidP="00EB276C">
            <w:pPr>
              <w:spacing w:before="40" w:after="40" w:line="220" w:lineRule="exact"/>
              <w:rPr>
                <w:sz w:val="18"/>
                <w:lang w:val="fr-FR"/>
              </w:rPr>
            </w:pPr>
            <w:r w:rsidRPr="00EA05B3">
              <w:rPr>
                <w:sz w:val="18"/>
                <w:lang w:val="fr-FR"/>
              </w:rPr>
              <w:t>Pourcentage</w:t>
            </w:r>
          </w:p>
        </w:tc>
        <w:tc>
          <w:tcPr>
            <w:tcW w:w="1268" w:type="dxa"/>
            <w:shd w:val="clear" w:color="auto" w:fill="auto"/>
          </w:tcPr>
          <w:p w:rsidR="00D60A11" w:rsidRPr="00EA05B3" w:rsidRDefault="00D60A11" w:rsidP="00EB276C">
            <w:pPr>
              <w:spacing w:before="40" w:after="40" w:line="220" w:lineRule="exact"/>
              <w:jc w:val="right"/>
              <w:rPr>
                <w:b/>
                <w:sz w:val="18"/>
                <w:lang w:val="fr-FR"/>
              </w:rPr>
            </w:pPr>
            <w:r w:rsidRPr="00EA05B3">
              <w:rPr>
                <w:b/>
                <w:sz w:val="18"/>
                <w:lang w:val="fr-FR"/>
              </w:rPr>
              <w:t>71,3</w:t>
            </w:r>
          </w:p>
        </w:tc>
        <w:tc>
          <w:tcPr>
            <w:tcW w:w="1268" w:type="dxa"/>
            <w:shd w:val="clear" w:color="auto" w:fill="auto"/>
          </w:tcPr>
          <w:p w:rsidR="00D60A11" w:rsidRPr="00EA05B3" w:rsidRDefault="00D60A11" w:rsidP="00EB276C">
            <w:pPr>
              <w:spacing w:before="40" w:after="40" w:line="220" w:lineRule="exact"/>
              <w:jc w:val="right"/>
              <w:rPr>
                <w:sz w:val="18"/>
                <w:lang w:val="fr-FR"/>
              </w:rPr>
            </w:pPr>
            <w:r w:rsidRPr="00EA05B3">
              <w:rPr>
                <w:sz w:val="18"/>
                <w:lang w:val="fr-FR"/>
              </w:rPr>
              <w:t>59,8</w:t>
            </w:r>
          </w:p>
        </w:tc>
        <w:tc>
          <w:tcPr>
            <w:tcW w:w="1268" w:type="dxa"/>
            <w:shd w:val="clear" w:color="auto" w:fill="auto"/>
          </w:tcPr>
          <w:p w:rsidR="00D60A11" w:rsidRPr="00EA05B3" w:rsidRDefault="00D60A11" w:rsidP="00EB276C">
            <w:pPr>
              <w:spacing w:before="40" w:after="40" w:line="220" w:lineRule="exact"/>
              <w:jc w:val="right"/>
              <w:rPr>
                <w:sz w:val="18"/>
                <w:lang w:val="fr-FR"/>
              </w:rPr>
            </w:pPr>
            <w:r w:rsidRPr="00EA05B3">
              <w:rPr>
                <w:sz w:val="18"/>
                <w:lang w:val="fr-FR"/>
              </w:rPr>
              <w:t>87,9</w:t>
            </w:r>
          </w:p>
        </w:tc>
      </w:tr>
      <w:tr w:rsidR="00847929" w:rsidRPr="00EA05B3">
        <w:trPr>
          <w:cantSplit/>
        </w:trPr>
        <w:tc>
          <w:tcPr>
            <w:tcW w:w="2466" w:type="dxa"/>
            <w:vMerge/>
            <w:shd w:val="clear" w:color="auto" w:fill="auto"/>
          </w:tcPr>
          <w:p w:rsidR="00D60A11" w:rsidRPr="00EA05B3" w:rsidRDefault="00D60A11">
            <w:pPr>
              <w:spacing w:before="40" w:after="40" w:line="220" w:lineRule="exact"/>
              <w:rPr>
                <w:sz w:val="18"/>
                <w:lang w:val="fr-FR"/>
              </w:rPr>
            </w:pPr>
          </w:p>
        </w:tc>
        <w:tc>
          <w:tcPr>
            <w:tcW w:w="1100" w:type="dxa"/>
            <w:shd w:val="clear" w:color="auto" w:fill="auto"/>
          </w:tcPr>
          <w:p w:rsidR="00D60A11" w:rsidRPr="00EA05B3" w:rsidRDefault="00D60A11" w:rsidP="00EB276C">
            <w:pPr>
              <w:spacing w:before="40" w:after="40" w:line="220" w:lineRule="exact"/>
              <w:rPr>
                <w:sz w:val="18"/>
                <w:lang w:val="fr-FR"/>
              </w:rPr>
            </w:pPr>
            <w:r w:rsidRPr="00EA05B3">
              <w:rPr>
                <w:sz w:val="18"/>
                <w:lang w:val="fr-FR"/>
              </w:rPr>
              <w:t>Population</w:t>
            </w:r>
          </w:p>
        </w:tc>
        <w:tc>
          <w:tcPr>
            <w:tcW w:w="1268" w:type="dxa"/>
            <w:shd w:val="clear" w:color="auto" w:fill="auto"/>
          </w:tcPr>
          <w:p w:rsidR="00D60A11" w:rsidRPr="00EA05B3" w:rsidRDefault="00D60A11" w:rsidP="00EB276C">
            <w:pPr>
              <w:spacing w:before="40" w:after="40" w:line="220" w:lineRule="exact"/>
              <w:jc w:val="right"/>
              <w:rPr>
                <w:b/>
                <w:sz w:val="18"/>
                <w:lang w:val="fr-FR"/>
              </w:rPr>
            </w:pPr>
            <w:r w:rsidRPr="00EA05B3">
              <w:rPr>
                <w:b/>
                <w:sz w:val="18"/>
                <w:lang w:val="fr-FR"/>
              </w:rPr>
              <w:t>1 407 201</w:t>
            </w:r>
          </w:p>
        </w:tc>
        <w:tc>
          <w:tcPr>
            <w:tcW w:w="1268" w:type="dxa"/>
            <w:shd w:val="clear" w:color="auto" w:fill="auto"/>
          </w:tcPr>
          <w:p w:rsidR="00D60A11" w:rsidRPr="00EA05B3" w:rsidRDefault="00D60A11" w:rsidP="00EB276C">
            <w:pPr>
              <w:spacing w:before="40" w:after="40" w:line="220" w:lineRule="exact"/>
              <w:jc w:val="right"/>
              <w:rPr>
                <w:sz w:val="18"/>
                <w:lang w:val="fr-FR"/>
              </w:rPr>
            </w:pPr>
            <w:r w:rsidRPr="00EA05B3">
              <w:rPr>
                <w:sz w:val="18"/>
                <w:lang w:val="fr-FR"/>
              </w:rPr>
              <w:t>692 796</w:t>
            </w:r>
          </w:p>
        </w:tc>
        <w:tc>
          <w:tcPr>
            <w:tcW w:w="1268" w:type="dxa"/>
            <w:shd w:val="clear" w:color="auto" w:fill="auto"/>
          </w:tcPr>
          <w:p w:rsidR="00D60A11" w:rsidRPr="00EA05B3" w:rsidRDefault="00D60A11" w:rsidP="00EB276C">
            <w:pPr>
              <w:spacing w:before="40" w:after="40" w:line="220" w:lineRule="exact"/>
              <w:jc w:val="right"/>
              <w:rPr>
                <w:sz w:val="18"/>
                <w:lang w:val="fr-FR"/>
              </w:rPr>
            </w:pPr>
            <w:r w:rsidRPr="00EA05B3">
              <w:rPr>
                <w:sz w:val="18"/>
                <w:lang w:val="fr-FR"/>
              </w:rPr>
              <w:t>714 406</w:t>
            </w:r>
          </w:p>
        </w:tc>
      </w:tr>
      <w:tr w:rsidR="00847929" w:rsidRPr="00EA05B3">
        <w:trPr>
          <w:cantSplit/>
        </w:trPr>
        <w:tc>
          <w:tcPr>
            <w:tcW w:w="2466" w:type="dxa"/>
            <w:vMerge w:val="restart"/>
            <w:shd w:val="clear" w:color="auto" w:fill="auto"/>
          </w:tcPr>
          <w:p w:rsidR="00D60A11" w:rsidRPr="00EA05B3" w:rsidRDefault="00D60A11" w:rsidP="003273A2">
            <w:pPr>
              <w:spacing w:before="40" w:after="40" w:line="220" w:lineRule="exact"/>
              <w:rPr>
                <w:sz w:val="18"/>
                <w:lang w:val="fr-FR"/>
              </w:rPr>
            </w:pPr>
            <w:r w:rsidRPr="00EA05B3">
              <w:rPr>
                <w:sz w:val="18"/>
                <w:lang w:val="fr-FR"/>
              </w:rPr>
              <w:t>Établissements privés</w:t>
            </w:r>
          </w:p>
        </w:tc>
        <w:tc>
          <w:tcPr>
            <w:tcW w:w="1100" w:type="dxa"/>
            <w:shd w:val="clear" w:color="auto" w:fill="auto"/>
          </w:tcPr>
          <w:p w:rsidR="00D60A11" w:rsidRPr="00EA05B3" w:rsidRDefault="00D60A11" w:rsidP="00EB276C">
            <w:pPr>
              <w:spacing w:before="40" w:after="40" w:line="220" w:lineRule="exact"/>
              <w:rPr>
                <w:sz w:val="18"/>
                <w:lang w:val="fr-FR"/>
              </w:rPr>
            </w:pPr>
            <w:r w:rsidRPr="00EA05B3">
              <w:rPr>
                <w:sz w:val="18"/>
                <w:lang w:val="fr-FR"/>
              </w:rPr>
              <w:t>Pourcentage</w:t>
            </w:r>
          </w:p>
        </w:tc>
        <w:tc>
          <w:tcPr>
            <w:tcW w:w="1268" w:type="dxa"/>
            <w:shd w:val="clear" w:color="auto" w:fill="auto"/>
          </w:tcPr>
          <w:p w:rsidR="00D60A11" w:rsidRPr="00EA05B3" w:rsidRDefault="00D60A11" w:rsidP="00EB276C">
            <w:pPr>
              <w:spacing w:before="40" w:after="40" w:line="220" w:lineRule="exact"/>
              <w:jc w:val="right"/>
              <w:rPr>
                <w:b/>
                <w:sz w:val="18"/>
                <w:lang w:val="fr-FR"/>
              </w:rPr>
            </w:pPr>
            <w:r w:rsidRPr="00EA05B3">
              <w:rPr>
                <w:b/>
                <w:sz w:val="18"/>
                <w:lang w:val="fr-FR"/>
              </w:rPr>
              <w:t>24,3</w:t>
            </w:r>
          </w:p>
        </w:tc>
        <w:tc>
          <w:tcPr>
            <w:tcW w:w="1268" w:type="dxa"/>
            <w:shd w:val="clear" w:color="auto" w:fill="auto"/>
          </w:tcPr>
          <w:p w:rsidR="00D60A11" w:rsidRPr="00EA05B3" w:rsidRDefault="00D60A11" w:rsidP="00EB276C">
            <w:pPr>
              <w:spacing w:before="40" w:after="40" w:line="220" w:lineRule="exact"/>
              <w:jc w:val="right"/>
              <w:rPr>
                <w:sz w:val="18"/>
                <w:lang w:val="fr-FR"/>
              </w:rPr>
            </w:pPr>
            <w:r w:rsidRPr="00EA05B3">
              <w:rPr>
                <w:sz w:val="18"/>
                <w:lang w:val="fr-FR"/>
              </w:rPr>
              <w:t>36,7</w:t>
            </w:r>
          </w:p>
        </w:tc>
        <w:tc>
          <w:tcPr>
            <w:tcW w:w="1268" w:type="dxa"/>
            <w:shd w:val="clear" w:color="auto" w:fill="auto"/>
          </w:tcPr>
          <w:p w:rsidR="00D60A11" w:rsidRPr="00EA05B3" w:rsidRDefault="00D60A11" w:rsidP="00EB276C">
            <w:pPr>
              <w:spacing w:before="40" w:after="40" w:line="220" w:lineRule="exact"/>
              <w:jc w:val="right"/>
              <w:rPr>
                <w:sz w:val="18"/>
                <w:lang w:val="fr-FR"/>
              </w:rPr>
            </w:pPr>
            <w:r w:rsidRPr="00EA05B3">
              <w:rPr>
                <w:sz w:val="18"/>
                <w:lang w:val="fr-FR"/>
              </w:rPr>
              <w:t>6,7</w:t>
            </w:r>
          </w:p>
        </w:tc>
      </w:tr>
      <w:tr w:rsidR="00847929" w:rsidRPr="00EA05B3">
        <w:trPr>
          <w:cantSplit/>
        </w:trPr>
        <w:tc>
          <w:tcPr>
            <w:tcW w:w="2466" w:type="dxa"/>
            <w:vMerge/>
            <w:shd w:val="clear" w:color="auto" w:fill="auto"/>
          </w:tcPr>
          <w:p w:rsidR="00D60A11" w:rsidRPr="00EA05B3" w:rsidRDefault="00D60A11">
            <w:pPr>
              <w:spacing w:before="40" w:after="40" w:line="220" w:lineRule="exact"/>
              <w:rPr>
                <w:sz w:val="18"/>
                <w:lang w:val="fr-FR"/>
              </w:rPr>
            </w:pPr>
          </w:p>
        </w:tc>
        <w:tc>
          <w:tcPr>
            <w:tcW w:w="1100" w:type="dxa"/>
            <w:shd w:val="clear" w:color="auto" w:fill="auto"/>
          </w:tcPr>
          <w:p w:rsidR="00D60A11" w:rsidRPr="00EA05B3" w:rsidRDefault="00D60A11" w:rsidP="00EB276C">
            <w:pPr>
              <w:spacing w:before="40" w:after="40" w:line="220" w:lineRule="exact"/>
              <w:rPr>
                <w:sz w:val="18"/>
                <w:lang w:val="fr-FR"/>
              </w:rPr>
            </w:pPr>
            <w:r w:rsidRPr="00EA05B3">
              <w:rPr>
                <w:sz w:val="18"/>
                <w:lang w:val="fr-FR"/>
              </w:rPr>
              <w:t>Population</w:t>
            </w:r>
          </w:p>
        </w:tc>
        <w:tc>
          <w:tcPr>
            <w:tcW w:w="1268" w:type="dxa"/>
            <w:shd w:val="clear" w:color="auto" w:fill="auto"/>
          </w:tcPr>
          <w:p w:rsidR="00D60A11" w:rsidRPr="00EA05B3" w:rsidRDefault="00D60A11" w:rsidP="00EB276C">
            <w:pPr>
              <w:spacing w:before="40" w:after="40" w:line="220" w:lineRule="exact"/>
              <w:jc w:val="right"/>
              <w:rPr>
                <w:b/>
                <w:sz w:val="18"/>
                <w:lang w:val="fr-FR"/>
              </w:rPr>
            </w:pPr>
            <w:r w:rsidRPr="00EA05B3">
              <w:rPr>
                <w:b/>
                <w:sz w:val="18"/>
                <w:lang w:val="fr-FR"/>
              </w:rPr>
              <w:t>480 023</w:t>
            </w:r>
          </w:p>
        </w:tc>
        <w:tc>
          <w:tcPr>
            <w:tcW w:w="1268" w:type="dxa"/>
            <w:shd w:val="clear" w:color="auto" w:fill="auto"/>
          </w:tcPr>
          <w:p w:rsidR="00D60A11" w:rsidRPr="00EA05B3" w:rsidRDefault="00D60A11" w:rsidP="00EB276C">
            <w:pPr>
              <w:spacing w:before="40" w:after="40" w:line="220" w:lineRule="exact"/>
              <w:jc w:val="right"/>
              <w:rPr>
                <w:sz w:val="18"/>
                <w:lang w:val="fr-FR"/>
              </w:rPr>
            </w:pPr>
            <w:r w:rsidRPr="00EA05B3">
              <w:rPr>
                <w:sz w:val="18"/>
                <w:lang w:val="fr-FR"/>
              </w:rPr>
              <w:t>425 911</w:t>
            </w:r>
          </w:p>
        </w:tc>
        <w:tc>
          <w:tcPr>
            <w:tcW w:w="1268" w:type="dxa"/>
            <w:shd w:val="clear" w:color="auto" w:fill="auto"/>
          </w:tcPr>
          <w:p w:rsidR="00D60A11" w:rsidRPr="00EA05B3" w:rsidRDefault="00D60A11" w:rsidP="00EB276C">
            <w:pPr>
              <w:spacing w:before="40" w:after="40" w:line="220" w:lineRule="exact"/>
              <w:jc w:val="right"/>
              <w:rPr>
                <w:sz w:val="18"/>
                <w:lang w:val="fr-FR"/>
              </w:rPr>
            </w:pPr>
            <w:r w:rsidRPr="00EA05B3">
              <w:rPr>
                <w:sz w:val="18"/>
                <w:lang w:val="fr-FR"/>
              </w:rPr>
              <w:t>54 113</w:t>
            </w:r>
          </w:p>
        </w:tc>
      </w:tr>
      <w:tr w:rsidR="00847929" w:rsidRPr="00EA05B3">
        <w:trPr>
          <w:cantSplit/>
        </w:trPr>
        <w:tc>
          <w:tcPr>
            <w:tcW w:w="2466" w:type="dxa"/>
            <w:vMerge w:val="restart"/>
            <w:shd w:val="clear" w:color="auto" w:fill="auto"/>
          </w:tcPr>
          <w:p w:rsidR="00D60A11" w:rsidRPr="00EA05B3" w:rsidRDefault="00D60A11" w:rsidP="003273A2">
            <w:pPr>
              <w:spacing w:before="40" w:after="40" w:line="220" w:lineRule="exact"/>
              <w:rPr>
                <w:sz w:val="18"/>
                <w:lang w:val="fr-FR"/>
              </w:rPr>
            </w:pPr>
            <w:r w:rsidRPr="00EA05B3">
              <w:rPr>
                <w:sz w:val="18"/>
                <w:lang w:val="fr-FR"/>
              </w:rPr>
              <w:t xml:space="preserve">Établissements municipaux et provinciaux, et établissements religieux financés par </w:t>
            </w:r>
            <w:r w:rsidR="009379A7" w:rsidRPr="00EA05B3">
              <w:rPr>
                <w:sz w:val="18"/>
                <w:lang w:val="fr-FR"/>
              </w:rPr>
              <w:t>l’</w:t>
            </w:r>
            <w:r w:rsidRPr="00EA05B3">
              <w:rPr>
                <w:sz w:val="18"/>
                <w:lang w:val="fr-FR"/>
              </w:rPr>
              <w:t>État</w:t>
            </w:r>
          </w:p>
        </w:tc>
        <w:tc>
          <w:tcPr>
            <w:tcW w:w="1100" w:type="dxa"/>
            <w:shd w:val="clear" w:color="auto" w:fill="auto"/>
          </w:tcPr>
          <w:p w:rsidR="00D60A11" w:rsidRPr="00EA05B3" w:rsidRDefault="00D60A11" w:rsidP="00EB276C">
            <w:pPr>
              <w:spacing w:before="40" w:after="40" w:line="220" w:lineRule="exact"/>
              <w:rPr>
                <w:sz w:val="18"/>
                <w:lang w:val="fr-FR"/>
              </w:rPr>
            </w:pPr>
            <w:r w:rsidRPr="00EA05B3">
              <w:rPr>
                <w:sz w:val="18"/>
                <w:lang w:val="fr-FR"/>
              </w:rPr>
              <w:t>Pourcentage</w:t>
            </w:r>
          </w:p>
        </w:tc>
        <w:tc>
          <w:tcPr>
            <w:tcW w:w="1268" w:type="dxa"/>
            <w:shd w:val="clear" w:color="auto" w:fill="auto"/>
          </w:tcPr>
          <w:p w:rsidR="00D60A11" w:rsidRPr="00EA05B3" w:rsidRDefault="00D60A11" w:rsidP="00EB276C">
            <w:pPr>
              <w:spacing w:before="40" w:after="40" w:line="220" w:lineRule="exact"/>
              <w:jc w:val="right"/>
              <w:rPr>
                <w:b/>
                <w:sz w:val="18"/>
                <w:lang w:val="fr-FR"/>
              </w:rPr>
            </w:pPr>
            <w:r w:rsidRPr="00EA05B3">
              <w:rPr>
                <w:b/>
                <w:sz w:val="18"/>
                <w:lang w:val="fr-FR"/>
              </w:rPr>
              <w:t>4,3</w:t>
            </w:r>
          </w:p>
        </w:tc>
        <w:tc>
          <w:tcPr>
            <w:tcW w:w="1268" w:type="dxa"/>
            <w:shd w:val="clear" w:color="auto" w:fill="auto"/>
          </w:tcPr>
          <w:p w:rsidR="00D60A11" w:rsidRPr="00EA05B3" w:rsidRDefault="00D60A11" w:rsidP="00EB276C">
            <w:pPr>
              <w:spacing w:before="40" w:after="40" w:line="220" w:lineRule="exact"/>
              <w:jc w:val="right"/>
              <w:rPr>
                <w:sz w:val="18"/>
                <w:lang w:val="fr-FR"/>
              </w:rPr>
            </w:pPr>
            <w:r w:rsidRPr="00EA05B3">
              <w:rPr>
                <w:sz w:val="18"/>
                <w:lang w:val="fr-FR"/>
              </w:rPr>
              <w:t>3,5</w:t>
            </w:r>
          </w:p>
        </w:tc>
        <w:tc>
          <w:tcPr>
            <w:tcW w:w="1268" w:type="dxa"/>
            <w:shd w:val="clear" w:color="auto" w:fill="auto"/>
          </w:tcPr>
          <w:p w:rsidR="00D60A11" w:rsidRPr="00EA05B3" w:rsidRDefault="00D60A11" w:rsidP="00EB276C">
            <w:pPr>
              <w:spacing w:before="40" w:after="40" w:line="220" w:lineRule="exact"/>
              <w:jc w:val="right"/>
              <w:rPr>
                <w:sz w:val="18"/>
                <w:lang w:val="fr-FR"/>
              </w:rPr>
            </w:pPr>
            <w:r w:rsidRPr="00EA05B3">
              <w:rPr>
                <w:sz w:val="18"/>
                <w:lang w:val="fr-FR"/>
              </w:rPr>
              <w:t>5,5</w:t>
            </w:r>
          </w:p>
        </w:tc>
      </w:tr>
      <w:tr w:rsidR="00847929" w:rsidRPr="00EA05B3">
        <w:trPr>
          <w:cantSplit/>
        </w:trPr>
        <w:tc>
          <w:tcPr>
            <w:tcW w:w="2466" w:type="dxa"/>
            <w:vMerge/>
            <w:shd w:val="clear" w:color="auto" w:fill="auto"/>
          </w:tcPr>
          <w:p w:rsidR="00D60A11" w:rsidRPr="00EA05B3" w:rsidRDefault="00D60A11">
            <w:pPr>
              <w:spacing w:before="40" w:after="40" w:line="220" w:lineRule="exact"/>
              <w:rPr>
                <w:sz w:val="18"/>
                <w:lang w:val="fr-FR"/>
              </w:rPr>
            </w:pPr>
          </w:p>
        </w:tc>
        <w:tc>
          <w:tcPr>
            <w:tcW w:w="1100" w:type="dxa"/>
            <w:shd w:val="clear" w:color="auto" w:fill="auto"/>
          </w:tcPr>
          <w:p w:rsidR="00D60A11" w:rsidRPr="00EA05B3" w:rsidRDefault="00D60A11" w:rsidP="00EB276C">
            <w:pPr>
              <w:spacing w:before="40" w:after="40" w:line="220" w:lineRule="exact"/>
              <w:rPr>
                <w:sz w:val="18"/>
                <w:lang w:val="fr-FR"/>
              </w:rPr>
            </w:pPr>
            <w:r w:rsidRPr="00EA05B3">
              <w:rPr>
                <w:sz w:val="18"/>
                <w:lang w:val="fr-FR"/>
              </w:rPr>
              <w:t>Population</w:t>
            </w:r>
          </w:p>
        </w:tc>
        <w:tc>
          <w:tcPr>
            <w:tcW w:w="1268" w:type="dxa"/>
            <w:shd w:val="clear" w:color="auto" w:fill="auto"/>
          </w:tcPr>
          <w:p w:rsidR="00D60A11" w:rsidRPr="00EA05B3" w:rsidRDefault="00D60A11" w:rsidP="00EB276C">
            <w:pPr>
              <w:spacing w:before="40" w:after="40" w:line="220" w:lineRule="exact"/>
              <w:jc w:val="right"/>
              <w:rPr>
                <w:b/>
                <w:sz w:val="18"/>
                <w:lang w:val="fr-FR"/>
              </w:rPr>
            </w:pPr>
            <w:r w:rsidRPr="00EA05B3">
              <w:rPr>
                <w:b/>
                <w:sz w:val="18"/>
                <w:lang w:val="fr-FR"/>
              </w:rPr>
              <w:t>85 397</w:t>
            </w:r>
          </w:p>
        </w:tc>
        <w:tc>
          <w:tcPr>
            <w:tcW w:w="1268" w:type="dxa"/>
            <w:shd w:val="clear" w:color="auto" w:fill="auto"/>
          </w:tcPr>
          <w:p w:rsidR="00D60A11" w:rsidRPr="00EA05B3" w:rsidRDefault="00D60A11" w:rsidP="00EB276C">
            <w:pPr>
              <w:spacing w:before="40" w:after="40" w:line="220" w:lineRule="exact"/>
              <w:jc w:val="right"/>
              <w:rPr>
                <w:sz w:val="18"/>
                <w:lang w:val="fr-FR"/>
              </w:rPr>
            </w:pPr>
            <w:r w:rsidRPr="00EA05B3">
              <w:rPr>
                <w:sz w:val="18"/>
                <w:lang w:val="fr-FR"/>
              </w:rPr>
              <w:t>40 741</w:t>
            </w:r>
          </w:p>
        </w:tc>
        <w:tc>
          <w:tcPr>
            <w:tcW w:w="1268" w:type="dxa"/>
            <w:shd w:val="clear" w:color="auto" w:fill="auto"/>
          </w:tcPr>
          <w:p w:rsidR="00D60A11" w:rsidRPr="00EA05B3" w:rsidRDefault="00D60A11" w:rsidP="00EB276C">
            <w:pPr>
              <w:spacing w:before="40" w:after="40" w:line="220" w:lineRule="exact"/>
              <w:jc w:val="right"/>
              <w:rPr>
                <w:sz w:val="18"/>
                <w:lang w:val="fr-FR"/>
              </w:rPr>
            </w:pPr>
            <w:r w:rsidRPr="00EA05B3">
              <w:rPr>
                <w:sz w:val="18"/>
                <w:lang w:val="fr-FR"/>
              </w:rPr>
              <w:t>44 656</w:t>
            </w:r>
          </w:p>
        </w:tc>
      </w:tr>
      <w:tr w:rsidR="00847929" w:rsidRPr="00EA05B3">
        <w:trPr>
          <w:cantSplit/>
        </w:trPr>
        <w:tc>
          <w:tcPr>
            <w:tcW w:w="2466" w:type="dxa"/>
            <w:shd w:val="clear" w:color="auto" w:fill="auto"/>
          </w:tcPr>
          <w:p w:rsidR="00D60A11" w:rsidRPr="00EA05B3" w:rsidRDefault="00D60A11" w:rsidP="00EB276C">
            <w:pPr>
              <w:keepNext/>
              <w:spacing w:before="40" w:after="40" w:line="220" w:lineRule="exact"/>
              <w:rPr>
                <w:bCs/>
                <w:sz w:val="18"/>
                <w:lang w:val="fr-FR"/>
              </w:rPr>
            </w:pPr>
            <w:r w:rsidRPr="00EA05B3">
              <w:rPr>
                <w:sz w:val="18"/>
                <w:lang w:val="fr-FR"/>
              </w:rPr>
              <w:t>Enseignement secondaire</w:t>
            </w:r>
          </w:p>
        </w:tc>
        <w:tc>
          <w:tcPr>
            <w:tcW w:w="1100" w:type="dxa"/>
            <w:shd w:val="clear" w:color="auto" w:fill="auto"/>
          </w:tcPr>
          <w:p w:rsidR="00D60A11" w:rsidRPr="00EA05B3" w:rsidRDefault="00D60A11" w:rsidP="00EB276C">
            <w:pPr>
              <w:keepNext/>
              <w:spacing w:before="40" w:after="40" w:line="220" w:lineRule="exact"/>
              <w:rPr>
                <w:sz w:val="18"/>
                <w:lang w:val="fr-FR"/>
              </w:rPr>
            </w:pPr>
          </w:p>
        </w:tc>
        <w:tc>
          <w:tcPr>
            <w:tcW w:w="1268" w:type="dxa"/>
            <w:shd w:val="clear" w:color="auto" w:fill="auto"/>
          </w:tcPr>
          <w:p w:rsidR="00D60A11" w:rsidRPr="00EA05B3" w:rsidRDefault="009C5BB8" w:rsidP="00EB276C">
            <w:pPr>
              <w:keepNext/>
              <w:spacing w:before="40" w:after="40" w:line="220" w:lineRule="exact"/>
              <w:jc w:val="right"/>
              <w:rPr>
                <w:b/>
                <w:sz w:val="18"/>
                <w:lang w:val="fr-FR"/>
              </w:rPr>
            </w:pPr>
            <w:r w:rsidRPr="00EA05B3">
              <w:rPr>
                <w:b/>
                <w:sz w:val="18"/>
                <w:lang w:val="fr-FR"/>
              </w:rPr>
              <w:t xml:space="preserve"> </w:t>
            </w:r>
          </w:p>
        </w:tc>
        <w:tc>
          <w:tcPr>
            <w:tcW w:w="1268" w:type="dxa"/>
            <w:shd w:val="clear" w:color="auto" w:fill="auto"/>
          </w:tcPr>
          <w:p w:rsidR="00D60A11" w:rsidRPr="00EA05B3" w:rsidRDefault="009C5BB8" w:rsidP="00EB276C">
            <w:pPr>
              <w:keepNext/>
              <w:spacing w:before="40" w:after="40" w:line="220" w:lineRule="exact"/>
              <w:jc w:val="right"/>
              <w:rPr>
                <w:sz w:val="18"/>
                <w:lang w:val="fr-FR"/>
              </w:rPr>
            </w:pPr>
            <w:r w:rsidRPr="00EA05B3">
              <w:rPr>
                <w:sz w:val="18"/>
                <w:lang w:val="fr-FR"/>
              </w:rPr>
              <w:t xml:space="preserve"> </w:t>
            </w:r>
          </w:p>
        </w:tc>
        <w:tc>
          <w:tcPr>
            <w:tcW w:w="1268" w:type="dxa"/>
            <w:shd w:val="clear" w:color="auto" w:fill="auto"/>
          </w:tcPr>
          <w:p w:rsidR="00D60A11" w:rsidRPr="00EA05B3" w:rsidRDefault="009C5BB8" w:rsidP="00EB276C">
            <w:pPr>
              <w:keepNext/>
              <w:spacing w:before="40" w:after="40" w:line="220" w:lineRule="exact"/>
              <w:jc w:val="right"/>
              <w:rPr>
                <w:sz w:val="18"/>
                <w:lang w:val="fr-FR"/>
              </w:rPr>
            </w:pPr>
            <w:r w:rsidRPr="00EA05B3">
              <w:rPr>
                <w:sz w:val="18"/>
                <w:lang w:val="fr-FR"/>
              </w:rPr>
              <w:t xml:space="preserve"> </w:t>
            </w:r>
          </w:p>
        </w:tc>
      </w:tr>
      <w:tr w:rsidR="00847929" w:rsidRPr="00EA05B3">
        <w:trPr>
          <w:cantSplit/>
        </w:trPr>
        <w:tc>
          <w:tcPr>
            <w:tcW w:w="2466" w:type="dxa"/>
            <w:vMerge w:val="restart"/>
            <w:shd w:val="clear" w:color="auto" w:fill="auto"/>
          </w:tcPr>
          <w:p w:rsidR="00D60A11" w:rsidRPr="00EA05B3" w:rsidRDefault="00D60A11" w:rsidP="003273A2">
            <w:pPr>
              <w:spacing w:before="40" w:after="40" w:line="220" w:lineRule="exact"/>
              <w:rPr>
                <w:sz w:val="18"/>
                <w:lang w:val="fr-FR"/>
              </w:rPr>
            </w:pPr>
            <w:r w:rsidRPr="00EA05B3">
              <w:rPr>
                <w:sz w:val="18"/>
                <w:lang w:val="fr-FR"/>
              </w:rPr>
              <w:t>Établissements publics</w:t>
            </w:r>
          </w:p>
        </w:tc>
        <w:tc>
          <w:tcPr>
            <w:tcW w:w="1100" w:type="dxa"/>
            <w:shd w:val="clear" w:color="auto" w:fill="auto"/>
          </w:tcPr>
          <w:p w:rsidR="00D60A11" w:rsidRPr="00EA05B3" w:rsidRDefault="00D60A11" w:rsidP="00EB276C">
            <w:pPr>
              <w:spacing w:before="40" w:after="40" w:line="220" w:lineRule="exact"/>
              <w:rPr>
                <w:sz w:val="18"/>
                <w:lang w:val="fr-FR"/>
              </w:rPr>
            </w:pPr>
            <w:r w:rsidRPr="00EA05B3">
              <w:rPr>
                <w:sz w:val="18"/>
                <w:lang w:val="fr-FR"/>
              </w:rPr>
              <w:t>Pourcentage</w:t>
            </w:r>
          </w:p>
        </w:tc>
        <w:tc>
          <w:tcPr>
            <w:tcW w:w="1268" w:type="dxa"/>
            <w:shd w:val="clear" w:color="auto" w:fill="auto"/>
          </w:tcPr>
          <w:p w:rsidR="00D60A11" w:rsidRPr="00EA05B3" w:rsidRDefault="00D60A11" w:rsidP="00EB276C">
            <w:pPr>
              <w:spacing w:before="40" w:after="40" w:line="220" w:lineRule="exact"/>
              <w:jc w:val="right"/>
              <w:rPr>
                <w:b/>
                <w:sz w:val="18"/>
                <w:lang w:val="fr-FR"/>
              </w:rPr>
            </w:pPr>
            <w:r w:rsidRPr="00EA05B3">
              <w:rPr>
                <w:b/>
                <w:sz w:val="18"/>
                <w:lang w:val="fr-FR"/>
              </w:rPr>
              <w:t>64,3</w:t>
            </w:r>
          </w:p>
        </w:tc>
        <w:tc>
          <w:tcPr>
            <w:tcW w:w="1268" w:type="dxa"/>
            <w:shd w:val="clear" w:color="auto" w:fill="auto"/>
          </w:tcPr>
          <w:p w:rsidR="00D60A11" w:rsidRPr="00EA05B3" w:rsidRDefault="00D60A11" w:rsidP="00EB276C">
            <w:pPr>
              <w:spacing w:before="40" w:after="40" w:line="220" w:lineRule="exact"/>
              <w:jc w:val="right"/>
              <w:rPr>
                <w:sz w:val="18"/>
                <w:lang w:val="fr-FR"/>
              </w:rPr>
            </w:pPr>
            <w:r w:rsidRPr="00EA05B3">
              <w:rPr>
                <w:sz w:val="18"/>
                <w:lang w:val="fr-FR"/>
              </w:rPr>
              <w:t>60,6</w:t>
            </w:r>
          </w:p>
        </w:tc>
        <w:tc>
          <w:tcPr>
            <w:tcW w:w="1268" w:type="dxa"/>
            <w:shd w:val="clear" w:color="auto" w:fill="auto"/>
          </w:tcPr>
          <w:p w:rsidR="00D60A11" w:rsidRPr="00EA05B3" w:rsidRDefault="00D60A11" w:rsidP="00EB276C">
            <w:pPr>
              <w:spacing w:before="40" w:after="40" w:line="220" w:lineRule="exact"/>
              <w:jc w:val="right"/>
              <w:rPr>
                <w:sz w:val="18"/>
                <w:lang w:val="fr-FR"/>
              </w:rPr>
            </w:pPr>
            <w:r w:rsidRPr="00EA05B3">
              <w:rPr>
                <w:sz w:val="18"/>
                <w:lang w:val="fr-FR"/>
              </w:rPr>
              <w:t>72,9</w:t>
            </w:r>
          </w:p>
        </w:tc>
      </w:tr>
      <w:tr w:rsidR="00847929" w:rsidRPr="00EA05B3">
        <w:trPr>
          <w:cantSplit/>
        </w:trPr>
        <w:tc>
          <w:tcPr>
            <w:tcW w:w="2466" w:type="dxa"/>
            <w:vMerge/>
            <w:shd w:val="clear" w:color="auto" w:fill="auto"/>
          </w:tcPr>
          <w:p w:rsidR="00D60A11" w:rsidRPr="00EA05B3" w:rsidRDefault="00D60A11">
            <w:pPr>
              <w:spacing w:before="40" w:after="40" w:line="220" w:lineRule="exact"/>
              <w:rPr>
                <w:sz w:val="18"/>
                <w:lang w:val="fr-FR"/>
              </w:rPr>
            </w:pPr>
          </w:p>
        </w:tc>
        <w:tc>
          <w:tcPr>
            <w:tcW w:w="1100" w:type="dxa"/>
            <w:shd w:val="clear" w:color="auto" w:fill="auto"/>
          </w:tcPr>
          <w:p w:rsidR="00D60A11" w:rsidRPr="00EA05B3" w:rsidRDefault="00D60A11" w:rsidP="00EB276C">
            <w:pPr>
              <w:spacing w:before="40" w:after="40" w:line="220" w:lineRule="exact"/>
              <w:rPr>
                <w:sz w:val="18"/>
                <w:lang w:val="fr-FR"/>
              </w:rPr>
            </w:pPr>
            <w:r w:rsidRPr="00EA05B3">
              <w:rPr>
                <w:sz w:val="18"/>
                <w:lang w:val="fr-FR"/>
              </w:rPr>
              <w:t>Population</w:t>
            </w:r>
          </w:p>
        </w:tc>
        <w:tc>
          <w:tcPr>
            <w:tcW w:w="1268" w:type="dxa"/>
            <w:shd w:val="clear" w:color="auto" w:fill="auto"/>
          </w:tcPr>
          <w:p w:rsidR="00D60A11" w:rsidRPr="00EA05B3" w:rsidRDefault="00D60A11" w:rsidP="00EB276C">
            <w:pPr>
              <w:spacing w:before="40" w:after="40" w:line="220" w:lineRule="exact"/>
              <w:jc w:val="right"/>
              <w:rPr>
                <w:b/>
                <w:sz w:val="18"/>
                <w:lang w:val="fr-FR"/>
              </w:rPr>
            </w:pPr>
            <w:r w:rsidRPr="00EA05B3">
              <w:rPr>
                <w:b/>
                <w:sz w:val="18"/>
                <w:lang w:val="fr-FR"/>
              </w:rPr>
              <w:t>895 777</w:t>
            </w:r>
          </w:p>
        </w:tc>
        <w:tc>
          <w:tcPr>
            <w:tcW w:w="1268" w:type="dxa"/>
            <w:shd w:val="clear" w:color="auto" w:fill="auto"/>
          </w:tcPr>
          <w:p w:rsidR="00D60A11" w:rsidRPr="00EA05B3" w:rsidRDefault="00D60A11" w:rsidP="00EB276C">
            <w:pPr>
              <w:spacing w:before="40" w:after="40" w:line="220" w:lineRule="exact"/>
              <w:jc w:val="right"/>
              <w:rPr>
                <w:sz w:val="18"/>
                <w:lang w:val="fr-FR"/>
              </w:rPr>
            </w:pPr>
            <w:r w:rsidRPr="00EA05B3">
              <w:rPr>
                <w:sz w:val="18"/>
                <w:lang w:val="fr-FR"/>
              </w:rPr>
              <w:t>591 248</w:t>
            </w:r>
          </w:p>
        </w:tc>
        <w:tc>
          <w:tcPr>
            <w:tcW w:w="1268" w:type="dxa"/>
            <w:shd w:val="clear" w:color="auto" w:fill="auto"/>
          </w:tcPr>
          <w:p w:rsidR="00D60A11" w:rsidRPr="00EA05B3" w:rsidRDefault="00D60A11" w:rsidP="00EB276C">
            <w:pPr>
              <w:spacing w:before="40" w:after="40" w:line="220" w:lineRule="exact"/>
              <w:jc w:val="right"/>
              <w:rPr>
                <w:sz w:val="18"/>
                <w:lang w:val="fr-FR"/>
              </w:rPr>
            </w:pPr>
            <w:r w:rsidRPr="00EA05B3">
              <w:rPr>
                <w:sz w:val="18"/>
                <w:lang w:val="fr-FR"/>
              </w:rPr>
              <w:t>304 529</w:t>
            </w:r>
          </w:p>
        </w:tc>
      </w:tr>
      <w:tr w:rsidR="00847929" w:rsidRPr="00EA05B3">
        <w:trPr>
          <w:cantSplit/>
        </w:trPr>
        <w:tc>
          <w:tcPr>
            <w:tcW w:w="2466" w:type="dxa"/>
            <w:vMerge w:val="restart"/>
            <w:shd w:val="clear" w:color="auto" w:fill="auto"/>
          </w:tcPr>
          <w:p w:rsidR="00D60A11" w:rsidRPr="00EA05B3" w:rsidRDefault="00D60A11" w:rsidP="003273A2">
            <w:pPr>
              <w:spacing w:before="40" w:after="40" w:line="220" w:lineRule="exact"/>
              <w:rPr>
                <w:sz w:val="18"/>
                <w:lang w:val="fr-FR"/>
              </w:rPr>
            </w:pPr>
            <w:r w:rsidRPr="00EA05B3">
              <w:rPr>
                <w:sz w:val="18"/>
                <w:lang w:val="fr-FR"/>
              </w:rPr>
              <w:t>Établissements privés</w:t>
            </w:r>
          </w:p>
        </w:tc>
        <w:tc>
          <w:tcPr>
            <w:tcW w:w="1100" w:type="dxa"/>
            <w:shd w:val="clear" w:color="auto" w:fill="auto"/>
          </w:tcPr>
          <w:p w:rsidR="00D60A11" w:rsidRPr="00EA05B3" w:rsidRDefault="00D60A11" w:rsidP="00EB276C">
            <w:pPr>
              <w:spacing w:before="40" w:after="40" w:line="220" w:lineRule="exact"/>
              <w:rPr>
                <w:sz w:val="18"/>
                <w:lang w:val="fr-FR"/>
              </w:rPr>
            </w:pPr>
            <w:r w:rsidRPr="00EA05B3">
              <w:rPr>
                <w:sz w:val="18"/>
                <w:lang w:val="fr-FR"/>
              </w:rPr>
              <w:t>Pourcentage</w:t>
            </w:r>
          </w:p>
        </w:tc>
        <w:tc>
          <w:tcPr>
            <w:tcW w:w="1268" w:type="dxa"/>
            <w:shd w:val="clear" w:color="auto" w:fill="auto"/>
          </w:tcPr>
          <w:p w:rsidR="00D60A11" w:rsidRPr="00EA05B3" w:rsidRDefault="00D60A11" w:rsidP="00EB276C">
            <w:pPr>
              <w:spacing w:before="40" w:after="40" w:line="220" w:lineRule="exact"/>
              <w:jc w:val="right"/>
              <w:rPr>
                <w:b/>
                <w:sz w:val="18"/>
                <w:lang w:val="fr-FR"/>
              </w:rPr>
            </w:pPr>
            <w:r w:rsidRPr="00EA05B3">
              <w:rPr>
                <w:b/>
                <w:sz w:val="18"/>
                <w:lang w:val="fr-FR"/>
              </w:rPr>
              <w:t>30,2</w:t>
            </w:r>
          </w:p>
        </w:tc>
        <w:tc>
          <w:tcPr>
            <w:tcW w:w="1268" w:type="dxa"/>
            <w:shd w:val="clear" w:color="auto" w:fill="auto"/>
          </w:tcPr>
          <w:p w:rsidR="00D60A11" w:rsidRPr="00EA05B3" w:rsidRDefault="00D60A11" w:rsidP="00EB276C">
            <w:pPr>
              <w:spacing w:before="40" w:after="40" w:line="220" w:lineRule="exact"/>
              <w:jc w:val="right"/>
              <w:rPr>
                <w:sz w:val="18"/>
                <w:lang w:val="fr-FR"/>
              </w:rPr>
            </w:pPr>
            <w:r w:rsidRPr="00EA05B3">
              <w:rPr>
                <w:sz w:val="18"/>
                <w:lang w:val="fr-FR"/>
              </w:rPr>
              <w:t>34,8</w:t>
            </w:r>
          </w:p>
        </w:tc>
        <w:tc>
          <w:tcPr>
            <w:tcW w:w="1268" w:type="dxa"/>
            <w:shd w:val="clear" w:color="auto" w:fill="auto"/>
          </w:tcPr>
          <w:p w:rsidR="00D60A11" w:rsidRPr="00EA05B3" w:rsidRDefault="00D60A11" w:rsidP="00EB276C">
            <w:pPr>
              <w:spacing w:before="40" w:after="40" w:line="220" w:lineRule="exact"/>
              <w:jc w:val="right"/>
              <w:rPr>
                <w:sz w:val="18"/>
                <w:lang w:val="fr-FR"/>
              </w:rPr>
            </w:pPr>
            <w:r w:rsidRPr="00EA05B3">
              <w:rPr>
                <w:sz w:val="18"/>
                <w:lang w:val="fr-FR"/>
              </w:rPr>
              <w:t>19,4</w:t>
            </w:r>
          </w:p>
        </w:tc>
      </w:tr>
      <w:tr w:rsidR="00847929" w:rsidRPr="00EA05B3">
        <w:trPr>
          <w:cantSplit/>
        </w:trPr>
        <w:tc>
          <w:tcPr>
            <w:tcW w:w="2466" w:type="dxa"/>
            <w:vMerge/>
            <w:shd w:val="clear" w:color="auto" w:fill="auto"/>
          </w:tcPr>
          <w:p w:rsidR="00D60A11" w:rsidRPr="00EA05B3" w:rsidRDefault="00D60A11">
            <w:pPr>
              <w:spacing w:before="40" w:after="40" w:line="220" w:lineRule="exact"/>
              <w:rPr>
                <w:sz w:val="18"/>
                <w:lang w:val="fr-FR"/>
              </w:rPr>
            </w:pPr>
          </w:p>
        </w:tc>
        <w:tc>
          <w:tcPr>
            <w:tcW w:w="1100" w:type="dxa"/>
            <w:shd w:val="clear" w:color="auto" w:fill="auto"/>
          </w:tcPr>
          <w:p w:rsidR="00D60A11" w:rsidRPr="00EA05B3" w:rsidRDefault="00D60A11" w:rsidP="00EB276C">
            <w:pPr>
              <w:spacing w:before="40" w:after="40" w:line="220" w:lineRule="exact"/>
              <w:rPr>
                <w:sz w:val="18"/>
                <w:lang w:val="fr-FR"/>
              </w:rPr>
            </w:pPr>
            <w:r w:rsidRPr="00EA05B3">
              <w:rPr>
                <w:sz w:val="18"/>
                <w:lang w:val="fr-FR"/>
              </w:rPr>
              <w:t>Population</w:t>
            </w:r>
          </w:p>
        </w:tc>
        <w:tc>
          <w:tcPr>
            <w:tcW w:w="1268" w:type="dxa"/>
            <w:shd w:val="clear" w:color="auto" w:fill="auto"/>
          </w:tcPr>
          <w:p w:rsidR="00D60A11" w:rsidRPr="00EA05B3" w:rsidRDefault="00D60A11" w:rsidP="00EB276C">
            <w:pPr>
              <w:spacing w:before="40" w:after="40" w:line="220" w:lineRule="exact"/>
              <w:jc w:val="right"/>
              <w:rPr>
                <w:b/>
                <w:sz w:val="18"/>
                <w:lang w:val="fr-FR"/>
              </w:rPr>
            </w:pPr>
            <w:r w:rsidRPr="00EA05B3">
              <w:rPr>
                <w:b/>
                <w:sz w:val="18"/>
                <w:lang w:val="fr-FR"/>
              </w:rPr>
              <w:t>420 640</w:t>
            </w:r>
          </w:p>
        </w:tc>
        <w:tc>
          <w:tcPr>
            <w:tcW w:w="1268" w:type="dxa"/>
            <w:shd w:val="clear" w:color="auto" w:fill="auto"/>
          </w:tcPr>
          <w:p w:rsidR="00D60A11" w:rsidRPr="00EA05B3" w:rsidRDefault="00D60A11" w:rsidP="00EB276C">
            <w:pPr>
              <w:spacing w:before="40" w:after="40" w:line="220" w:lineRule="exact"/>
              <w:jc w:val="right"/>
              <w:rPr>
                <w:sz w:val="18"/>
                <w:lang w:val="fr-FR"/>
              </w:rPr>
            </w:pPr>
            <w:r w:rsidRPr="00EA05B3">
              <w:rPr>
                <w:sz w:val="18"/>
                <w:lang w:val="fr-FR"/>
              </w:rPr>
              <w:t>339 569</w:t>
            </w:r>
          </w:p>
        </w:tc>
        <w:tc>
          <w:tcPr>
            <w:tcW w:w="1268" w:type="dxa"/>
            <w:shd w:val="clear" w:color="auto" w:fill="auto"/>
          </w:tcPr>
          <w:p w:rsidR="00D60A11" w:rsidRPr="00EA05B3" w:rsidRDefault="00D60A11" w:rsidP="00EB276C">
            <w:pPr>
              <w:spacing w:before="40" w:after="40" w:line="220" w:lineRule="exact"/>
              <w:jc w:val="right"/>
              <w:rPr>
                <w:sz w:val="18"/>
                <w:lang w:val="fr-FR"/>
              </w:rPr>
            </w:pPr>
            <w:r w:rsidRPr="00EA05B3">
              <w:rPr>
                <w:sz w:val="18"/>
                <w:lang w:val="fr-FR"/>
              </w:rPr>
              <w:t>81 071</w:t>
            </w:r>
          </w:p>
        </w:tc>
      </w:tr>
      <w:tr w:rsidR="00847929" w:rsidRPr="00EA05B3">
        <w:trPr>
          <w:cantSplit/>
        </w:trPr>
        <w:tc>
          <w:tcPr>
            <w:tcW w:w="2466" w:type="dxa"/>
            <w:vMerge w:val="restart"/>
            <w:shd w:val="clear" w:color="auto" w:fill="auto"/>
          </w:tcPr>
          <w:p w:rsidR="00D60A11" w:rsidRPr="00EA05B3" w:rsidRDefault="00D60A11" w:rsidP="00EB276C">
            <w:pPr>
              <w:keepNext/>
              <w:spacing w:before="40" w:after="40" w:line="220" w:lineRule="exact"/>
              <w:rPr>
                <w:sz w:val="18"/>
                <w:lang w:val="fr-FR"/>
              </w:rPr>
            </w:pPr>
            <w:r w:rsidRPr="00EA05B3">
              <w:rPr>
                <w:sz w:val="18"/>
                <w:lang w:val="fr-FR"/>
              </w:rPr>
              <w:t xml:space="preserve">Établissements municipaux et provinciaux, et établissements religieux financés par </w:t>
            </w:r>
            <w:r w:rsidR="009379A7" w:rsidRPr="00EA05B3">
              <w:rPr>
                <w:sz w:val="18"/>
                <w:lang w:val="fr-FR"/>
              </w:rPr>
              <w:t>l’</w:t>
            </w:r>
            <w:r w:rsidRPr="00EA05B3">
              <w:rPr>
                <w:sz w:val="18"/>
                <w:lang w:val="fr-FR"/>
              </w:rPr>
              <w:t>État</w:t>
            </w:r>
          </w:p>
        </w:tc>
        <w:tc>
          <w:tcPr>
            <w:tcW w:w="1100" w:type="dxa"/>
            <w:shd w:val="clear" w:color="auto" w:fill="auto"/>
          </w:tcPr>
          <w:p w:rsidR="00D60A11" w:rsidRPr="00EA05B3" w:rsidRDefault="00D60A11" w:rsidP="00EB276C">
            <w:pPr>
              <w:keepNext/>
              <w:spacing w:before="40" w:after="40" w:line="220" w:lineRule="exact"/>
              <w:rPr>
                <w:sz w:val="18"/>
                <w:lang w:val="fr-FR"/>
              </w:rPr>
            </w:pPr>
            <w:r w:rsidRPr="00EA05B3">
              <w:rPr>
                <w:sz w:val="18"/>
                <w:lang w:val="fr-FR"/>
              </w:rPr>
              <w:t>Pourcentage</w:t>
            </w:r>
          </w:p>
        </w:tc>
        <w:tc>
          <w:tcPr>
            <w:tcW w:w="1268" w:type="dxa"/>
            <w:shd w:val="clear" w:color="auto" w:fill="auto"/>
          </w:tcPr>
          <w:p w:rsidR="00D60A11" w:rsidRPr="00EA05B3" w:rsidRDefault="00D60A11" w:rsidP="00EB276C">
            <w:pPr>
              <w:keepNext/>
              <w:spacing w:before="40" w:after="40" w:line="220" w:lineRule="exact"/>
              <w:jc w:val="right"/>
              <w:rPr>
                <w:b/>
                <w:sz w:val="18"/>
                <w:lang w:val="fr-FR"/>
              </w:rPr>
            </w:pPr>
            <w:r w:rsidRPr="00EA05B3">
              <w:rPr>
                <w:b/>
                <w:sz w:val="18"/>
                <w:lang w:val="fr-FR"/>
              </w:rPr>
              <w:t>5,5</w:t>
            </w:r>
          </w:p>
        </w:tc>
        <w:tc>
          <w:tcPr>
            <w:tcW w:w="1268" w:type="dxa"/>
            <w:shd w:val="clear" w:color="auto" w:fill="auto"/>
          </w:tcPr>
          <w:p w:rsidR="00D60A11" w:rsidRPr="00EA05B3" w:rsidRDefault="00D60A11" w:rsidP="00EB276C">
            <w:pPr>
              <w:keepNext/>
              <w:spacing w:before="40" w:after="40" w:line="220" w:lineRule="exact"/>
              <w:jc w:val="right"/>
              <w:rPr>
                <w:sz w:val="18"/>
                <w:lang w:val="fr-FR"/>
              </w:rPr>
            </w:pPr>
            <w:r w:rsidRPr="00EA05B3">
              <w:rPr>
                <w:sz w:val="18"/>
                <w:lang w:val="fr-FR"/>
              </w:rPr>
              <w:t>4,5</w:t>
            </w:r>
          </w:p>
        </w:tc>
        <w:tc>
          <w:tcPr>
            <w:tcW w:w="1268" w:type="dxa"/>
            <w:shd w:val="clear" w:color="auto" w:fill="auto"/>
          </w:tcPr>
          <w:p w:rsidR="00D60A11" w:rsidRPr="00EA05B3" w:rsidRDefault="00D60A11" w:rsidP="00EB276C">
            <w:pPr>
              <w:keepNext/>
              <w:spacing w:before="40" w:after="40" w:line="220" w:lineRule="exact"/>
              <w:jc w:val="right"/>
              <w:rPr>
                <w:sz w:val="18"/>
                <w:lang w:val="fr-FR"/>
              </w:rPr>
            </w:pPr>
            <w:r w:rsidRPr="00EA05B3">
              <w:rPr>
                <w:sz w:val="18"/>
                <w:lang w:val="fr-FR"/>
              </w:rPr>
              <w:t>7,7</w:t>
            </w:r>
          </w:p>
        </w:tc>
      </w:tr>
      <w:tr w:rsidR="00847929" w:rsidRPr="00EA05B3">
        <w:trPr>
          <w:cantSplit/>
        </w:trPr>
        <w:tc>
          <w:tcPr>
            <w:tcW w:w="2466" w:type="dxa"/>
            <w:vMerge/>
            <w:shd w:val="clear" w:color="auto" w:fill="auto"/>
          </w:tcPr>
          <w:p w:rsidR="00D60A11" w:rsidRPr="00EA05B3" w:rsidRDefault="00D60A11" w:rsidP="00EB276C">
            <w:pPr>
              <w:keepNext/>
              <w:spacing w:before="40" w:after="40" w:line="220" w:lineRule="exact"/>
              <w:rPr>
                <w:sz w:val="18"/>
                <w:lang w:val="fr-FR"/>
              </w:rPr>
            </w:pPr>
          </w:p>
        </w:tc>
        <w:tc>
          <w:tcPr>
            <w:tcW w:w="1100" w:type="dxa"/>
            <w:shd w:val="clear" w:color="auto" w:fill="auto"/>
          </w:tcPr>
          <w:p w:rsidR="00D60A11" w:rsidRPr="00EA05B3" w:rsidRDefault="00D60A11" w:rsidP="00EB276C">
            <w:pPr>
              <w:keepNext/>
              <w:spacing w:before="40" w:after="40" w:line="220" w:lineRule="exact"/>
              <w:rPr>
                <w:sz w:val="18"/>
                <w:lang w:val="fr-FR"/>
              </w:rPr>
            </w:pPr>
            <w:r w:rsidRPr="00EA05B3">
              <w:rPr>
                <w:sz w:val="18"/>
                <w:lang w:val="fr-FR"/>
              </w:rPr>
              <w:t>Population</w:t>
            </w:r>
          </w:p>
        </w:tc>
        <w:tc>
          <w:tcPr>
            <w:tcW w:w="1268" w:type="dxa"/>
            <w:shd w:val="clear" w:color="auto" w:fill="auto"/>
            <w:vAlign w:val="bottom"/>
          </w:tcPr>
          <w:p w:rsidR="00D60A11" w:rsidRPr="00EA05B3" w:rsidRDefault="00D60A11" w:rsidP="00EB276C">
            <w:pPr>
              <w:keepNext/>
              <w:spacing w:before="40" w:after="40" w:line="220" w:lineRule="exact"/>
              <w:jc w:val="right"/>
              <w:rPr>
                <w:b/>
                <w:sz w:val="18"/>
                <w:lang w:val="fr-FR"/>
              </w:rPr>
            </w:pPr>
            <w:r w:rsidRPr="00EA05B3">
              <w:rPr>
                <w:b/>
                <w:sz w:val="18"/>
                <w:lang w:val="fr-FR"/>
              </w:rPr>
              <w:t>76 290</w:t>
            </w:r>
          </w:p>
        </w:tc>
        <w:tc>
          <w:tcPr>
            <w:tcW w:w="1268" w:type="dxa"/>
            <w:shd w:val="clear" w:color="auto" w:fill="auto"/>
            <w:vAlign w:val="bottom"/>
          </w:tcPr>
          <w:p w:rsidR="00D60A11" w:rsidRPr="00EA05B3" w:rsidRDefault="00D60A11" w:rsidP="00EB276C">
            <w:pPr>
              <w:keepNext/>
              <w:spacing w:before="40" w:after="40" w:line="220" w:lineRule="exact"/>
              <w:jc w:val="right"/>
              <w:rPr>
                <w:sz w:val="18"/>
                <w:lang w:val="fr-FR"/>
              </w:rPr>
            </w:pPr>
            <w:r w:rsidRPr="00EA05B3">
              <w:rPr>
                <w:sz w:val="18"/>
                <w:lang w:val="fr-FR"/>
              </w:rPr>
              <w:t>44 077</w:t>
            </w:r>
          </w:p>
        </w:tc>
        <w:tc>
          <w:tcPr>
            <w:tcW w:w="1268" w:type="dxa"/>
            <w:shd w:val="clear" w:color="auto" w:fill="auto"/>
            <w:vAlign w:val="bottom"/>
          </w:tcPr>
          <w:p w:rsidR="00D60A11" w:rsidRPr="00EA05B3" w:rsidRDefault="00D60A11" w:rsidP="00EB276C">
            <w:pPr>
              <w:keepNext/>
              <w:spacing w:before="40" w:after="40" w:line="220" w:lineRule="exact"/>
              <w:jc w:val="right"/>
              <w:rPr>
                <w:sz w:val="18"/>
                <w:lang w:val="fr-FR"/>
              </w:rPr>
            </w:pPr>
            <w:r w:rsidRPr="00EA05B3">
              <w:rPr>
                <w:sz w:val="18"/>
                <w:lang w:val="fr-FR"/>
              </w:rPr>
              <w:t>32 212</w:t>
            </w:r>
          </w:p>
        </w:tc>
      </w:tr>
    </w:tbl>
    <w:p w:rsidR="00D60A11" w:rsidRPr="00EA05B3" w:rsidRDefault="00D60A11" w:rsidP="00F5254B">
      <w:pPr>
        <w:pStyle w:val="SingleTxtG"/>
        <w:spacing w:before="120" w:after="240"/>
        <w:ind w:firstLine="170"/>
        <w:rPr>
          <w:i/>
          <w:sz w:val="18"/>
          <w:szCs w:val="18"/>
          <w:lang w:val="fr-FR"/>
        </w:rPr>
      </w:pPr>
      <w:r w:rsidRPr="00EA05B3">
        <w:rPr>
          <w:i/>
          <w:sz w:val="18"/>
          <w:lang w:val="fr-FR"/>
        </w:rPr>
        <w:t>Source</w:t>
      </w:r>
      <w:r w:rsidR="00B36EE6" w:rsidRPr="00EA05B3">
        <w:rPr>
          <w:i/>
          <w:sz w:val="18"/>
          <w:lang w:val="fr-FR"/>
        </w:rPr>
        <w:t>:</w:t>
      </w:r>
      <w:r w:rsidRPr="00EA05B3">
        <w:rPr>
          <w:i/>
          <w:sz w:val="18"/>
          <w:lang w:val="fr-FR"/>
        </w:rPr>
        <w:t xml:space="preserve"> </w:t>
      </w:r>
      <w:r w:rsidRPr="00EA05B3">
        <w:rPr>
          <w:sz w:val="18"/>
          <w:lang w:val="fr-FR"/>
        </w:rPr>
        <w:t>Institut national des statistiques et des recensements (INEC).</w:t>
      </w:r>
    </w:p>
    <w:p w:rsidR="00D60A11" w:rsidRPr="00EA05B3" w:rsidRDefault="000748EE" w:rsidP="000748EE">
      <w:pPr>
        <w:pStyle w:val="SingleTxtG"/>
        <w:rPr>
          <w:lang w:val="fr-FR"/>
        </w:rPr>
      </w:pPr>
      <w:r w:rsidRPr="00EA05B3">
        <w:rPr>
          <w:lang w:val="fr-FR"/>
        </w:rPr>
        <w:t>43.</w:t>
      </w:r>
      <w:r w:rsidRPr="00EA05B3">
        <w:rPr>
          <w:lang w:val="fr-FR"/>
        </w:rPr>
        <w:tab/>
      </w:r>
      <w:r w:rsidR="00D60A11" w:rsidRPr="00EA05B3">
        <w:rPr>
          <w:lang w:val="fr-FR"/>
        </w:rPr>
        <w:t>En 2010, 90,8</w:t>
      </w:r>
      <w:r w:rsidR="009379A7" w:rsidRPr="00EA05B3">
        <w:rPr>
          <w:lang w:val="fr-FR"/>
        </w:rPr>
        <w:t> %</w:t>
      </w:r>
      <w:r w:rsidR="00D60A11" w:rsidRPr="00EA05B3">
        <w:rPr>
          <w:lang w:val="fr-FR"/>
        </w:rPr>
        <w:t xml:space="preserve"> des enfants et adolescents fréquentent des établissements </w:t>
      </w:r>
      <w:r w:rsidR="009379A7" w:rsidRPr="00EA05B3">
        <w:rPr>
          <w:lang w:val="fr-FR"/>
        </w:rPr>
        <w:t>d’</w:t>
      </w:r>
      <w:r w:rsidR="00D60A11" w:rsidRPr="00EA05B3">
        <w:rPr>
          <w:lang w:val="fr-FR"/>
        </w:rPr>
        <w:t>enseignement primaire, ce qui représente une augmentation de 12</w:t>
      </w:r>
      <w:r w:rsidR="009379A7" w:rsidRPr="00EA05B3">
        <w:rPr>
          <w:lang w:val="fr-FR"/>
        </w:rPr>
        <w:t> %</w:t>
      </w:r>
      <w:r w:rsidR="00D60A11" w:rsidRPr="00EA05B3">
        <w:rPr>
          <w:lang w:val="fr-FR"/>
        </w:rPr>
        <w:t xml:space="preserve"> par rapport à 2001</w:t>
      </w:r>
      <w:r w:rsidR="00D60A11" w:rsidRPr="00EA05B3">
        <w:rPr>
          <w:rStyle w:val="FootnoteReference"/>
          <w:lang w:val="fr-FR"/>
        </w:rPr>
        <w:footnoteReference w:id="23"/>
      </w:r>
      <w:r w:rsidR="00D60A11" w:rsidRPr="00EA05B3">
        <w:rPr>
          <w:lang w:val="fr-FR"/>
        </w:rPr>
        <w:t xml:space="preserve">. Les chiffres montrent par ailleurs </w:t>
      </w:r>
      <w:r w:rsidR="009379A7" w:rsidRPr="00EA05B3">
        <w:rPr>
          <w:lang w:val="fr-FR"/>
        </w:rPr>
        <w:t>qu’</w:t>
      </w:r>
      <w:r w:rsidR="00D60A11" w:rsidRPr="00EA05B3">
        <w:rPr>
          <w:lang w:val="fr-FR"/>
        </w:rPr>
        <w:t xml:space="preserve">il </w:t>
      </w:r>
      <w:r w:rsidR="009379A7" w:rsidRPr="00EA05B3">
        <w:rPr>
          <w:lang w:val="fr-FR"/>
        </w:rPr>
        <w:t>n’</w:t>
      </w:r>
      <w:r w:rsidR="00D60A11" w:rsidRPr="00EA05B3">
        <w:rPr>
          <w:lang w:val="fr-FR"/>
        </w:rPr>
        <w:t xml:space="preserve">existe pratiquement plus </w:t>
      </w:r>
      <w:r w:rsidR="009379A7" w:rsidRPr="00EA05B3">
        <w:rPr>
          <w:lang w:val="fr-FR"/>
        </w:rPr>
        <w:t>d’</w:t>
      </w:r>
      <w:r w:rsidR="00D60A11" w:rsidRPr="00EA05B3">
        <w:rPr>
          <w:lang w:val="fr-FR"/>
        </w:rPr>
        <w:t xml:space="preserve">écart </w:t>
      </w:r>
      <w:r w:rsidR="009379A7" w:rsidRPr="00EA05B3">
        <w:rPr>
          <w:lang w:val="fr-FR"/>
        </w:rPr>
        <w:t>d’</w:t>
      </w:r>
      <w:r w:rsidR="00D60A11" w:rsidRPr="00EA05B3">
        <w:rPr>
          <w:lang w:val="fr-FR"/>
        </w:rPr>
        <w:t xml:space="preserve">accès à </w:t>
      </w:r>
      <w:r w:rsidR="009379A7" w:rsidRPr="00EA05B3">
        <w:rPr>
          <w:lang w:val="fr-FR"/>
        </w:rPr>
        <w:t>l’</w:t>
      </w:r>
      <w:r w:rsidR="00D60A11" w:rsidRPr="00EA05B3">
        <w:rPr>
          <w:lang w:val="fr-FR"/>
        </w:rPr>
        <w:t xml:space="preserve">enseignement primaire entre hommes et femmes ou en fonction de </w:t>
      </w:r>
      <w:r w:rsidR="009379A7" w:rsidRPr="00EA05B3">
        <w:rPr>
          <w:lang w:val="fr-FR"/>
        </w:rPr>
        <w:t>l’</w:t>
      </w:r>
      <w:r w:rsidR="00D60A11" w:rsidRPr="00EA05B3">
        <w:rPr>
          <w:lang w:val="fr-FR"/>
        </w:rPr>
        <w:t xml:space="preserve">appartenance ethnico-culturelle, et que ce niveau </w:t>
      </w:r>
      <w:r w:rsidR="009379A7" w:rsidRPr="00EA05B3">
        <w:rPr>
          <w:lang w:val="fr-FR"/>
        </w:rPr>
        <w:t>d’</w:t>
      </w:r>
      <w:r w:rsidR="00D60A11" w:rsidRPr="00EA05B3">
        <w:rPr>
          <w:lang w:val="fr-FR"/>
        </w:rPr>
        <w:t>enseignement est en passe de devenir universel.</w:t>
      </w:r>
    </w:p>
    <w:p w:rsidR="00D60A11" w:rsidRPr="00EA05B3" w:rsidRDefault="000748EE" w:rsidP="000748EE">
      <w:pPr>
        <w:pStyle w:val="SingleTxtG"/>
        <w:rPr>
          <w:lang w:val="fr-FR"/>
        </w:rPr>
      </w:pPr>
      <w:r w:rsidRPr="00EA05B3">
        <w:rPr>
          <w:lang w:val="fr-FR"/>
        </w:rPr>
        <w:t>44.</w:t>
      </w:r>
      <w:r w:rsidRPr="00EA05B3">
        <w:rPr>
          <w:lang w:val="fr-FR"/>
        </w:rPr>
        <w:tab/>
      </w:r>
      <w:r w:rsidR="009379A7" w:rsidRPr="00EA05B3">
        <w:rPr>
          <w:lang w:val="fr-FR"/>
        </w:rPr>
        <w:t>L’</w:t>
      </w:r>
      <w:r w:rsidR="00D60A11" w:rsidRPr="00EA05B3">
        <w:rPr>
          <w:lang w:val="fr-FR"/>
        </w:rPr>
        <w:t xml:space="preserve">augmentation </w:t>
      </w:r>
      <w:r w:rsidR="00BA6C95" w:rsidRPr="00EA05B3">
        <w:rPr>
          <w:lang w:val="fr-FR"/>
        </w:rPr>
        <w:t>du taux de scolarisation dans le</w:t>
      </w:r>
      <w:r w:rsidR="00D60A11" w:rsidRPr="00EA05B3">
        <w:rPr>
          <w:lang w:val="fr-FR"/>
        </w:rPr>
        <w:t xml:space="preserve"> primaire est particulièrement importante </w:t>
      </w:r>
      <w:r w:rsidR="00BA6C95" w:rsidRPr="00EA05B3">
        <w:rPr>
          <w:lang w:val="fr-FR"/>
        </w:rPr>
        <w:t>chez</w:t>
      </w:r>
      <w:r w:rsidR="00D60A11" w:rsidRPr="00EA05B3">
        <w:rPr>
          <w:lang w:val="fr-FR"/>
        </w:rPr>
        <w:t xml:space="preserve"> </w:t>
      </w:r>
      <w:r w:rsidR="00BA6C95" w:rsidRPr="00EA05B3">
        <w:rPr>
          <w:lang w:val="fr-FR"/>
        </w:rPr>
        <w:t>l</w:t>
      </w:r>
      <w:r w:rsidR="00D60A11" w:rsidRPr="00EA05B3">
        <w:rPr>
          <w:lang w:val="fr-FR"/>
        </w:rPr>
        <w:t xml:space="preserve">es enfants et </w:t>
      </w:r>
      <w:r w:rsidR="00BA6C95" w:rsidRPr="00EA05B3">
        <w:rPr>
          <w:lang w:val="fr-FR"/>
        </w:rPr>
        <w:t>l</w:t>
      </w:r>
      <w:r w:rsidR="00D60A11" w:rsidRPr="00EA05B3">
        <w:rPr>
          <w:lang w:val="fr-FR"/>
        </w:rPr>
        <w:t>es adolescents autochtones, avec une progression de 20</w:t>
      </w:r>
      <w:r w:rsidR="009379A7" w:rsidRPr="00EA05B3">
        <w:rPr>
          <w:lang w:val="fr-FR"/>
        </w:rPr>
        <w:t> %</w:t>
      </w:r>
      <w:r w:rsidR="00D60A11" w:rsidRPr="00EA05B3">
        <w:rPr>
          <w:lang w:val="fr-FR"/>
        </w:rPr>
        <w:t xml:space="preserve"> pendant la période comprise entre les deux derniers recensements, et </w:t>
      </w:r>
      <w:r w:rsidR="00BA6C95" w:rsidRPr="00EA05B3">
        <w:rPr>
          <w:lang w:val="fr-FR"/>
        </w:rPr>
        <w:t xml:space="preserve">parmi </w:t>
      </w:r>
      <w:r w:rsidR="00D60A11" w:rsidRPr="00EA05B3">
        <w:rPr>
          <w:lang w:val="fr-FR"/>
        </w:rPr>
        <w:t xml:space="preserve">la population afro-équatorienne, avec une progression </w:t>
      </w:r>
      <w:r w:rsidR="009379A7" w:rsidRPr="00EA05B3">
        <w:rPr>
          <w:lang w:val="fr-FR"/>
        </w:rPr>
        <w:t>d’</w:t>
      </w:r>
      <w:r w:rsidR="00D60A11" w:rsidRPr="00EA05B3">
        <w:rPr>
          <w:lang w:val="fr-FR"/>
        </w:rPr>
        <w:t>environ 15</w:t>
      </w:r>
      <w:r w:rsidR="009379A7" w:rsidRPr="00EA05B3">
        <w:rPr>
          <w:lang w:val="fr-FR"/>
        </w:rPr>
        <w:t> %</w:t>
      </w:r>
      <w:r w:rsidR="00D60A11" w:rsidRPr="00EA05B3">
        <w:rPr>
          <w:rStyle w:val="FootnoteReference"/>
          <w:lang w:val="fr-FR"/>
        </w:rPr>
        <w:footnoteReference w:id="24"/>
      </w:r>
      <w:r w:rsidR="00D60A11" w:rsidRPr="00EA05B3">
        <w:rPr>
          <w:lang w:val="fr-FR"/>
        </w:rPr>
        <w:t>.</w:t>
      </w:r>
    </w:p>
    <w:p w:rsidR="00D60A11" w:rsidRPr="00EA05B3" w:rsidRDefault="000748EE" w:rsidP="000748EE">
      <w:pPr>
        <w:pStyle w:val="SingleTxtG"/>
        <w:rPr>
          <w:lang w:val="fr-FR"/>
        </w:rPr>
      </w:pPr>
      <w:r w:rsidRPr="00EA05B3">
        <w:rPr>
          <w:lang w:val="fr-FR"/>
        </w:rPr>
        <w:t>45.</w:t>
      </w:r>
      <w:r w:rsidRPr="00EA05B3">
        <w:rPr>
          <w:lang w:val="fr-FR"/>
        </w:rPr>
        <w:tab/>
      </w:r>
      <w:r w:rsidR="00D60A11" w:rsidRPr="00EA05B3">
        <w:rPr>
          <w:lang w:val="fr-FR"/>
        </w:rPr>
        <w:t xml:space="preserve">Cette forte progression de la scolarisation des groupes traditionnellement </w:t>
      </w:r>
      <w:r w:rsidR="00E25054" w:rsidRPr="00EA05B3">
        <w:rPr>
          <w:lang w:val="fr-FR"/>
        </w:rPr>
        <w:t xml:space="preserve">victimes </w:t>
      </w:r>
      <w:r w:rsidR="00863740" w:rsidRPr="00EA05B3">
        <w:rPr>
          <w:lang w:val="fr-FR"/>
        </w:rPr>
        <w:t xml:space="preserve">de </w:t>
      </w:r>
      <w:r w:rsidR="00D60A11" w:rsidRPr="00EA05B3">
        <w:rPr>
          <w:lang w:val="fr-FR"/>
        </w:rPr>
        <w:t>discrimin</w:t>
      </w:r>
      <w:r w:rsidR="00E25054" w:rsidRPr="00EA05B3">
        <w:rPr>
          <w:lang w:val="fr-FR"/>
        </w:rPr>
        <w:t>ation</w:t>
      </w:r>
      <w:r w:rsidR="00D60A11" w:rsidRPr="00EA05B3">
        <w:rPr>
          <w:lang w:val="fr-FR"/>
        </w:rPr>
        <w:t xml:space="preserve"> dans la société équatorienne </w:t>
      </w:r>
      <w:r w:rsidR="00E25054" w:rsidRPr="00EA05B3">
        <w:rPr>
          <w:lang w:val="fr-FR"/>
        </w:rPr>
        <w:t>marque une étape</w:t>
      </w:r>
      <w:r w:rsidR="00D60A11" w:rsidRPr="00EA05B3">
        <w:rPr>
          <w:lang w:val="fr-FR"/>
        </w:rPr>
        <w:t xml:space="preserve"> important</w:t>
      </w:r>
      <w:r w:rsidR="00E25054" w:rsidRPr="00EA05B3">
        <w:rPr>
          <w:lang w:val="fr-FR"/>
        </w:rPr>
        <w:t>e</w:t>
      </w:r>
      <w:r w:rsidR="00D60A11" w:rsidRPr="00EA05B3">
        <w:rPr>
          <w:lang w:val="fr-FR"/>
        </w:rPr>
        <w:t xml:space="preserve"> </w:t>
      </w:r>
      <w:r w:rsidR="00E25054" w:rsidRPr="00EA05B3">
        <w:rPr>
          <w:lang w:val="fr-FR"/>
        </w:rPr>
        <w:t>dans</w:t>
      </w:r>
      <w:r w:rsidR="00D60A11" w:rsidRPr="00EA05B3">
        <w:rPr>
          <w:lang w:val="fr-FR"/>
        </w:rPr>
        <w:t xml:space="preserve"> la suppression des inégalités </w:t>
      </w:r>
      <w:r w:rsidR="00E25054" w:rsidRPr="00EA05B3">
        <w:rPr>
          <w:lang w:val="fr-FR"/>
        </w:rPr>
        <w:t>concernant l’accès à</w:t>
      </w:r>
      <w:r w:rsidR="00D60A11" w:rsidRPr="00EA05B3">
        <w:rPr>
          <w:lang w:val="fr-FR"/>
        </w:rPr>
        <w:t xml:space="preserve"> </w:t>
      </w:r>
      <w:r w:rsidR="009379A7" w:rsidRPr="00EA05B3">
        <w:rPr>
          <w:lang w:val="fr-FR"/>
        </w:rPr>
        <w:t>l’</w:t>
      </w:r>
      <w:r w:rsidR="00D60A11" w:rsidRPr="00EA05B3">
        <w:rPr>
          <w:lang w:val="fr-FR"/>
        </w:rPr>
        <w:t>enseignement primaire.</w:t>
      </w:r>
    </w:p>
    <w:p w:rsidR="00D60A11" w:rsidRPr="00EA05B3" w:rsidRDefault="000748EE" w:rsidP="000748EE">
      <w:pPr>
        <w:pStyle w:val="SingleTxtG"/>
        <w:rPr>
          <w:lang w:val="fr-FR"/>
        </w:rPr>
      </w:pPr>
      <w:r w:rsidRPr="00EA05B3">
        <w:rPr>
          <w:lang w:val="fr-FR"/>
        </w:rPr>
        <w:t>46.</w:t>
      </w:r>
      <w:r w:rsidRPr="00EA05B3">
        <w:rPr>
          <w:lang w:val="fr-FR"/>
        </w:rPr>
        <w:tab/>
      </w:r>
      <w:r w:rsidR="00D60A11" w:rsidRPr="00EA05B3">
        <w:rPr>
          <w:lang w:val="fr-FR"/>
        </w:rPr>
        <w:t>Le taux net de scolarisation est proche de 90</w:t>
      </w:r>
      <w:r w:rsidR="009379A7" w:rsidRPr="00EA05B3">
        <w:rPr>
          <w:lang w:val="fr-FR"/>
        </w:rPr>
        <w:t> %</w:t>
      </w:r>
      <w:r w:rsidR="00D60A11" w:rsidRPr="00EA05B3">
        <w:rPr>
          <w:lang w:val="fr-FR"/>
        </w:rPr>
        <w:t xml:space="preserve">, ce qui représente un progrès notable en </w:t>
      </w:r>
      <w:r w:rsidR="00163C61" w:rsidRPr="00EA05B3">
        <w:rPr>
          <w:lang w:val="fr-FR"/>
        </w:rPr>
        <w:t>matière d</w:t>
      </w:r>
      <w:r w:rsidR="009379A7" w:rsidRPr="00EA05B3">
        <w:rPr>
          <w:lang w:val="fr-FR"/>
        </w:rPr>
        <w:t>’</w:t>
      </w:r>
      <w:r w:rsidR="00D60A11" w:rsidRPr="00EA05B3">
        <w:rPr>
          <w:lang w:val="fr-FR"/>
        </w:rPr>
        <w:t xml:space="preserve">équité et </w:t>
      </w:r>
      <w:r w:rsidR="00163C61" w:rsidRPr="00EA05B3">
        <w:rPr>
          <w:lang w:val="fr-FR"/>
        </w:rPr>
        <w:t xml:space="preserve">de </w:t>
      </w:r>
      <w:r w:rsidR="00D60A11" w:rsidRPr="00EA05B3">
        <w:rPr>
          <w:lang w:val="fr-FR"/>
        </w:rPr>
        <w:t xml:space="preserve">garantie du droit à </w:t>
      </w:r>
      <w:r w:rsidR="009379A7" w:rsidRPr="00EA05B3">
        <w:rPr>
          <w:lang w:val="fr-FR"/>
        </w:rPr>
        <w:t>l’</w:t>
      </w:r>
      <w:r w:rsidR="00D60A11" w:rsidRPr="00EA05B3">
        <w:rPr>
          <w:lang w:val="fr-FR"/>
        </w:rPr>
        <w:t>éducation.</w:t>
      </w:r>
    </w:p>
    <w:p w:rsidR="00D60A11" w:rsidRPr="00EA05B3" w:rsidRDefault="000748EE" w:rsidP="000748EE">
      <w:pPr>
        <w:pStyle w:val="SingleTxtG"/>
        <w:rPr>
          <w:lang w:val="fr-FR"/>
        </w:rPr>
      </w:pPr>
      <w:r w:rsidRPr="00EA05B3">
        <w:rPr>
          <w:lang w:val="fr-FR"/>
        </w:rPr>
        <w:t>47.</w:t>
      </w:r>
      <w:r w:rsidRPr="00EA05B3">
        <w:rPr>
          <w:lang w:val="fr-FR"/>
        </w:rPr>
        <w:tab/>
      </w:r>
      <w:r w:rsidR="00D60A11" w:rsidRPr="00EA05B3">
        <w:rPr>
          <w:lang w:val="fr-FR"/>
        </w:rPr>
        <w:t xml:space="preserve">Cette avancée résulte des politiques qui ont été poursuivies et combinées ces dernières années pour élargir </w:t>
      </w:r>
      <w:r w:rsidR="009379A7" w:rsidRPr="00EA05B3">
        <w:rPr>
          <w:lang w:val="fr-FR"/>
        </w:rPr>
        <w:t>l’</w:t>
      </w:r>
      <w:r w:rsidR="00D60A11" w:rsidRPr="00EA05B3">
        <w:rPr>
          <w:lang w:val="fr-FR"/>
        </w:rPr>
        <w:t>offre éducative, en incorporant les 8</w:t>
      </w:r>
      <w:r w:rsidR="00D60A11" w:rsidRPr="00EA05B3">
        <w:rPr>
          <w:vertAlign w:val="superscript"/>
          <w:lang w:val="fr-FR"/>
        </w:rPr>
        <w:t>e</w:t>
      </w:r>
      <w:r w:rsidR="00D60A11" w:rsidRPr="00EA05B3">
        <w:rPr>
          <w:lang w:val="fr-FR"/>
        </w:rPr>
        <w:t>, 9</w:t>
      </w:r>
      <w:r w:rsidR="00D60A11" w:rsidRPr="00EA05B3">
        <w:rPr>
          <w:vertAlign w:val="superscript"/>
          <w:lang w:val="fr-FR"/>
        </w:rPr>
        <w:t>e</w:t>
      </w:r>
      <w:r w:rsidR="00D60A11" w:rsidRPr="00EA05B3">
        <w:rPr>
          <w:lang w:val="fr-FR"/>
        </w:rPr>
        <w:t xml:space="preserve"> et 10</w:t>
      </w:r>
      <w:r w:rsidR="00D60A11" w:rsidRPr="00EA05B3">
        <w:rPr>
          <w:vertAlign w:val="superscript"/>
          <w:lang w:val="fr-FR"/>
        </w:rPr>
        <w:t>e</w:t>
      </w:r>
      <w:r w:rsidR="00D60A11" w:rsidRPr="00EA05B3">
        <w:rPr>
          <w:lang w:val="fr-FR"/>
        </w:rPr>
        <w:t xml:space="preserve"> années </w:t>
      </w:r>
      <w:r w:rsidR="009379A7" w:rsidRPr="00EA05B3">
        <w:rPr>
          <w:lang w:val="fr-FR"/>
        </w:rPr>
        <w:t>d’</w:t>
      </w:r>
      <w:r w:rsidR="00D60A11" w:rsidRPr="00EA05B3">
        <w:rPr>
          <w:lang w:val="fr-FR"/>
        </w:rPr>
        <w:t xml:space="preserve">études dans les écoles et en réduisant les barrières </w:t>
      </w:r>
      <w:r w:rsidR="009379A7" w:rsidRPr="00EA05B3">
        <w:rPr>
          <w:lang w:val="fr-FR"/>
        </w:rPr>
        <w:t>d’</w:t>
      </w:r>
      <w:r w:rsidR="00D60A11" w:rsidRPr="00EA05B3">
        <w:rPr>
          <w:lang w:val="fr-FR"/>
        </w:rPr>
        <w:t>accès grâce à des mesures de promotion de la gratuité</w:t>
      </w:r>
      <w:r w:rsidR="00AD4AA1" w:rsidRPr="00EA05B3">
        <w:rPr>
          <w:lang w:val="fr-FR"/>
        </w:rPr>
        <w:t xml:space="preserve"> et</w:t>
      </w:r>
      <w:r w:rsidR="00D60A11" w:rsidRPr="00EA05B3">
        <w:rPr>
          <w:lang w:val="fr-FR"/>
        </w:rPr>
        <w:t xml:space="preserve"> de suppression des quotas </w:t>
      </w:r>
      <w:r w:rsidR="00AD4AA1" w:rsidRPr="00EA05B3">
        <w:rPr>
          <w:lang w:val="fr-FR"/>
        </w:rPr>
        <w:t>et à des mesures concernant</w:t>
      </w:r>
      <w:r w:rsidR="009C0A83" w:rsidRPr="00EA05B3">
        <w:rPr>
          <w:lang w:val="fr-FR"/>
        </w:rPr>
        <w:t xml:space="preserve"> </w:t>
      </w:r>
      <w:r w:rsidR="009379A7" w:rsidRPr="00EA05B3">
        <w:rPr>
          <w:lang w:val="fr-FR"/>
        </w:rPr>
        <w:t>l’</w:t>
      </w:r>
      <w:r w:rsidR="00D60A11" w:rsidRPr="00EA05B3">
        <w:rPr>
          <w:lang w:val="fr-FR"/>
        </w:rPr>
        <w:t xml:space="preserve">alimentation et la fourniture de matériel et </w:t>
      </w:r>
      <w:r w:rsidR="009379A7" w:rsidRPr="00EA05B3">
        <w:rPr>
          <w:lang w:val="fr-FR"/>
        </w:rPr>
        <w:t>d’</w:t>
      </w:r>
      <w:r w:rsidR="00D60A11" w:rsidRPr="00EA05B3">
        <w:rPr>
          <w:lang w:val="fr-FR"/>
        </w:rPr>
        <w:t>uniformes scolaires. En outre, les femmes qui bénéficient de la prime de développement humain</w:t>
      </w:r>
      <w:r w:rsidR="00D60A11" w:rsidRPr="00EA05B3">
        <w:rPr>
          <w:rStyle w:val="FootnoteReference"/>
          <w:lang w:val="fr-FR"/>
        </w:rPr>
        <w:footnoteReference w:id="25"/>
      </w:r>
      <w:r w:rsidR="00D60A11" w:rsidRPr="00EA05B3">
        <w:rPr>
          <w:lang w:val="fr-FR"/>
        </w:rPr>
        <w:t xml:space="preserve"> sont tenues </w:t>
      </w:r>
      <w:r w:rsidR="009379A7" w:rsidRPr="00EA05B3">
        <w:rPr>
          <w:lang w:val="fr-FR"/>
        </w:rPr>
        <w:t>d’</w:t>
      </w:r>
      <w:r w:rsidR="00D60A11" w:rsidRPr="00EA05B3">
        <w:rPr>
          <w:lang w:val="fr-FR"/>
        </w:rPr>
        <w:t xml:space="preserve">envoyer et de maintenir leurs enfants à </w:t>
      </w:r>
      <w:r w:rsidR="009379A7" w:rsidRPr="00EA05B3">
        <w:rPr>
          <w:lang w:val="fr-FR"/>
        </w:rPr>
        <w:t>l’</w:t>
      </w:r>
      <w:r w:rsidR="00D60A11" w:rsidRPr="00EA05B3">
        <w:rPr>
          <w:lang w:val="fr-FR"/>
        </w:rPr>
        <w:t>école.</w:t>
      </w:r>
    </w:p>
    <w:p w:rsidR="00D60A11" w:rsidRPr="00EA05B3" w:rsidRDefault="000748EE" w:rsidP="000748EE">
      <w:pPr>
        <w:pStyle w:val="SingleTxtG"/>
        <w:rPr>
          <w:lang w:val="fr-FR"/>
        </w:rPr>
      </w:pPr>
      <w:r w:rsidRPr="00EA05B3">
        <w:rPr>
          <w:lang w:val="fr-FR"/>
        </w:rPr>
        <w:t>48.</w:t>
      </w:r>
      <w:r w:rsidRPr="00EA05B3">
        <w:rPr>
          <w:lang w:val="fr-FR"/>
        </w:rPr>
        <w:tab/>
      </w:r>
      <w:r w:rsidR="00D60A11" w:rsidRPr="00EA05B3">
        <w:rPr>
          <w:lang w:val="fr-FR"/>
        </w:rPr>
        <w:t xml:space="preserve">La prime de développement humain a été </w:t>
      </w:r>
      <w:r w:rsidR="009379A7" w:rsidRPr="00EA05B3">
        <w:rPr>
          <w:lang w:val="fr-FR"/>
        </w:rPr>
        <w:t>l’</w:t>
      </w:r>
      <w:r w:rsidR="00D60A11" w:rsidRPr="00EA05B3">
        <w:rPr>
          <w:lang w:val="fr-FR"/>
        </w:rPr>
        <w:t xml:space="preserve">un des principaux axes </w:t>
      </w:r>
      <w:r w:rsidR="009379A7" w:rsidRPr="00EA05B3">
        <w:rPr>
          <w:lang w:val="fr-FR"/>
        </w:rPr>
        <w:t>d’</w:t>
      </w:r>
      <w:r w:rsidR="00D60A11" w:rsidRPr="00EA05B3">
        <w:rPr>
          <w:lang w:val="fr-FR"/>
        </w:rPr>
        <w:t xml:space="preserve">action de </w:t>
      </w:r>
      <w:r w:rsidR="009379A7" w:rsidRPr="00EA05B3">
        <w:rPr>
          <w:lang w:val="fr-FR"/>
        </w:rPr>
        <w:t>l’</w:t>
      </w:r>
      <w:r w:rsidR="00D60A11" w:rsidRPr="00EA05B3">
        <w:rPr>
          <w:lang w:val="fr-FR"/>
        </w:rPr>
        <w:t xml:space="preserve">État depuis plus de dix ans. Cette prime, dont bénéficient les foyers vivant dans la pauvreté ou </w:t>
      </w:r>
      <w:r w:rsidR="009379A7" w:rsidRPr="00EA05B3">
        <w:rPr>
          <w:lang w:val="fr-FR"/>
        </w:rPr>
        <w:t>l’</w:t>
      </w:r>
      <w:r w:rsidR="00D60A11" w:rsidRPr="00EA05B3">
        <w:rPr>
          <w:lang w:val="fr-FR"/>
        </w:rPr>
        <w:t>extrême pauvreté, est passée de 15 à 35 dollars des États-Unis en 2007</w:t>
      </w:r>
      <w:r w:rsidR="00863740" w:rsidRPr="00EA05B3">
        <w:rPr>
          <w:lang w:val="fr-FR"/>
        </w:rPr>
        <w:t>,</w:t>
      </w:r>
      <w:r w:rsidR="00D60A11" w:rsidRPr="00EA05B3">
        <w:rPr>
          <w:lang w:val="fr-FR"/>
        </w:rPr>
        <w:t xml:space="preserve"> puis de 35 à 50</w:t>
      </w:r>
      <w:r w:rsidR="00863740" w:rsidRPr="00EA05B3">
        <w:rPr>
          <w:lang w:val="fr-FR"/>
        </w:rPr>
        <w:t> </w:t>
      </w:r>
      <w:r w:rsidR="00D60A11" w:rsidRPr="00EA05B3">
        <w:rPr>
          <w:lang w:val="fr-FR"/>
        </w:rPr>
        <w:t>dollars des États-Unis en 2012.</w:t>
      </w:r>
    </w:p>
    <w:p w:rsidR="00D60A11" w:rsidRPr="00EA05B3" w:rsidRDefault="000748EE" w:rsidP="000748EE">
      <w:pPr>
        <w:pStyle w:val="SingleTxtG"/>
        <w:rPr>
          <w:lang w:val="fr-FR"/>
        </w:rPr>
      </w:pPr>
      <w:r w:rsidRPr="00EA05B3">
        <w:rPr>
          <w:lang w:val="fr-FR"/>
        </w:rPr>
        <w:t>49.</w:t>
      </w:r>
      <w:r w:rsidRPr="00EA05B3">
        <w:rPr>
          <w:lang w:val="fr-FR"/>
        </w:rPr>
        <w:tab/>
      </w:r>
      <w:r w:rsidR="00D60A11" w:rsidRPr="00EA05B3">
        <w:rPr>
          <w:lang w:val="fr-FR"/>
        </w:rPr>
        <w:t xml:space="preserve">Le Gouvernement a innové dans ce domaine, en permettant aux bénéficiaires de cette prime </w:t>
      </w:r>
      <w:r w:rsidR="009379A7" w:rsidRPr="00EA05B3">
        <w:rPr>
          <w:lang w:val="fr-FR"/>
        </w:rPr>
        <w:t>d’</w:t>
      </w:r>
      <w:r w:rsidR="00D60A11" w:rsidRPr="00EA05B3">
        <w:rPr>
          <w:lang w:val="fr-FR"/>
        </w:rPr>
        <w:t>emprunter auprès du système financier. Dans le même esprit, la prime de logement a doublé, passant de 1 800 à 3 600 dollars et une prime destinée aux personnes qui prennent soin de personnes handicapées (prime Joaquín Gallegos Lara) a été créée.</w:t>
      </w:r>
    </w:p>
    <w:p w:rsidR="00D60A11" w:rsidRPr="00EA05B3" w:rsidRDefault="000748EE" w:rsidP="000748EE">
      <w:pPr>
        <w:pStyle w:val="SingleTxtG"/>
        <w:rPr>
          <w:lang w:val="fr-FR"/>
        </w:rPr>
      </w:pPr>
      <w:r w:rsidRPr="00EA05B3">
        <w:rPr>
          <w:lang w:val="fr-FR"/>
        </w:rPr>
        <w:t>50.</w:t>
      </w:r>
      <w:r w:rsidRPr="00EA05B3">
        <w:rPr>
          <w:lang w:val="fr-FR"/>
        </w:rPr>
        <w:tab/>
      </w:r>
      <w:r w:rsidR="00D60A11" w:rsidRPr="00EA05B3">
        <w:rPr>
          <w:lang w:val="fr-FR"/>
        </w:rPr>
        <w:t xml:space="preserve">Il convient de souligner que le secteur éducatif a fait </w:t>
      </w:r>
      <w:r w:rsidR="009379A7" w:rsidRPr="00EA05B3">
        <w:rPr>
          <w:lang w:val="fr-FR"/>
        </w:rPr>
        <w:t>l’</w:t>
      </w:r>
      <w:r w:rsidR="00D60A11" w:rsidRPr="00EA05B3">
        <w:rPr>
          <w:lang w:val="fr-FR"/>
        </w:rPr>
        <w:t xml:space="preserve">objet </w:t>
      </w:r>
      <w:r w:rsidR="009379A7" w:rsidRPr="00EA05B3">
        <w:rPr>
          <w:lang w:val="fr-FR"/>
        </w:rPr>
        <w:t>d’</w:t>
      </w:r>
      <w:r w:rsidR="00D60A11" w:rsidRPr="00EA05B3">
        <w:rPr>
          <w:lang w:val="fr-FR"/>
        </w:rPr>
        <w:t xml:space="preserve">un processus de réforme très important à partir de la </w:t>
      </w:r>
      <w:r w:rsidR="00822B6B" w:rsidRPr="00EA05B3">
        <w:rPr>
          <w:lang w:val="fr-FR"/>
        </w:rPr>
        <w:t>moitié</w:t>
      </w:r>
      <w:r w:rsidR="00D60A11" w:rsidRPr="00EA05B3">
        <w:rPr>
          <w:lang w:val="fr-FR"/>
        </w:rPr>
        <w:t xml:space="preserve"> de la dernière décennie. Le Plan décennal de </w:t>
      </w:r>
      <w:r w:rsidR="009379A7" w:rsidRPr="00EA05B3">
        <w:rPr>
          <w:lang w:val="fr-FR"/>
        </w:rPr>
        <w:t>l’</w:t>
      </w:r>
      <w:r w:rsidR="00D60A11" w:rsidRPr="00EA05B3">
        <w:rPr>
          <w:lang w:val="fr-FR"/>
        </w:rPr>
        <w:t>éducation 2006-2015</w:t>
      </w:r>
      <w:r w:rsidR="00D60A11" w:rsidRPr="00EA05B3">
        <w:rPr>
          <w:rStyle w:val="FootnoteReference"/>
          <w:lang w:val="fr-FR"/>
        </w:rPr>
        <w:footnoteReference w:id="26"/>
      </w:r>
      <w:r w:rsidR="00D60A11" w:rsidRPr="00EA05B3">
        <w:rPr>
          <w:lang w:val="fr-FR"/>
        </w:rPr>
        <w:t xml:space="preserve">, approuvé par référendum en novembre 2006, a acquis le statut de politique </w:t>
      </w:r>
      <w:r w:rsidR="009379A7" w:rsidRPr="00EA05B3">
        <w:rPr>
          <w:lang w:val="fr-FR"/>
        </w:rPr>
        <w:t>d’</w:t>
      </w:r>
      <w:r w:rsidR="00D60A11" w:rsidRPr="00EA05B3">
        <w:rPr>
          <w:lang w:val="fr-FR"/>
        </w:rPr>
        <w:t xml:space="preserve">État. </w:t>
      </w:r>
    </w:p>
    <w:p w:rsidR="00D60A11" w:rsidRPr="00EA05B3" w:rsidRDefault="000748EE" w:rsidP="000748EE">
      <w:pPr>
        <w:pStyle w:val="SingleTxtG"/>
        <w:rPr>
          <w:lang w:val="fr-FR"/>
        </w:rPr>
      </w:pPr>
      <w:r w:rsidRPr="00EA05B3">
        <w:rPr>
          <w:lang w:val="fr-FR"/>
        </w:rPr>
        <w:t>51.</w:t>
      </w:r>
      <w:r w:rsidRPr="00EA05B3">
        <w:rPr>
          <w:lang w:val="fr-FR"/>
        </w:rPr>
        <w:tab/>
      </w:r>
      <w:r w:rsidR="00D60A11" w:rsidRPr="00EA05B3">
        <w:rPr>
          <w:lang w:val="fr-FR"/>
        </w:rPr>
        <w:t xml:space="preserve">À la suite de </w:t>
      </w:r>
      <w:r w:rsidR="009379A7" w:rsidRPr="00EA05B3">
        <w:rPr>
          <w:lang w:val="fr-FR"/>
        </w:rPr>
        <w:t>l’</w:t>
      </w:r>
      <w:r w:rsidR="00D60A11" w:rsidRPr="00EA05B3">
        <w:rPr>
          <w:lang w:val="fr-FR"/>
        </w:rPr>
        <w:t xml:space="preserve">approbation et de </w:t>
      </w:r>
      <w:r w:rsidR="009379A7" w:rsidRPr="00EA05B3">
        <w:rPr>
          <w:lang w:val="fr-FR"/>
        </w:rPr>
        <w:t>l’</w:t>
      </w:r>
      <w:r w:rsidR="00D60A11" w:rsidRPr="00EA05B3">
        <w:rPr>
          <w:lang w:val="fr-FR"/>
        </w:rPr>
        <w:t>adoption</w:t>
      </w:r>
      <w:r w:rsidR="00863740" w:rsidRPr="00EA05B3">
        <w:rPr>
          <w:lang w:val="fr-FR"/>
        </w:rPr>
        <w:t xml:space="preserve"> de</w:t>
      </w:r>
      <w:r w:rsidR="00D60A11" w:rsidRPr="00EA05B3">
        <w:rPr>
          <w:lang w:val="fr-FR"/>
        </w:rPr>
        <w:t xml:space="preserve"> la Constitution actuellement en vigueur en 2008, divers instruments législatifs tels que le Plan national pour le bien-vivre et, plus tard, la loi organique relative à </w:t>
      </w:r>
      <w:r w:rsidR="009379A7" w:rsidRPr="00EA05B3">
        <w:rPr>
          <w:lang w:val="fr-FR"/>
        </w:rPr>
        <w:t>l’</w:t>
      </w:r>
      <w:r w:rsidR="0005370C" w:rsidRPr="00EA05B3">
        <w:rPr>
          <w:lang w:val="fr-FR"/>
        </w:rPr>
        <w:t>éducation interculturelle</w:t>
      </w:r>
      <w:r w:rsidR="00D60A11" w:rsidRPr="00EA05B3">
        <w:rPr>
          <w:rStyle w:val="FootnoteReference"/>
          <w:lang w:val="fr-FR"/>
        </w:rPr>
        <w:footnoteReference w:id="27"/>
      </w:r>
      <w:r w:rsidR="00D60A11" w:rsidRPr="00EA05B3">
        <w:rPr>
          <w:lang w:val="fr-FR"/>
        </w:rPr>
        <w:t xml:space="preserve"> (LOEI) ont été adoptés.</w:t>
      </w:r>
    </w:p>
    <w:p w:rsidR="00D60A11" w:rsidRPr="00EA05B3" w:rsidRDefault="000748EE" w:rsidP="000748EE">
      <w:pPr>
        <w:pStyle w:val="SingleTxtG"/>
        <w:rPr>
          <w:lang w:val="fr-FR"/>
        </w:rPr>
      </w:pPr>
      <w:r w:rsidRPr="00EA05B3">
        <w:rPr>
          <w:lang w:val="fr-FR"/>
        </w:rPr>
        <w:t>52.</w:t>
      </w:r>
      <w:r w:rsidRPr="00EA05B3">
        <w:rPr>
          <w:lang w:val="fr-FR"/>
        </w:rPr>
        <w:tab/>
      </w:r>
      <w:r w:rsidR="009379A7" w:rsidRPr="00EA05B3">
        <w:rPr>
          <w:lang w:val="fr-FR"/>
        </w:rPr>
        <w:t>L’</w:t>
      </w:r>
      <w:r w:rsidR="00D60A11" w:rsidRPr="00EA05B3">
        <w:rPr>
          <w:lang w:val="fr-FR"/>
        </w:rPr>
        <w:t xml:space="preserve">action de tous les acteurs du système éducatif national se base sur les principes </w:t>
      </w:r>
      <w:r w:rsidR="009379A7" w:rsidRPr="00EA05B3">
        <w:rPr>
          <w:lang w:val="fr-FR"/>
        </w:rPr>
        <w:t>d’</w:t>
      </w:r>
      <w:r w:rsidR="00D60A11" w:rsidRPr="00EA05B3">
        <w:rPr>
          <w:lang w:val="fr-FR"/>
        </w:rPr>
        <w:t xml:space="preserve">universalité, de gratuité et de qualité de </w:t>
      </w:r>
      <w:r w:rsidR="009379A7" w:rsidRPr="00EA05B3">
        <w:rPr>
          <w:lang w:val="fr-FR"/>
        </w:rPr>
        <w:t>l’</w:t>
      </w:r>
      <w:r w:rsidR="00D60A11" w:rsidRPr="00EA05B3">
        <w:rPr>
          <w:lang w:val="fr-FR"/>
        </w:rPr>
        <w:t xml:space="preserve">éducation. </w:t>
      </w:r>
    </w:p>
    <w:p w:rsidR="00D60A11" w:rsidRPr="00EA05B3" w:rsidRDefault="000748EE" w:rsidP="000748EE">
      <w:pPr>
        <w:pStyle w:val="SingleTxtG"/>
        <w:rPr>
          <w:b/>
          <w:bCs/>
          <w:lang w:val="fr-FR"/>
        </w:rPr>
      </w:pPr>
      <w:r w:rsidRPr="00EA05B3">
        <w:rPr>
          <w:lang w:val="fr-FR"/>
        </w:rPr>
        <w:t>53.</w:t>
      </w:r>
      <w:r w:rsidRPr="00EA05B3">
        <w:rPr>
          <w:lang w:val="fr-FR"/>
        </w:rPr>
        <w:tab/>
      </w:r>
      <w:r w:rsidR="00D60A11" w:rsidRPr="00EA05B3">
        <w:rPr>
          <w:lang w:val="fr-FR"/>
        </w:rPr>
        <w:t xml:space="preserve">Par ailleurs, il convient de souligner </w:t>
      </w:r>
      <w:r w:rsidR="009379A7" w:rsidRPr="00EA05B3">
        <w:rPr>
          <w:lang w:val="fr-FR"/>
        </w:rPr>
        <w:t>qu’</w:t>
      </w:r>
      <w:r w:rsidR="00D60A11" w:rsidRPr="00EA05B3">
        <w:rPr>
          <w:lang w:val="fr-FR"/>
        </w:rPr>
        <w:t xml:space="preserve">outre les inégalités </w:t>
      </w:r>
      <w:r w:rsidR="009379A7" w:rsidRPr="00EA05B3">
        <w:rPr>
          <w:lang w:val="fr-FR"/>
        </w:rPr>
        <w:t>d’</w:t>
      </w:r>
      <w:r w:rsidR="00D60A11" w:rsidRPr="00EA05B3">
        <w:rPr>
          <w:lang w:val="fr-FR"/>
        </w:rPr>
        <w:t xml:space="preserve">accès aux divers niveaux </w:t>
      </w:r>
      <w:r w:rsidR="009379A7" w:rsidRPr="00EA05B3">
        <w:rPr>
          <w:lang w:val="fr-FR"/>
        </w:rPr>
        <w:t>d’</w:t>
      </w:r>
      <w:r w:rsidR="00D60A11" w:rsidRPr="00EA05B3">
        <w:rPr>
          <w:lang w:val="fr-FR"/>
        </w:rPr>
        <w:t xml:space="preserve">enseignement en fonction des zones (rurales ou urbaines) et de </w:t>
      </w:r>
      <w:r w:rsidR="009379A7" w:rsidRPr="00EA05B3">
        <w:rPr>
          <w:lang w:val="fr-FR"/>
        </w:rPr>
        <w:t>l’</w:t>
      </w:r>
      <w:r w:rsidR="00D60A11" w:rsidRPr="00EA05B3">
        <w:rPr>
          <w:lang w:val="fr-FR"/>
        </w:rPr>
        <w:t xml:space="preserve">appartenance ethnique, les écarts ou les obstacles </w:t>
      </w:r>
      <w:r w:rsidR="00163C61" w:rsidRPr="00EA05B3">
        <w:rPr>
          <w:lang w:val="fr-FR"/>
        </w:rPr>
        <w:t>en la matière</w:t>
      </w:r>
      <w:r w:rsidR="00D60A11" w:rsidRPr="00EA05B3">
        <w:rPr>
          <w:lang w:val="fr-FR"/>
        </w:rPr>
        <w:t xml:space="preserve"> persistent principalement dans quatre domaines</w:t>
      </w:r>
      <w:r w:rsidR="00B36EE6" w:rsidRPr="00EA05B3">
        <w:rPr>
          <w:lang w:val="fr-FR"/>
        </w:rPr>
        <w:t>:</w:t>
      </w:r>
      <w:r w:rsidR="00D60A11" w:rsidRPr="00EA05B3">
        <w:rPr>
          <w:lang w:val="fr-FR"/>
        </w:rPr>
        <w:t xml:space="preserve"> a) la brusque diminution du taux de scolarisation à partir de </w:t>
      </w:r>
      <w:r w:rsidR="009379A7" w:rsidRPr="00EA05B3">
        <w:rPr>
          <w:lang w:val="fr-FR"/>
        </w:rPr>
        <w:t>l’</w:t>
      </w:r>
      <w:r w:rsidR="00D60A11" w:rsidRPr="00EA05B3">
        <w:rPr>
          <w:lang w:val="fr-FR"/>
        </w:rPr>
        <w:t>âge de 15 ans</w:t>
      </w:r>
      <w:r w:rsidR="00B36EE6" w:rsidRPr="00EA05B3">
        <w:rPr>
          <w:lang w:val="fr-FR"/>
        </w:rPr>
        <w:t>;</w:t>
      </w:r>
      <w:r w:rsidR="00D60A11" w:rsidRPr="00EA05B3">
        <w:rPr>
          <w:lang w:val="fr-FR"/>
        </w:rPr>
        <w:t xml:space="preserve"> b) le retard scolaire qui compromet à la fois le maintien des enfants et des jeunes dans le système éducatif et </w:t>
      </w:r>
      <w:r w:rsidR="009379A7" w:rsidRPr="00EA05B3">
        <w:rPr>
          <w:lang w:val="fr-FR"/>
        </w:rPr>
        <w:t>l’</w:t>
      </w:r>
      <w:r w:rsidR="00D60A11" w:rsidRPr="00EA05B3">
        <w:rPr>
          <w:lang w:val="fr-FR"/>
        </w:rPr>
        <w:t>inclusion des jeunes qui ne sont pas scolarisés</w:t>
      </w:r>
      <w:r w:rsidR="00B36EE6" w:rsidRPr="00EA05B3">
        <w:rPr>
          <w:lang w:val="fr-FR"/>
        </w:rPr>
        <w:t>;</w:t>
      </w:r>
      <w:r w:rsidR="00D60A11" w:rsidRPr="00EA05B3">
        <w:rPr>
          <w:lang w:val="fr-FR"/>
        </w:rPr>
        <w:t xml:space="preserve"> c</w:t>
      </w:r>
      <w:r w:rsidR="00AD4AA1" w:rsidRPr="00EA05B3">
        <w:rPr>
          <w:lang w:val="fr-FR"/>
        </w:rPr>
        <w:t xml:space="preserve">) </w:t>
      </w:r>
      <w:r w:rsidR="00D60A11" w:rsidRPr="00EA05B3">
        <w:rPr>
          <w:lang w:val="fr-FR"/>
        </w:rPr>
        <w:t xml:space="preserve">la persistance de </w:t>
      </w:r>
      <w:r w:rsidR="009379A7" w:rsidRPr="00EA05B3">
        <w:rPr>
          <w:lang w:val="fr-FR"/>
        </w:rPr>
        <w:t>l’</w:t>
      </w:r>
      <w:r w:rsidR="00D60A11" w:rsidRPr="00EA05B3">
        <w:rPr>
          <w:lang w:val="fr-FR"/>
        </w:rPr>
        <w:t>analphabétisme chez les femmes autochtones</w:t>
      </w:r>
      <w:r w:rsidR="00B36EE6" w:rsidRPr="00EA05B3">
        <w:rPr>
          <w:lang w:val="fr-FR"/>
        </w:rPr>
        <w:t>;</w:t>
      </w:r>
      <w:r w:rsidR="00D60A11" w:rsidRPr="00EA05B3">
        <w:rPr>
          <w:lang w:val="fr-FR"/>
        </w:rPr>
        <w:t xml:space="preserve"> et d)</w:t>
      </w:r>
      <w:r w:rsidR="00AD4AA1" w:rsidRPr="00EA05B3">
        <w:rPr>
          <w:lang w:val="fr-FR"/>
        </w:rPr>
        <w:t xml:space="preserve"> </w:t>
      </w:r>
      <w:r w:rsidR="00D60A11" w:rsidRPr="00EA05B3">
        <w:rPr>
          <w:lang w:val="fr-FR"/>
        </w:rPr>
        <w:t>la nette différence de durée de scolarisation entre la population des zones urbaines et celle des zones</w:t>
      </w:r>
      <w:r w:rsidR="000D57A5" w:rsidRPr="00EA05B3">
        <w:rPr>
          <w:lang w:val="fr-FR"/>
        </w:rPr>
        <w:t xml:space="preserve"> </w:t>
      </w:r>
      <w:r w:rsidR="00D60A11" w:rsidRPr="00EA05B3">
        <w:rPr>
          <w:lang w:val="fr-FR"/>
        </w:rPr>
        <w:t xml:space="preserve">rurales. </w:t>
      </w:r>
    </w:p>
    <w:p w:rsidR="00D60A11" w:rsidRPr="00EA05B3" w:rsidRDefault="000748EE" w:rsidP="000748EE">
      <w:pPr>
        <w:pStyle w:val="SingleTxtG"/>
        <w:rPr>
          <w:b/>
          <w:bCs/>
          <w:lang w:val="fr-FR"/>
        </w:rPr>
      </w:pPr>
      <w:r w:rsidRPr="00EA05B3">
        <w:rPr>
          <w:lang w:val="fr-FR"/>
        </w:rPr>
        <w:t>54.</w:t>
      </w:r>
      <w:r w:rsidRPr="00EA05B3">
        <w:rPr>
          <w:lang w:val="fr-FR"/>
        </w:rPr>
        <w:tab/>
      </w:r>
      <w:r w:rsidR="00D60A11" w:rsidRPr="00EA05B3">
        <w:rPr>
          <w:lang w:val="fr-FR"/>
        </w:rPr>
        <w:t xml:space="preserve">Toutefois, malgré les progrès accomplis en ce qui concerne </w:t>
      </w:r>
      <w:r w:rsidR="009379A7" w:rsidRPr="00EA05B3">
        <w:rPr>
          <w:lang w:val="fr-FR"/>
        </w:rPr>
        <w:t>l’</w:t>
      </w:r>
      <w:r w:rsidR="00D60A11" w:rsidRPr="00EA05B3">
        <w:rPr>
          <w:lang w:val="fr-FR"/>
        </w:rPr>
        <w:t xml:space="preserve">accès (quasi universel) à </w:t>
      </w:r>
      <w:r w:rsidR="009379A7" w:rsidRPr="00EA05B3">
        <w:rPr>
          <w:lang w:val="fr-FR"/>
        </w:rPr>
        <w:t>l’</w:t>
      </w:r>
      <w:r w:rsidR="00D60A11" w:rsidRPr="00EA05B3">
        <w:rPr>
          <w:lang w:val="fr-FR"/>
        </w:rPr>
        <w:t xml:space="preserve">enseignement primaire et </w:t>
      </w:r>
      <w:r w:rsidR="009379A7" w:rsidRPr="00EA05B3">
        <w:rPr>
          <w:lang w:val="fr-FR"/>
        </w:rPr>
        <w:t>l’</w:t>
      </w:r>
      <w:r w:rsidR="00D60A11" w:rsidRPr="00EA05B3">
        <w:rPr>
          <w:lang w:val="fr-FR"/>
        </w:rPr>
        <w:t xml:space="preserve">accès au lycée, des problèmes et des inégalités subsistent au sein du système éducatif et se traduisent par une baisse drastique des </w:t>
      </w:r>
      <w:r w:rsidR="00147F1A" w:rsidRPr="00EA05B3">
        <w:rPr>
          <w:lang w:val="fr-FR"/>
        </w:rPr>
        <w:t>taux de scolarité</w:t>
      </w:r>
      <w:r w:rsidR="00D60A11" w:rsidRPr="00EA05B3">
        <w:rPr>
          <w:lang w:val="fr-FR"/>
        </w:rPr>
        <w:t xml:space="preserve"> à partir de </w:t>
      </w:r>
      <w:r w:rsidR="009379A7" w:rsidRPr="00EA05B3">
        <w:rPr>
          <w:lang w:val="fr-FR"/>
        </w:rPr>
        <w:t>l’</w:t>
      </w:r>
      <w:r w:rsidR="00D60A11" w:rsidRPr="00EA05B3">
        <w:rPr>
          <w:lang w:val="fr-FR"/>
        </w:rPr>
        <w:t>âge de 15 ans.</w:t>
      </w:r>
    </w:p>
    <w:p w:rsidR="00D60A11" w:rsidRPr="00EA05B3" w:rsidRDefault="000748EE" w:rsidP="000748EE">
      <w:pPr>
        <w:pStyle w:val="SingleTxtG"/>
        <w:rPr>
          <w:lang w:val="fr-FR"/>
        </w:rPr>
      </w:pPr>
      <w:r w:rsidRPr="00EA05B3">
        <w:rPr>
          <w:lang w:val="fr-FR"/>
        </w:rPr>
        <w:t>55.</w:t>
      </w:r>
      <w:r w:rsidRPr="00EA05B3">
        <w:rPr>
          <w:lang w:val="fr-FR"/>
        </w:rPr>
        <w:tab/>
      </w:r>
      <w:r w:rsidR="00D60A11" w:rsidRPr="00EA05B3">
        <w:rPr>
          <w:lang w:val="fr-FR"/>
        </w:rPr>
        <w:t>Les données du dernier recensement de 2010 montrent que chez les jeunes de</w:t>
      </w:r>
      <w:r w:rsidR="00163C61" w:rsidRPr="00EA05B3">
        <w:rPr>
          <w:lang w:val="fr-FR"/>
        </w:rPr>
        <w:t xml:space="preserve"> </w:t>
      </w:r>
      <w:r w:rsidR="00D60A11" w:rsidRPr="00EA05B3">
        <w:rPr>
          <w:lang w:val="fr-FR"/>
        </w:rPr>
        <w:t xml:space="preserve">15 ans à 18 ans, </w:t>
      </w:r>
      <w:r w:rsidR="009379A7" w:rsidRPr="00EA05B3">
        <w:rPr>
          <w:lang w:val="fr-FR"/>
        </w:rPr>
        <w:t>l</w:t>
      </w:r>
      <w:r w:rsidR="00163C61" w:rsidRPr="00EA05B3">
        <w:rPr>
          <w:lang w:val="fr-FR"/>
        </w:rPr>
        <w:t xml:space="preserve">es </w:t>
      </w:r>
      <w:r w:rsidR="00D60A11" w:rsidRPr="00EA05B3">
        <w:rPr>
          <w:lang w:val="fr-FR"/>
        </w:rPr>
        <w:t>inscription</w:t>
      </w:r>
      <w:r w:rsidR="00163C61" w:rsidRPr="00EA05B3">
        <w:rPr>
          <w:lang w:val="fr-FR"/>
        </w:rPr>
        <w:t>s</w:t>
      </w:r>
      <w:r w:rsidR="00D60A11" w:rsidRPr="00EA05B3">
        <w:rPr>
          <w:lang w:val="fr-FR"/>
        </w:rPr>
        <w:t xml:space="preserve"> scolaire</w:t>
      </w:r>
      <w:r w:rsidR="00163C61" w:rsidRPr="00EA05B3">
        <w:rPr>
          <w:lang w:val="fr-FR"/>
        </w:rPr>
        <w:t>s</w:t>
      </w:r>
      <w:r w:rsidR="00D60A11" w:rsidRPr="00EA05B3">
        <w:rPr>
          <w:lang w:val="fr-FR"/>
        </w:rPr>
        <w:t xml:space="preserve"> baisse</w:t>
      </w:r>
      <w:r w:rsidR="00163C61" w:rsidRPr="00EA05B3">
        <w:rPr>
          <w:lang w:val="fr-FR"/>
        </w:rPr>
        <w:t>nt</w:t>
      </w:r>
      <w:r w:rsidR="00D60A11" w:rsidRPr="00EA05B3">
        <w:rPr>
          <w:lang w:val="fr-FR"/>
        </w:rPr>
        <w:t xml:space="preserve"> </w:t>
      </w:r>
      <w:r w:rsidR="009379A7" w:rsidRPr="00EA05B3">
        <w:rPr>
          <w:lang w:val="fr-FR"/>
        </w:rPr>
        <w:t>d’</w:t>
      </w:r>
      <w:r w:rsidR="00D60A11" w:rsidRPr="00EA05B3">
        <w:rPr>
          <w:lang w:val="fr-FR"/>
        </w:rPr>
        <w:t>au moins 30</w:t>
      </w:r>
      <w:r w:rsidR="009379A7" w:rsidRPr="00EA05B3">
        <w:rPr>
          <w:lang w:val="fr-FR"/>
        </w:rPr>
        <w:t> %</w:t>
      </w:r>
      <w:r w:rsidR="00D60A11" w:rsidRPr="00EA05B3">
        <w:rPr>
          <w:lang w:val="fr-FR"/>
        </w:rPr>
        <w:t xml:space="preserve">. Ce chiffre pose le problème de </w:t>
      </w:r>
      <w:r w:rsidR="009379A7" w:rsidRPr="00EA05B3">
        <w:rPr>
          <w:lang w:val="fr-FR"/>
        </w:rPr>
        <w:t>l’</w:t>
      </w:r>
      <w:r w:rsidR="00D60A11" w:rsidRPr="00EA05B3">
        <w:rPr>
          <w:lang w:val="fr-FR"/>
        </w:rPr>
        <w:t xml:space="preserve">accès au lycée, en fonction de divers </w:t>
      </w:r>
      <w:r w:rsidR="00163C61" w:rsidRPr="00EA05B3">
        <w:rPr>
          <w:lang w:val="fr-FR"/>
        </w:rPr>
        <w:t>paramètres tels que</w:t>
      </w:r>
      <w:r w:rsidR="00D60A11" w:rsidRPr="00EA05B3">
        <w:rPr>
          <w:lang w:val="fr-FR"/>
        </w:rPr>
        <w:t xml:space="preserve"> </w:t>
      </w:r>
      <w:r w:rsidR="009379A7" w:rsidRPr="00EA05B3">
        <w:rPr>
          <w:lang w:val="fr-FR"/>
        </w:rPr>
        <w:t>l’</w:t>
      </w:r>
      <w:r w:rsidR="00D60A11" w:rsidRPr="00EA05B3">
        <w:rPr>
          <w:lang w:val="fr-FR"/>
        </w:rPr>
        <w:t xml:space="preserve">âge, </w:t>
      </w:r>
      <w:r w:rsidR="00163C61" w:rsidRPr="00EA05B3">
        <w:rPr>
          <w:lang w:val="fr-FR"/>
        </w:rPr>
        <w:t xml:space="preserve">les particularités </w:t>
      </w:r>
      <w:r w:rsidR="00D60A11" w:rsidRPr="00EA05B3">
        <w:rPr>
          <w:lang w:val="fr-FR"/>
        </w:rPr>
        <w:t xml:space="preserve">et </w:t>
      </w:r>
      <w:r w:rsidR="00163C61" w:rsidRPr="00EA05B3">
        <w:rPr>
          <w:lang w:val="fr-FR"/>
        </w:rPr>
        <w:t xml:space="preserve">les </w:t>
      </w:r>
      <w:r w:rsidR="00D60A11" w:rsidRPr="00EA05B3">
        <w:rPr>
          <w:lang w:val="fr-FR"/>
        </w:rPr>
        <w:t xml:space="preserve">besoins éducatifs. </w:t>
      </w:r>
      <w:r w:rsidR="009379A7" w:rsidRPr="00EA05B3">
        <w:rPr>
          <w:lang w:val="fr-FR"/>
        </w:rPr>
        <w:t>L’</w:t>
      </w:r>
      <w:r w:rsidR="00D60A11" w:rsidRPr="00EA05B3">
        <w:rPr>
          <w:lang w:val="fr-FR"/>
        </w:rPr>
        <w:t xml:space="preserve">accès universel au lycée </w:t>
      </w:r>
      <w:r w:rsidR="00163C61" w:rsidRPr="00EA05B3">
        <w:rPr>
          <w:lang w:val="fr-FR"/>
        </w:rPr>
        <w:t xml:space="preserve">constitue </w:t>
      </w:r>
      <w:r w:rsidR="00D60A11" w:rsidRPr="00EA05B3">
        <w:rPr>
          <w:lang w:val="fr-FR"/>
        </w:rPr>
        <w:t>un objectif à court et à moyen terme.</w:t>
      </w:r>
    </w:p>
    <w:p w:rsidR="00D60A11" w:rsidRPr="00EA05B3" w:rsidRDefault="000748EE" w:rsidP="000748EE">
      <w:pPr>
        <w:pStyle w:val="SingleTxtG"/>
        <w:rPr>
          <w:b/>
          <w:bCs/>
          <w:lang w:val="fr-FR"/>
        </w:rPr>
      </w:pPr>
      <w:r w:rsidRPr="00EA05B3">
        <w:rPr>
          <w:lang w:val="fr-FR"/>
        </w:rPr>
        <w:t>56.</w:t>
      </w:r>
      <w:r w:rsidRPr="00EA05B3">
        <w:rPr>
          <w:lang w:val="fr-FR"/>
        </w:rPr>
        <w:tab/>
      </w:r>
      <w:r w:rsidR="00D60A11" w:rsidRPr="00EA05B3">
        <w:rPr>
          <w:lang w:val="fr-FR"/>
        </w:rPr>
        <w:t xml:space="preserve">Le taux net </w:t>
      </w:r>
      <w:r w:rsidR="009379A7" w:rsidRPr="00EA05B3">
        <w:rPr>
          <w:lang w:val="fr-FR"/>
        </w:rPr>
        <w:t>d’</w:t>
      </w:r>
      <w:r w:rsidR="00D60A11" w:rsidRPr="00EA05B3">
        <w:rPr>
          <w:lang w:val="fr-FR"/>
        </w:rPr>
        <w:t>analphabétisme chez les femmes autochtones de plus de 15 ans est passé de 9</w:t>
      </w:r>
      <w:r w:rsidR="009379A7" w:rsidRPr="00EA05B3">
        <w:rPr>
          <w:lang w:val="fr-FR"/>
        </w:rPr>
        <w:t> %</w:t>
      </w:r>
      <w:r w:rsidR="00D60A11" w:rsidRPr="00EA05B3">
        <w:rPr>
          <w:lang w:val="fr-FR"/>
        </w:rPr>
        <w:t xml:space="preserve"> en 2001 à 6,8</w:t>
      </w:r>
      <w:r w:rsidR="009379A7" w:rsidRPr="00EA05B3">
        <w:rPr>
          <w:lang w:val="fr-FR"/>
        </w:rPr>
        <w:t> %</w:t>
      </w:r>
      <w:r w:rsidR="00D60A11" w:rsidRPr="00EA05B3">
        <w:rPr>
          <w:lang w:val="fr-FR"/>
        </w:rPr>
        <w:t xml:space="preserve"> en 2010</w:t>
      </w:r>
      <w:r w:rsidR="00D60A11" w:rsidRPr="00EA05B3">
        <w:rPr>
          <w:rStyle w:val="FootnoteReference"/>
          <w:lang w:val="fr-FR"/>
        </w:rPr>
        <w:footnoteReference w:id="28"/>
      </w:r>
      <w:r w:rsidR="00D60A11" w:rsidRPr="00EA05B3">
        <w:rPr>
          <w:lang w:val="fr-FR"/>
        </w:rPr>
        <w:t xml:space="preserve">. Toutefois, </w:t>
      </w:r>
      <w:r w:rsidR="009379A7" w:rsidRPr="00EA05B3">
        <w:rPr>
          <w:lang w:val="fr-FR"/>
        </w:rPr>
        <w:t>l’</w:t>
      </w:r>
      <w:r w:rsidR="00D60A11" w:rsidRPr="00EA05B3">
        <w:rPr>
          <w:lang w:val="fr-FR"/>
        </w:rPr>
        <w:t xml:space="preserve">écart entre les zones urbaines et les zones rurales </w:t>
      </w:r>
      <w:r w:rsidR="009379A7" w:rsidRPr="00EA05B3">
        <w:rPr>
          <w:lang w:val="fr-FR"/>
        </w:rPr>
        <w:t>n’</w:t>
      </w:r>
      <w:r w:rsidR="00D60A11" w:rsidRPr="00EA05B3">
        <w:rPr>
          <w:lang w:val="fr-FR"/>
        </w:rPr>
        <w:t>a pratiquement pas changé</w:t>
      </w:r>
      <w:r w:rsidR="00B36EE6" w:rsidRPr="00EA05B3">
        <w:rPr>
          <w:lang w:val="fr-FR"/>
        </w:rPr>
        <w:t>:</w:t>
      </w:r>
      <w:r w:rsidR="00D60A11" w:rsidRPr="00EA05B3">
        <w:rPr>
          <w:lang w:val="fr-FR"/>
        </w:rPr>
        <w:t xml:space="preserve"> 12,9</w:t>
      </w:r>
      <w:r w:rsidR="009379A7" w:rsidRPr="00EA05B3">
        <w:rPr>
          <w:lang w:val="fr-FR"/>
        </w:rPr>
        <w:t> %</w:t>
      </w:r>
      <w:r w:rsidR="00D60A11" w:rsidRPr="00EA05B3">
        <w:rPr>
          <w:lang w:val="fr-FR"/>
        </w:rPr>
        <w:t xml:space="preserve"> de la population rurale est analphabète, contre 3,8</w:t>
      </w:r>
      <w:r w:rsidR="009379A7" w:rsidRPr="00EA05B3">
        <w:rPr>
          <w:lang w:val="fr-FR"/>
        </w:rPr>
        <w:t> %</w:t>
      </w:r>
      <w:r w:rsidR="00D60A11" w:rsidRPr="00EA05B3">
        <w:rPr>
          <w:lang w:val="fr-FR"/>
        </w:rPr>
        <w:t xml:space="preserve"> de la population des centres urbains</w:t>
      </w:r>
      <w:r w:rsidR="00D60A11" w:rsidRPr="00EA05B3">
        <w:rPr>
          <w:rStyle w:val="FootnoteReference"/>
          <w:lang w:val="fr-FR"/>
        </w:rPr>
        <w:footnoteReference w:id="29"/>
      </w:r>
      <w:r w:rsidR="00D60A11" w:rsidRPr="00EA05B3">
        <w:rPr>
          <w:lang w:val="fr-FR"/>
        </w:rPr>
        <w:t>.</w:t>
      </w:r>
    </w:p>
    <w:p w:rsidR="00D60A11" w:rsidRPr="00EA05B3" w:rsidRDefault="00301DCD" w:rsidP="00301DCD">
      <w:pPr>
        <w:pStyle w:val="H1G"/>
        <w:rPr>
          <w:lang w:val="fr-FR"/>
        </w:rPr>
      </w:pPr>
      <w:bookmarkStart w:id="5" w:name="_Toc392676779"/>
      <w:r w:rsidRPr="00EA05B3">
        <w:rPr>
          <w:lang w:val="fr-FR"/>
        </w:rPr>
        <w:tab/>
        <w:t>B.</w:t>
      </w:r>
      <w:r w:rsidRPr="00EA05B3">
        <w:rPr>
          <w:lang w:val="fr-FR"/>
        </w:rPr>
        <w:tab/>
        <w:t>Droit à la santé</w:t>
      </w:r>
      <w:bookmarkEnd w:id="5"/>
    </w:p>
    <w:p w:rsidR="00D60A11" w:rsidRPr="00EA05B3" w:rsidRDefault="000748EE" w:rsidP="000748EE">
      <w:pPr>
        <w:pStyle w:val="SingleTxtG"/>
        <w:rPr>
          <w:lang w:val="fr-FR"/>
        </w:rPr>
      </w:pPr>
      <w:r w:rsidRPr="00EA05B3">
        <w:rPr>
          <w:lang w:val="fr-FR"/>
        </w:rPr>
        <w:t>57.</w:t>
      </w:r>
      <w:r w:rsidRPr="00EA05B3">
        <w:rPr>
          <w:lang w:val="fr-FR"/>
        </w:rPr>
        <w:tab/>
      </w:r>
      <w:r w:rsidR="00D60A11" w:rsidRPr="00EA05B3">
        <w:rPr>
          <w:lang w:val="fr-FR"/>
        </w:rPr>
        <w:t xml:space="preserve">Entre 1990 et 2006, les dépenses publiques de santé de </w:t>
      </w:r>
      <w:r w:rsidR="009379A7" w:rsidRPr="00EA05B3">
        <w:rPr>
          <w:lang w:val="fr-FR"/>
        </w:rPr>
        <w:t>l’</w:t>
      </w:r>
      <w:r w:rsidR="00D60A11" w:rsidRPr="00EA05B3">
        <w:rPr>
          <w:lang w:val="fr-FR"/>
        </w:rPr>
        <w:t>Équateur se sont maintenues à un niveau proche de 1</w:t>
      </w:r>
      <w:r w:rsidR="009379A7" w:rsidRPr="00EA05B3">
        <w:rPr>
          <w:lang w:val="fr-FR"/>
        </w:rPr>
        <w:t> %</w:t>
      </w:r>
      <w:r w:rsidR="00D60A11" w:rsidRPr="00EA05B3">
        <w:rPr>
          <w:lang w:val="fr-FR"/>
        </w:rPr>
        <w:t xml:space="preserve"> du PIB, plaçant le pays à une des dernières positions en Amérique latine</w:t>
      </w:r>
      <w:r w:rsidR="00D60A11" w:rsidRPr="00EA05B3">
        <w:rPr>
          <w:rStyle w:val="FootnoteReference"/>
          <w:lang w:val="fr-FR"/>
        </w:rPr>
        <w:footnoteReference w:id="30"/>
      </w:r>
      <w:r w:rsidR="00D60A11" w:rsidRPr="00EA05B3">
        <w:rPr>
          <w:lang w:val="fr-FR"/>
        </w:rPr>
        <w:t xml:space="preserve">. À partir de 2007, les dépenses sociales ont considérablement augmenté, y compris en matière </w:t>
      </w:r>
      <w:r w:rsidR="009379A7" w:rsidRPr="00EA05B3">
        <w:rPr>
          <w:lang w:val="fr-FR"/>
        </w:rPr>
        <w:t>d’</w:t>
      </w:r>
      <w:r w:rsidR="00D60A11" w:rsidRPr="00EA05B3">
        <w:rPr>
          <w:lang w:val="fr-FR"/>
        </w:rPr>
        <w:t>éducation et de santé.</w:t>
      </w:r>
    </w:p>
    <w:p w:rsidR="00D60A11" w:rsidRPr="00EA05B3" w:rsidRDefault="000748EE" w:rsidP="000748EE">
      <w:pPr>
        <w:pStyle w:val="SingleTxtG"/>
        <w:rPr>
          <w:lang w:val="fr-FR"/>
        </w:rPr>
      </w:pPr>
      <w:r w:rsidRPr="00EA05B3">
        <w:rPr>
          <w:lang w:val="fr-FR"/>
        </w:rPr>
        <w:t>58.</w:t>
      </w:r>
      <w:r w:rsidRPr="00EA05B3">
        <w:rPr>
          <w:lang w:val="fr-FR"/>
        </w:rPr>
        <w:tab/>
      </w:r>
      <w:r w:rsidR="00D60A11" w:rsidRPr="00EA05B3">
        <w:rPr>
          <w:lang w:val="fr-FR"/>
        </w:rPr>
        <w:t>Le pourcentage de la population qui ne bénéficie pas de services de santé au niveau des paroisses est passé de 6,4</w:t>
      </w:r>
      <w:r w:rsidR="009379A7" w:rsidRPr="00EA05B3">
        <w:rPr>
          <w:lang w:val="fr-FR"/>
        </w:rPr>
        <w:t> %</w:t>
      </w:r>
      <w:r w:rsidR="00D60A11" w:rsidRPr="00EA05B3">
        <w:rPr>
          <w:lang w:val="fr-FR"/>
        </w:rPr>
        <w:t xml:space="preserve"> en 1990 à 1,5</w:t>
      </w:r>
      <w:r w:rsidR="009379A7" w:rsidRPr="00EA05B3">
        <w:rPr>
          <w:lang w:val="fr-FR"/>
        </w:rPr>
        <w:t> %</w:t>
      </w:r>
      <w:r w:rsidR="00D60A11" w:rsidRPr="00EA05B3">
        <w:rPr>
          <w:lang w:val="fr-FR"/>
        </w:rPr>
        <w:t xml:space="preserve"> en 2001 et à 0,6</w:t>
      </w:r>
      <w:r w:rsidR="009379A7" w:rsidRPr="00EA05B3">
        <w:rPr>
          <w:lang w:val="fr-FR"/>
        </w:rPr>
        <w:t> %</w:t>
      </w:r>
      <w:r w:rsidR="00D60A11" w:rsidRPr="00EA05B3">
        <w:rPr>
          <w:lang w:val="fr-FR"/>
        </w:rPr>
        <w:t xml:space="preserve"> en 2010. Toutefois, 84 000 personnes ne bénéficiaient toujours pas de ce type de services en 2010</w:t>
      </w:r>
      <w:r w:rsidR="00B36EE6" w:rsidRPr="00EA05B3">
        <w:rPr>
          <w:lang w:val="fr-FR"/>
        </w:rPr>
        <w:t>:</w:t>
      </w:r>
      <w:r w:rsidR="00D60A11" w:rsidRPr="00EA05B3">
        <w:rPr>
          <w:lang w:val="fr-FR"/>
        </w:rPr>
        <w:t xml:space="preserve"> plus de la moitié </w:t>
      </w:r>
      <w:r w:rsidR="00163C61" w:rsidRPr="00EA05B3">
        <w:rPr>
          <w:lang w:val="fr-FR"/>
        </w:rPr>
        <w:t xml:space="preserve">vivent </w:t>
      </w:r>
      <w:r w:rsidR="00D60A11" w:rsidRPr="00EA05B3">
        <w:rPr>
          <w:lang w:val="fr-FR"/>
        </w:rPr>
        <w:t>dans la région montagneuse (Sierra) et le reste dans la région côtière (Costa) et la région amazonienne.</w:t>
      </w:r>
    </w:p>
    <w:p w:rsidR="00D60A11" w:rsidRPr="00EA05B3" w:rsidRDefault="000748EE" w:rsidP="000748EE">
      <w:pPr>
        <w:pStyle w:val="SingleTxtG"/>
        <w:rPr>
          <w:lang w:val="fr-FR"/>
        </w:rPr>
      </w:pPr>
      <w:r w:rsidRPr="00EA05B3">
        <w:rPr>
          <w:lang w:val="fr-FR"/>
        </w:rPr>
        <w:t>59.</w:t>
      </w:r>
      <w:r w:rsidRPr="00EA05B3">
        <w:rPr>
          <w:lang w:val="fr-FR"/>
        </w:rPr>
        <w:tab/>
      </w:r>
      <w:r w:rsidR="00D60A11" w:rsidRPr="00EA05B3">
        <w:rPr>
          <w:lang w:val="fr-FR"/>
        </w:rPr>
        <w:t xml:space="preserve">La couverture et la qualité de la santé publique </w:t>
      </w:r>
      <w:r w:rsidR="00FC23E5" w:rsidRPr="00EA05B3">
        <w:rPr>
          <w:lang w:val="fr-FR"/>
        </w:rPr>
        <w:t xml:space="preserve">ont </w:t>
      </w:r>
      <w:r w:rsidR="00D60A11" w:rsidRPr="00EA05B3">
        <w:rPr>
          <w:lang w:val="fr-FR"/>
        </w:rPr>
        <w:t>été considérablement améliorée</w:t>
      </w:r>
      <w:r w:rsidR="00FC23E5" w:rsidRPr="00EA05B3">
        <w:rPr>
          <w:lang w:val="fr-FR"/>
        </w:rPr>
        <w:t>s</w:t>
      </w:r>
      <w:r w:rsidR="00D60A11" w:rsidRPr="00EA05B3">
        <w:rPr>
          <w:lang w:val="fr-FR"/>
        </w:rPr>
        <w:t>. Entre 2001 et 2010, on est passé de 37 à 50 médecins pour 10 000 habitants.</w:t>
      </w:r>
      <w:r w:rsidR="000D57A5" w:rsidRPr="00EA05B3">
        <w:rPr>
          <w:lang w:val="fr-FR"/>
        </w:rPr>
        <w:t xml:space="preserve"> </w:t>
      </w:r>
    </w:p>
    <w:p w:rsidR="00D60A11" w:rsidRPr="00EA05B3" w:rsidRDefault="000748EE" w:rsidP="000748EE">
      <w:pPr>
        <w:pStyle w:val="SingleTxtG"/>
        <w:rPr>
          <w:lang w:val="fr-FR"/>
        </w:rPr>
      </w:pPr>
      <w:r w:rsidRPr="00EA05B3">
        <w:rPr>
          <w:lang w:val="fr-FR"/>
        </w:rPr>
        <w:t>60.</w:t>
      </w:r>
      <w:r w:rsidRPr="00EA05B3">
        <w:rPr>
          <w:lang w:val="fr-FR"/>
        </w:rPr>
        <w:tab/>
      </w:r>
      <w:r w:rsidR="009379A7" w:rsidRPr="00EA05B3">
        <w:rPr>
          <w:lang w:val="fr-FR"/>
        </w:rPr>
        <w:t>L’</w:t>
      </w:r>
      <w:r w:rsidR="00D60A11" w:rsidRPr="00EA05B3">
        <w:rPr>
          <w:lang w:val="fr-FR"/>
        </w:rPr>
        <w:t xml:space="preserve">écart entre les zones rurales et les zones urbaines en ce qui concerne </w:t>
      </w:r>
      <w:r w:rsidR="009379A7" w:rsidRPr="00EA05B3">
        <w:rPr>
          <w:lang w:val="fr-FR"/>
        </w:rPr>
        <w:t>l’</w:t>
      </w:r>
      <w:r w:rsidR="00D60A11" w:rsidRPr="00EA05B3">
        <w:rPr>
          <w:lang w:val="fr-FR"/>
        </w:rPr>
        <w:t xml:space="preserve">accès aux services de santé a également été réduit, même </w:t>
      </w:r>
      <w:r w:rsidR="009379A7" w:rsidRPr="00EA05B3">
        <w:rPr>
          <w:lang w:val="fr-FR"/>
        </w:rPr>
        <w:t>s’</w:t>
      </w:r>
      <w:r w:rsidR="00D60A11" w:rsidRPr="00EA05B3">
        <w:rPr>
          <w:lang w:val="fr-FR"/>
        </w:rPr>
        <w:t>il demeure important.</w:t>
      </w:r>
    </w:p>
    <w:p w:rsidR="00D60A11" w:rsidRPr="00EA05B3" w:rsidRDefault="000748EE" w:rsidP="000748EE">
      <w:pPr>
        <w:pStyle w:val="SingleTxtG"/>
        <w:rPr>
          <w:lang w:val="fr-FR"/>
        </w:rPr>
      </w:pPr>
      <w:r w:rsidRPr="00EA05B3">
        <w:rPr>
          <w:lang w:val="fr-FR"/>
        </w:rPr>
        <w:t>61.</w:t>
      </w:r>
      <w:r w:rsidRPr="00EA05B3">
        <w:rPr>
          <w:lang w:val="fr-FR"/>
        </w:rPr>
        <w:tab/>
      </w:r>
      <w:r w:rsidR="00D60A11" w:rsidRPr="00EA05B3">
        <w:rPr>
          <w:lang w:val="fr-FR"/>
        </w:rPr>
        <w:t xml:space="preserve">Bien que la couverture des services de santé se soit considérablement améliorée, que les coûts de ces services pour les classes populaires aient baissé et que la qualité des soins ait augmenté, des inégalités sociales </w:t>
      </w:r>
      <w:r w:rsidR="00163C61" w:rsidRPr="00EA05B3">
        <w:rPr>
          <w:lang w:val="fr-FR"/>
        </w:rPr>
        <w:t xml:space="preserve">vis-à-vis de l’accès à la santé </w:t>
      </w:r>
      <w:r w:rsidR="00D60A11" w:rsidRPr="00EA05B3">
        <w:rPr>
          <w:lang w:val="fr-FR"/>
        </w:rPr>
        <w:t>existent encore</w:t>
      </w:r>
      <w:r w:rsidR="00163C61" w:rsidRPr="00EA05B3">
        <w:rPr>
          <w:lang w:val="fr-FR"/>
        </w:rPr>
        <w:t xml:space="preserve"> </w:t>
      </w:r>
      <w:r w:rsidR="00D60A11" w:rsidRPr="00EA05B3">
        <w:rPr>
          <w:lang w:val="fr-FR"/>
        </w:rPr>
        <w:t>entre les zones urbaines et les zones</w:t>
      </w:r>
      <w:r w:rsidR="00163C61" w:rsidRPr="00EA05B3">
        <w:rPr>
          <w:lang w:val="fr-FR"/>
        </w:rPr>
        <w:t xml:space="preserve"> rurales, même si elles ont été atténuées</w:t>
      </w:r>
      <w:r w:rsidR="00D60A11" w:rsidRPr="00EA05B3">
        <w:rPr>
          <w:lang w:val="fr-FR"/>
        </w:rPr>
        <w:t>.</w:t>
      </w:r>
    </w:p>
    <w:p w:rsidR="00D60A11" w:rsidRPr="00EA05B3" w:rsidRDefault="000748EE" w:rsidP="000748EE">
      <w:pPr>
        <w:pStyle w:val="SingleTxtG"/>
        <w:rPr>
          <w:lang w:val="fr-FR"/>
        </w:rPr>
      </w:pPr>
      <w:r w:rsidRPr="00EA05B3">
        <w:rPr>
          <w:lang w:val="fr-FR"/>
        </w:rPr>
        <w:t>62.</w:t>
      </w:r>
      <w:r w:rsidRPr="00EA05B3">
        <w:rPr>
          <w:lang w:val="fr-FR"/>
        </w:rPr>
        <w:tab/>
      </w:r>
      <w:r w:rsidR="00D60A11" w:rsidRPr="00EA05B3">
        <w:rPr>
          <w:lang w:val="fr-FR"/>
        </w:rPr>
        <w:t xml:space="preserve">Sur une population estimée de 13 605 485 personnes, le Ministère de la santé </w:t>
      </w:r>
      <w:r w:rsidR="00163C61" w:rsidRPr="00EA05B3">
        <w:rPr>
          <w:lang w:val="fr-FR"/>
        </w:rPr>
        <w:t xml:space="preserve">a recensé </w:t>
      </w:r>
      <w:r w:rsidR="00D60A11" w:rsidRPr="00EA05B3">
        <w:rPr>
          <w:lang w:val="fr-FR"/>
        </w:rPr>
        <w:t>le nombre et le pourcentage de cas pour un certain nombre de maladies transmissibles. Ces données figurent dans le tableau ci-après.</w:t>
      </w:r>
    </w:p>
    <w:p w:rsidR="00D60A11" w:rsidRPr="00EA05B3" w:rsidRDefault="00646BB6" w:rsidP="00EB276C">
      <w:pPr>
        <w:pStyle w:val="H23G"/>
        <w:spacing w:before="360"/>
        <w:rPr>
          <w:lang w:val="fr-FR"/>
        </w:rPr>
      </w:pPr>
      <w:bookmarkStart w:id="6" w:name="_Toc392676821"/>
      <w:r w:rsidRPr="00EA05B3">
        <w:rPr>
          <w:lang w:val="fr-FR"/>
        </w:rPr>
        <w:tab/>
      </w:r>
      <w:r w:rsidRPr="00EA05B3">
        <w:rPr>
          <w:lang w:val="fr-FR"/>
        </w:rPr>
        <w:tab/>
        <w:t>Principales maladies transmissibles et non transmissibles, 2011</w:t>
      </w:r>
      <w:bookmarkEnd w:id="6"/>
    </w:p>
    <w:tbl>
      <w:tblPr>
        <w:tblW w:w="0" w:type="auto"/>
        <w:tblInd w:w="1134" w:type="dxa"/>
        <w:tblBorders>
          <w:top w:val="single" w:sz="4" w:space="0" w:color="auto"/>
          <w:bottom w:val="single" w:sz="12" w:space="0" w:color="auto"/>
        </w:tblBorders>
        <w:tblLayout w:type="fixed"/>
        <w:tblCellMar>
          <w:left w:w="0" w:type="dxa"/>
          <w:right w:w="0" w:type="dxa"/>
        </w:tblCellMar>
        <w:tblLook w:val="04A0"/>
      </w:tblPr>
      <w:tblGrid>
        <w:gridCol w:w="3261"/>
        <w:gridCol w:w="3005"/>
        <w:gridCol w:w="1104"/>
      </w:tblGrid>
      <w:tr w:rsidR="00847929" w:rsidRPr="00EA05B3">
        <w:trPr>
          <w:cantSplit/>
          <w:tblHeader/>
        </w:trPr>
        <w:tc>
          <w:tcPr>
            <w:tcW w:w="3261" w:type="dxa"/>
            <w:tcBorders>
              <w:top w:val="single" w:sz="4" w:space="0" w:color="auto"/>
              <w:bottom w:val="single" w:sz="12" w:space="0" w:color="auto"/>
            </w:tcBorders>
            <w:shd w:val="clear" w:color="auto" w:fill="auto"/>
            <w:vAlign w:val="bottom"/>
          </w:tcPr>
          <w:p w:rsidR="00D60A11" w:rsidRPr="00EA05B3" w:rsidRDefault="00D60A11" w:rsidP="00EB276C">
            <w:pPr>
              <w:keepNext/>
              <w:spacing w:before="80" w:after="80" w:line="200" w:lineRule="exact"/>
              <w:rPr>
                <w:bCs/>
                <w:i/>
                <w:sz w:val="16"/>
                <w:lang w:val="fr-FR"/>
              </w:rPr>
            </w:pPr>
            <w:r w:rsidRPr="00EA05B3">
              <w:rPr>
                <w:i/>
                <w:sz w:val="16"/>
                <w:lang w:val="fr-FR"/>
              </w:rPr>
              <w:t>Groupe de maladie</w:t>
            </w:r>
          </w:p>
        </w:tc>
        <w:tc>
          <w:tcPr>
            <w:tcW w:w="3005" w:type="dxa"/>
            <w:tcBorders>
              <w:top w:val="single" w:sz="4" w:space="0" w:color="auto"/>
              <w:bottom w:val="single" w:sz="12" w:space="0" w:color="auto"/>
            </w:tcBorders>
            <w:shd w:val="clear" w:color="auto" w:fill="auto"/>
            <w:vAlign w:val="bottom"/>
          </w:tcPr>
          <w:p w:rsidR="00D60A11" w:rsidRPr="00EA05B3" w:rsidRDefault="00D60A11" w:rsidP="00EB276C">
            <w:pPr>
              <w:keepNext/>
              <w:spacing w:before="80" w:after="80" w:line="200" w:lineRule="exact"/>
              <w:rPr>
                <w:bCs/>
                <w:i/>
                <w:sz w:val="16"/>
                <w:lang w:val="fr-FR"/>
              </w:rPr>
            </w:pPr>
            <w:r w:rsidRPr="00EA05B3">
              <w:rPr>
                <w:i/>
                <w:sz w:val="16"/>
                <w:lang w:val="fr-FR"/>
              </w:rPr>
              <w:t>Maladie</w:t>
            </w:r>
          </w:p>
        </w:tc>
        <w:tc>
          <w:tcPr>
            <w:tcW w:w="1104" w:type="dxa"/>
            <w:tcBorders>
              <w:top w:val="single" w:sz="4" w:space="0" w:color="auto"/>
              <w:bottom w:val="single" w:sz="12" w:space="0" w:color="auto"/>
            </w:tcBorders>
            <w:shd w:val="clear" w:color="auto" w:fill="auto"/>
            <w:vAlign w:val="bottom"/>
          </w:tcPr>
          <w:p w:rsidR="00D60A11" w:rsidRPr="00EA05B3" w:rsidRDefault="00D60A11" w:rsidP="00EB276C">
            <w:pPr>
              <w:keepNext/>
              <w:spacing w:before="80" w:after="80" w:line="200" w:lineRule="exact"/>
              <w:jc w:val="right"/>
              <w:rPr>
                <w:bCs/>
                <w:i/>
                <w:sz w:val="16"/>
                <w:lang w:val="fr-FR"/>
              </w:rPr>
            </w:pPr>
            <w:r w:rsidRPr="00EA05B3">
              <w:rPr>
                <w:i/>
                <w:sz w:val="16"/>
                <w:lang w:val="fr-FR"/>
              </w:rPr>
              <w:t>Nombre de cas</w:t>
            </w:r>
          </w:p>
        </w:tc>
      </w:tr>
      <w:tr w:rsidR="00847929" w:rsidRPr="00EA05B3">
        <w:trPr>
          <w:cantSplit/>
        </w:trPr>
        <w:tc>
          <w:tcPr>
            <w:tcW w:w="3261" w:type="dxa"/>
            <w:tcBorders>
              <w:top w:val="single" w:sz="12" w:space="0" w:color="auto"/>
            </w:tcBorders>
            <w:shd w:val="clear" w:color="auto" w:fill="auto"/>
          </w:tcPr>
          <w:p w:rsidR="00D60A11" w:rsidRPr="00EA05B3" w:rsidRDefault="00D60A11" w:rsidP="00EB276C">
            <w:pPr>
              <w:spacing w:before="40" w:after="40" w:line="220" w:lineRule="exact"/>
              <w:rPr>
                <w:sz w:val="18"/>
                <w:lang w:val="fr-FR"/>
              </w:rPr>
            </w:pPr>
            <w:r w:rsidRPr="00EA05B3">
              <w:rPr>
                <w:sz w:val="18"/>
                <w:lang w:val="fr-FR"/>
              </w:rPr>
              <w:t>Infections aiguës des voies respiratoires</w:t>
            </w:r>
          </w:p>
        </w:tc>
        <w:tc>
          <w:tcPr>
            <w:tcW w:w="3005" w:type="dxa"/>
            <w:tcBorders>
              <w:top w:val="single" w:sz="12" w:space="0" w:color="auto"/>
            </w:tcBorders>
            <w:shd w:val="clear" w:color="auto" w:fill="auto"/>
          </w:tcPr>
          <w:p w:rsidR="00D60A11" w:rsidRPr="00EA05B3" w:rsidRDefault="00D60A11" w:rsidP="00EB276C">
            <w:pPr>
              <w:spacing w:before="40" w:after="40" w:line="220" w:lineRule="exact"/>
              <w:rPr>
                <w:sz w:val="18"/>
                <w:lang w:val="fr-FR"/>
              </w:rPr>
            </w:pPr>
            <w:r w:rsidRPr="00EA05B3">
              <w:rPr>
                <w:sz w:val="18"/>
                <w:lang w:val="fr-FR"/>
              </w:rPr>
              <w:t>Infections aiguës des voies respiratoires</w:t>
            </w:r>
          </w:p>
        </w:tc>
        <w:tc>
          <w:tcPr>
            <w:tcW w:w="1104" w:type="dxa"/>
            <w:tcBorders>
              <w:top w:val="single" w:sz="12" w:space="0" w:color="auto"/>
            </w:tcBorders>
            <w:shd w:val="clear" w:color="auto" w:fill="auto"/>
          </w:tcPr>
          <w:p w:rsidR="00D60A11" w:rsidRPr="00EA05B3" w:rsidRDefault="00D60A11" w:rsidP="00EB276C">
            <w:pPr>
              <w:spacing w:before="40" w:after="40" w:line="220" w:lineRule="exact"/>
              <w:jc w:val="right"/>
              <w:rPr>
                <w:sz w:val="18"/>
                <w:lang w:val="fr-FR"/>
              </w:rPr>
            </w:pPr>
            <w:r w:rsidRPr="00EA05B3">
              <w:rPr>
                <w:sz w:val="18"/>
                <w:lang w:val="fr-FR"/>
              </w:rPr>
              <w:t>1 981</w:t>
            </w:r>
          </w:p>
        </w:tc>
      </w:tr>
      <w:tr w:rsidR="00847929" w:rsidRPr="00EA05B3">
        <w:trPr>
          <w:cantSplit/>
        </w:trPr>
        <w:tc>
          <w:tcPr>
            <w:tcW w:w="3261" w:type="dxa"/>
            <w:vMerge w:val="restart"/>
            <w:shd w:val="clear" w:color="auto" w:fill="auto"/>
          </w:tcPr>
          <w:p w:rsidR="00D60A11" w:rsidRPr="00EA05B3" w:rsidRDefault="00D60A11" w:rsidP="00EB276C">
            <w:pPr>
              <w:spacing w:before="40" w:after="40" w:line="220" w:lineRule="exact"/>
              <w:rPr>
                <w:sz w:val="18"/>
                <w:lang w:val="fr-FR"/>
              </w:rPr>
            </w:pPr>
            <w:r w:rsidRPr="00EA05B3">
              <w:rPr>
                <w:sz w:val="18"/>
                <w:lang w:val="fr-FR"/>
              </w:rPr>
              <w:t>Maladies transmises par les aliments/</w:t>
            </w:r>
            <w:r w:rsidR="009379A7" w:rsidRPr="00EA05B3">
              <w:rPr>
                <w:sz w:val="18"/>
                <w:lang w:val="fr-FR"/>
              </w:rPr>
              <w:t>l’</w:t>
            </w:r>
            <w:r w:rsidRPr="00EA05B3">
              <w:rPr>
                <w:sz w:val="18"/>
                <w:lang w:val="fr-FR"/>
              </w:rPr>
              <w:t>eau</w:t>
            </w:r>
          </w:p>
        </w:tc>
        <w:tc>
          <w:tcPr>
            <w:tcW w:w="3005" w:type="dxa"/>
            <w:shd w:val="clear" w:color="auto" w:fill="auto"/>
          </w:tcPr>
          <w:p w:rsidR="00D60A11" w:rsidRPr="00EA05B3" w:rsidRDefault="00D60A11" w:rsidP="00EB276C">
            <w:pPr>
              <w:spacing w:before="40" w:after="40" w:line="220" w:lineRule="exact"/>
              <w:rPr>
                <w:sz w:val="18"/>
                <w:lang w:val="fr-FR"/>
              </w:rPr>
            </w:pPr>
            <w:r w:rsidRPr="00EA05B3">
              <w:rPr>
                <w:sz w:val="18"/>
                <w:lang w:val="fr-FR"/>
              </w:rPr>
              <w:t>Maladies diarrhéiques</w:t>
            </w:r>
          </w:p>
        </w:tc>
        <w:tc>
          <w:tcPr>
            <w:tcW w:w="1104" w:type="dxa"/>
            <w:shd w:val="clear" w:color="auto" w:fill="auto"/>
          </w:tcPr>
          <w:p w:rsidR="00D60A11" w:rsidRPr="00EA05B3" w:rsidRDefault="00D60A11" w:rsidP="00EB276C">
            <w:pPr>
              <w:spacing w:before="40" w:after="40" w:line="220" w:lineRule="exact"/>
              <w:jc w:val="right"/>
              <w:rPr>
                <w:sz w:val="18"/>
                <w:lang w:val="fr-FR"/>
              </w:rPr>
            </w:pPr>
            <w:r w:rsidRPr="00EA05B3">
              <w:rPr>
                <w:sz w:val="18"/>
                <w:lang w:val="fr-FR"/>
              </w:rPr>
              <w:t>32 106</w:t>
            </w:r>
          </w:p>
        </w:tc>
      </w:tr>
      <w:tr w:rsidR="00847929" w:rsidRPr="00EA05B3">
        <w:trPr>
          <w:cantSplit/>
        </w:trPr>
        <w:tc>
          <w:tcPr>
            <w:tcW w:w="3261" w:type="dxa"/>
            <w:vMerge/>
            <w:shd w:val="clear" w:color="auto" w:fill="auto"/>
          </w:tcPr>
          <w:p w:rsidR="00D60A11" w:rsidRPr="00EA05B3" w:rsidRDefault="00D60A11" w:rsidP="00EB276C">
            <w:pPr>
              <w:spacing w:before="40" w:after="40" w:line="220" w:lineRule="exact"/>
              <w:rPr>
                <w:sz w:val="18"/>
                <w:lang w:val="fr-FR"/>
              </w:rPr>
            </w:pPr>
          </w:p>
        </w:tc>
        <w:tc>
          <w:tcPr>
            <w:tcW w:w="3005" w:type="dxa"/>
            <w:shd w:val="clear" w:color="auto" w:fill="auto"/>
          </w:tcPr>
          <w:p w:rsidR="00D60A11" w:rsidRPr="00EA05B3" w:rsidRDefault="00D60A11" w:rsidP="00EB276C">
            <w:pPr>
              <w:spacing w:before="40" w:after="40" w:line="220" w:lineRule="exact"/>
              <w:rPr>
                <w:sz w:val="18"/>
                <w:lang w:val="fr-FR"/>
              </w:rPr>
            </w:pPr>
            <w:r w:rsidRPr="00EA05B3">
              <w:rPr>
                <w:sz w:val="18"/>
                <w:lang w:val="fr-FR"/>
              </w:rPr>
              <w:t>Intoxication alimentaire</w:t>
            </w:r>
          </w:p>
        </w:tc>
        <w:tc>
          <w:tcPr>
            <w:tcW w:w="1104" w:type="dxa"/>
            <w:shd w:val="clear" w:color="auto" w:fill="auto"/>
          </w:tcPr>
          <w:p w:rsidR="00D60A11" w:rsidRPr="00EA05B3" w:rsidRDefault="00D60A11" w:rsidP="00EB276C">
            <w:pPr>
              <w:spacing w:before="40" w:after="40" w:line="220" w:lineRule="exact"/>
              <w:jc w:val="right"/>
              <w:rPr>
                <w:sz w:val="18"/>
                <w:lang w:val="fr-FR"/>
              </w:rPr>
            </w:pPr>
            <w:r w:rsidRPr="00EA05B3">
              <w:rPr>
                <w:sz w:val="18"/>
                <w:lang w:val="fr-FR"/>
              </w:rPr>
              <w:t>1 642</w:t>
            </w:r>
          </w:p>
        </w:tc>
      </w:tr>
      <w:tr w:rsidR="00847929" w:rsidRPr="00EA05B3">
        <w:trPr>
          <w:cantSplit/>
        </w:trPr>
        <w:tc>
          <w:tcPr>
            <w:tcW w:w="3261" w:type="dxa"/>
            <w:vMerge/>
            <w:tcBorders>
              <w:bottom w:val="nil"/>
            </w:tcBorders>
            <w:shd w:val="clear" w:color="auto" w:fill="auto"/>
          </w:tcPr>
          <w:p w:rsidR="00D60A11" w:rsidRPr="00EA05B3" w:rsidRDefault="00D60A11" w:rsidP="00EB276C">
            <w:pPr>
              <w:spacing w:before="40" w:after="40" w:line="220" w:lineRule="exact"/>
              <w:rPr>
                <w:sz w:val="18"/>
                <w:lang w:val="fr-FR"/>
              </w:rPr>
            </w:pPr>
          </w:p>
        </w:tc>
        <w:tc>
          <w:tcPr>
            <w:tcW w:w="3005" w:type="dxa"/>
            <w:tcBorders>
              <w:bottom w:val="nil"/>
            </w:tcBorders>
            <w:shd w:val="clear" w:color="auto" w:fill="auto"/>
          </w:tcPr>
          <w:p w:rsidR="00D60A11" w:rsidRPr="00EA05B3" w:rsidRDefault="00D60A11" w:rsidP="00EB276C">
            <w:pPr>
              <w:spacing w:before="40" w:after="40" w:line="220" w:lineRule="exact"/>
              <w:rPr>
                <w:sz w:val="18"/>
                <w:lang w:val="fr-FR"/>
              </w:rPr>
            </w:pPr>
            <w:r w:rsidRPr="00EA05B3">
              <w:rPr>
                <w:sz w:val="18"/>
                <w:lang w:val="fr-FR"/>
              </w:rPr>
              <w:t>Salmonellose</w:t>
            </w:r>
          </w:p>
        </w:tc>
        <w:tc>
          <w:tcPr>
            <w:tcW w:w="1104" w:type="dxa"/>
            <w:tcBorders>
              <w:bottom w:val="nil"/>
            </w:tcBorders>
            <w:shd w:val="clear" w:color="auto" w:fill="auto"/>
          </w:tcPr>
          <w:p w:rsidR="00D60A11" w:rsidRPr="00EA05B3" w:rsidRDefault="00D60A11" w:rsidP="00EB276C">
            <w:pPr>
              <w:spacing w:before="40" w:after="40" w:line="220" w:lineRule="exact"/>
              <w:jc w:val="right"/>
              <w:rPr>
                <w:sz w:val="18"/>
                <w:lang w:val="fr-FR"/>
              </w:rPr>
            </w:pPr>
            <w:r w:rsidRPr="00EA05B3">
              <w:rPr>
                <w:sz w:val="18"/>
                <w:lang w:val="fr-FR"/>
              </w:rPr>
              <w:t>1 581</w:t>
            </w:r>
          </w:p>
        </w:tc>
      </w:tr>
      <w:tr w:rsidR="00847929" w:rsidRPr="00EA05B3">
        <w:trPr>
          <w:cantSplit/>
        </w:trPr>
        <w:tc>
          <w:tcPr>
            <w:tcW w:w="3261" w:type="dxa"/>
            <w:vMerge w:val="restart"/>
            <w:tcBorders>
              <w:top w:val="nil"/>
              <w:bottom w:val="nil"/>
            </w:tcBorders>
            <w:shd w:val="clear" w:color="auto" w:fill="auto"/>
          </w:tcPr>
          <w:p w:rsidR="00D60A11" w:rsidRPr="00EA05B3" w:rsidRDefault="00D60A11" w:rsidP="00EB276C">
            <w:pPr>
              <w:spacing w:before="40" w:after="40" w:line="220" w:lineRule="exact"/>
              <w:rPr>
                <w:sz w:val="18"/>
                <w:lang w:val="fr-FR"/>
              </w:rPr>
            </w:pPr>
            <w:r w:rsidRPr="00EA05B3">
              <w:rPr>
                <w:sz w:val="18"/>
                <w:lang w:val="fr-FR"/>
              </w:rPr>
              <w:t>Maladies à vecteur</w:t>
            </w:r>
          </w:p>
        </w:tc>
        <w:tc>
          <w:tcPr>
            <w:tcW w:w="3005" w:type="dxa"/>
            <w:tcBorders>
              <w:top w:val="nil"/>
              <w:bottom w:val="nil"/>
            </w:tcBorders>
            <w:shd w:val="clear" w:color="auto" w:fill="auto"/>
          </w:tcPr>
          <w:p w:rsidR="00D60A11" w:rsidRPr="00EA05B3" w:rsidRDefault="00D60A11" w:rsidP="00EB276C">
            <w:pPr>
              <w:spacing w:before="40" w:after="40" w:line="220" w:lineRule="exact"/>
              <w:rPr>
                <w:sz w:val="18"/>
                <w:lang w:val="fr-FR"/>
              </w:rPr>
            </w:pPr>
            <w:r w:rsidRPr="00EA05B3">
              <w:rPr>
                <w:sz w:val="18"/>
                <w:lang w:val="fr-FR"/>
              </w:rPr>
              <w:t>Dengue classique</w:t>
            </w:r>
          </w:p>
        </w:tc>
        <w:tc>
          <w:tcPr>
            <w:tcW w:w="1104" w:type="dxa"/>
            <w:tcBorders>
              <w:top w:val="nil"/>
              <w:bottom w:val="nil"/>
            </w:tcBorders>
            <w:shd w:val="clear" w:color="auto" w:fill="auto"/>
          </w:tcPr>
          <w:p w:rsidR="00D60A11" w:rsidRPr="00EA05B3" w:rsidRDefault="00D60A11" w:rsidP="00EB276C">
            <w:pPr>
              <w:spacing w:before="40" w:after="40" w:line="220" w:lineRule="exact"/>
              <w:jc w:val="right"/>
              <w:rPr>
                <w:sz w:val="18"/>
                <w:lang w:val="fr-FR"/>
              </w:rPr>
            </w:pPr>
            <w:r w:rsidRPr="00EA05B3">
              <w:rPr>
                <w:sz w:val="18"/>
                <w:lang w:val="fr-FR"/>
              </w:rPr>
              <w:t>3 827</w:t>
            </w:r>
          </w:p>
        </w:tc>
      </w:tr>
      <w:tr w:rsidR="00847929" w:rsidRPr="00EA05B3">
        <w:trPr>
          <w:cantSplit/>
        </w:trPr>
        <w:tc>
          <w:tcPr>
            <w:tcW w:w="3261" w:type="dxa"/>
            <w:vMerge/>
            <w:tcBorders>
              <w:top w:val="nil"/>
              <w:bottom w:val="nil"/>
            </w:tcBorders>
            <w:shd w:val="clear" w:color="auto" w:fill="auto"/>
          </w:tcPr>
          <w:p w:rsidR="00D60A11" w:rsidRPr="00EA05B3" w:rsidRDefault="00D60A11" w:rsidP="00EB276C">
            <w:pPr>
              <w:spacing w:before="40" w:after="40" w:line="220" w:lineRule="exact"/>
              <w:rPr>
                <w:sz w:val="18"/>
                <w:lang w:val="fr-FR"/>
              </w:rPr>
            </w:pPr>
          </w:p>
        </w:tc>
        <w:tc>
          <w:tcPr>
            <w:tcW w:w="3005" w:type="dxa"/>
            <w:tcBorders>
              <w:top w:val="nil"/>
              <w:bottom w:val="nil"/>
            </w:tcBorders>
            <w:shd w:val="clear" w:color="auto" w:fill="auto"/>
          </w:tcPr>
          <w:p w:rsidR="00D60A11" w:rsidRPr="00EA05B3" w:rsidRDefault="00D60A11" w:rsidP="00EB276C">
            <w:pPr>
              <w:spacing w:before="40" w:after="40" w:line="220" w:lineRule="exact"/>
              <w:rPr>
                <w:sz w:val="18"/>
                <w:lang w:val="fr-FR"/>
              </w:rPr>
            </w:pPr>
            <w:r w:rsidRPr="00EA05B3">
              <w:rPr>
                <w:sz w:val="18"/>
                <w:lang w:val="fr-FR"/>
              </w:rPr>
              <w:t>Plasmodium vivax</w:t>
            </w:r>
          </w:p>
        </w:tc>
        <w:tc>
          <w:tcPr>
            <w:tcW w:w="1104" w:type="dxa"/>
            <w:tcBorders>
              <w:top w:val="nil"/>
              <w:bottom w:val="nil"/>
            </w:tcBorders>
            <w:shd w:val="clear" w:color="auto" w:fill="auto"/>
          </w:tcPr>
          <w:p w:rsidR="00D60A11" w:rsidRPr="00EA05B3" w:rsidRDefault="00D60A11" w:rsidP="00EB276C">
            <w:pPr>
              <w:spacing w:before="40" w:after="40" w:line="220" w:lineRule="exact"/>
              <w:jc w:val="right"/>
              <w:rPr>
                <w:sz w:val="18"/>
                <w:lang w:val="fr-FR"/>
              </w:rPr>
            </w:pPr>
            <w:r w:rsidRPr="00EA05B3">
              <w:rPr>
                <w:sz w:val="18"/>
                <w:lang w:val="fr-FR"/>
              </w:rPr>
              <w:t>-</w:t>
            </w:r>
          </w:p>
        </w:tc>
      </w:tr>
      <w:tr w:rsidR="00847929" w:rsidRPr="00EA05B3">
        <w:trPr>
          <w:cantSplit/>
        </w:trPr>
        <w:tc>
          <w:tcPr>
            <w:tcW w:w="3261" w:type="dxa"/>
            <w:vMerge w:val="restart"/>
            <w:tcBorders>
              <w:top w:val="nil"/>
            </w:tcBorders>
            <w:shd w:val="clear" w:color="auto" w:fill="auto"/>
          </w:tcPr>
          <w:p w:rsidR="00D60A11" w:rsidRPr="00EA05B3" w:rsidRDefault="00D60A11" w:rsidP="00EB276C">
            <w:pPr>
              <w:spacing w:before="40" w:after="40" w:line="220" w:lineRule="exact"/>
              <w:rPr>
                <w:sz w:val="18"/>
                <w:lang w:val="fr-FR"/>
              </w:rPr>
            </w:pPr>
            <w:r w:rsidRPr="00EA05B3">
              <w:rPr>
                <w:sz w:val="18"/>
                <w:lang w:val="fr-FR"/>
              </w:rPr>
              <w:t xml:space="preserve">Maladies chroniques transmissibles </w:t>
            </w:r>
          </w:p>
        </w:tc>
        <w:tc>
          <w:tcPr>
            <w:tcW w:w="3005" w:type="dxa"/>
            <w:tcBorders>
              <w:top w:val="nil"/>
            </w:tcBorders>
            <w:shd w:val="clear" w:color="auto" w:fill="auto"/>
          </w:tcPr>
          <w:p w:rsidR="00D60A11" w:rsidRPr="00EA05B3" w:rsidRDefault="00D60A11" w:rsidP="00EB276C">
            <w:pPr>
              <w:spacing w:before="40" w:after="40" w:line="220" w:lineRule="exact"/>
              <w:rPr>
                <w:sz w:val="18"/>
                <w:lang w:val="fr-FR"/>
              </w:rPr>
            </w:pPr>
            <w:r w:rsidRPr="00EA05B3">
              <w:rPr>
                <w:sz w:val="18"/>
                <w:lang w:val="fr-FR"/>
              </w:rPr>
              <w:t>Tuberculose pulmonaire bacille de Koch+</w:t>
            </w:r>
          </w:p>
        </w:tc>
        <w:tc>
          <w:tcPr>
            <w:tcW w:w="1104" w:type="dxa"/>
            <w:tcBorders>
              <w:top w:val="nil"/>
            </w:tcBorders>
            <w:shd w:val="clear" w:color="auto" w:fill="auto"/>
          </w:tcPr>
          <w:p w:rsidR="00D60A11" w:rsidRPr="00EA05B3" w:rsidRDefault="00D60A11" w:rsidP="00EB276C">
            <w:pPr>
              <w:spacing w:before="40" w:after="40" w:line="220" w:lineRule="exact"/>
              <w:jc w:val="right"/>
              <w:rPr>
                <w:sz w:val="18"/>
                <w:lang w:val="fr-FR"/>
              </w:rPr>
            </w:pPr>
            <w:r w:rsidRPr="00EA05B3">
              <w:rPr>
                <w:sz w:val="18"/>
                <w:lang w:val="fr-FR"/>
              </w:rPr>
              <w:t>-</w:t>
            </w:r>
          </w:p>
        </w:tc>
      </w:tr>
      <w:tr w:rsidR="00847929" w:rsidRPr="00EA05B3">
        <w:trPr>
          <w:cantSplit/>
        </w:trPr>
        <w:tc>
          <w:tcPr>
            <w:tcW w:w="3261" w:type="dxa"/>
            <w:vMerge/>
            <w:shd w:val="clear" w:color="auto" w:fill="auto"/>
          </w:tcPr>
          <w:p w:rsidR="00D60A11" w:rsidRPr="00EA05B3" w:rsidRDefault="00D60A11" w:rsidP="00EB276C">
            <w:pPr>
              <w:spacing w:before="40" w:after="40" w:line="220" w:lineRule="exact"/>
              <w:rPr>
                <w:sz w:val="18"/>
                <w:lang w:val="fr-FR"/>
              </w:rPr>
            </w:pPr>
          </w:p>
        </w:tc>
        <w:tc>
          <w:tcPr>
            <w:tcW w:w="3005" w:type="dxa"/>
            <w:shd w:val="clear" w:color="auto" w:fill="auto"/>
          </w:tcPr>
          <w:p w:rsidR="00D60A11" w:rsidRPr="00EA05B3" w:rsidRDefault="00D60A11" w:rsidP="00EB276C">
            <w:pPr>
              <w:spacing w:before="40" w:after="40" w:line="220" w:lineRule="exact"/>
              <w:rPr>
                <w:sz w:val="18"/>
                <w:lang w:val="fr-FR"/>
              </w:rPr>
            </w:pPr>
            <w:r w:rsidRPr="00EA05B3">
              <w:rPr>
                <w:sz w:val="18"/>
                <w:lang w:val="fr-FR"/>
              </w:rPr>
              <w:t>VIH</w:t>
            </w:r>
          </w:p>
        </w:tc>
        <w:tc>
          <w:tcPr>
            <w:tcW w:w="1104" w:type="dxa"/>
            <w:shd w:val="clear" w:color="auto" w:fill="auto"/>
          </w:tcPr>
          <w:p w:rsidR="00D60A11" w:rsidRPr="00EA05B3" w:rsidRDefault="00D60A11" w:rsidP="00EB276C">
            <w:pPr>
              <w:spacing w:before="40" w:after="40" w:line="220" w:lineRule="exact"/>
              <w:jc w:val="right"/>
              <w:rPr>
                <w:sz w:val="18"/>
                <w:lang w:val="fr-FR"/>
              </w:rPr>
            </w:pPr>
            <w:r w:rsidRPr="00EA05B3">
              <w:rPr>
                <w:sz w:val="18"/>
                <w:lang w:val="fr-FR"/>
              </w:rPr>
              <w:t>662</w:t>
            </w:r>
          </w:p>
        </w:tc>
      </w:tr>
      <w:tr w:rsidR="00847929" w:rsidRPr="00EA05B3">
        <w:trPr>
          <w:cantSplit/>
        </w:trPr>
        <w:tc>
          <w:tcPr>
            <w:tcW w:w="3261" w:type="dxa"/>
            <w:vMerge w:val="restart"/>
            <w:shd w:val="clear" w:color="auto" w:fill="auto"/>
          </w:tcPr>
          <w:p w:rsidR="00D60A11" w:rsidRPr="00EA05B3" w:rsidRDefault="00D60A11" w:rsidP="00EB276C">
            <w:pPr>
              <w:spacing w:before="40" w:after="40" w:line="220" w:lineRule="exact"/>
              <w:rPr>
                <w:sz w:val="18"/>
                <w:lang w:val="fr-FR"/>
              </w:rPr>
            </w:pPr>
            <w:r w:rsidRPr="00EA05B3">
              <w:rPr>
                <w:sz w:val="18"/>
                <w:lang w:val="fr-FR"/>
              </w:rPr>
              <w:t>Maladies évitables par la vaccination</w:t>
            </w:r>
          </w:p>
        </w:tc>
        <w:tc>
          <w:tcPr>
            <w:tcW w:w="3005" w:type="dxa"/>
            <w:shd w:val="clear" w:color="auto" w:fill="auto"/>
          </w:tcPr>
          <w:p w:rsidR="00D60A11" w:rsidRPr="00EA05B3" w:rsidRDefault="00D60A11" w:rsidP="00EB276C">
            <w:pPr>
              <w:spacing w:before="40" w:after="40" w:line="220" w:lineRule="exact"/>
              <w:rPr>
                <w:sz w:val="18"/>
                <w:lang w:val="fr-FR"/>
              </w:rPr>
            </w:pPr>
            <w:r w:rsidRPr="00EA05B3">
              <w:rPr>
                <w:sz w:val="18"/>
                <w:lang w:val="fr-FR"/>
              </w:rPr>
              <w:t>Hépatite B</w:t>
            </w:r>
          </w:p>
        </w:tc>
        <w:tc>
          <w:tcPr>
            <w:tcW w:w="1104" w:type="dxa"/>
            <w:shd w:val="clear" w:color="auto" w:fill="auto"/>
          </w:tcPr>
          <w:p w:rsidR="00D60A11" w:rsidRPr="00EA05B3" w:rsidRDefault="00D60A11" w:rsidP="00EB276C">
            <w:pPr>
              <w:spacing w:before="40" w:after="40" w:line="220" w:lineRule="exact"/>
              <w:jc w:val="right"/>
              <w:rPr>
                <w:sz w:val="18"/>
                <w:lang w:val="fr-FR"/>
              </w:rPr>
            </w:pPr>
            <w:r w:rsidRPr="00EA05B3">
              <w:rPr>
                <w:sz w:val="18"/>
                <w:lang w:val="fr-FR"/>
              </w:rPr>
              <w:t>18</w:t>
            </w:r>
          </w:p>
        </w:tc>
      </w:tr>
      <w:tr w:rsidR="00847929" w:rsidRPr="00EA05B3">
        <w:trPr>
          <w:cantSplit/>
        </w:trPr>
        <w:tc>
          <w:tcPr>
            <w:tcW w:w="3261" w:type="dxa"/>
            <w:vMerge/>
            <w:shd w:val="clear" w:color="auto" w:fill="auto"/>
          </w:tcPr>
          <w:p w:rsidR="00D60A11" w:rsidRPr="00EA05B3" w:rsidRDefault="00D60A11" w:rsidP="00EB276C">
            <w:pPr>
              <w:spacing w:before="40" w:after="40" w:line="220" w:lineRule="exact"/>
              <w:rPr>
                <w:sz w:val="18"/>
                <w:lang w:val="fr-FR"/>
              </w:rPr>
            </w:pPr>
          </w:p>
        </w:tc>
        <w:tc>
          <w:tcPr>
            <w:tcW w:w="3005" w:type="dxa"/>
            <w:shd w:val="clear" w:color="auto" w:fill="auto"/>
          </w:tcPr>
          <w:p w:rsidR="00D60A11" w:rsidRPr="00EA05B3" w:rsidRDefault="00D60A11" w:rsidP="00EB276C">
            <w:pPr>
              <w:spacing w:before="40" w:after="40" w:line="220" w:lineRule="exact"/>
              <w:rPr>
                <w:sz w:val="18"/>
                <w:lang w:val="fr-FR"/>
              </w:rPr>
            </w:pPr>
            <w:r w:rsidRPr="00EA05B3">
              <w:rPr>
                <w:sz w:val="18"/>
                <w:lang w:val="fr-FR"/>
              </w:rPr>
              <w:t>Coqueluche</w:t>
            </w:r>
          </w:p>
        </w:tc>
        <w:tc>
          <w:tcPr>
            <w:tcW w:w="1104" w:type="dxa"/>
            <w:shd w:val="clear" w:color="auto" w:fill="auto"/>
          </w:tcPr>
          <w:p w:rsidR="00D60A11" w:rsidRPr="00EA05B3" w:rsidRDefault="00D60A11" w:rsidP="00EB276C">
            <w:pPr>
              <w:spacing w:before="40" w:after="40" w:line="220" w:lineRule="exact"/>
              <w:jc w:val="right"/>
              <w:rPr>
                <w:sz w:val="18"/>
                <w:lang w:val="fr-FR"/>
              </w:rPr>
            </w:pPr>
            <w:r w:rsidRPr="00EA05B3">
              <w:rPr>
                <w:sz w:val="18"/>
                <w:lang w:val="fr-FR"/>
              </w:rPr>
              <w:t>31</w:t>
            </w:r>
          </w:p>
        </w:tc>
      </w:tr>
      <w:tr w:rsidR="00847929" w:rsidRPr="00EA05B3">
        <w:trPr>
          <w:cantSplit/>
        </w:trPr>
        <w:tc>
          <w:tcPr>
            <w:tcW w:w="3261" w:type="dxa"/>
            <w:shd w:val="clear" w:color="auto" w:fill="auto"/>
          </w:tcPr>
          <w:p w:rsidR="00D60A11" w:rsidRPr="00EA05B3" w:rsidRDefault="00D60A11" w:rsidP="00EB276C">
            <w:pPr>
              <w:spacing w:before="40" w:after="40" w:line="220" w:lineRule="exact"/>
              <w:rPr>
                <w:sz w:val="18"/>
                <w:lang w:val="fr-FR"/>
              </w:rPr>
            </w:pPr>
            <w:r w:rsidRPr="00EA05B3">
              <w:rPr>
                <w:sz w:val="18"/>
                <w:lang w:val="fr-FR"/>
              </w:rPr>
              <w:t>Zoonoses</w:t>
            </w:r>
          </w:p>
        </w:tc>
        <w:tc>
          <w:tcPr>
            <w:tcW w:w="3005" w:type="dxa"/>
            <w:shd w:val="clear" w:color="auto" w:fill="auto"/>
          </w:tcPr>
          <w:p w:rsidR="00D60A11" w:rsidRPr="00EA05B3" w:rsidRDefault="00D60A11" w:rsidP="00EB276C">
            <w:pPr>
              <w:spacing w:before="40" w:after="40" w:line="220" w:lineRule="exact"/>
              <w:rPr>
                <w:sz w:val="18"/>
                <w:lang w:val="fr-FR"/>
              </w:rPr>
            </w:pPr>
            <w:r w:rsidRPr="00EA05B3">
              <w:rPr>
                <w:sz w:val="18"/>
                <w:lang w:val="fr-FR"/>
              </w:rPr>
              <w:t>Téniase</w:t>
            </w:r>
          </w:p>
        </w:tc>
        <w:tc>
          <w:tcPr>
            <w:tcW w:w="1104" w:type="dxa"/>
            <w:shd w:val="clear" w:color="auto" w:fill="auto"/>
          </w:tcPr>
          <w:p w:rsidR="00D60A11" w:rsidRPr="00EA05B3" w:rsidRDefault="00D60A11" w:rsidP="00EB276C">
            <w:pPr>
              <w:spacing w:before="40" w:after="40" w:line="220" w:lineRule="exact"/>
              <w:jc w:val="right"/>
              <w:rPr>
                <w:sz w:val="18"/>
                <w:lang w:val="fr-FR"/>
              </w:rPr>
            </w:pPr>
            <w:r w:rsidRPr="00EA05B3">
              <w:rPr>
                <w:sz w:val="18"/>
                <w:lang w:val="fr-FR"/>
              </w:rPr>
              <w:t>0</w:t>
            </w:r>
          </w:p>
        </w:tc>
      </w:tr>
      <w:tr w:rsidR="00847929" w:rsidRPr="00EA05B3">
        <w:trPr>
          <w:cantSplit/>
        </w:trPr>
        <w:tc>
          <w:tcPr>
            <w:tcW w:w="3261" w:type="dxa"/>
            <w:vMerge w:val="restart"/>
            <w:shd w:val="clear" w:color="auto" w:fill="auto"/>
          </w:tcPr>
          <w:p w:rsidR="00D60A11" w:rsidRPr="00EA05B3" w:rsidRDefault="00D60A11" w:rsidP="00EB276C">
            <w:pPr>
              <w:spacing w:before="40" w:after="40" w:line="220" w:lineRule="exact"/>
              <w:rPr>
                <w:sz w:val="18"/>
                <w:lang w:val="fr-FR"/>
              </w:rPr>
            </w:pPr>
            <w:r w:rsidRPr="00EA05B3">
              <w:rPr>
                <w:sz w:val="18"/>
                <w:lang w:val="fr-FR"/>
              </w:rPr>
              <w:t>Maladies chroniques non transmissibles</w:t>
            </w:r>
          </w:p>
        </w:tc>
        <w:tc>
          <w:tcPr>
            <w:tcW w:w="3005" w:type="dxa"/>
            <w:shd w:val="clear" w:color="auto" w:fill="auto"/>
          </w:tcPr>
          <w:p w:rsidR="00D60A11" w:rsidRPr="00EA05B3" w:rsidRDefault="00D60A11" w:rsidP="00EB276C">
            <w:pPr>
              <w:spacing w:before="40" w:after="40" w:line="220" w:lineRule="exact"/>
              <w:rPr>
                <w:sz w:val="18"/>
                <w:lang w:val="fr-FR"/>
              </w:rPr>
            </w:pPr>
            <w:r w:rsidRPr="00EA05B3">
              <w:rPr>
                <w:sz w:val="18"/>
                <w:lang w:val="fr-FR"/>
              </w:rPr>
              <w:t>Hypertension artérielle</w:t>
            </w:r>
          </w:p>
        </w:tc>
        <w:tc>
          <w:tcPr>
            <w:tcW w:w="1104" w:type="dxa"/>
            <w:shd w:val="clear" w:color="auto" w:fill="auto"/>
          </w:tcPr>
          <w:p w:rsidR="00D60A11" w:rsidRPr="00EA05B3" w:rsidRDefault="00D60A11" w:rsidP="00EB276C">
            <w:pPr>
              <w:spacing w:before="40" w:after="40" w:line="220" w:lineRule="exact"/>
              <w:jc w:val="right"/>
              <w:rPr>
                <w:sz w:val="18"/>
                <w:lang w:val="fr-FR"/>
              </w:rPr>
            </w:pPr>
            <w:r w:rsidRPr="00EA05B3">
              <w:rPr>
                <w:sz w:val="18"/>
                <w:lang w:val="fr-FR"/>
              </w:rPr>
              <w:t>8 653</w:t>
            </w:r>
          </w:p>
        </w:tc>
      </w:tr>
      <w:tr w:rsidR="00847929" w:rsidRPr="00EA05B3">
        <w:trPr>
          <w:cantSplit/>
        </w:trPr>
        <w:tc>
          <w:tcPr>
            <w:tcW w:w="3261" w:type="dxa"/>
            <w:vMerge/>
            <w:shd w:val="clear" w:color="auto" w:fill="auto"/>
          </w:tcPr>
          <w:p w:rsidR="00D60A11" w:rsidRPr="00EA05B3" w:rsidRDefault="00D60A11" w:rsidP="00EB276C">
            <w:pPr>
              <w:spacing w:before="40" w:after="40" w:line="220" w:lineRule="exact"/>
              <w:rPr>
                <w:sz w:val="18"/>
                <w:lang w:val="fr-FR"/>
              </w:rPr>
            </w:pPr>
          </w:p>
        </w:tc>
        <w:tc>
          <w:tcPr>
            <w:tcW w:w="3005" w:type="dxa"/>
            <w:shd w:val="clear" w:color="auto" w:fill="auto"/>
          </w:tcPr>
          <w:p w:rsidR="00D60A11" w:rsidRPr="00EA05B3" w:rsidRDefault="00D60A11" w:rsidP="00EB276C">
            <w:pPr>
              <w:spacing w:before="40" w:after="40" w:line="220" w:lineRule="exact"/>
              <w:rPr>
                <w:sz w:val="18"/>
                <w:lang w:val="fr-FR"/>
              </w:rPr>
            </w:pPr>
            <w:r w:rsidRPr="00EA05B3">
              <w:rPr>
                <w:sz w:val="18"/>
                <w:lang w:val="fr-FR"/>
              </w:rPr>
              <w:t>Diabète</w:t>
            </w:r>
          </w:p>
        </w:tc>
        <w:tc>
          <w:tcPr>
            <w:tcW w:w="1104" w:type="dxa"/>
            <w:shd w:val="clear" w:color="auto" w:fill="auto"/>
          </w:tcPr>
          <w:p w:rsidR="00D60A11" w:rsidRPr="00EA05B3" w:rsidRDefault="00D60A11" w:rsidP="00EB276C">
            <w:pPr>
              <w:spacing w:before="40" w:after="40" w:line="220" w:lineRule="exact"/>
              <w:jc w:val="right"/>
              <w:rPr>
                <w:sz w:val="18"/>
                <w:lang w:val="fr-FR"/>
              </w:rPr>
            </w:pPr>
            <w:r w:rsidRPr="00EA05B3">
              <w:rPr>
                <w:sz w:val="18"/>
                <w:lang w:val="fr-FR"/>
              </w:rPr>
              <w:t>18 550</w:t>
            </w:r>
          </w:p>
        </w:tc>
      </w:tr>
      <w:tr w:rsidR="00847929" w:rsidRPr="00EA05B3">
        <w:trPr>
          <w:cantSplit/>
        </w:trPr>
        <w:tc>
          <w:tcPr>
            <w:tcW w:w="3261" w:type="dxa"/>
            <w:vMerge w:val="restart"/>
            <w:shd w:val="clear" w:color="auto" w:fill="auto"/>
          </w:tcPr>
          <w:p w:rsidR="00D60A11" w:rsidRPr="00EA05B3" w:rsidRDefault="00D60A11" w:rsidP="00EB276C">
            <w:pPr>
              <w:spacing w:before="40" w:after="40" w:line="220" w:lineRule="exact"/>
              <w:rPr>
                <w:sz w:val="18"/>
                <w:lang w:val="fr-FR"/>
              </w:rPr>
            </w:pPr>
            <w:r w:rsidRPr="00EA05B3">
              <w:rPr>
                <w:sz w:val="18"/>
                <w:lang w:val="fr-FR"/>
              </w:rPr>
              <w:t>Maladies dues à des facteurs externes</w:t>
            </w:r>
          </w:p>
        </w:tc>
        <w:tc>
          <w:tcPr>
            <w:tcW w:w="3005" w:type="dxa"/>
            <w:shd w:val="clear" w:color="auto" w:fill="auto"/>
          </w:tcPr>
          <w:p w:rsidR="00D60A11" w:rsidRPr="00EA05B3" w:rsidRDefault="00D60A11" w:rsidP="00EB276C">
            <w:pPr>
              <w:spacing w:before="40" w:after="40" w:line="220" w:lineRule="exact"/>
              <w:rPr>
                <w:sz w:val="18"/>
                <w:lang w:val="fr-FR"/>
              </w:rPr>
            </w:pPr>
            <w:r w:rsidRPr="00EA05B3">
              <w:rPr>
                <w:sz w:val="18"/>
                <w:lang w:val="fr-FR"/>
              </w:rPr>
              <w:t>Accidents domestiques</w:t>
            </w:r>
          </w:p>
        </w:tc>
        <w:tc>
          <w:tcPr>
            <w:tcW w:w="1104" w:type="dxa"/>
            <w:shd w:val="clear" w:color="auto" w:fill="auto"/>
          </w:tcPr>
          <w:p w:rsidR="00D60A11" w:rsidRPr="00EA05B3" w:rsidRDefault="00D60A11" w:rsidP="00EB276C">
            <w:pPr>
              <w:spacing w:before="40" w:after="40" w:line="220" w:lineRule="exact"/>
              <w:jc w:val="right"/>
              <w:rPr>
                <w:sz w:val="18"/>
                <w:lang w:val="fr-FR"/>
              </w:rPr>
            </w:pPr>
            <w:r w:rsidRPr="00EA05B3">
              <w:rPr>
                <w:sz w:val="18"/>
                <w:lang w:val="fr-FR"/>
              </w:rPr>
              <w:t>-</w:t>
            </w:r>
          </w:p>
        </w:tc>
      </w:tr>
      <w:tr w:rsidR="00847929" w:rsidRPr="00EA05B3">
        <w:trPr>
          <w:cantSplit/>
        </w:trPr>
        <w:tc>
          <w:tcPr>
            <w:tcW w:w="3261" w:type="dxa"/>
            <w:vMerge/>
            <w:shd w:val="clear" w:color="auto" w:fill="auto"/>
          </w:tcPr>
          <w:p w:rsidR="00D60A11" w:rsidRPr="00EA05B3" w:rsidRDefault="00D60A11" w:rsidP="00EB276C">
            <w:pPr>
              <w:spacing w:before="40" w:after="40" w:line="220" w:lineRule="exact"/>
              <w:rPr>
                <w:sz w:val="18"/>
                <w:lang w:val="fr-FR"/>
              </w:rPr>
            </w:pPr>
          </w:p>
        </w:tc>
        <w:tc>
          <w:tcPr>
            <w:tcW w:w="3005" w:type="dxa"/>
            <w:shd w:val="clear" w:color="auto" w:fill="auto"/>
          </w:tcPr>
          <w:p w:rsidR="00D60A11" w:rsidRPr="00EA05B3" w:rsidRDefault="00D60A11" w:rsidP="00EB276C">
            <w:pPr>
              <w:spacing w:before="40" w:after="40" w:line="220" w:lineRule="exact"/>
              <w:rPr>
                <w:sz w:val="18"/>
                <w:lang w:val="fr-FR"/>
              </w:rPr>
            </w:pPr>
            <w:r w:rsidRPr="00EA05B3">
              <w:rPr>
                <w:sz w:val="18"/>
                <w:lang w:val="fr-FR"/>
              </w:rPr>
              <w:t>Accidents de la route</w:t>
            </w:r>
          </w:p>
        </w:tc>
        <w:tc>
          <w:tcPr>
            <w:tcW w:w="1104" w:type="dxa"/>
            <w:shd w:val="clear" w:color="auto" w:fill="auto"/>
          </w:tcPr>
          <w:p w:rsidR="00D60A11" w:rsidRPr="00EA05B3" w:rsidRDefault="00D60A11" w:rsidP="00EB276C">
            <w:pPr>
              <w:spacing w:before="40" w:after="40" w:line="220" w:lineRule="exact"/>
              <w:jc w:val="right"/>
              <w:rPr>
                <w:sz w:val="18"/>
                <w:lang w:val="fr-FR"/>
              </w:rPr>
            </w:pPr>
            <w:r w:rsidRPr="00EA05B3">
              <w:rPr>
                <w:sz w:val="18"/>
                <w:lang w:val="fr-FR"/>
              </w:rPr>
              <w:t>-</w:t>
            </w:r>
          </w:p>
        </w:tc>
      </w:tr>
      <w:tr w:rsidR="00847929" w:rsidRPr="00EA05B3">
        <w:trPr>
          <w:cantSplit/>
        </w:trPr>
        <w:tc>
          <w:tcPr>
            <w:tcW w:w="3261" w:type="dxa"/>
            <w:vMerge/>
            <w:shd w:val="clear" w:color="auto" w:fill="auto"/>
          </w:tcPr>
          <w:p w:rsidR="00D60A11" w:rsidRPr="00EA05B3" w:rsidRDefault="00D60A11" w:rsidP="00EB276C">
            <w:pPr>
              <w:spacing w:before="40" w:after="40" w:line="220" w:lineRule="exact"/>
              <w:rPr>
                <w:sz w:val="18"/>
                <w:lang w:val="fr-FR"/>
              </w:rPr>
            </w:pPr>
          </w:p>
        </w:tc>
        <w:tc>
          <w:tcPr>
            <w:tcW w:w="3005" w:type="dxa"/>
            <w:shd w:val="clear" w:color="auto" w:fill="auto"/>
          </w:tcPr>
          <w:p w:rsidR="00D60A11" w:rsidRPr="00EA05B3" w:rsidRDefault="00D60A11" w:rsidP="00EB276C">
            <w:pPr>
              <w:spacing w:before="40" w:after="40" w:line="220" w:lineRule="exact"/>
              <w:rPr>
                <w:sz w:val="18"/>
                <w:lang w:val="fr-FR"/>
              </w:rPr>
            </w:pPr>
            <w:r w:rsidRPr="00EA05B3">
              <w:rPr>
                <w:sz w:val="18"/>
                <w:lang w:val="fr-FR"/>
              </w:rPr>
              <w:t>Violence et mauvais traitements</w:t>
            </w:r>
          </w:p>
        </w:tc>
        <w:tc>
          <w:tcPr>
            <w:tcW w:w="1104" w:type="dxa"/>
            <w:shd w:val="clear" w:color="auto" w:fill="auto"/>
          </w:tcPr>
          <w:p w:rsidR="00D60A11" w:rsidRPr="00EA05B3" w:rsidRDefault="00D60A11" w:rsidP="00EB276C">
            <w:pPr>
              <w:spacing w:before="40" w:after="40" w:line="220" w:lineRule="exact"/>
              <w:jc w:val="right"/>
              <w:rPr>
                <w:sz w:val="18"/>
                <w:lang w:val="fr-FR"/>
              </w:rPr>
            </w:pPr>
            <w:r w:rsidRPr="00EA05B3">
              <w:rPr>
                <w:sz w:val="18"/>
                <w:lang w:val="fr-FR"/>
              </w:rPr>
              <w:t>-</w:t>
            </w:r>
          </w:p>
        </w:tc>
      </w:tr>
      <w:tr w:rsidR="00847929" w:rsidRPr="00EA05B3">
        <w:trPr>
          <w:cantSplit/>
        </w:trPr>
        <w:tc>
          <w:tcPr>
            <w:tcW w:w="3261" w:type="dxa"/>
            <w:shd w:val="clear" w:color="auto" w:fill="auto"/>
          </w:tcPr>
          <w:p w:rsidR="00D60A11" w:rsidRPr="00EA05B3" w:rsidRDefault="00D60A11" w:rsidP="00EB276C">
            <w:pPr>
              <w:keepNext/>
              <w:spacing w:before="40" w:after="40" w:line="220" w:lineRule="exact"/>
              <w:rPr>
                <w:sz w:val="18"/>
                <w:lang w:val="fr-FR"/>
              </w:rPr>
            </w:pPr>
            <w:r w:rsidRPr="00EA05B3">
              <w:rPr>
                <w:sz w:val="18"/>
                <w:lang w:val="fr-FR"/>
              </w:rPr>
              <w:t>Santé mentale</w:t>
            </w:r>
          </w:p>
        </w:tc>
        <w:tc>
          <w:tcPr>
            <w:tcW w:w="3005" w:type="dxa"/>
            <w:shd w:val="clear" w:color="auto" w:fill="auto"/>
          </w:tcPr>
          <w:p w:rsidR="00D60A11" w:rsidRPr="00EA05B3" w:rsidRDefault="00D60A11" w:rsidP="00EB276C">
            <w:pPr>
              <w:keepNext/>
              <w:spacing w:before="40" w:after="40" w:line="220" w:lineRule="exact"/>
              <w:rPr>
                <w:sz w:val="18"/>
                <w:lang w:val="fr-FR"/>
              </w:rPr>
            </w:pPr>
            <w:r w:rsidRPr="00EA05B3">
              <w:rPr>
                <w:sz w:val="18"/>
                <w:lang w:val="fr-FR"/>
              </w:rPr>
              <w:t>Dépression</w:t>
            </w:r>
          </w:p>
        </w:tc>
        <w:tc>
          <w:tcPr>
            <w:tcW w:w="1104" w:type="dxa"/>
            <w:shd w:val="clear" w:color="auto" w:fill="auto"/>
          </w:tcPr>
          <w:p w:rsidR="00D60A11" w:rsidRPr="00EA05B3" w:rsidRDefault="00D60A11" w:rsidP="00EB276C">
            <w:pPr>
              <w:keepNext/>
              <w:spacing w:before="40" w:after="40" w:line="220" w:lineRule="exact"/>
              <w:jc w:val="right"/>
              <w:rPr>
                <w:sz w:val="18"/>
                <w:lang w:val="fr-FR"/>
              </w:rPr>
            </w:pPr>
            <w:r w:rsidRPr="00EA05B3">
              <w:rPr>
                <w:sz w:val="18"/>
                <w:lang w:val="fr-FR"/>
              </w:rPr>
              <w:t>-</w:t>
            </w:r>
          </w:p>
        </w:tc>
      </w:tr>
    </w:tbl>
    <w:p w:rsidR="00D60A11" w:rsidRPr="00EA05B3" w:rsidRDefault="00D60A11" w:rsidP="00E905BF">
      <w:pPr>
        <w:pStyle w:val="SingleTxtG"/>
        <w:spacing w:before="120" w:after="240"/>
        <w:ind w:firstLine="170"/>
        <w:jc w:val="left"/>
        <w:rPr>
          <w:sz w:val="18"/>
          <w:szCs w:val="18"/>
          <w:lang w:val="fr-FR"/>
        </w:rPr>
      </w:pPr>
      <w:r w:rsidRPr="00EA05B3">
        <w:rPr>
          <w:i/>
          <w:sz w:val="18"/>
          <w:lang w:val="fr-FR"/>
        </w:rPr>
        <w:t>Source</w:t>
      </w:r>
      <w:r w:rsidR="00B36EE6" w:rsidRPr="00EA05B3">
        <w:rPr>
          <w:lang w:val="fr-FR"/>
        </w:rPr>
        <w:t>:</w:t>
      </w:r>
      <w:r w:rsidRPr="00EA05B3">
        <w:rPr>
          <w:sz w:val="18"/>
          <w:lang w:val="fr-FR"/>
        </w:rPr>
        <w:t xml:space="preserve"> INEC.</w:t>
      </w:r>
    </w:p>
    <w:p w:rsidR="00D60A11" w:rsidRPr="00EA05B3" w:rsidRDefault="008F7D5A" w:rsidP="000748EE">
      <w:pPr>
        <w:pStyle w:val="SingleTxtG"/>
        <w:rPr>
          <w:lang w:val="fr-FR"/>
        </w:rPr>
      </w:pPr>
      <w:r w:rsidRPr="00EA05B3">
        <w:rPr>
          <w:lang w:val="fr-FR"/>
        </w:rPr>
        <w:t>63.</w:t>
      </w:r>
      <w:r w:rsidRPr="00EA05B3">
        <w:rPr>
          <w:lang w:val="fr-FR"/>
        </w:rPr>
        <w:tab/>
      </w:r>
      <w:r w:rsidR="00D60A11" w:rsidRPr="00EA05B3">
        <w:rPr>
          <w:lang w:val="fr-FR"/>
        </w:rPr>
        <w:t xml:space="preserve">Selon les données du Ministère de la santé publique, le diabète sucré et les maladies liées à </w:t>
      </w:r>
      <w:r w:rsidR="009379A7" w:rsidRPr="00EA05B3">
        <w:rPr>
          <w:lang w:val="fr-FR"/>
        </w:rPr>
        <w:t>l’</w:t>
      </w:r>
      <w:r w:rsidR="00D60A11" w:rsidRPr="00EA05B3">
        <w:rPr>
          <w:lang w:val="fr-FR"/>
        </w:rPr>
        <w:t>hypertension arrivent en tête des dix principales causes de mortalité, avec des pourcentages respectifs de 7,15</w:t>
      </w:r>
      <w:r w:rsidR="009379A7" w:rsidRPr="00EA05B3">
        <w:rPr>
          <w:lang w:val="fr-FR"/>
        </w:rPr>
        <w:t> %</w:t>
      </w:r>
      <w:r w:rsidR="00D60A11" w:rsidRPr="00EA05B3">
        <w:rPr>
          <w:lang w:val="fr-FR"/>
        </w:rPr>
        <w:t xml:space="preserve"> et 7,03</w:t>
      </w:r>
      <w:r w:rsidR="009379A7" w:rsidRPr="00EA05B3">
        <w:rPr>
          <w:lang w:val="fr-FR"/>
        </w:rPr>
        <w:t> %</w:t>
      </w:r>
      <w:r w:rsidR="00D60A11" w:rsidRPr="00EA05B3">
        <w:rPr>
          <w:lang w:val="fr-FR"/>
        </w:rPr>
        <w:t xml:space="preserve"> (voir annexe, tableau 22).</w:t>
      </w:r>
    </w:p>
    <w:p w:rsidR="00D60A11" w:rsidRPr="00EA05B3" w:rsidRDefault="008F7D5A" w:rsidP="000748EE">
      <w:pPr>
        <w:pStyle w:val="SingleTxtG"/>
        <w:rPr>
          <w:lang w:val="fr-FR"/>
        </w:rPr>
      </w:pPr>
      <w:r w:rsidRPr="00EA05B3">
        <w:rPr>
          <w:lang w:val="fr-FR"/>
        </w:rPr>
        <w:t>64.</w:t>
      </w:r>
      <w:r w:rsidRPr="00EA05B3">
        <w:rPr>
          <w:lang w:val="fr-FR"/>
        </w:rPr>
        <w:tab/>
      </w:r>
      <w:r w:rsidR="00D60A11" w:rsidRPr="00EA05B3">
        <w:rPr>
          <w:lang w:val="fr-FR"/>
        </w:rPr>
        <w:t>La mortalité infantile est de 29 cas pour 1</w:t>
      </w:r>
      <w:r w:rsidR="000A2120" w:rsidRPr="00EA05B3">
        <w:rPr>
          <w:lang w:val="fr-FR"/>
        </w:rPr>
        <w:t> </w:t>
      </w:r>
      <w:r w:rsidR="00D60A11" w:rsidRPr="00EA05B3">
        <w:rPr>
          <w:lang w:val="fr-FR"/>
        </w:rPr>
        <w:t>000 naissances vivantes, ce qui représente une baisse de près de 50</w:t>
      </w:r>
      <w:r w:rsidR="009379A7" w:rsidRPr="00EA05B3">
        <w:rPr>
          <w:lang w:val="fr-FR"/>
        </w:rPr>
        <w:t> %</w:t>
      </w:r>
      <w:r w:rsidR="00D60A11" w:rsidRPr="00EA05B3">
        <w:rPr>
          <w:lang w:val="fr-FR"/>
        </w:rPr>
        <w:t xml:space="preserve"> par rapport à 1990</w:t>
      </w:r>
      <w:r w:rsidR="00D60A11" w:rsidRPr="00EA05B3">
        <w:rPr>
          <w:rStyle w:val="FootnoteReference"/>
          <w:lang w:val="fr-FR"/>
        </w:rPr>
        <w:footnoteReference w:id="31"/>
      </w:r>
      <w:r w:rsidR="00D60A11" w:rsidRPr="00EA05B3">
        <w:rPr>
          <w:lang w:val="fr-FR"/>
        </w:rPr>
        <w:t xml:space="preserve">. </w:t>
      </w:r>
      <w:r w:rsidR="009379A7" w:rsidRPr="00EA05B3">
        <w:rPr>
          <w:lang w:val="fr-FR"/>
        </w:rPr>
        <w:t>L’</w:t>
      </w:r>
      <w:r w:rsidR="00D60A11" w:rsidRPr="00EA05B3">
        <w:rPr>
          <w:lang w:val="fr-FR"/>
        </w:rPr>
        <w:t>écart entre les zones rurales et les zones urbaines a également diminué.</w:t>
      </w:r>
      <w:r w:rsidR="000D57A5" w:rsidRPr="00EA05B3">
        <w:rPr>
          <w:lang w:val="fr-FR"/>
        </w:rPr>
        <w:t xml:space="preserve"> </w:t>
      </w:r>
      <w:r w:rsidR="00D60A11" w:rsidRPr="00EA05B3">
        <w:rPr>
          <w:lang w:val="fr-FR"/>
        </w:rPr>
        <w:t xml:space="preserve">La proportion est néanmoins plus élevée dans les zones rurales, notamment la région montagneuse (Sierra) et la région amazonienne, avec 35 </w:t>
      </w:r>
      <w:r w:rsidRPr="00EA05B3">
        <w:rPr>
          <w:lang w:val="fr-FR"/>
        </w:rPr>
        <w:t>‰</w:t>
      </w:r>
      <w:r w:rsidR="00D60A11" w:rsidRPr="00EA05B3">
        <w:rPr>
          <w:lang w:val="fr-FR"/>
        </w:rPr>
        <w:t xml:space="preserve"> naissances vivantes, contre 25 </w:t>
      </w:r>
      <w:r w:rsidRPr="00EA05B3">
        <w:rPr>
          <w:lang w:val="fr-FR"/>
        </w:rPr>
        <w:t>‰</w:t>
      </w:r>
      <w:r w:rsidR="00D60A11" w:rsidRPr="00EA05B3">
        <w:rPr>
          <w:lang w:val="fr-FR"/>
        </w:rPr>
        <w:t xml:space="preserve"> naissances vivantes dans les zones urbaines.</w:t>
      </w:r>
    </w:p>
    <w:p w:rsidR="00D60A11" w:rsidRPr="00EA05B3" w:rsidRDefault="008F7D5A" w:rsidP="000748EE">
      <w:pPr>
        <w:pStyle w:val="SingleTxtG"/>
        <w:rPr>
          <w:lang w:val="fr-FR"/>
        </w:rPr>
      </w:pPr>
      <w:r w:rsidRPr="00EA05B3">
        <w:rPr>
          <w:lang w:val="fr-FR"/>
        </w:rPr>
        <w:t>65.</w:t>
      </w:r>
      <w:r w:rsidRPr="00EA05B3">
        <w:rPr>
          <w:lang w:val="fr-FR"/>
        </w:rPr>
        <w:tab/>
      </w:r>
      <w:r w:rsidR="00D60A11" w:rsidRPr="00EA05B3">
        <w:rPr>
          <w:lang w:val="fr-FR"/>
        </w:rPr>
        <w:t xml:space="preserve">Sur ce point, il convient de souligner que la baisse de la mortalité infantile a été obtenue grâce à la diffusion de la technologie médicale, à </w:t>
      </w:r>
      <w:r w:rsidR="009379A7" w:rsidRPr="00EA05B3">
        <w:rPr>
          <w:lang w:val="fr-FR"/>
        </w:rPr>
        <w:t>l’</w:t>
      </w:r>
      <w:r w:rsidR="00D60A11" w:rsidRPr="00EA05B3">
        <w:rPr>
          <w:lang w:val="fr-FR"/>
        </w:rPr>
        <w:t>extension de la couverture des services de santé, notamment dans le domaine des soins de santé primaires</w:t>
      </w:r>
      <w:r w:rsidR="00163C61" w:rsidRPr="00EA05B3">
        <w:rPr>
          <w:lang w:val="fr-FR"/>
        </w:rPr>
        <w:t>,</w:t>
      </w:r>
      <w:r w:rsidR="00D60A11" w:rsidRPr="00EA05B3">
        <w:rPr>
          <w:lang w:val="fr-FR"/>
        </w:rPr>
        <w:t xml:space="preserve"> et à la généralisation des vaccins.</w:t>
      </w:r>
    </w:p>
    <w:p w:rsidR="00D60A11" w:rsidRPr="00EA05B3" w:rsidRDefault="008F7D5A" w:rsidP="000748EE">
      <w:pPr>
        <w:pStyle w:val="SingleTxtG"/>
        <w:rPr>
          <w:lang w:val="fr-FR"/>
        </w:rPr>
      </w:pPr>
      <w:r w:rsidRPr="00EA05B3">
        <w:rPr>
          <w:lang w:val="fr-FR"/>
        </w:rPr>
        <w:t>66.</w:t>
      </w:r>
      <w:r w:rsidRPr="00EA05B3">
        <w:rPr>
          <w:lang w:val="fr-FR"/>
        </w:rPr>
        <w:tab/>
      </w:r>
      <w:r w:rsidR="00D60A11" w:rsidRPr="00EA05B3">
        <w:rPr>
          <w:lang w:val="fr-FR"/>
        </w:rPr>
        <w:t xml:space="preserve">Par ailleurs, </w:t>
      </w:r>
      <w:r w:rsidR="009379A7" w:rsidRPr="00EA05B3">
        <w:rPr>
          <w:lang w:val="fr-FR"/>
        </w:rPr>
        <w:t>l’</w:t>
      </w:r>
      <w:r w:rsidR="00D60A11" w:rsidRPr="00EA05B3">
        <w:rPr>
          <w:lang w:val="fr-FR"/>
        </w:rPr>
        <w:t>espérance de vie à la naissance a beaucoup progressé et le taux de fécondité a globalement diminué.</w:t>
      </w:r>
    </w:p>
    <w:p w:rsidR="00D60A11" w:rsidRPr="00EA05B3" w:rsidRDefault="008F7D5A" w:rsidP="000748EE">
      <w:pPr>
        <w:pStyle w:val="SingleTxtG"/>
        <w:rPr>
          <w:lang w:val="fr-FR"/>
        </w:rPr>
      </w:pPr>
      <w:r w:rsidRPr="00EA05B3">
        <w:rPr>
          <w:lang w:val="fr-FR"/>
        </w:rPr>
        <w:t>67.</w:t>
      </w:r>
      <w:r w:rsidRPr="00EA05B3">
        <w:rPr>
          <w:lang w:val="fr-FR"/>
        </w:rPr>
        <w:tab/>
      </w:r>
      <w:r w:rsidR="00D60A11" w:rsidRPr="00EA05B3">
        <w:rPr>
          <w:lang w:val="fr-FR"/>
        </w:rPr>
        <w:t>La malnutrition chronique infantile, qui compromet de manière irréversible le développement intellectuel et psychomoteur des enfants de moins de 5 ans, affecte encore 25,9</w:t>
      </w:r>
      <w:r w:rsidR="009379A7" w:rsidRPr="00EA05B3">
        <w:rPr>
          <w:lang w:val="fr-FR"/>
        </w:rPr>
        <w:t> %</w:t>
      </w:r>
      <w:r w:rsidR="00D60A11" w:rsidRPr="00EA05B3">
        <w:rPr>
          <w:lang w:val="fr-FR"/>
        </w:rPr>
        <w:t xml:space="preserve"> des enfants en Équateur</w:t>
      </w:r>
      <w:r w:rsidR="00D60A11" w:rsidRPr="00EA05B3">
        <w:rPr>
          <w:rStyle w:val="FootnoteReference"/>
          <w:lang w:val="fr-FR"/>
        </w:rPr>
        <w:footnoteReference w:id="32"/>
      </w:r>
      <w:r w:rsidR="00D60A11" w:rsidRPr="00EA05B3">
        <w:rPr>
          <w:lang w:val="fr-FR"/>
        </w:rPr>
        <w:t xml:space="preserve">, notamment les enfants autochtones, surtout dans les zones rurales de la région montagneuse (Sierra). </w:t>
      </w:r>
    </w:p>
    <w:p w:rsidR="00D60A11" w:rsidRPr="00EA05B3" w:rsidRDefault="008F7D5A" w:rsidP="000748EE">
      <w:pPr>
        <w:pStyle w:val="SingleTxtG"/>
        <w:rPr>
          <w:lang w:val="fr-FR"/>
        </w:rPr>
      </w:pPr>
      <w:r w:rsidRPr="00EA05B3">
        <w:rPr>
          <w:lang w:val="fr-FR"/>
        </w:rPr>
        <w:t>68.</w:t>
      </w:r>
      <w:r w:rsidRPr="00EA05B3">
        <w:rPr>
          <w:lang w:val="fr-FR"/>
        </w:rPr>
        <w:tab/>
      </w:r>
      <w:r w:rsidR="00D60A11" w:rsidRPr="00EA05B3">
        <w:rPr>
          <w:lang w:val="fr-FR"/>
        </w:rPr>
        <w:t xml:space="preserve">Selon </w:t>
      </w:r>
      <w:r w:rsidR="009379A7" w:rsidRPr="00EA05B3">
        <w:rPr>
          <w:lang w:val="fr-FR"/>
        </w:rPr>
        <w:t>l’</w:t>
      </w:r>
      <w:r w:rsidR="00D60A11" w:rsidRPr="00EA05B3">
        <w:rPr>
          <w:lang w:val="fr-FR"/>
        </w:rPr>
        <w:t xml:space="preserve">Enquête sur les conditions de vie réalisée par </w:t>
      </w:r>
      <w:r w:rsidR="009379A7" w:rsidRPr="00EA05B3">
        <w:rPr>
          <w:lang w:val="fr-FR"/>
        </w:rPr>
        <w:t>l’</w:t>
      </w:r>
      <w:r w:rsidR="00D60A11" w:rsidRPr="00EA05B3">
        <w:rPr>
          <w:lang w:val="fr-FR"/>
        </w:rPr>
        <w:t>Institut national des statistiques et des recensements</w:t>
      </w:r>
      <w:r w:rsidR="000D57A5" w:rsidRPr="00EA05B3">
        <w:rPr>
          <w:lang w:val="fr-FR"/>
        </w:rPr>
        <w:t xml:space="preserve"> </w:t>
      </w:r>
      <w:r w:rsidR="00D60A11" w:rsidRPr="00EA05B3">
        <w:rPr>
          <w:lang w:val="fr-FR"/>
        </w:rPr>
        <w:t>sur la période 2005-2006, la malnutrition globale affectait 123 728 enfants et la malnutrition chronique 260 600 enfants de moins de 5 ans (voir annexe, tableau 20).</w:t>
      </w:r>
    </w:p>
    <w:p w:rsidR="00D60A11" w:rsidRPr="00EA05B3" w:rsidRDefault="008F7D5A" w:rsidP="000748EE">
      <w:pPr>
        <w:pStyle w:val="SingleTxtG"/>
        <w:rPr>
          <w:lang w:val="fr-FR"/>
        </w:rPr>
      </w:pPr>
      <w:r w:rsidRPr="00EA05B3">
        <w:rPr>
          <w:lang w:val="fr-FR"/>
        </w:rPr>
        <w:t>69.</w:t>
      </w:r>
      <w:r w:rsidRPr="00EA05B3">
        <w:rPr>
          <w:lang w:val="fr-FR"/>
        </w:rPr>
        <w:tab/>
      </w:r>
      <w:r w:rsidR="009379A7" w:rsidRPr="00EA05B3">
        <w:rPr>
          <w:lang w:val="fr-FR"/>
        </w:rPr>
        <w:t>L’</w:t>
      </w:r>
      <w:r w:rsidR="00D60A11" w:rsidRPr="00EA05B3">
        <w:rPr>
          <w:lang w:val="fr-FR"/>
        </w:rPr>
        <w:t>espérance de vie à la naissance est passée de 58,9 ans pour la période 1970-1975 à 75,6 ans pour la période quinquennale actuelle.</w:t>
      </w:r>
    </w:p>
    <w:p w:rsidR="00D60A11" w:rsidRPr="00EA05B3" w:rsidRDefault="008F7D5A" w:rsidP="000748EE">
      <w:pPr>
        <w:pStyle w:val="SingleTxtG"/>
        <w:rPr>
          <w:lang w:val="fr-FR"/>
        </w:rPr>
      </w:pPr>
      <w:r w:rsidRPr="00EA05B3">
        <w:rPr>
          <w:lang w:val="fr-FR"/>
        </w:rPr>
        <w:t>70.</w:t>
      </w:r>
      <w:r w:rsidRPr="00EA05B3">
        <w:rPr>
          <w:lang w:val="fr-FR"/>
        </w:rPr>
        <w:tab/>
      </w:r>
      <w:r w:rsidR="00D60A11" w:rsidRPr="00EA05B3">
        <w:rPr>
          <w:lang w:val="fr-FR"/>
        </w:rPr>
        <w:t xml:space="preserve">On constate également une importante diminution du taux global de fécondité qui baisse au fur et à mesure que la participation des femmes au marché du travail augmente, que leur inclusion dans les centres éducatifs, tous niveaux confondus, progresse et que </w:t>
      </w:r>
      <w:r w:rsidR="009379A7" w:rsidRPr="00EA05B3">
        <w:rPr>
          <w:lang w:val="fr-FR"/>
        </w:rPr>
        <w:t>l’</w:t>
      </w:r>
      <w:r w:rsidR="00D60A11" w:rsidRPr="00EA05B3">
        <w:rPr>
          <w:lang w:val="fr-FR"/>
        </w:rPr>
        <w:t xml:space="preserve">accès aux méthodes de contraception se développe. </w:t>
      </w:r>
    </w:p>
    <w:p w:rsidR="00D60A11" w:rsidRPr="00EA05B3" w:rsidRDefault="008F7D5A" w:rsidP="000748EE">
      <w:pPr>
        <w:pStyle w:val="SingleTxtG"/>
        <w:rPr>
          <w:szCs w:val="24"/>
          <w:lang w:val="fr-FR"/>
        </w:rPr>
      </w:pPr>
      <w:r w:rsidRPr="00EA05B3">
        <w:rPr>
          <w:lang w:val="fr-FR"/>
        </w:rPr>
        <w:t>71.</w:t>
      </w:r>
      <w:r w:rsidRPr="00EA05B3">
        <w:rPr>
          <w:lang w:val="fr-FR"/>
        </w:rPr>
        <w:tab/>
      </w:r>
      <w:r w:rsidR="00D60A11" w:rsidRPr="00EA05B3">
        <w:rPr>
          <w:lang w:val="fr-FR"/>
        </w:rPr>
        <w:t xml:space="preserve">Sur ce point, </w:t>
      </w:r>
      <w:r w:rsidR="009379A7" w:rsidRPr="00EA05B3">
        <w:rPr>
          <w:lang w:val="fr-FR"/>
        </w:rPr>
        <w:t>l’</w:t>
      </w:r>
      <w:r w:rsidR="00D60A11" w:rsidRPr="00EA05B3">
        <w:rPr>
          <w:lang w:val="fr-FR"/>
        </w:rPr>
        <w:t>écart entre les zones rurales et les zones urbaines persiste également, même si son ampleur a diminué.</w:t>
      </w:r>
    </w:p>
    <w:p w:rsidR="00D60A11" w:rsidRPr="00EA05B3" w:rsidRDefault="008F7D5A" w:rsidP="000748EE">
      <w:pPr>
        <w:pStyle w:val="SingleTxtG"/>
        <w:rPr>
          <w:lang w:val="fr-FR"/>
        </w:rPr>
      </w:pPr>
      <w:r w:rsidRPr="00EA05B3">
        <w:rPr>
          <w:lang w:val="fr-FR"/>
        </w:rPr>
        <w:t>72.</w:t>
      </w:r>
      <w:r w:rsidRPr="00EA05B3">
        <w:rPr>
          <w:lang w:val="fr-FR"/>
        </w:rPr>
        <w:tab/>
      </w:r>
      <w:r w:rsidR="00D60A11" w:rsidRPr="00EA05B3">
        <w:rPr>
          <w:lang w:val="fr-FR"/>
        </w:rPr>
        <w:t>Les deux années qui ont précédé le recensement de 2010</w:t>
      </w:r>
      <w:r w:rsidR="00D60A11" w:rsidRPr="00EA05B3">
        <w:rPr>
          <w:rStyle w:val="FootnoteReference"/>
          <w:szCs w:val="18"/>
          <w:lang w:val="fr-FR"/>
        </w:rPr>
        <w:footnoteReference w:id="33"/>
      </w:r>
      <w:r w:rsidR="00D60A11" w:rsidRPr="00EA05B3">
        <w:rPr>
          <w:lang w:val="fr-FR"/>
        </w:rPr>
        <w:t>, 18</w:t>
      </w:r>
      <w:r w:rsidR="009379A7" w:rsidRPr="00EA05B3">
        <w:rPr>
          <w:lang w:val="fr-FR"/>
        </w:rPr>
        <w:t> %</w:t>
      </w:r>
      <w:r w:rsidR="00D60A11" w:rsidRPr="00EA05B3">
        <w:rPr>
          <w:lang w:val="fr-FR"/>
        </w:rPr>
        <w:t xml:space="preserve"> des naissances survenaient chez des adolescentes âgées de 12 à 19 ans. La grossesse chez les adolescentes, généralement non désirée, limite les possibilités éducatives et professionnelles des jeunes, augmente souvent la vulnérabilité sociale des foyers, réduit les perspectives futures des enfants et renforce la transmission</w:t>
      </w:r>
      <w:r w:rsidR="009C0A83" w:rsidRPr="00EA05B3">
        <w:rPr>
          <w:lang w:val="fr-FR"/>
        </w:rPr>
        <w:t xml:space="preserve"> </w:t>
      </w:r>
      <w:r w:rsidR="00D60A11" w:rsidRPr="00EA05B3">
        <w:rPr>
          <w:lang w:val="fr-FR"/>
        </w:rPr>
        <w:t>de la pauvreté</w:t>
      </w:r>
      <w:r w:rsidR="001F78FE" w:rsidRPr="00EA05B3">
        <w:rPr>
          <w:lang w:val="fr-FR"/>
        </w:rPr>
        <w:t xml:space="preserve"> entre les générations</w:t>
      </w:r>
      <w:r w:rsidR="00D60A11" w:rsidRPr="00EA05B3">
        <w:rPr>
          <w:lang w:val="fr-FR"/>
        </w:rPr>
        <w:t xml:space="preserve">. </w:t>
      </w:r>
    </w:p>
    <w:p w:rsidR="00D60A11" w:rsidRPr="00EA05B3" w:rsidRDefault="008F7D5A" w:rsidP="000748EE">
      <w:pPr>
        <w:pStyle w:val="SingleTxtG"/>
        <w:rPr>
          <w:lang w:val="fr-FR"/>
        </w:rPr>
      </w:pPr>
      <w:r w:rsidRPr="00EA05B3">
        <w:rPr>
          <w:lang w:val="fr-FR"/>
        </w:rPr>
        <w:t>73.</w:t>
      </w:r>
      <w:r w:rsidRPr="00EA05B3">
        <w:rPr>
          <w:lang w:val="fr-FR"/>
        </w:rPr>
        <w:tab/>
      </w:r>
      <w:r w:rsidR="00D60A11" w:rsidRPr="00EA05B3">
        <w:rPr>
          <w:lang w:val="fr-FR"/>
        </w:rPr>
        <w:t xml:space="preserve">La grossesse chez les adolescentes (estimée par le taux de fécondité des femmes âgées de 15 à 19 ans) demeure un problème de santé publique </w:t>
      </w:r>
      <w:r w:rsidR="00302EC4" w:rsidRPr="00EA05B3">
        <w:rPr>
          <w:lang w:val="fr-FR"/>
        </w:rPr>
        <w:t>préoccupant</w:t>
      </w:r>
      <w:r w:rsidR="00D60A11" w:rsidRPr="00EA05B3">
        <w:rPr>
          <w:lang w:val="fr-FR"/>
        </w:rPr>
        <w:t xml:space="preserve">, qui a des </w:t>
      </w:r>
      <w:r w:rsidR="00302EC4" w:rsidRPr="00EA05B3">
        <w:rPr>
          <w:lang w:val="fr-FR"/>
        </w:rPr>
        <w:t xml:space="preserve">répercussions </w:t>
      </w:r>
      <w:r w:rsidR="00D60A11" w:rsidRPr="00EA05B3">
        <w:rPr>
          <w:lang w:val="fr-FR"/>
        </w:rPr>
        <w:t>graves sur la vie des femmes.</w:t>
      </w:r>
    </w:p>
    <w:p w:rsidR="00D60A11" w:rsidRPr="00EA05B3" w:rsidRDefault="008F7D5A" w:rsidP="000748EE">
      <w:pPr>
        <w:pStyle w:val="SingleTxtG"/>
        <w:rPr>
          <w:lang w:val="fr-FR"/>
        </w:rPr>
      </w:pPr>
      <w:r w:rsidRPr="00EA05B3">
        <w:rPr>
          <w:lang w:val="fr-FR"/>
        </w:rPr>
        <w:t>74.</w:t>
      </w:r>
      <w:r w:rsidRPr="00EA05B3">
        <w:rPr>
          <w:lang w:val="fr-FR"/>
        </w:rPr>
        <w:tab/>
      </w:r>
      <w:r w:rsidR="00D60A11" w:rsidRPr="00EA05B3">
        <w:rPr>
          <w:lang w:val="fr-FR"/>
        </w:rPr>
        <w:t xml:space="preserve">En ce qui concerne </w:t>
      </w:r>
      <w:r w:rsidR="009379A7" w:rsidRPr="00EA05B3">
        <w:rPr>
          <w:lang w:val="fr-FR"/>
        </w:rPr>
        <w:t>l’</w:t>
      </w:r>
      <w:r w:rsidR="00D60A11" w:rsidRPr="00EA05B3">
        <w:rPr>
          <w:lang w:val="fr-FR"/>
        </w:rPr>
        <w:t xml:space="preserve">utilisation de moyens contraceptifs par les femmes âgées de 15 à 49 ans, selon la cinquième Enquête sur les conditions de vie réalisée par </w:t>
      </w:r>
      <w:r w:rsidR="009379A7" w:rsidRPr="00EA05B3">
        <w:rPr>
          <w:lang w:val="fr-FR"/>
        </w:rPr>
        <w:t>l’</w:t>
      </w:r>
      <w:r w:rsidR="00D60A11" w:rsidRPr="00EA05B3">
        <w:rPr>
          <w:lang w:val="fr-FR"/>
        </w:rPr>
        <w:t>Institut national des statistiques et des recensements en 2005-2006, sur les 3 095 866 femmes qui connaissaient les méthodes de contraception, 1 528 788, soit 49</w:t>
      </w:r>
      <w:r w:rsidR="009379A7" w:rsidRPr="00EA05B3">
        <w:rPr>
          <w:lang w:val="fr-FR"/>
        </w:rPr>
        <w:t> %</w:t>
      </w:r>
      <w:r w:rsidR="00D60A11" w:rsidRPr="00EA05B3">
        <w:rPr>
          <w:lang w:val="fr-FR"/>
        </w:rPr>
        <w:t>, y avaient recours.</w:t>
      </w:r>
    </w:p>
    <w:p w:rsidR="00D60A11" w:rsidRPr="00EA05B3" w:rsidRDefault="008F7D5A" w:rsidP="000748EE">
      <w:pPr>
        <w:pStyle w:val="SingleTxtG"/>
        <w:rPr>
          <w:lang w:val="fr-FR"/>
        </w:rPr>
      </w:pPr>
      <w:r w:rsidRPr="00EA05B3">
        <w:rPr>
          <w:lang w:val="fr-FR"/>
        </w:rPr>
        <w:t>75.</w:t>
      </w:r>
      <w:r w:rsidRPr="00EA05B3">
        <w:rPr>
          <w:lang w:val="fr-FR"/>
        </w:rPr>
        <w:tab/>
      </w:r>
      <w:r w:rsidR="00D60A11" w:rsidRPr="00EA05B3">
        <w:rPr>
          <w:lang w:val="fr-FR"/>
        </w:rPr>
        <w:t>Selon le dernier recensement (2010), presque une femme sur cinq (18,5</w:t>
      </w:r>
      <w:r w:rsidR="009379A7" w:rsidRPr="00EA05B3">
        <w:rPr>
          <w:lang w:val="fr-FR"/>
        </w:rPr>
        <w:t> %</w:t>
      </w:r>
      <w:r w:rsidR="00D60A11" w:rsidRPr="00EA05B3">
        <w:rPr>
          <w:lang w:val="fr-FR"/>
        </w:rPr>
        <w:t>) avait au moins un enfant à 19 ans et 18</w:t>
      </w:r>
      <w:r w:rsidR="009379A7" w:rsidRPr="00EA05B3">
        <w:rPr>
          <w:lang w:val="fr-FR"/>
        </w:rPr>
        <w:t> %</w:t>
      </w:r>
      <w:r w:rsidR="00D60A11" w:rsidRPr="00EA05B3">
        <w:rPr>
          <w:lang w:val="fr-FR"/>
        </w:rPr>
        <w:t xml:space="preserve"> des naissances survenaient chez des adolescentes âgées de 12 à 19 ans.</w:t>
      </w:r>
    </w:p>
    <w:p w:rsidR="00D60A11" w:rsidRPr="00EA05B3" w:rsidRDefault="008F7D5A" w:rsidP="000748EE">
      <w:pPr>
        <w:pStyle w:val="SingleTxtG"/>
        <w:rPr>
          <w:lang w:val="fr-FR"/>
        </w:rPr>
      </w:pPr>
      <w:r w:rsidRPr="00EA05B3">
        <w:rPr>
          <w:lang w:val="fr-FR"/>
        </w:rPr>
        <w:t>76.</w:t>
      </w:r>
      <w:r w:rsidRPr="00EA05B3">
        <w:rPr>
          <w:lang w:val="fr-FR"/>
        </w:rPr>
        <w:tab/>
      </w:r>
      <w:r w:rsidR="00D60A11" w:rsidRPr="00EA05B3">
        <w:rPr>
          <w:lang w:val="fr-FR"/>
        </w:rPr>
        <w:t xml:space="preserve">Des études récentes confirment que la grossesse chez les adolescentes est plus fréquente dans les foyers pauvres, dans les zones rurales et chez les femmes ayant </w:t>
      </w:r>
      <w:r w:rsidR="002A21C0" w:rsidRPr="00EA05B3">
        <w:rPr>
          <w:lang w:val="fr-FR"/>
        </w:rPr>
        <w:t>un</w:t>
      </w:r>
      <w:r w:rsidR="00D60A11" w:rsidRPr="00EA05B3">
        <w:rPr>
          <w:lang w:val="fr-FR"/>
        </w:rPr>
        <w:t xml:space="preserve"> faible niveau </w:t>
      </w:r>
      <w:r w:rsidR="009379A7" w:rsidRPr="00EA05B3">
        <w:rPr>
          <w:lang w:val="fr-FR"/>
        </w:rPr>
        <w:t>d’</w:t>
      </w:r>
      <w:r w:rsidR="00D60A11" w:rsidRPr="00EA05B3">
        <w:rPr>
          <w:lang w:val="fr-FR"/>
        </w:rPr>
        <w:t>éducation et que</w:t>
      </w:r>
      <w:r w:rsidR="00163C61" w:rsidRPr="00EA05B3">
        <w:rPr>
          <w:lang w:val="fr-FR"/>
        </w:rPr>
        <w:t>,</w:t>
      </w:r>
      <w:r w:rsidR="00D60A11" w:rsidRPr="00EA05B3">
        <w:rPr>
          <w:lang w:val="fr-FR"/>
        </w:rPr>
        <w:t xml:space="preserve"> par conséquent</w:t>
      </w:r>
      <w:r w:rsidR="00163C61" w:rsidRPr="00EA05B3">
        <w:rPr>
          <w:lang w:val="fr-FR"/>
        </w:rPr>
        <w:t>,</w:t>
      </w:r>
      <w:r w:rsidR="00D60A11" w:rsidRPr="00EA05B3">
        <w:rPr>
          <w:lang w:val="fr-FR"/>
        </w:rPr>
        <w:t xml:space="preserve"> elle touche surtout les groupes des plus vulnérables de la société.</w:t>
      </w:r>
    </w:p>
    <w:p w:rsidR="00D60A11" w:rsidRPr="00EA05B3" w:rsidRDefault="008F7D5A" w:rsidP="000748EE">
      <w:pPr>
        <w:pStyle w:val="SingleTxtG"/>
        <w:rPr>
          <w:lang w:val="fr-FR"/>
        </w:rPr>
      </w:pPr>
      <w:r w:rsidRPr="00EA05B3">
        <w:rPr>
          <w:lang w:val="fr-FR"/>
        </w:rPr>
        <w:t>77.</w:t>
      </w:r>
      <w:r w:rsidRPr="00EA05B3">
        <w:rPr>
          <w:lang w:val="fr-FR"/>
        </w:rPr>
        <w:tab/>
      </w:r>
      <w:r w:rsidR="00D60A11" w:rsidRPr="00EA05B3">
        <w:rPr>
          <w:lang w:val="fr-FR"/>
        </w:rPr>
        <w:t xml:space="preserve">Afin </w:t>
      </w:r>
      <w:r w:rsidR="009379A7" w:rsidRPr="00EA05B3">
        <w:rPr>
          <w:lang w:val="fr-FR"/>
        </w:rPr>
        <w:t>d’</w:t>
      </w:r>
      <w:r w:rsidR="00D60A11" w:rsidRPr="00EA05B3">
        <w:rPr>
          <w:lang w:val="fr-FR"/>
        </w:rPr>
        <w:t>améliorer cet indicateur important, le Gouvernement met actuellement en place la Stratégie nationale intersectorielle de planification familiale et de prévention des grossesses chez les adolescentes</w:t>
      </w:r>
      <w:r w:rsidR="00D60A11" w:rsidRPr="00EA05B3">
        <w:rPr>
          <w:rStyle w:val="FootnoteReference"/>
          <w:lang w:val="fr-FR"/>
        </w:rPr>
        <w:footnoteReference w:id="34"/>
      </w:r>
      <w:r w:rsidR="00D60A11" w:rsidRPr="00EA05B3">
        <w:rPr>
          <w:lang w:val="fr-FR"/>
        </w:rPr>
        <w:t xml:space="preserve"> (ENIPLA-PEA), axe autour duquel </w:t>
      </w:r>
      <w:r w:rsidR="009379A7" w:rsidRPr="00EA05B3">
        <w:rPr>
          <w:lang w:val="fr-FR"/>
        </w:rPr>
        <w:t>s’</w:t>
      </w:r>
      <w:r w:rsidR="00D60A11" w:rsidRPr="00EA05B3">
        <w:rPr>
          <w:lang w:val="fr-FR"/>
        </w:rPr>
        <w:t>articulent les politiques dans ce domaine.</w:t>
      </w:r>
    </w:p>
    <w:p w:rsidR="00D60A11" w:rsidRPr="00EA05B3" w:rsidRDefault="008F7D5A" w:rsidP="000748EE">
      <w:pPr>
        <w:pStyle w:val="SingleTxtG"/>
        <w:rPr>
          <w:lang w:val="fr-FR"/>
        </w:rPr>
      </w:pPr>
      <w:r w:rsidRPr="00EA05B3">
        <w:rPr>
          <w:lang w:val="fr-FR"/>
        </w:rPr>
        <w:t>78.</w:t>
      </w:r>
      <w:r w:rsidRPr="00EA05B3">
        <w:rPr>
          <w:lang w:val="fr-FR"/>
        </w:rPr>
        <w:tab/>
      </w:r>
      <w:r w:rsidR="00D60A11" w:rsidRPr="00EA05B3">
        <w:rPr>
          <w:lang w:val="fr-FR"/>
        </w:rPr>
        <w:t xml:space="preserve">La pauvreté et les grossesses adolescentes étant étroitement liées, </w:t>
      </w:r>
      <w:r w:rsidR="009379A7" w:rsidRPr="00EA05B3">
        <w:rPr>
          <w:lang w:val="fr-FR"/>
        </w:rPr>
        <w:t>l’</w:t>
      </w:r>
      <w:r w:rsidR="00D60A11" w:rsidRPr="00EA05B3">
        <w:rPr>
          <w:lang w:val="fr-FR"/>
        </w:rPr>
        <w:t xml:space="preserve">Équateur met en œuvre une politique globale visant à réduire la pauvreté et les inégalités sociales </w:t>
      </w:r>
      <w:r w:rsidR="000344E1" w:rsidRPr="00EA05B3">
        <w:rPr>
          <w:lang w:val="fr-FR"/>
        </w:rPr>
        <w:t>grâce à</w:t>
      </w:r>
      <w:r w:rsidR="00D60A11" w:rsidRPr="00EA05B3">
        <w:rPr>
          <w:lang w:val="fr-FR"/>
        </w:rPr>
        <w:t xml:space="preserve"> </w:t>
      </w:r>
      <w:r w:rsidR="009379A7" w:rsidRPr="00EA05B3">
        <w:rPr>
          <w:lang w:val="fr-FR"/>
        </w:rPr>
        <w:t>l’</w:t>
      </w:r>
      <w:r w:rsidR="00D60A11" w:rsidRPr="00EA05B3">
        <w:rPr>
          <w:lang w:val="fr-FR"/>
        </w:rPr>
        <w:t xml:space="preserve">éducation et </w:t>
      </w:r>
      <w:r w:rsidR="000344E1" w:rsidRPr="00EA05B3">
        <w:rPr>
          <w:lang w:val="fr-FR"/>
        </w:rPr>
        <w:t xml:space="preserve">à </w:t>
      </w:r>
      <w:r w:rsidR="00D60A11" w:rsidRPr="00EA05B3">
        <w:rPr>
          <w:lang w:val="fr-FR"/>
        </w:rPr>
        <w:t xml:space="preserve">la création </w:t>
      </w:r>
      <w:r w:rsidR="009379A7" w:rsidRPr="00EA05B3">
        <w:rPr>
          <w:lang w:val="fr-FR"/>
        </w:rPr>
        <w:t>d’</w:t>
      </w:r>
      <w:r w:rsidR="00D60A11" w:rsidRPr="00EA05B3">
        <w:rPr>
          <w:lang w:val="fr-FR"/>
        </w:rPr>
        <w:t>emploi</w:t>
      </w:r>
      <w:r w:rsidR="00163C61" w:rsidRPr="00EA05B3">
        <w:rPr>
          <w:lang w:val="fr-FR"/>
        </w:rPr>
        <w:t>s</w:t>
      </w:r>
      <w:r w:rsidR="00D60A11" w:rsidRPr="00EA05B3">
        <w:rPr>
          <w:lang w:val="fr-FR"/>
        </w:rPr>
        <w:t xml:space="preserve"> productifs, surtout dans les zones rurales.</w:t>
      </w:r>
    </w:p>
    <w:p w:rsidR="00D60A11" w:rsidRPr="00EA05B3" w:rsidRDefault="008F7D5A" w:rsidP="000748EE">
      <w:pPr>
        <w:pStyle w:val="SingleTxtG"/>
        <w:rPr>
          <w:lang w:val="fr-FR"/>
        </w:rPr>
      </w:pPr>
      <w:r w:rsidRPr="00EA05B3">
        <w:rPr>
          <w:lang w:val="fr-FR"/>
        </w:rPr>
        <w:t>79.</w:t>
      </w:r>
      <w:r w:rsidRPr="00EA05B3">
        <w:rPr>
          <w:lang w:val="fr-FR"/>
        </w:rPr>
        <w:tab/>
      </w:r>
      <w:r w:rsidR="00D60A11" w:rsidRPr="00EA05B3">
        <w:rPr>
          <w:lang w:val="fr-FR"/>
        </w:rPr>
        <w:t xml:space="preserve">La question de la violence sexiste est un problème social de grande ampleur puisque 6 femmes équatoriennes de plus de 15 ans sur 10 ont été victimes </w:t>
      </w:r>
      <w:r w:rsidR="009379A7" w:rsidRPr="00EA05B3">
        <w:rPr>
          <w:lang w:val="fr-FR"/>
        </w:rPr>
        <w:t>d’</w:t>
      </w:r>
      <w:r w:rsidR="00D60A11" w:rsidRPr="00EA05B3">
        <w:rPr>
          <w:lang w:val="fr-FR"/>
        </w:rPr>
        <w:t xml:space="preserve">une ou de plusieurs agressions physiques, psychologiques, sexuelles ou patrimoniales du simple fait </w:t>
      </w:r>
      <w:r w:rsidR="009379A7" w:rsidRPr="00EA05B3">
        <w:rPr>
          <w:lang w:val="fr-FR"/>
        </w:rPr>
        <w:t>qu’</w:t>
      </w:r>
      <w:r w:rsidR="00D60A11" w:rsidRPr="00EA05B3">
        <w:rPr>
          <w:lang w:val="fr-FR"/>
        </w:rPr>
        <w:t xml:space="preserve">elles sont des femmes. La violence </w:t>
      </w:r>
      <w:r w:rsidR="009379A7" w:rsidRPr="00EA05B3">
        <w:rPr>
          <w:lang w:val="fr-FR"/>
        </w:rPr>
        <w:t>s’</w:t>
      </w:r>
      <w:r w:rsidR="00D60A11" w:rsidRPr="00EA05B3">
        <w:rPr>
          <w:lang w:val="fr-FR"/>
        </w:rPr>
        <w:t xml:space="preserve">exerce sur les femmes de tous les âges, groupes ethnico-culturels, secteurs </w:t>
      </w:r>
      <w:r w:rsidR="00AB70A7" w:rsidRPr="00EA05B3">
        <w:rPr>
          <w:lang w:val="fr-FR"/>
        </w:rPr>
        <w:t>socioéconomiques</w:t>
      </w:r>
      <w:r w:rsidR="00D60A11" w:rsidRPr="00EA05B3">
        <w:rPr>
          <w:lang w:val="fr-FR"/>
        </w:rPr>
        <w:t xml:space="preserve"> et régions du pays.</w:t>
      </w:r>
    </w:p>
    <w:p w:rsidR="00D60A11" w:rsidRPr="00EA05B3" w:rsidRDefault="008F7D5A" w:rsidP="000748EE">
      <w:pPr>
        <w:pStyle w:val="SingleTxtG"/>
        <w:rPr>
          <w:lang w:val="fr-FR"/>
        </w:rPr>
      </w:pPr>
      <w:r w:rsidRPr="00EA05B3">
        <w:rPr>
          <w:lang w:val="fr-FR"/>
        </w:rPr>
        <w:t>80.</w:t>
      </w:r>
      <w:r w:rsidRPr="00EA05B3">
        <w:rPr>
          <w:lang w:val="fr-FR"/>
        </w:rPr>
        <w:tab/>
      </w:r>
      <w:r w:rsidR="00D60A11" w:rsidRPr="00EA05B3">
        <w:rPr>
          <w:lang w:val="fr-FR"/>
        </w:rPr>
        <w:t>Le décret exécutif n</w:t>
      </w:r>
      <w:r w:rsidR="002A21C0" w:rsidRPr="00EA05B3">
        <w:rPr>
          <w:vertAlign w:val="superscript"/>
          <w:lang w:val="fr-FR"/>
        </w:rPr>
        <w:t>o</w:t>
      </w:r>
      <w:r w:rsidR="002A21C0" w:rsidRPr="00EA05B3">
        <w:rPr>
          <w:lang w:val="fr-FR"/>
        </w:rPr>
        <w:t> </w:t>
      </w:r>
      <w:r w:rsidR="00D60A11" w:rsidRPr="00EA05B3">
        <w:rPr>
          <w:lang w:val="fr-FR"/>
        </w:rPr>
        <w:t>620 de septembre 2007</w:t>
      </w:r>
      <w:r w:rsidR="00D60A11" w:rsidRPr="00EA05B3">
        <w:rPr>
          <w:rStyle w:val="FootnoteReference"/>
          <w:lang w:val="fr-FR"/>
        </w:rPr>
        <w:footnoteReference w:id="35"/>
      </w:r>
      <w:r w:rsidR="00163C61" w:rsidRPr="00EA05B3">
        <w:rPr>
          <w:lang w:val="fr-FR"/>
        </w:rPr>
        <w:t>,</w:t>
      </w:r>
      <w:r w:rsidR="00D60A11" w:rsidRPr="00EA05B3">
        <w:rPr>
          <w:lang w:val="fr-FR"/>
        </w:rPr>
        <w:t xml:space="preserve"> portant création </w:t>
      </w:r>
      <w:r w:rsidR="009379A7" w:rsidRPr="00EA05B3">
        <w:rPr>
          <w:lang w:val="fr-FR"/>
        </w:rPr>
        <w:t>d’</w:t>
      </w:r>
      <w:r w:rsidR="00D60A11" w:rsidRPr="00EA05B3">
        <w:rPr>
          <w:lang w:val="fr-FR"/>
        </w:rPr>
        <w:t xml:space="preserve">une politique </w:t>
      </w:r>
      <w:r w:rsidR="009379A7" w:rsidRPr="00EA05B3">
        <w:rPr>
          <w:lang w:val="fr-FR"/>
        </w:rPr>
        <w:t>d’</w:t>
      </w:r>
      <w:r w:rsidR="00D60A11" w:rsidRPr="00EA05B3">
        <w:rPr>
          <w:lang w:val="fr-FR"/>
        </w:rPr>
        <w:t xml:space="preserve">État pour </w:t>
      </w:r>
      <w:r w:rsidR="009379A7" w:rsidRPr="00EA05B3">
        <w:rPr>
          <w:lang w:val="fr-FR"/>
        </w:rPr>
        <w:t>l’</w:t>
      </w:r>
      <w:r w:rsidR="00D60A11" w:rsidRPr="00EA05B3">
        <w:rPr>
          <w:lang w:val="fr-FR"/>
        </w:rPr>
        <w:t xml:space="preserve">élimination de la violence sexiste à </w:t>
      </w:r>
      <w:r w:rsidR="009379A7" w:rsidRPr="00EA05B3">
        <w:rPr>
          <w:lang w:val="fr-FR"/>
        </w:rPr>
        <w:t>l’</w:t>
      </w:r>
      <w:r w:rsidR="00D60A11" w:rsidRPr="00EA05B3">
        <w:rPr>
          <w:lang w:val="fr-FR"/>
        </w:rPr>
        <w:t xml:space="preserve">égard des petites filles, des adolescentes et des femmes et du Plan national </w:t>
      </w:r>
      <w:r w:rsidR="009379A7" w:rsidRPr="00EA05B3">
        <w:rPr>
          <w:lang w:val="fr-FR"/>
        </w:rPr>
        <w:t>d’</w:t>
      </w:r>
      <w:r w:rsidR="00D60A11" w:rsidRPr="00EA05B3">
        <w:rPr>
          <w:lang w:val="fr-FR"/>
        </w:rPr>
        <w:t>application correspondant</w:t>
      </w:r>
      <w:r w:rsidR="00163C61" w:rsidRPr="00EA05B3">
        <w:rPr>
          <w:lang w:val="fr-FR"/>
        </w:rPr>
        <w:t>,</w:t>
      </w:r>
      <w:r w:rsidR="00D60A11" w:rsidRPr="00EA05B3">
        <w:rPr>
          <w:lang w:val="fr-FR"/>
        </w:rPr>
        <w:t xml:space="preserve"> représente un progrès important dans le domaine des politiques publiques. </w:t>
      </w:r>
    </w:p>
    <w:p w:rsidR="00D60A11" w:rsidRPr="00EA05B3" w:rsidRDefault="008F7D5A" w:rsidP="000748EE">
      <w:pPr>
        <w:pStyle w:val="SingleTxtG"/>
        <w:rPr>
          <w:lang w:val="fr-FR"/>
        </w:rPr>
      </w:pPr>
      <w:r w:rsidRPr="00EA05B3">
        <w:rPr>
          <w:lang w:val="fr-FR"/>
        </w:rPr>
        <w:t>81.</w:t>
      </w:r>
      <w:r w:rsidRPr="00EA05B3">
        <w:rPr>
          <w:lang w:val="fr-FR"/>
        </w:rPr>
        <w:tab/>
      </w:r>
      <w:r w:rsidR="00D60A11" w:rsidRPr="00EA05B3">
        <w:rPr>
          <w:lang w:val="fr-FR"/>
        </w:rPr>
        <w:t xml:space="preserve">Il convient de souligner que </w:t>
      </w:r>
      <w:r w:rsidR="009379A7" w:rsidRPr="00EA05B3">
        <w:rPr>
          <w:lang w:val="fr-FR"/>
        </w:rPr>
        <w:t>l’</w:t>
      </w:r>
      <w:r w:rsidR="00D60A11" w:rsidRPr="00EA05B3">
        <w:rPr>
          <w:lang w:val="fr-FR"/>
        </w:rPr>
        <w:t>objectif 9.4.1 du Plan national pour le bien-vivre 2009-2013</w:t>
      </w:r>
      <w:r w:rsidR="00D60A11" w:rsidRPr="00EA05B3">
        <w:rPr>
          <w:rStyle w:val="FootnoteReference"/>
          <w:lang w:val="fr-FR"/>
        </w:rPr>
        <w:footnoteReference w:id="36"/>
      </w:r>
      <w:r w:rsidR="000D57A5" w:rsidRPr="00EA05B3">
        <w:rPr>
          <w:lang w:val="fr-FR"/>
        </w:rPr>
        <w:t xml:space="preserve"> </w:t>
      </w:r>
      <w:r w:rsidR="00D60A11" w:rsidRPr="00EA05B3">
        <w:rPr>
          <w:lang w:val="fr-FR"/>
        </w:rPr>
        <w:t xml:space="preserve">est de </w:t>
      </w:r>
      <w:r w:rsidR="00B15670" w:rsidRPr="00EA05B3">
        <w:rPr>
          <w:lang w:val="fr-FR"/>
        </w:rPr>
        <w:t>«</w:t>
      </w:r>
      <w:r w:rsidR="00D60A11" w:rsidRPr="00EA05B3">
        <w:rPr>
          <w:lang w:val="fr-FR"/>
        </w:rPr>
        <w:t xml:space="preserve">réduire la violence </w:t>
      </w:r>
      <w:r w:rsidR="00AB70A7" w:rsidRPr="00EA05B3">
        <w:rPr>
          <w:lang w:val="fr-FR"/>
        </w:rPr>
        <w:t>faite aux</w:t>
      </w:r>
      <w:r w:rsidR="00D60A11" w:rsidRPr="00EA05B3">
        <w:rPr>
          <w:lang w:val="fr-FR"/>
        </w:rPr>
        <w:t xml:space="preserve"> femmes</w:t>
      </w:r>
      <w:r w:rsidR="00B15670" w:rsidRPr="00EA05B3">
        <w:rPr>
          <w:lang w:val="fr-FR"/>
        </w:rPr>
        <w:t>»</w:t>
      </w:r>
      <w:r w:rsidR="00D60A11" w:rsidRPr="00EA05B3">
        <w:rPr>
          <w:lang w:val="fr-FR"/>
        </w:rPr>
        <w:t xml:space="preserve">, et </w:t>
      </w:r>
      <w:r w:rsidR="00AB70A7" w:rsidRPr="00EA05B3">
        <w:rPr>
          <w:lang w:val="fr-FR"/>
        </w:rPr>
        <w:t>cet objectif a été repris dans le Plan pour</w:t>
      </w:r>
      <w:r w:rsidR="009C0A83" w:rsidRPr="00EA05B3">
        <w:rPr>
          <w:lang w:val="fr-FR"/>
        </w:rPr>
        <w:t xml:space="preserve"> </w:t>
      </w:r>
      <w:r w:rsidR="00D60A11" w:rsidRPr="00EA05B3">
        <w:rPr>
          <w:lang w:val="fr-FR"/>
        </w:rPr>
        <w:t>2003-2017</w:t>
      </w:r>
      <w:r w:rsidR="00D60A11" w:rsidRPr="00EA05B3">
        <w:rPr>
          <w:rStyle w:val="FootnoteReference"/>
          <w:lang w:val="fr-FR"/>
        </w:rPr>
        <w:footnoteReference w:id="37"/>
      </w:r>
      <w:r w:rsidR="00D60A11" w:rsidRPr="00EA05B3">
        <w:rPr>
          <w:lang w:val="fr-FR"/>
        </w:rPr>
        <w:t>.</w:t>
      </w:r>
      <w:r w:rsidR="006834FF" w:rsidRPr="00EA05B3">
        <w:rPr>
          <w:lang w:val="fr-FR"/>
        </w:rPr>
        <w:t xml:space="preserve"> </w:t>
      </w:r>
    </w:p>
    <w:p w:rsidR="00D60A11" w:rsidRPr="00EA05B3" w:rsidRDefault="008F7D5A" w:rsidP="000748EE">
      <w:pPr>
        <w:pStyle w:val="SingleTxtG"/>
        <w:rPr>
          <w:lang w:val="fr-FR"/>
        </w:rPr>
      </w:pPr>
      <w:r w:rsidRPr="00EA05B3">
        <w:rPr>
          <w:lang w:val="fr-FR"/>
        </w:rPr>
        <w:t>82.</w:t>
      </w:r>
      <w:r w:rsidRPr="00EA05B3">
        <w:rPr>
          <w:lang w:val="fr-FR"/>
        </w:rPr>
        <w:tab/>
      </w:r>
      <w:r w:rsidR="00D60A11" w:rsidRPr="00EA05B3">
        <w:rPr>
          <w:lang w:val="fr-FR"/>
        </w:rPr>
        <w:t xml:space="preserve">Il est nécessaire </w:t>
      </w:r>
      <w:r w:rsidR="009379A7" w:rsidRPr="00EA05B3">
        <w:rPr>
          <w:lang w:val="fr-FR"/>
        </w:rPr>
        <w:t>d’</w:t>
      </w:r>
      <w:r w:rsidR="00D60A11" w:rsidRPr="00EA05B3">
        <w:rPr>
          <w:lang w:val="fr-FR"/>
        </w:rPr>
        <w:t xml:space="preserve">institutionnaliser le Plan national pour éliminer la violence sexiste, en organisant </w:t>
      </w:r>
      <w:r w:rsidR="00163C61" w:rsidRPr="00EA05B3">
        <w:rPr>
          <w:lang w:val="fr-FR"/>
        </w:rPr>
        <w:t>une collaboration</w:t>
      </w:r>
      <w:r w:rsidR="00D60A11" w:rsidRPr="00EA05B3">
        <w:rPr>
          <w:lang w:val="fr-FR"/>
        </w:rPr>
        <w:t xml:space="preserve"> interinstitutionne</w:t>
      </w:r>
      <w:r w:rsidR="00163C61" w:rsidRPr="00EA05B3">
        <w:rPr>
          <w:lang w:val="fr-FR"/>
        </w:rPr>
        <w:t>l</w:t>
      </w:r>
      <w:r w:rsidR="00D60A11" w:rsidRPr="00EA05B3">
        <w:rPr>
          <w:lang w:val="fr-FR"/>
        </w:rPr>
        <w:t>l</w:t>
      </w:r>
      <w:r w:rsidR="00163C61" w:rsidRPr="00EA05B3">
        <w:rPr>
          <w:lang w:val="fr-FR"/>
        </w:rPr>
        <w:t>e</w:t>
      </w:r>
      <w:r w:rsidR="00D60A11" w:rsidRPr="00EA05B3">
        <w:rPr>
          <w:lang w:val="fr-FR"/>
        </w:rPr>
        <w:t xml:space="preserve"> et en débloquant des ressources pour travailler sur </w:t>
      </w:r>
      <w:r w:rsidR="00163C61" w:rsidRPr="00EA05B3">
        <w:rPr>
          <w:lang w:val="fr-FR"/>
        </w:rPr>
        <w:t>un certain nombre d’</w:t>
      </w:r>
      <w:r w:rsidR="00D60A11" w:rsidRPr="00EA05B3">
        <w:rPr>
          <w:lang w:val="fr-FR"/>
        </w:rPr>
        <w:t xml:space="preserve">axes </w:t>
      </w:r>
      <w:r w:rsidR="00163C61" w:rsidRPr="00EA05B3">
        <w:rPr>
          <w:lang w:val="fr-FR"/>
        </w:rPr>
        <w:t xml:space="preserve">tels </w:t>
      </w:r>
      <w:r w:rsidR="002A21C0" w:rsidRPr="00EA05B3">
        <w:rPr>
          <w:lang w:val="fr-FR"/>
        </w:rPr>
        <w:t xml:space="preserve">que </w:t>
      </w:r>
      <w:r w:rsidR="00163C61" w:rsidRPr="00EA05B3">
        <w:rPr>
          <w:lang w:val="fr-FR"/>
        </w:rPr>
        <w:t xml:space="preserve">le </w:t>
      </w:r>
      <w:r w:rsidR="00D60A11" w:rsidRPr="00EA05B3">
        <w:rPr>
          <w:lang w:val="fr-FR"/>
        </w:rPr>
        <w:t xml:space="preserve">changement de modèles socioculturels, </w:t>
      </w:r>
      <w:r w:rsidR="00163C61" w:rsidRPr="00EA05B3">
        <w:rPr>
          <w:lang w:val="fr-FR"/>
        </w:rPr>
        <w:t xml:space="preserve">les </w:t>
      </w:r>
      <w:r w:rsidR="00D60A11" w:rsidRPr="00EA05B3">
        <w:rPr>
          <w:lang w:val="fr-FR"/>
        </w:rPr>
        <w:t xml:space="preserve">systèmes </w:t>
      </w:r>
      <w:r w:rsidR="009379A7" w:rsidRPr="00EA05B3">
        <w:rPr>
          <w:lang w:val="fr-FR"/>
        </w:rPr>
        <w:t>d’</w:t>
      </w:r>
      <w:r w:rsidR="00D60A11" w:rsidRPr="00EA05B3">
        <w:rPr>
          <w:lang w:val="fr-FR"/>
        </w:rPr>
        <w:t xml:space="preserve">information et </w:t>
      </w:r>
      <w:r w:rsidR="009379A7" w:rsidRPr="00EA05B3">
        <w:rPr>
          <w:lang w:val="fr-FR"/>
        </w:rPr>
        <w:t>d’</w:t>
      </w:r>
      <w:r w:rsidR="00D60A11" w:rsidRPr="00EA05B3">
        <w:rPr>
          <w:lang w:val="fr-FR"/>
        </w:rPr>
        <w:t xml:space="preserve">enregistrement, </w:t>
      </w:r>
      <w:r w:rsidR="00163C61" w:rsidRPr="00EA05B3">
        <w:rPr>
          <w:lang w:val="fr-FR"/>
        </w:rPr>
        <w:t xml:space="preserve">la </w:t>
      </w:r>
      <w:r w:rsidR="00D60A11" w:rsidRPr="00EA05B3">
        <w:rPr>
          <w:lang w:val="fr-FR"/>
        </w:rPr>
        <w:t xml:space="preserve">protection et </w:t>
      </w:r>
      <w:r w:rsidR="00163C61" w:rsidRPr="00EA05B3">
        <w:rPr>
          <w:lang w:val="fr-FR"/>
        </w:rPr>
        <w:t xml:space="preserve">la </w:t>
      </w:r>
      <w:r w:rsidR="00D60A11" w:rsidRPr="00EA05B3">
        <w:rPr>
          <w:lang w:val="fr-FR"/>
        </w:rPr>
        <w:t xml:space="preserve">prise en charge intégrale des victimes, </w:t>
      </w:r>
      <w:r w:rsidR="00163C61" w:rsidRPr="00EA05B3">
        <w:rPr>
          <w:lang w:val="fr-FR"/>
        </w:rPr>
        <w:t>l’</w:t>
      </w:r>
      <w:r w:rsidR="00D60A11" w:rsidRPr="00EA05B3">
        <w:rPr>
          <w:lang w:val="fr-FR"/>
        </w:rPr>
        <w:t>accès gratuit, rapide et opportun à la justice.</w:t>
      </w:r>
    </w:p>
    <w:p w:rsidR="00D60A11" w:rsidRPr="00EA05B3" w:rsidRDefault="008F7D5A" w:rsidP="000748EE">
      <w:pPr>
        <w:pStyle w:val="SingleTxtG"/>
        <w:rPr>
          <w:lang w:val="fr-FR"/>
        </w:rPr>
      </w:pPr>
      <w:r w:rsidRPr="00EA05B3">
        <w:rPr>
          <w:lang w:val="fr-FR"/>
        </w:rPr>
        <w:t>83.</w:t>
      </w:r>
      <w:r w:rsidRPr="00EA05B3">
        <w:rPr>
          <w:lang w:val="fr-FR"/>
        </w:rPr>
        <w:tab/>
      </w:r>
      <w:r w:rsidR="009379A7" w:rsidRPr="00EA05B3">
        <w:rPr>
          <w:lang w:val="fr-FR"/>
        </w:rPr>
        <w:t>L’</w:t>
      </w:r>
      <w:r w:rsidR="00D60A11" w:rsidRPr="00EA05B3">
        <w:rPr>
          <w:lang w:val="fr-FR"/>
        </w:rPr>
        <w:t xml:space="preserve">Équateur considère </w:t>
      </w:r>
      <w:r w:rsidR="009379A7" w:rsidRPr="00EA05B3">
        <w:rPr>
          <w:lang w:val="fr-FR"/>
        </w:rPr>
        <w:t>qu’</w:t>
      </w:r>
      <w:r w:rsidR="00D60A11" w:rsidRPr="00EA05B3">
        <w:rPr>
          <w:lang w:val="fr-FR"/>
        </w:rPr>
        <w:t xml:space="preserve">il est fondamental de donner la priorité à la prévention de la violence sexiste et envisage donc </w:t>
      </w:r>
      <w:r w:rsidR="009379A7" w:rsidRPr="00EA05B3">
        <w:rPr>
          <w:lang w:val="fr-FR"/>
        </w:rPr>
        <w:t>d’</w:t>
      </w:r>
      <w:r w:rsidR="00D60A11" w:rsidRPr="00EA05B3">
        <w:rPr>
          <w:lang w:val="fr-FR"/>
        </w:rPr>
        <w:t xml:space="preserve">amplifier et de renforcer le travail visant à modifier les modèles socioculturels qui favorisent la violence, en </w:t>
      </w:r>
      <w:r w:rsidR="00163C61" w:rsidRPr="00EA05B3">
        <w:rPr>
          <w:lang w:val="fr-FR"/>
        </w:rPr>
        <w:t>mobilisant</w:t>
      </w:r>
      <w:r w:rsidR="00D60A11" w:rsidRPr="00EA05B3">
        <w:rPr>
          <w:lang w:val="fr-FR"/>
        </w:rPr>
        <w:t xml:space="preserve"> les médias, les universités, les écoles, les collèges, les organisations de quartier, les organisations de femmes, entre autres instances. </w:t>
      </w:r>
    </w:p>
    <w:p w:rsidR="00D60A11" w:rsidRPr="00EA05B3" w:rsidRDefault="00301DCD" w:rsidP="00301DCD">
      <w:pPr>
        <w:pStyle w:val="H1G"/>
        <w:rPr>
          <w:lang w:val="fr-FR"/>
        </w:rPr>
      </w:pPr>
      <w:bookmarkStart w:id="7" w:name="_Toc392676780"/>
      <w:r w:rsidRPr="00EA05B3">
        <w:rPr>
          <w:lang w:val="fr-FR"/>
        </w:rPr>
        <w:tab/>
        <w:t>C.</w:t>
      </w:r>
      <w:r w:rsidRPr="00EA05B3">
        <w:rPr>
          <w:lang w:val="fr-FR"/>
        </w:rPr>
        <w:tab/>
        <w:t>Travail des enfants</w:t>
      </w:r>
      <w:bookmarkEnd w:id="7"/>
    </w:p>
    <w:p w:rsidR="00D60A11" w:rsidRPr="00EA05B3" w:rsidRDefault="008F7D5A" w:rsidP="000748EE">
      <w:pPr>
        <w:pStyle w:val="SingleTxtG"/>
        <w:rPr>
          <w:lang w:val="fr-FR"/>
        </w:rPr>
      </w:pPr>
      <w:r w:rsidRPr="00EA05B3">
        <w:rPr>
          <w:lang w:val="fr-FR"/>
        </w:rPr>
        <w:t>84.</w:t>
      </w:r>
      <w:r w:rsidRPr="00EA05B3">
        <w:rPr>
          <w:lang w:val="fr-FR"/>
        </w:rPr>
        <w:tab/>
      </w:r>
      <w:r w:rsidR="009379A7" w:rsidRPr="00EA05B3">
        <w:rPr>
          <w:lang w:val="fr-FR"/>
        </w:rPr>
        <w:t>L’</w:t>
      </w:r>
      <w:r w:rsidR="00D60A11" w:rsidRPr="00EA05B3">
        <w:rPr>
          <w:lang w:val="fr-FR"/>
        </w:rPr>
        <w:t xml:space="preserve">Équateur a fait </w:t>
      </w:r>
      <w:r w:rsidR="009379A7" w:rsidRPr="00EA05B3">
        <w:rPr>
          <w:lang w:val="fr-FR"/>
        </w:rPr>
        <w:t>d’</w:t>
      </w:r>
      <w:r w:rsidR="00D60A11" w:rsidRPr="00EA05B3">
        <w:rPr>
          <w:lang w:val="fr-FR"/>
        </w:rPr>
        <w:t xml:space="preserve">importants efforts pour mettre un terme au travail des enfants, qui se sont traduits par une diminution de </w:t>
      </w:r>
      <w:r w:rsidR="009379A7" w:rsidRPr="00EA05B3">
        <w:rPr>
          <w:lang w:val="fr-FR"/>
        </w:rPr>
        <w:t>l’</w:t>
      </w:r>
      <w:r w:rsidR="00D60A11" w:rsidRPr="00EA05B3">
        <w:rPr>
          <w:lang w:val="fr-FR"/>
        </w:rPr>
        <w:t xml:space="preserve">ampleur de ce fléau, en particulier dans les zones rurales, parmi la population autochtone et chez les enfants qui travaillent et ne fréquentent pas </w:t>
      </w:r>
      <w:r w:rsidR="009379A7" w:rsidRPr="00EA05B3">
        <w:rPr>
          <w:lang w:val="fr-FR"/>
        </w:rPr>
        <w:t>l’</w:t>
      </w:r>
      <w:r w:rsidR="00D60A11" w:rsidRPr="00EA05B3">
        <w:rPr>
          <w:lang w:val="fr-FR"/>
        </w:rPr>
        <w:t>école.</w:t>
      </w:r>
    </w:p>
    <w:p w:rsidR="00D60A11" w:rsidRPr="00EA05B3" w:rsidRDefault="008F7D5A" w:rsidP="008F7D5A">
      <w:pPr>
        <w:pStyle w:val="SingleTxtG"/>
        <w:rPr>
          <w:lang w:val="fr-FR"/>
        </w:rPr>
      </w:pPr>
      <w:r w:rsidRPr="00EA05B3">
        <w:rPr>
          <w:lang w:val="fr-FR"/>
        </w:rPr>
        <w:t>85.</w:t>
      </w:r>
      <w:r w:rsidRPr="00EA05B3">
        <w:rPr>
          <w:lang w:val="fr-FR"/>
        </w:rPr>
        <w:tab/>
      </w:r>
      <w:r w:rsidR="00D60A11" w:rsidRPr="00EA05B3">
        <w:rPr>
          <w:lang w:val="fr-FR"/>
        </w:rPr>
        <w:t xml:space="preserve">En ce qui concerne la législation, le cadre normatif de </w:t>
      </w:r>
      <w:r w:rsidR="009379A7" w:rsidRPr="00EA05B3">
        <w:rPr>
          <w:lang w:val="fr-FR"/>
        </w:rPr>
        <w:t>l’</w:t>
      </w:r>
      <w:r w:rsidR="00D60A11" w:rsidRPr="00EA05B3">
        <w:rPr>
          <w:lang w:val="fr-FR"/>
        </w:rPr>
        <w:t>Équateur est clair</w:t>
      </w:r>
      <w:r w:rsidR="00B36EE6" w:rsidRPr="00EA05B3">
        <w:rPr>
          <w:lang w:val="fr-FR"/>
        </w:rPr>
        <w:t>:</w:t>
      </w:r>
      <w:r w:rsidR="00D60A11" w:rsidRPr="00EA05B3">
        <w:rPr>
          <w:lang w:val="fr-FR"/>
        </w:rPr>
        <w:t xml:space="preserve"> </w:t>
      </w:r>
      <w:r w:rsidR="009379A7" w:rsidRPr="00EA05B3">
        <w:rPr>
          <w:lang w:val="fr-FR"/>
        </w:rPr>
        <w:t>l’</w:t>
      </w:r>
      <w:r w:rsidR="00D60A11" w:rsidRPr="00EA05B3">
        <w:rPr>
          <w:lang w:val="fr-FR"/>
        </w:rPr>
        <w:t>article 46</w:t>
      </w:r>
      <w:r w:rsidR="00D60A11" w:rsidRPr="00EA05B3">
        <w:rPr>
          <w:rStyle w:val="FootnoteReference"/>
          <w:lang w:val="fr-FR"/>
        </w:rPr>
        <w:footnoteReference w:id="38"/>
      </w:r>
      <w:r w:rsidR="00D60A11" w:rsidRPr="00EA05B3">
        <w:rPr>
          <w:lang w:val="fr-FR"/>
        </w:rPr>
        <w:t xml:space="preserve"> de la Constitution interdit explicitement le travail des jeunes de moins de 15 ans, </w:t>
      </w:r>
      <w:r w:rsidR="009379A7" w:rsidRPr="00EA05B3">
        <w:rPr>
          <w:lang w:val="fr-FR"/>
        </w:rPr>
        <w:t>l’</w:t>
      </w:r>
      <w:r w:rsidR="00D60A11" w:rsidRPr="00EA05B3">
        <w:rPr>
          <w:lang w:val="fr-FR"/>
        </w:rPr>
        <w:t xml:space="preserve">autorise à titre exceptionnel pour les adolescents de plus de 15 ans et dispose que </w:t>
      </w:r>
      <w:r w:rsidR="009379A7" w:rsidRPr="00EA05B3">
        <w:rPr>
          <w:lang w:val="fr-FR"/>
        </w:rPr>
        <w:t>l’</w:t>
      </w:r>
      <w:r w:rsidR="00D60A11" w:rsidRPr="00EA05B3">
        <w:rPr>
          <w:lang w:val="fr-FR"/>
        </w:rPr>
        <w:t xml:space="preserve">État est tenu de mettre en place des programmes ayant pour objectif son élimination progressive. </w:t>
      </w:r>
    </w:p>
    <w:p w:rsidR="00D60A11" w:rsidRPr="00EA05B3" w:rsidRDefault="008F7D5A" w:rsidP="008F7D5A">
      <w:pPr>
        <w:pStyle w:val="SingleTxtG"/>
        <w:rPr>
          <w:lang w:val="fr-FR"/>
        </w:rPr>
      </w:pPr>
      <w:r w:rsidRPr="00EA05B3">
        <w:rPr>
          <w:lang w:val="fr-FR"/>
        </w:rPr>
        <w:t>86.</w:t>
      </w:r>
      <w:r w:rsidRPr="00EA05B3">
        <w:rPr>
          <w:lang w:val="fr-FR"/>
        </w:rPr>
        <w:tab/>
      </w:r>
      <w:r w:rsidR="00D60A11" w:rsidRPr="00EA05B3">
        <w:rPr>
          <w:lang w:val="fr-FR"/>
        </w:rPr>
        <w:t xml:space="preserve">Le Code de </w:t>
      </w:r>
      <w:r w:rsidR="009379A7" w:rsidRPr="00EA05B3">
        <w:rPr>
          <w:lang w:val="fr-FR"/>
        </w:rPr>
        <w:t>l’</w:t>
      </w:r>
      <w:r w:rsidR="00D60A11" w:rsidRPr="00EA05B3">
        <w:rPr>
          <w:lang w:val="fr-FR"/>
        </w:rPr>
        <w:t xml:space="preserve">enfance de </w:t>
      </w:r>
      <w:r w:rsidR="009379A7" w:rsidRPr="00EA05B3">
        <w:rPr>
          <w:lang w:val="fr-FR"/>
        </w:rPr>
        <w:t>l’</w:t>
      </w:r>
      <w:r w:rsidR="00D60A11" w:rsidRPr="00EA05B3">
        <w:rPr>
          <w:lang w:val="fr-FR"/>
        </w:rPr>
        <w:t xml:space="preserve">adolescence, en vigueur depuis 2003, incorpore dans des dispositions spécifiques les instruments internationaux dont </w:t>
      </w:r>
      <w:r w:rsidR="009379A7" w:rsidRPr="00EA05B3">
        <w:rPr>
          <w:lang w:val="fr-FR"/>
        </w:rPr>
        <w:t>l’</w:t>
      </w:r>
      <w:r w:rsidR="00D60A11" w:rsidRPr="00EA05B3">
        <w:rPr>
          <w:lang w:val="fr-FR"/>
        </w:rPr>
        <w:t>Équateur est signataire</w:t>
      </w:r>
      <w:r w:rsidR="00B36EE6" w:rsidRPr="00EA05B3">
        <w:rPr>
          <w:lang w:val="fr-FR"/>
        </w:rPr>
        <w:t>:</w:t>
      </w:r>
      <w:r w:rsidR="00D60A11" w:rsidRPr="00EA05B3">
        <w:rPr>
          <w:lang w:val="fr-FR"/>
        </w:rPr>
        <w:t xml:space="preserve"> les </w:t>
      </w:r>
      <w:r w:rsidR="002A21C0" w:rsidRPr="00EA05B3">
        <w:rPr>
          <w:lang w:val="fr-FR"/>
        </w:rPr>
        <w:t xml:space="preserve">Conventions </w:t>
      </w:r>
      <w:r w:rsidR="00D60A11" w:rsidRPr="00EA05B3">
        <w:rPr>
          <w:lang w:val="fr-FR"/>
        </w:rPr>
        <w:t xml:space="preserve">de </w:t>
      </w:r>
      <w:r w:rsidR="009379A7" w:rsidRPr="00EA05B3">
        <w:rPr>
          <w:lang w:val="fr-FR"/>
        </w:rPr>
        <w:t>l’</w:t>
      </w:r>
      <w:r w:rsidR="00D60A11" w:rsidRPr="00EA05B3">
        <w:rPr>
          <w:lang w:val="fr-FR"/>
        </w:rPr>
        <w:t>O</w:t>
      </w:r>
      <w:r w:rsidR="000631FF" w:rsidRPr="00EA05B3">
        <w:rPr>
          <w:lang w:val="fr-FR"/>
        </w:rPr>
        <w:t>rganisation internationale du Travail (O</w:t>
      </w:r>
      <w:r w:rsidR="00D60A11" w:rsidRPr="00EA05B3">
        <w:rPr>
          <w:lang w:val="fr-FR"/>
        </w:rPr>
        <w:t>IT</w:t>
      </w:r>
      <w:r w:rsidR="000631FF" w:rsidRPr="00EA05B3">
        <w:rPr>
          <w:lang w:val="fr-FR"/>
        </w:rPr>
        <w:t>)</w:t>
      </w:r>
      <w:r w:rsidR="00D60A11" w:rsidRPr="00EA05B3">
        <w:rPr>
          <w:lang w:val="fr-FR"/>
        </w:rPr>
        <w:t xml:space="preserve"> n</w:t>
      </w:r>
      <w:r w:rsidR="002A21C0" w:rsidRPr="00EA05B3">
        <w:rPr>
          <w:vertAlign w:val="superscript"/>
          <w:lang w:val="fr-FR"/>
        </w:rPr>
        <w:t>o</w:t>
      </w:r>
      <w:r w:rsidR="002A21C0" w:rsidRPr="00EA05B3">
        <w:rPr>
          <w:lang w:val="fr-FR"/>
        </w:rPr>
        <w:t> </w:t>
      </w:r>
      <w:r w:rsidR="00D60A11" w:rsidRPr="00EA05B3">
        <w:rPr>
          <w:lang w:val="fr-FR"/>
        </w:rPr>
        <w:t>138</w:t>
      </w:r>
      <w:r w:rsidR="000D57A5" w:rsidRPr="00EA05B3">
        <w:rPr>
          <w:lang w:val="fr-FR"/>
        </w:rPr>
        <w:t xml:space="preserve"> </w:t>
      </w:r>
      <w:r w:rsidR="00D60A11" w:rsidRPr="00EA05B3">
        <w:rPr>
          <w:lang w:val="fr-FR"/>
        </w:rPr>
        <w:t xml:space="preserve">sur </w:t>
      </w:r>
      <w:r w:rsidR="009379A7" w:rsidRPr="00EA05B3">
        <w:rPr>
          <w:lang w:val="fr-FR"/>
        </w:rPr>
        <w:t>l’</w:t>
      </w:r>
      <w:r w:rsidR="00D60A11" w:rsidRPr="00EA05B3">
        <w:rPr>
          <w:lang w:val="fr-FR"/>
        </w:rPr>
        <w:t xml:space="preserve">âge minimum </w:t>
      </w:r>
      <w:r w:rsidR="009379A7" w:rsidRPr="00EA05B3">
        <w:rPr>
          <w:lang w:val="fr-FR"/>
        </w:rPr>
        <w:t>d’</w:t>
      </w:r>
      <w:r w:rsidR="00D60A11" w:rsidRPr="00EA05B3">
        <w:rPr>
          <w:lang w:val="fr-FR"/>
        </w:rPr>
        <w:t xml:space="preserve">admission à </w:t>
      </w:r>
      <w:r w:rsidR="009379A7" w:rsidRPr="00EA05B3">
        <w:rPr>
          <w:lang w:val="fr-FR"/>
        </w:rPr>
        <w:t>l’</w:t>
      </w:r>
      <w:r w:rsidR="00D60A11" w:rsidRPr="00EA05B3">
        <w:rPr>
          <w:lang w:val="fr-FR"/>
        </w:rPr>
        <w:t>emploi</w:t>
      </w:r>
      <w:r w:rsidR="00D60A11" w:rsidRPr="00EA05B3">
        <w:rPr>
          <w:rStyle w:val="FootnoteReference"/>
          <w:lang w:val="fr-FR"/>
        </w:rPr>
        <w:footnoteReference w:id="39"/>
      </w:r>
      <w:r w:rsidR="00D60A11" w:rsidRPr="00EA05B3">
        <w:rPr>
          <w:lang w:val="fr-FR"/>
        </w:rPr>
        <w:t xml:space="preserve"> et n</w:t>
      </w:r>
      <w:r w:rsidR="002A21C0" w:rsidRPr="00EA05B3">
        <w:rPr>
          <w:vertAlign w:val="superscript"/>
          <w:lang w:val="fr-FR"/>
        </w:rPr>
        <w:t>o</w:t>
      </w:r>
      <w:r w:rsidR="002A21C0" w:rsidRPr="00EA05B3">
        <w:rPr>
          <w:lang w:val="fr-FR"/>
        </w:rPr>
        <w:t> </w:t>
      </w:r>
      <w:r w:rsidR="00D60A11" w:rsidRPr="00EA05B3">
        <w:rPr>
          <w:lang w:val="fr-FR"/>
        </w:rPr>
        <w:t>182 sur les pires formes de travail des enfants</w:t>
      </w:r>
      <w:r w:rsidR="00D60A11" w:rsidRPr="00EA05B3">
        <w:rPr>
          <w:rStyle w:val="FootnoteReference"/>
          <w:lang w:val="fr-FR"/>
        </w:rPr>
        <w:footnoteReference w:id="40"/>
      </w:r>
      <w:r w:rsidR="00D60A11" w:rsidRPr="00EA05B3">
        <w:rPr>
          <w:lang w:val="fr-FR"/>
        </w:rPr>
        <w:t>.</w:t>
      </w:r>
    </w:p>
    <w:p w:rsidR="00D60A11" w:rsidRPr="00EA05B3" w:rsidRDefault="008F7D5A" w:rsidP="008F7D5A">
      <w:pPr>
        <w:pStyle w:val="SingleTxtG"/>
        <w:rPr>
          <w:lang w:val="fr-FR"/>
        </w:rPr>
      </w:pPr>
      <w:r w:rsidRPr="00EA05B3">
        <w:rPr>
          <w:lang w:val="fr-FR"/>
        </w:rPr>
        <w:t>87.</w:t>
      </w:r>
      <w:r w:rsidRPr="00EA05B3">
        <w:rPr>
          <w:lang w:val="fr-FR"/>
        </w:rPr>
        <w:tab/>
      </w:r>
      <w:r w:rsidR="00D60A11" w:rsidRPr="00EA05B3">
        <w:rPr>
          <w:lang w:val="fr-FR"/>
        </w:rPr>
        <w:t xml:space="preserve">Sur le plan institutionnel, tout ce qui a un rapport avec le travail des enfants relève du Ministère des relations de </w:t>
      </w:r>
      <w:r w:rsidR="002A21C0" w:rsidRPr="00EA05B3">
        <w:rPr>
          <w:lang w:val="fr-FR"/>
        </w:rPr>
        <w:t xml:space="preserve">travail. </w:t>
      </w:r>
    </w:p>
    <w:p w:rsidR="00D60A11" w:rsidRPr="00EA05B3" w:rsidRDefault="008F7D5A" w:rsidP="008F7D5A">
      <w:pPr>
        <w:pStyle w:val="SingleTxtG"/>
        <w:rPr>
          <w:lang w:val="fr-FR"/>
        </w:rPr>
      </w:pPr>
      <w:r w:rsidRPr="00EA05B3">
        <w:rPr>
          <w:lang w:val="fr-FR"/>
        </w:rPr>
        <w:t>88.</w:t>
      </w:r>
      <w:r w:rsidRPr="00EA05B3">
        <w:rPr>
          <w:lang w:val="fr-FR"/>
        </w:rPr>
        <w:tab/>
      </w:r>
      <w:r w:rsidR="00D60A11" w:rsidRPr="00EA05B3">
        <w:rPr>
          <w:lang w:val="fr-FR"/>
        </w:rPr>
        <w:t xml:space="preserve">Depuis 2009, </w:t>
      </w:r>
      <w:r w:rsidR="009379A7" w:rsidRPr="00EA05B3">
        <w:rPr>
          <w:lang w:val="fr-FR"/>
        </w:rPr>
        <w:t>l’</w:t>
      </w:r>
      <w:r w:rsidR="00D60A11" w:rsidRPr="00EA05B3">
        <w:rPr>
          <w:lang w:val="fr-FR"/>
        </w:rPr>
        <w:t>Équateur travaille sur ce thème</w:t>
      </w:r>
      <w:r w:rsidR="00163C61" w:rsidRPr="00EA05B3">
        <w:rPr>
          <w:lang w:val="fr-FR"/>
        </w:rPr>
        <w:t xml:space="preserve"> grâce au</w:t>
      </w:r>
      <w:r w:rsidR="00D60A11" w:rsidRPr="00EA05B3">
        <w:rPr>
          <w:lang w:val="fr-FR"/>
        </w:rPr>
        <w:t xml:space="preserve"> Groupe de travail interinstitutionnel politique et technique qui réunit diverses institutions publiques compétentes en la matière. Ce groupe, présidé par le M</w:t>
      </w:r>
      <w:r w:rsidR="00AB70A7" w:rsidRPr="00EA05B3">
        <w:rPr>
          <w:lang w:val="fr-FR"/>
        </w:rPr>
        <w:t>inistère des relations de travail</w:t>
      </w:r>
      <w:r w:rsidR="00D60A11" w:rsidRPr="00EA05B3">
        <w:rPr>
          <w:lang w:val="fr-FR"/>
        </w:rPr>
        <w:t xml:space="preserve">, invite des institutions privées et des organismes de coopération internationale à participer et à apporter leur avis, leur conseil et leur aide technique. </w:t>
      </w:r>
    </w:p>
    <w:p w:rsidR="00D60A11" w:rsidRPr="00EA05B3" w:rsidRDefault="008F7D5A" w:rsidP="008F7D5A">
      <w:pPr>
        <w:pStyle w:val="SingleTxtG"/>
        <w:rPr>
          <w:lang w:val="fr-FR"/>
        </w:rPr>
      </w:pPr>
      <w:r w:rsidRPr="00EA05B3">
        <w:rPr>
          <w:lang w:val="fr-FR"/>
        </w:rPr>
        <w:t>89.</w:t>
      </w:r>
      <w:r w:rsidRPr="00EA05B3">
        <w:rPr>
          <w:lang w:val="fr-FR"/>
        </w:rPr>
        <w:tab/>
      </w:r>
      <w:r w:rsidR="00D60A11" w:rsidRPr="00EA05B3">
        <w:rPr>
          <w:lang w:val="fr-FR"/>
        </w:rPr>
        <w:t>Ce groupe de travail établit les priorités nationales concernant le travail des enfants, définit et coordonne les actions stratégiques et précise les rôles et les fonctions de chaque institution.</w:t>
      </w:r>
    </w:p>
    <w:p w:rsidR="00D60A11" w:rsidRPr="00EA05B3" w:rsidRDefault="008F7D5A" w:rsidP="008F7D5A">
      <w:pPr>
        <w:pStyle w:val="SingleTxtG"/>
        <w:rPr>
          <w:lang w:val="fr-FR"/>
        </w:rPr>
      </w:pPr>
      <w:r w:rsidRPr="00EA05B3">
        <w:rPr>
          <w:lang w:val="fr-FR"/>
        </w:rPr>
        <w:t>90.</w:t>
      </w:r>
      <w:r w:rsidRPr="00EA05B3">
        <w:rPr>
          <w:lang w:val="fr-FR"/>
        </w:rPr>
        <w:tab/>
      </w:r>
      <w:r w:rsidR="00D60A11" w:rsidRPr="00EA05B3">
        <w:rPr>
          <w:lang w:val="fr-FR"/>
        </w:rPr>
        <w:t xml:space="preserve">Dans ce même axe de travail, le </w:t>
      </w:r>
      <w:r w:rsidR="00AB70A7" w:rsidRPr="00EA05B3">
        <w:rPr>
          <w:lang w:val="fr-FR"/>
        </w:rPr>
        <w:t>Ministère des relations de travail</w:t>
      </w:r>
      <w:r w:rsidR="004D2D4D" w:rsidRPr="00EA05B3">
        <w:rPr>
          <w:lang w:val="fr-FR"/>
        </w:rPr>
        <w:t xml:space="preserve"> </w:t>
      </w:r>
      <w:r w:rsidR="00D60A11" w:rsidRPr="00EA05B3">
        <w:rPr>
          <w:lang w:val="fr-FR"/>
        </w:rPr>
        <w:t xml:space="preserve">a mis en place le Groupe productif pour la prévention et </w:t>
      </w:r>
      <w:r w:rsidR="009379A7" w:rsidRPr="00EA05B3">
        <w:rPr>
          <w:lang w:val="fr-FR"/>
        </w:rPr>
        <w:t>l’</w:t>
      </w:r>
      <w:r w:rsidR="00D60A11" w:rsidRPr="00EA05B3">
        <w:rPr>
          <w:lang w:val="fr-FR"/>
        </w:rPr>
        <w:t xml:space="preserve">élimination du travail des enfants, espace de dialogue et de coordination interinstitutionnelle visant à encourager </w:t>
      </w:r>
      <w:r w:rsidR="009379A7" w:rsidRPr="00EA05B3">
        <w:rPr>
          <w:lang w:val="fr-FR"/>
        </w:rPr>
        <w:t>l’</w:t>
      </w:r>
      <w:r w:rsidR="00D60A11" w:rsidRPr="00EA05B3">
        <w:rPr>
          <w:lang w:val="fr-FR"/>
        </w:rPr>
        <w:t xml:space="preserve">élaboration de politiques publiques impliquant les entreprises du secteur productif du pays. </w:t>
      </w:r>
    </w:p>
    <w:p w:rsidR="00D60A11" w:rsidRPr="00EA05B3" w:rsidRDefault="008F7D5A" w:rsidP="008F7D5A">
      <w:pPr>
        <w:pStyle w:val="SingleTxtG"/>
        <w:rPr>
          <w:lang w:val="fr-FR"/>
        </w:rPr>
      </w:pPr>
      <w:r w:rsidRPr="00EA05B3">
        <w:rPr>
          <w:lang w:val="fr-FR"/>
        </w:rPr>
        <w:t>91.</w:t>
      </w:r>
      <w:r w:rsidRPr="00EA05B3">
        <w:rPr>
          <w:lang w:val="fr-FR"/>
        </w:rPr>
        <w:tab/>
      </w:r>
      <w:r w:rsidR="00D60A11" w:rsidRPr="00EA05B3">
        <w:rPr>
          <w:lang w:val="fr-FR"/>
        </w:rPr>
        <w:t xml:space="preserve">Ce groupe productif réunit la Chambre </w:t>
      </w:r>
      <w:r w:rsidR="009379A7" w:rsidRPr="00EA05B3">
        <w:rPr>
          <w:lang w:val="fr-FR"/>
        </w:rPr>
        <w:t>d’</w:t>
      </w:r>
      <w:r w:rsidR="00D60A11" w:rsidRPr="00EA05B3">
        <w:rPr>
          <w:lang w:val="fr-FR"/>
        </w:rPr>
        <w:t xml:space="preserve">agriculture et les associations nationales </w:t>
      </w:r>
      <w:r w:rsidR="009379A7" w:rsidRPr="00EA05B3">
        <w:rPr>
          <w:lang w:val="fr-FR"/>
        </w:rPr>
        <w:t>d’</w:t>
      </w:r>
      <w:r w:rsidR="00D60A11" w:rsidRPr="00EA05B3">
        <w:rPr>
          <w:lang w:val="fr-FR"/>
        </w:rPr>
        <w:t xml:space="preserve">éleveurs, </w:t>
      </w:r>
      <w:r w:rsidR="009379A7" w:rsidRPr="00EA05B3">
        <w:rPr>
          <w:lang w:val="fr-FR"/>
        </w:rPr>
        <w:t>d’</w:t>
      </w:r>
      <w:r w:rsidR="00D60A11" w:rsidRPr="00EA05B3">
        <w:rPr>
          <w:lang w:val="fr-FR"/>
        </w:rPr>
        <w:t xml:space="preserve">exploitants forestiers, de producteurs de palmier africain, </w:t>
      </w:r>
      <w:r w:rsidR="009379A7" w:rsidRPr="00EA05B3">
        <w:rPr>
          <w:lang w:val="fr-FR"/>
        </w:rPr>
        <w:t>d’</w:t>
      </w:r>
      <w:r w:rsidR="00D60A11" w:rsidRPr="00EA05B3">
        <w:rPr>
          <w:lang w:val="fr-FR"/>
        </w:rPr>
        <w:t>exportateurs de bananes et de fleurs et la Chambre du bâtiment.</w:t>
      </w:r>
    </w:p>
    <w:p w:rsidR="00D60A11" w:rsidRPr="00EA05B3" w:rsidRDefault="008F7D5A" w:rsidP="008F7D5A">
      <w:pPr>
        <w:pStyle w:val="SingleTxtG"/>
        <w:rPr>
          <w:lang w:val="fr-FR"/>
        </w:rPr>
      </w:pPr>
      <w:r w:rsidRPr="00EA05B3">
        <w:rPr>
          <w:lang w:val="fr-FR"/>
        </w:rPr>
        <w:t>92.</w:t>
      </w:r>
      <w:r w:rsidRPr="00EA05B3">
        <w:rPr>
          <w:lang w:val="fr-FR"/>
        </w:rPr>
        <w:tab/>
      </w:r>
      <w:r w:rsidR="00D60A11" w:rsidRPr="00EA05B3">
        <w:rPr>
          <w:lang w:val="fr-FR"/>
        </w:rPr>
        <w:t xml:space="preserve">Le </w:t>
      </w:r>
      <w:r w:rsidR="00AB70A7" w:rsidRPr="00EA05B3">
        <w:rPr>
          <w:lang w:val="fr-FR"/>
        </w:rPr>
        <w:t>Ministère des relations de travail</w:t>
      </w:r>
      <w:r w:rsidR="004D2D4D" w:rsidRPr="00EA05B3">
        <w:rPr>
          <w:lang w:val="fr-FR"/>
        </w:rPr>
        <w:t xml:space="preserve"> </w:t>
      </w:r>
      <w:r w:rsidR="00D60A11" w:rsidRPr="00EA05B3">
        <w:rPr>
          <w:lang w:val="fr-FR"/>
        </w:rPr>
        <w:t xml:space="preserve">a également implanté le Réseau </w:t>
      </w:r>
      <w:r w:rsidR="009379A7" w:rsidRPr="00EA05B3">
        <w:rPr>
          <w:lang w:val="fr-FR"/>
        </w:rPr>
        <w:t>d’</w:t>
      </w:r>
      <w:r w:rsidR="00D60A11" w:rsidRPr="00EA05B3">
        <w:rPr>
          <w:lang w:val="fr-FR"/>
        </w:rPr>
        <w:t xml:space="preserve">entreprises œuvrant pour un Équateur sans travail des enfants, </w:t>
      </w:r>
      <w:r w:rsidR="0050005C" w:rsidRPr="00EA05B3">
        <w:rPr>
          <w:lang w:val="fr-FR"/>
        </w:rPr>
        <w:t xml:space="preserve">qui a pour </w:t>
      </w:r>
      <w:r w:rsidR="00D60A11" w:rsidRPr="00EA05B3">
        <w:rPr>
          <w:lang w:val="fr-FR"/>
        </w:rPr>
        <w:t xml:space="preserve">objectif de faire en sorte que les entreprises </w:t>
      </w:r>
      <w:r w:rsidR="009379A7" w:rsidRPr="00EA05B3">
        <w:rPr>
          <w:lang w:val="fr-FR"/>
        </w:rPr>
        <w:t>s’</w:t>
      </w:r>
      <w:r w:rsidR="00D60A11" w:rsidRPr="00EA05B3">
        <w:rPr>
          <w:lang w:val="fr-FR"/>
        </w:rPr>
        <w:t xml:space="preserve">engagent à mener des actions de responsabilité sociale visant à éliminer le travail des enfants de </w:t>
      </w:r>
      <w:r w:rsidR="009379A7" w:rsidRPr="00EA05B3">
        <w:rPr>
          <w:lang w:val="fr-FR"/>
        </w:rPr>
        <w:t>l’</w:t>
      </w:r>
      <w:r w:rsidR="00D60A11" w:rsidRPr="00EA05B3">
        <w:rPr>
          <w:lang w:val="fr-FR"/>
        </w:rPr>
        <w:t xml:space="preserve">ensemble de la chaîne de valeur. Il est responsable du système national </w:t>
      </w:r>
      <w:r w:rsidR="009379A7" w:rsidRPr="00EA05B3">
        <w:rPr>
          <w:lang w:val="fr-FR"/>
        </w:rPr>
        <w:t>d’</w:t>
      </w:r>
      <w:r w:rsidR="00D60A11" w:rsidRPr="00EA05B3">
        <w:rPr>
          <w:lang w:val="fr-FR"/>
        </w:rPr>
        <w:t xml:space="preserve">inspections dont le fonctionnement a été récemment réorganisé, le nombre </w:t>
      </w:r>
      <w:r w:rsidR="009379A7" w:rsidRPr="00EA05B3">
        <w:rPr>
          <w:lang w:val="fr-FR"/>
        </w:rPr>
        <w:t>d’</w:t>
      </w:r>
      <w:r w:rsidR="00D60A11" w:rsidRPr="00EA05B3">
        <w:rPr>
          <w:lang w:val="fr-FR"/>
        </w:rPr>
        <w:t>inspecteurs étant passé de 22 à plus de 200.</w:t>
      </w:r>
    </w:p>
    <w:p w:rsidR="00D60A11" w:rsidRPr="00EA05B3" w:rsidRDefault="008F7D5A" w:rsidP="008F7D5A">
      <w:pPr>
        <w:pStyle w:val="SingleTxtG"/>
        <w:rPr>
          <w:lang w:val="fr-FR"/>
        </w:rPr>
      </w:pPr>
      <w:r w:rsidRPr="00EA05B3">
        <w:rPr>
          <w:lang w:val="fr-FR"/>
        </w:rPr>
        <w:t>93.</w:t>
      </w:r>
      <w:r w:rsidRPr="00EA05B3">
        <w:rPr>
          <w:lang w:val="fr-FR"/>
        </w:rPr>
        <w:tab/>
      </w:r>
      <w:r w:rsidR="00D60A11" w:rsidRPr="00EA05B3">
        <w:rPr>
          <w:lang w:val="fr-FR"/>
        </w:rPr>
        <w:t xml:space="preserve">Le Ministère de </w:t>
      </w:r>
      <w:r w:rsidR="009379A7" w:rsidRPr="00EA05B3">
        <w:rPr>
          <w:lang w:val="fr-FR"/>
        </w:rPr>
        <w:t>l’</w:t>
      </w:r>
      <w:r w:rsidR="00D60A11" w:rsidRPr="00EA05B3">
        <w:rPr>
          <w:lang w:val="fr-FR"/>
        </w:rPr>
        <w:t xml:space="preserve">inclusion économique et sociale et </w:t>
      </w:r>
      <w:r w:rsidR="009379A7" w:rsidRPr="00EA05B3">
        <w:rPr>
          <w:lang w:val="fr-FR"/>
        </w:rPr>
        <w:t>l’</w:t>
      </w:r>
      <w:r w:rsidR="00D60A11" w:rsidRPr="00EA05B3">
        <w:rPr>
          <w:lang w:val="fr-FR"/>
        </w:rPr>
        <w:t xml:space="preserve">Institut national de </w:t>
      </w:r>
      <w:r w:rsidR="009379A7" w:rsidRPr="00EA05B3">
        <w:rPr>
          <w:lang w:val="fr-FR"/>
        </w:rPr>
        <w:t>l’</w:t>
      </w:r>
      <w:r w:rsidR="00D60A11" w:rsidRPr="00EA05B3">
        <w:rPr>
          <w:lang w:val="fr-FR"/>
        </w:rPr>
        <w:t xml:space="preserve">enfance et de la famille (INFA) sont quant à eux responsables de </w:t>
      </w:r>
      <w:r w:rsidR="009379A7" w:rsidRPr="00EA05B3">
        <w:rPr>
          <w:lang w:val="fr-FR"/>
        </w:rPr>
        <w:t>l’</w:t>
      </w:r>
      <w:r w:rsidR="00D60A11" w:rsidRPr="00EA05B3">
        <w:rPr>
          <w:lang w:val="fr-FR"/>
        </w:rPr>
        <w:t xml:space="preserve">organisation du système national de protection spéciale, qui a pour mission de rétablir les droits des enfants et des adolescents, en accordant la priorité à ceux qui travaillent. </w:t>
      </w:r>
    </w:p>
    <w:p w:rsidR="00D60A11" w:rsidRPr="00EA05B3" w:rsidRDefault="008F7D5A" w:rsidP="008F7D5A">
      <w:pPr>
        <w:pStyle w:val="SingleTxtG"/>
        <w:rPr>
          <w:lang w:val="fr-FR"/>
        </w:rPr>
      </w:pPr>
      <w:r w:rsidRPr="00EA05B3">
        <w:rPr>
          <w:lang w:val="fr-FR"/>
        </w:rPr>
        <w:t>94.</w:t>
      </w:r>
      <w:r w:rsidRPr="00EA05B3">
        <w:rPr>
          <w:lang w:val="fr-FR"/>
        </w:rPr>
        <w:tab/>
      </w:r>
      <w:r w:rsidR="00D60A11" w:rsidRPr="00EA05B3">
        <w:rPr>
          <w:lang w:val="fr-FR"/>
        </w:rPr>
        <w:t xml:space="preserve">En matière de politique publique, </w:t>
      </w:r>
      <w:r w:rsidR="009379A7" w:rsidRPr="00EA05B3">
        <w:rPr>
          <w:lang w:val="fr-FR"/>
        </w:rPr>
        <w:t>l’</w:t>
      </w:r>
      <w:r w:rsidR="00D60A11" w:rsidRPr="00EA05B3">
        <w:rPr>
          <w:lang w:val="fr-FR"/>
        </w:rPr>
        <w:t>élimination du travail des enfants, y compris en ce qui concerne la mendicité des enfants, fait partie des objectifs et des cibles du Plan national pour le développement 2007-2010</w:t>
      </w:r>
      <w:r w:rsidR="00D60A11" w:rsidRPr="00EA05B3">
        <w:rPr>
          <w:rStyle w:val="FootnoteReference"/>
          <w:lang w:val="fr-FR"/>
        </w:rPr>
        <w:footnoteReference w:id="41"/>
      </w:r>
      <w:r w:rsidR="00D60A11" w:rsidRPr="00EA05B3">
        <w:rPr>
          <w:lang w:val="fr-FR"/>
        </w:rPr>
        <w:t xml:space="preserve"> et du Plan national pour le bien-vivre 2009-2013</w:t>
      </w:r>
      <w:r w:rsidR="00D60A11" w:rsidRPr="00EA05B3">
        <w:rPr>
          <w:rStyle w:val="FootnoteReference"/>
          <w:lang w:val="fr-FR"/>
        </w:rPr>
        <w:footnoteReference w:id="42"/>
      </w:r>
      <w:r w:rsidR="0050005C" w:rsidRPr="00EA05B3">
        <w:rPr>
          <w:lang w:val="fr-FR"/>
        </w:rPr>
        <w:t xml:space="preserve">, lequel </w:t>
      </w:r>
      <w:r w:rsidR="00D60A11" w:rsidRPr="00EA05B3">
        <w:rPr>
          <w:lang w:val="fr-FR"/>
        </w:rPr>
        <w:t xml:space="preserve">donne la priorité à la réduction du pourcentage </w:t>
      </w:r>
      <w:r w:rsidR="009379A7" w:rsidRPr="00EA05B3">
        <w:rPr>
          <w:lang w:val="fr-FR"/>
        </w:rPr>
        <w:t>d’</w:t>
      </w:r>
      <w:r w:rsidR="00D60A11" w:rsidRPr="00EA05B3">
        <w:rPr>
          <w:lang w:val="fr-FR"/>
        </w:rPr>
        <w:t xml:space="preserve">enfants qui travaillent et ne fréquentent pas </w:t>
      </w:r>
      <w:r w:rsidR="009379A7" w:rsidRPr="00EA05B3">
        <w:rPr>
          <w:lang w:val="fr-FR"/>
        </w:rPr>
        <w:t>l’</w:t>
      </w:r>
      <w:r w:rsidR="00D60A11" w:rsidRPr="00EA05B3">
        <w:rPr>
          <w:lang w:val="fr-FR"/>
        </w:rPr>
        <w:t>école.</w:t>
      </w:r>
    </w:p>
    <w:p w:rsidR="00D60A11" w:rsidRPr="00EA05B3" w:rsidRDefault="008F7D5A" w:rsidP="008F7D5A">
      <w:pPr>
        <w:pStyle w:val="SingleTxtG"/>
        <w:rPr>
          <w:b/>
          <w:lang w:val="fr-FR"/>
        </w:rPr>
      </w:pPr>
      <w:r w:rsidRPr="00EA05B3">
        <w:rPr>
          <w:lang w:val="fr-FR"/>
        </w:rPr>
        <w:t>95.</w:t>
      </w:r>
      <w:r w:rsidRPr="00EA05B3">
        <w:rPr>
          <w:lang w:val="fr-FR"/>
        </w:rPr>
        <w:tab/>
      </w:r>
      <w:r w:rsidR="00D60A11" w:rsidRPr="00EA05B3">
        <w:rPr>
          <w:lang w:val="fr-FR"/>
        </w:rPr>
        <w:t xml:space="preserve">Un certain nombre de lignes politiques spécifiques concernant la prévention et </w:t>
      </w:r>
      <w:r w:rsidR="009379A7" w:rsidRPr="00EA05B3">
        <w:rPr>
          <w:lang w:val="fr-FR"/>
        </w:rPr>
        <w:t>l’</w:t>
      </w:r>
      <w:r w:rsidR="00D60A11" w:rsidRPr="00EA05B3">
        <w:rPr>
          <w:lang w:val="fr-FR"/>
        </w:rPr>
        <w:t xml:space="preserve">élimination du travail des enfants ont été définies, parmi lesquelles figure, pour 2011, </w:t>
      </w:r>
      <w:r w:rsidR="009379A7" w:rsidRPr="00EA05B3">
        <w:rPr>
          <w:lang w:val="fr-FR"/>
        </w:rPr>
        <w:t>l’</w:t>
      </w:r>
      <w:r w:rsidR="00D60A11" w:rsidRPr="00EA05B3">
        <w:rPr>
          <w:lang w:val="fr-FR"/>
        </w:rPr>
        <w:t>élimination du travail des enfants dans les décharges</w:t>
      </w:r>
      <w:r w:rsidR="00332F53" w:rsidRPr="00EA05B3">
        <w:rPr>
          <w:lang w:val="fr-FR"/>
        </w:rPr>
        <w:t>.</w:t>
      </w:r>
      <w:r w:rsidR="009C0A83" w:rsidRPr="00EA05B3">
        <w:rPr>
          <w:lang w:val="fr-FR"/>
        </w:rPr>
        <w:t xml:space="preserve"> </w:t>
      </w:r>
      <w:r w:rsidR="00D60A11" w:rsidRPr="00EA05B3">
        <w:rPr>
          <w:lang w:val="fr-FR"/>
        </w:rPr>
        <w:t xml:space="preserve">Cela constitue un </w:t>
      </w:r>
      <w:r w:rsidR="00AB70A7" w:rsidRPr="00EA05B3">
        <w:rPr>
          <w:lang w:val="fr-FR"/>
        </w:rPr>
        <w:t>événement</w:t>
      </w:r>
      <w:r w:rsidR="00D60A11" w:rsidRPr="00EA05B3">
        <w:rPr>
          <w:lang w:val="fr-FR"/>
        </w:rPr>
        <w:t xml:space="preserve"> inédit dans la région puis</w:t>
      </w:r>
      <w:r w:rsidR="009379A7" w:rsidRPr="00EA05B3">
        <w:rPr>
          <w:lang w:val="fr-FR"/>
        </w:rPr>
        <w:t>qu’</w:t>
      </w:r>
      <w:r w:rsidR="00D60A11" w:rsidRPr="00EA05B3">
        <w:rPr>
          <w:lang w:val="fr-FR"/>
        </w:rPr>
        <w:t xml:space="preserve">il </w:t>
      </w:r>
      <w:r w:rsidR="009379A7" w:rsidRPr="00EA05B3">
        <w:rPr>
          <w:lang w:val="fr-FR"/>
        </w:rPr>
        <w:t>s’</w:t>
      </w:r>
      <w:r w:rsidR="00D60A11" w:rsidRPr="00EA05B3">
        <w:rPr>
          <w:lang w:val="fr-FR"/>
        </w:rPr>
        <w:t xml:space="preserve">agit de la première expérience </w:t>
      </w:r>
      <w:r w:rsidR="0050005C" w:rsidRPr="00EA05B3">
        <w:rPr>
          <w:lang w:val="fr-FR"/>
        </w:rPr>
        <w:t>ayant</w:t>
      </w:r>
      <w:r w:rsidR="00D60A11" w:rsidRPr="00EA05B3">
        <w:rPr>
          <w:lang w:val="fr-FR"/>
        </w:rPr>
        <w:t xml:space="preserve"> permis </w:t>
      </w:r>
      <w:r w:rsidR="009379A7" w:rsidRPr="00EA05B3">
        <w:rPr>
          <w:lang w:val="fr-FR"/>
        </w:rPr>
        <w:t>d’</w:t>
      </w:r>
      <w:r w:rsidR="00D60A11" w:rsidRPr="00EA05B3">
        <w:rPr>
          <w:lang w:val="fr-FR"/>
        </w:rPr>
        <w:t xml:space="preserve">éliminer </w:t>
      </w:r>
      <w:r w:rsidR="004D2D4D" w:rsidRPr="00EA05B3">
        <w:rPr>
          <w:lang w:val="fr-FR"/>
        </w:rPr>
        <w:t>complètement</w:t>
      </w:r>
      <w:r w:rsidR="00D60A11" w:rsidRPr="00EA05B3">
        <w:rPr>
          <w:lang w:val="fr-FR"/>
        </w:rPr>
        <w:t xml:space="preserve"> le travail des enfants dans une activité économique.</w:t>
      </w:r>
      <w:r w:rsidR="00D60A11" w:rsidRPr="00EA05B3">
        <w:rPr>
          <w:b/>
          <w:lang w:val="fr-FR"/>
        </w:rPr>
        <w:t xml:space="preserve"> </w:t>
      </w:r>
    </w:p>
    <w:p w:rsidR="00D60A11" w:rsidRPr="00EA05B3" w:rsidRDefault="008F7D5A" w:rsidP="008F7D5A">
      <w:pPr>
        <w:pStyle w:val="SingleTxtG"/>
        <w:rPr>
          <w:lang w:val="fr-FR"/>
        </w:rPr>
      </w:pPr>
      <w:r w:rsidRPr="00EA05B3">
        <w:rPr>
          <w:lang w:val="fr-FR"/>
        </w:rPr>
        <w:t>96.</w:t>
      </w:r>
      <w:r w:rsidRPr="00EA05B3">
        <w:rPr>
          <w:lang w:val="fr-FR"/>
        </w:rPr>
        <w:tab/>
      </w:r>
      <w:r w:rsidR="00D60A11" w:rsidRPr="00EA05B3">
        <w:rPr>
          <w:lang w:val="fr-FR"/>
        </w:rPr>
        <w:t xml:space="preserve">Pour 2012-2013, </w:t>
      </w:r>
      <w:r w:rsidR="009379A7" w:rsidRPr="00EA05B3">
        <w:rPr>
          <w:lang w:val="fr-FR"/>
        </w:rPr>
        <w:t>l’</w:t>
      </w:r>
      <w:r w:rsidR="00D60A11" w:rsidRPr="00EA05B3">
        <w:rPr>
          <w:lang w:val="fr-FR"/>
        </w:rPr>
        <w:t xml:space="preserve">objectif du Gouvernement national est </w:t>
      </w:r>
      <w:r w:rsidR="009379A7" w:rsidRPr="00EA05B3">
        <w:rPr>
          <w:lang w:val="fr-FR"/>
        </w:rPr>
        <w:t>d’</w:t>
      </w:r>
      <w:r w:rsidR="00D60A11" w:rsidRPr="00EA05B3">
        <w:rPr>
          <w:lang w:val="fr-FR"/>
        </w:rPr>
        <w:t>éliminer le travail des enfants dans les marchés, les abattoirs et les gares routières. Actuellement, le travail des enfants a déjà été éliminé dans les abattoirs.</w:t>
      </w:r>
    </w:p>
    <w:p w:rsidR="00D60A11" w:rsidRPr="00EA05B3" w:rsidRDefault="008F7D5A" w:rsidP="008F7D5A">
      <w:pPr>
        <w:pStyle w:val="SingleTxtG"/>
        <w:rPr>
          <w:lang w:val="fr-FR"/>
        </w:rPr>
      </w:pPr>
      <w:r w:rsidRPr="00EA05B3">
        <w:rPr>
          <w:lang w:val="fr-FR"/>
        </w:rPr>
        <w:t>97.</w:t>
      </w:r>
      <w:r w:rsidRPr="00EA05B3">
        <w:rPr>
          <w:lang w:val="fr-FR"/>
        </w:rPr>
        <w:tab/>
      </w:r>
      <w:r w:rsidR="00D60A11" w:rsidRPr="00EA05B3">
        <w:rPr>
          <w:lang w:val="fr-FR"/>
        </w:rPr>
        <w:t xml:space="preserve">Par ailleurs, le Gouvernement national, considérant </w:t>
      </w:r>
      <w:r w:rsidR="009379A7" w:rsidRPr="00EA05B3">
        <w:rPr>
          <w:lang w:val="fr-FR"/>
        </w:rPr>
        <w:t>qu’</w:t>
      </w:r>
      <w:r w:rsidR="00D60A11" w:rsidRPr="00EA05B3">
        <w:rPr>
          <w:lang w:val="fr-FR"/>
        </w:rPr>
        <w:t xml:space="preserve">il </w:t>
      </w:r>
      <w:r w:rsidR="009379A7" w:rsidRPr="00EA05B3">
        <w:rPr>
          <w:lang w:val="fr-FR"/>
        </w:rPr>
        <w:t>s’</w:t>
      </w:r>
      <w:r w:rsidR="00D60A11" w:rsidRPr="00EA05B3">
        <w:rPr>
          <w:lang w:val="fr-FR"/>
        </w:rPr>
        <w:t xml:space="preserve">agit </w:t>
      </w:r>
      <w:r w:rsidR="009379A7" w:rsidRPr="00EA05B3">
        <w:rPr>
          <w:lang w:val="fr-FR"/>
        </w:rPr>
        <w:t>d’</w:t>
      </w:r>
      <w:r w:rsidR="00D60A11" w:rsidRPr="00EA05B3">
        <w:rPr>
          <w:lang w:val="fr-FR"/>
        </w:rPr>
        <w:t xml:space="preserve">une forme </w:t>
      </w:r>
      <w:r w:rsidR="009379A7" w:rsidRPr="00EA05B3">
        <w:rPr>
          <w:lang w:val="fr-FR"/>
        </w:rPr>
        <w:t>d’</w:t>
      </w:r>
      <w:r w:rsidR="00D60A11" w:rsidRPr="00EA05B3">
        <w:rPr>
          <w:lang w:val="fr-FR"/>
        </w:rPr>
        <w:t>exploitation des enfants par le travail,</w:t>
      </w:r>
      <w:r w:rsidR="000D57A5" w:rsidRPr="00EA05B3">
        <w:rPr>
          <w:lang w:val="fr-FR"/>
        </w:rPr>
        <w:t xml:space="preserve"> </w:t>
      </w:r>
      <w:r w:rsidR="00D60A11" w:rsidRPr="00EA05B3">
        <w:rPr>
          <w:lang w:val="fr-FR"/>
        </w:rPr>
        <w:t xml:space="preserve">a commencé à travailler en 2007 sur le problème de la mendicité des enfants et propose son élimination pour 2013. </w:t>
      </w:r>
    </w:p>
    <w:p w:rsidR="00D60A11" w:rsidRPr="00EA05B3" w:rsidRDefault="008F7D5A" w:rsidP="008F7D5A">
      <w:pPr>
        <w:pStyle w:val="SingleTxtG"/>
        <w:rPr>
          <w:lang w:val="fr-FR"/>
        </w:rPr>
      </w:pPr>
      <w:r w:rsidRPr="00EA05B3">
        <w:rPr>
          <w:lang w:val="fr-FR"/>
        </w:rPr>
        <w:t>98.</w:t>
      </w:r>
      <w:r w:rsidRPr="00EA05B3">
        <w:rPr>
          <w:lang w:val="fr-FR"/>
        </w:rPr>
        <w:tab/>
      </w:r>
      <w:r w:rsidR="00D60A11" w:rsidRPr="00EA05B3">
        <w:rPr>
          <w:lang w:val="fr-FR"/>
        </w:rPr>
        <w:t xml:space="preserve">Depuis 2013 le </w:t>
      </w:r>
      <w:r w:rsidR="00240478" w:rsidRPr="00EA05B3">
        <w:rPr>
          <w:lang w:val="fr-FR"/>
        </w:rPr>
        <w:t xml:space="preserve">Ministère de l’inclusion économique et sociale </w:t>
      </w:r>
      <w:r w:rsidR="00D60A11" w:rsidRPr="00EA05B3">
        <w:rPr>
          <w:lang w:val="fr-FR"/>
        </w:rPr>
        <w:t xml:space="preserve">et </w:t>
      </w:r>
      <w:r w:rsidR="009379A7" w:rsidRPr="00EA05B3">
        <w:rPr>
          <w:lang w:val="fr-FR"/>
        </w:rPr>
        <w:t>l’</w:t>
      </w:r>
      <w:r w:rsidR="00D60A11" w:rsidRPr="00EA05B3">
        <w:rPr>
          <w:lang w:val="fr-FR"/>
        </w:rPr>
        <w:t xml:space="preserve">INFA, en collaboration avec les gouvernements locaux, les organisations communautaires, les organisations non gouvernementales et la Direction nationale de la police chargée des enfants et des adolescents (DINAPEN), ont diffusé une campagne nationale annuelle qui, même si on ne connaît pas précisément le nombre </w:t>
      </w:r>
      <w:r w:rsidR="009379A7" w:rsidRPr="00EA05B3">
        <w:rPr>
          <w:lang w:val="fr-FR"/>
        </w:rPr>
        <w:t>d’</w:t>
      </w:r>
      <w:r w:rsidR="00D60A11" w:rsidRPr="00EA05B3">
        <w:rPr>
          <w:lang w:val="fr-FR"/>
        </w:rPr>
        <w:t xml:space="preserve">enfants épargnés ou retirés de la mendicité, a permis une diminution </w:t>
      </w:r>
      <w:r w:rsidR="0050005C" w:rsidRPr="00EA05B3">
        <w:rPr>
          <w:lang w:val="fr-FR"/>
        </w:rPr>
        <w:t xml:space="preserve">visible </w:t>
      </w:r>
      <w:r w:rsidR="00D60A11" w:rsidRPr="00EA05B3">
        <w:rPr>
          <w:lang w:val="fr-FR"/>
        </w:rPr>
        <w:t>du phénomène et une prise de conscience des citoyens sur ce problème.</w:t>
      </w:r>
    </w:p>
    <w:p w:rsidR="00D60A11" w:rsidRPr="00EA05B3" w:rsidRDefault="008F7D5A" w:rsidP="008F7D5A">
      <w:pPr>
        <w:pStyle w:val="SingleTxtG"/>
        <w:rPr>
          <w:lang w:val="fr-FR"/>
        </w:rPr>
      </w:pPr>
      <w:r w:rsidRPr="00EA05B3">
        <w:rPr>
          <w:lang w:val="fr-FR"/>
        </w:rPr>
        <w:t>99.</w:t>
      </w:r>
      <w:r w:rsidRPr="00EA05B3">
        <w:rPr>
          <w:lang w:val="fr-FR"/>
        </w:rPr>
        <w:tab/>
      </w:r>
      <w:r w:rsidR="00D60A11" w:rsidRPr="00EA05B3">
        <w:rPr>
          <w:lang w:val="fr-FR"/>
        </w:rPr>
        <w:t xml:space="preserve">Enfin, </w:t>
      </w:r>
      <w:r w:rsidR="009379A7" w:rsidRPr="00EA05B3">
        <w:rPr>
          <w:lang w:val="fr-FR"/>
        </w:rPr>
        <w:t>l’</w:t>
      </w:r>
      <w:r w:rsidR="00D60A11" w:rsidRPr="00EA05B3">
        <w:rPr>
          <w:lang w:val="fr-FR"/>
        </w:rPr>
        <w:t xml:space="preserve">INFA a mis en place depuis plus de dix ans une série de programmes et </w:t>
      </w:r>
      <w:r w:rsidR="009379A7" w:rsidRPr="00EA05B3">
        <w:rPr>
          <w:lang w:val="fr-FR"/>
        </w:rPr>
        <w:t>d’</w:t>
      </w:r>
      <w:r w:rsidR="00D60A11" w:rsidRPr="00EA05B3">
        <w:rPr>
          <w:lang w:val="fr-FR"/>
        </w:rPr>
        <w:t>actions visant à</w:t>
      </w:r>
      <w:r w:rsidR="00B36EE6" w:rsidRPr="00EA05B3">
        <w:rPr>
          <w:lang w:val="fr-FR"/>
        </w:rPr>
        <w:t>:</w:t>
      </w:r>
      <w:r w:rsidR="00D60A11" w:rsidRPr="00EA05B3">
        <w:rPr>
          <w:lang w:val="fr-FR"/>
        </w:rPr>
        <w:t xml:space="preserve"> éliminer les barrières </w:t>
      </w:r>
      <w:r w:rsidR="009379A7" w:rsidRPr="00EA05B3">
        <w:rPr>
          <w:lang w:val="fr-FR"/>
        </w:rPr>
        <w:t>d’</w:t>
      </w:r>
      <w:r w:rsidR="00D60A11" w:rsidRPr="00EA05B3">
        <w:rPr>
          <w:lang w:val="fr-FR"/>
        </w:rPr>
        <w:t xml:space="preserve">accès à </w:t>
      </w:r>
      <w:r w:rsidR="009379A7" w:rsidRPr="00EA05B3">
        <w:rPr>
          <w:lang w:val="fr-FR"/>
        </w:rPr>
        <w:t>l’</w:t>
      </w:r>
      <w:r w:rsidR="00D60A11" w:rsidRPr="00EA05B3">
        <w:rPr>
          <w:lang w:val="fr-FR"/>
        </w:rPr>
        <w:t>éducation</w:t>
      </w:r>
      <w:r w:rsidR="00B36EE6" w:rsidRPr="00EA05B3">
        <w:rPr>
          <w:lang w:val="fr-FR"/>
        </w:rPr>
        <w:t>;</w:t>
      </w:r>
      <w:r w:rsidR="00D60A11" w:rsidRPr="00EA05B3">
        <w:rPr>
          <w:lang w:val="fr-FR"/>
        </w:rPr>
        <w:t xml:space="preserve"> favoriser le maintien dans le système scolaire des enfants en situation de risque et des enfants qui travaillent</w:t>
      </w:r>
      <w:r w:rsidR="00B36EE6" w:rsidRPr="00EA05B3">
        <w:rPr>
          <w:lang w:val="fr-FR"/>
        </w:rPr>
        <w:t>;</w:t>
      </w:r>
      <w:r w:rsidR="00D60A11" w:rsidRPr="00EA05B3">
        <w:rPr>
          <w:lang w:val="fr-FR"/>
        </w:rPr>
        <w:t xml:space="preserve"> réinsérer dans le système les enfants qui travaillent</w:t>
      </w:r>
      <w:r w:rsidR="00B36EE6" w:rsidRPr="00EA05B3">
        <w:rPr>
          <w:lang w:val="fr-FR"/>
        </w:rPr>
        <w:t>;</w:t>
      </w:r>
      <w:r w:rsidR="00D60A11" w:rsidRPr="00EA05B3">
        <w:rPr>
          <w:lang w:val="fr-FR"/>
        </w:rPr>
        <w:t xml:space="preserve"> et éliminer les pires formes de travail des enfants (mendicité, travail dans les briqueteries, les décharges ou les mines, par exemple).</w:t>
      </w:r>
    </w:p>
    <w:p w:rsidR="00D60A11" w:rsidRPr="00EA05B3" w:rsidRDefault="008F7D5A" w:rsidP="008F7D5A">
      <w:pPr>
        <w:pStyle w:val="SingleTxtG"/>
        <w:rPr>
          <w:lang w:val="fr-FR"/>
        </w:rPr>
      </w:pPr>
      <w:r w:rsidRPr="00EA05B3">
        <w:rPr>
          <w:lang w:val="fr-FR"/>
        </w:rPr>
        <w:t>100.</w:t>
      </w:r>
      <w:r w:rsidRPr="00EA05B3">
        <w:rPr>
          <w:lang w:val="fr-FR"/>
        </w:rPr>
        <w:tab/>
      </w:r>
      <w:r w:rsidR="00D60A11" w:rsidRPr="00EA05B3">
        <w:rPr>
          <w:lang w:val="fr-FR"/>
        </w:rPr>
        <w:t xml:space="preserve">Ces initiatives sont actuellement soit transférées vers le Ministère de </w:t>
      </w:r>
      <w:r w:rsidR="009379A7" w:rsidRPr="00EA05B3">
        <w:rPr>
          <w:lang w:val="fr-FR"/>
        </w:rPr>
        <w:t>l’</w:t>
      </w:r>
      <w:r w:rsidR="00D60A11" w:rsidRPr="00EA05B3">
        <w:rPr>
          <w:lang w:val="fr-FR"/>
        </w:rPr>
        <w:t>éducation (pour les actions éducatives) soit redéfinies dans le cadre de la réorganisation interne.</w:t>
      </w:r>
    </w:p>
    <w:p w:rsidR="00D60A11" w:rsidRPr="00EA05B3" w:rsidRDefault="008F7D5A" w:rsidP="008F7D5A">
      <w:pPr>
        <w:pStyle w:val="SingleTxtG"/>
        <w:rPr>
          <w:lang w:val="fr-FR"/>
        </w:rPr>
      </w:pPr>
      <w:r w:rsidRPr="00EA05B3">
        <w:rPr>
          <w:lang w:val="fr-FR"/>
        </w:rPr>
        <w:t>101.</w:t>
      </w:r>
      <w:r w:rsidRPr="00EA05B3">
        <w:rPr>
          <w:lang w:val="fr-FR"/>
        </w:rPr>
        <w:tab/>
      </w:r>
      <w:r w:rsidR="00D60A11" w:rsidRPr="00EA05B3">
        <w:rPr>
          <w:lang w:val="fr-FR"/>
        </w:rPr>
        <w:t>Actuellement, 116 443 enfants et adolescents</w:t>
      </w:r>
      <w:r w:rsidR="000D57A5" w:rsidRPr="00EA05B3">
        <w:rPr>
          <w:lang w:val="fr-FR"/>
        </w:rPr>
        <w:t xml:space="preserve"> </w:t>
      </w:r>
      <w:r w:rsidR="00D60A11" w:rsidRPr="00EA05B3">
        <w:rPr>
          <w:lang w:val="fr-FR"/>
        </w:rPr>
        <w:t>âgés de 5 à 15 ans travaillent en Équateur. Cela correspond à une diminution du travail des enfants de 6,6</w:t>
      </w:r>
      <w:r w:rsidR="009379A7" w:rsidRPr="00EA05B3">
        <w:rPr>
          <w:lang w:val="fr-FR"/>
        </w:rPr>
        <w:t> %</w:t>
      </w:r>
      <w:r w:rsidR="00D60A11" w:rsidRPr="00EA05B3">
        <w:rPr>
          <w:lang w:val="fr-FR"/>
        </w:rPr>
        <w:t xml:space="preserve"> à 3,5</w:t>
      </w:r>
      <w:r w:rsidR="009379A7" w:rsidRPr="00EA05B3">
        <w:rPr>
          <w:lang w:val="fr-FR"/>
        </w:rPr>
        <w:t> %</w:t>
      </w:r>
      <w:r w:rsidR="00D60A11" w:rsidRPr="00EA05B3">
        <w:rPr>
          <w:lang w:val="fr-FR"/>
        </w:rPr>
        <w:t xml:space="preserve"> pour la période comprise entre les deux derniers recensements.</w:t>
      </w:r>
    </w:p>
    <w:p w:rsidR="00D60A11" w:rsidRPr="00EA05B3" w:rsidRDefault="008F7D5A" w:rsidP="008F7D5A">
      <w:pPr>
        <w:pStyle w:val="SingleTxtG"/>
        <w:rPr>
          <w:lang w:val="fr-FR"/>
        </w:rPr>
      </w:pPr>
      <w:r w:rsidRPr="00EA05B3">
        <w:rPr>
          <w:lang w:val="fr-FR"/>
        </w:rPr>
        <w:t>102.</w:t>
      </w:r>
      <w:r w:rsidRPr="00EA05B3">
        <w:rPr>
          <w:lang w:val="fr-FR"/>
        </w:rPr>
        <w:tab/>
      </w:r>
      <w:r w:rsidR="00D60A11" w:rsidRPr="00EA05B3">
        <w:rPr>
          <w:lang w:val="fr-FR"/>
        </w:rPr>
        <w:t xml:space="preserve">Cette diminution du travail des enfants est corrélée à une augmentation de </w:t>
      </w:r>
      <w:r w:rsidR="009379A7" w:rsidRPr="00EA05B3">
        <w:rPr>
          <w:lang w:val="fr-FR"/>
        </w:rPr>
        <w:t>l’</w:t>
      </w:r>
      <w:r w:rsidR="00D60A11" w:rsidRPr="00EA05B3">
        <w:rPr>
          <w:lang w:val="fr-FR"/>
        </w:rPr>
        <w:t xml:space="preserve">accès à </w:t>
      </w:r>
      <w:r w:rsidR="009379A7" w:rsidRPr="00EA05B3">
        <w:rPr>
          <w:lang w:val="fr-FR"/>
        </w:rPr>
        <w:t>l’</w:t>
      </w:r>
      <w:r w:rsidR="00D60A11" w:rsidRPr="00EA05B3">
        <w:rPr>
          <w:lang w:val="fr-FR"/>
        </w:rPr>
        <w:t xml:space="preserve">éducation qui se manifeste par une augmentation des inscriptions et une diminution du nombre </w:t>
      </w:r>
      <w:r w:rsidR="009379A7" w:rsidRPr="00EA05B3">
        <w:rPr>
          <w:lang w:val="fr-FR"/>
        </w:rPr>
        <w:t>d’</w:t>
      </w:r>
      <w:r w:rsidR="00D60A11" w:rsidRPr="00EA05B3">
        <w:rPr>
          <w:lang w:val="fr-FR"/>
        </w:rPr>
        <w:t>enfants en âge s</w:t>
      </w:r>
      <w:r w:rsidR="001B1440" w:rsidRPr="00EA05B3">
        <w:rPr>
          <w:lang w:val="fr-FR"/>
        </w:rPr>
        <w:t>c</w:t>
      </w:r>
      <w:r w:rsidR="00D60A11" w:rsidRPr="00EA05B3">
        <w:rPr>
          <w:lang w:val="fr-FR"/>
        </w:rPr>
        <w:t>olaire qui ne sont pas intégrés dans le système éducatif.</w:t>
      </w:r>
    </w:p>
    <w:p w:rsidR="00D60A11" w:rsidRPr="00EA05B3" w:rsidRDefault="008F7D5A" w:rsidP="008F7D5A">
      <w:pPr>
        <w:pStyle w:val="SingleTxtG"/>
        <w:rPr>
          <w:lang w:val="fr-FR"/>
        </w:rPr>
      </w:pPr>
      <w:r w:rsidRPr="00EA05B3">
        <w:rPr>
          <w:lang w:val="fr-FR"/>
        </w:rPr>
        <w:t>103.</w:t>
      </w:r>
      <w:r w:rsidRPr="00EA05B3">
        <w:rPr>
          <w:lang w:val="fr-FR"/>
        </w:rPr>
        <w:tab/>
      </w:r>
      <w:r w:rsidR="00D60A11" w:rsidRPr="00EA05B3">
        <w:rPr>
          <w:lang w:val="fr-FR"/>
        </w:rPr>
        <w:t>Le travail des enfants demeure cependant proportionnellement plus fréquent dans les zones</w:t>
      </w:r>
      <w:r w:rsidR="000D57A5" w:rsidRPr="00EA05B3">
        <w:rPr>
          <w:lang w:val="fr-FR"/>
        </w:rPr>
        <w:t xml:space="preserve"> </w:t>
      </w:r>
      <w:r w:rsidR="00D60A11" w:rsidRPr="00EA05B3">
        <w:rPr>
          <w:lang w:val="fr-FR"/>
        </w:rPr>
        <w:t>rurales que dans les zones</w:t>
      </w:r>
      <w:r w:rsidR="000D57A5" w:rsidRPr="00EA05B3">
        <w:rPr>
          <w:lang w:val="fr-FR"/>
        </w:rPr>
        <w:t xml:space="preserve"> </w:t>
      </w:r>
      <w:r w:rsidR="00D60A11" w:rsidRPr="00EA05B3">
        <w:rPr>
          <w:lang w:val="fr-FR"/>
        </w:rPr>
        <w:t xml:space="preserve">urbaines. Toutefois, </w:t>
      </w:r>
      <w:r w:rsidR="009379A7" w:rsidRPr="00EA05B3">
        <w:rPr>
          <w:lang w:val="fr-FR"/>
        </w:rPr>
        <w:t>l’</w:t>
      </w:r>
      <w:r w:rsidR="00D60A11" w:rsidRPr="00EA05B3">
        <w:rPr>
          <w:lang w:val="fr-FR"/>
        </w:rPr>
        <w:t xml:space="preserve">écart a </w:t>
      </w:r>
      <w:r w:rsidR="004A6FBB" w:rsidRPr="00EA05B3">
        <w:rPr>
          <w:lang w:val="fr-FR"/>
        </w:rPr>
        <w:t xml:space="preserve">sensiblement </w:t>
      </w:r>
      <w:r w:rsidR="00D60A11" w:rsidRPr="00EA05B3">
        <w:rPr>
          <w:lang w:val="fr-FR"/>
        </w:rPr>
        <w:t xml:space="preserve">diminué entre 2001 et 2010. En effet, la plus forte réduction du travail des enfants </w:t>
      </w:r>
      <w:r w:rsidR="009379A7" w:rsidRPr="00EA05B3">
        <w:rPr>
          <w:lang w:val="fr-FR"/>
        </w:rPr>
        <w:t>s’</w:t>
      </w:r>
      <w:r w:rsidR="00D60A11" w:rsidRPr="00EA05B3">
        <w:rPr>
          <w:lang w:val="fr-FR"/>
        </w:rPr>
        <w:t>observe dans les zones</w:t>
      </w:r>
      <w:r w:rsidR="000D57A5" w:rsidRPr="00EA05B3">
        <w:rPr>
          <w:lang w:val="fr-FR"/>
        </w:rPr>
        <w:t xml:space="preserve"> </w:t>
      </w:r>
      <w:r w:rsidR="00D60A11" w:rsidRPr="00EA05B3">
        <w:rPr>
          <w:lang w:val="fr-FR"/>
        </w:rPr>
        <w:t>rurales</w:t>
      </w:r>
      <w:r w:rsidR="00B36EE6" w:rsidRPr="00EA05B3">
        <w:rPr>
          <w:lang w:val="fr-FR"/>
        </w:rPr>
        <w:t>:</w:t>
      </w:r>
      <w:r w:rsidR="00D60A11" w:rsidRPr="00EA05B3">
        <w:rPr>
          <w:lang w:val="fr-FR"/>
        </w:rPr>
        <w:t xml:space="preserve"> alors </w:t>
      </w:r>
      <w:r w:rsidR="009379A7" w:rsidRPr="00EA05B3">
        <w:rPr>
          <w:lang w:val="fr-FR"/>
        </w:rPr>
        <w:t>qu’</w:t>
      </w:r>
      <w:r w:rsidR="00D60A11" w:rsidRPr="00EA05B3">
        <w:rPr>
          <w:lang w:val="fr-FR"/>
        </w:rPr>
        <w:t>en 2001 10,5</w:t>
      </w:r>
      <w:r w:rsidR="009379A7" w:rsidRPr="00EA05B3">
        <w:rPr>
          <w:lang w:val="fr-FR"/>
        </w:rPr>
        <w:t> %</w:t>
      </w:r>
      <w:r w:rsidR="00D60A11" w:rsidRPr="00EA05B3">
        <w:rPr>
          <w:lang w:val="fr-FR"/>
        </w:rPr>
        <w:t xml:space="preserve"> des enfants des zones rurales travaillaient, ce chiffre est passé à 5,5</w:t>
      </w:r>
      <w:r w:rsidR="009379A7" w:rsidRPr="00EA05B3">
        <w:rPr>
          <w:lang w:val="fr-FR"/>
        </w:rPr>
        <w:t> %</w:t>
      </w:r>
      <w:r w:rsidR="00D60A11" w:rsidRPr="00EA05B3">
        <w:rPr>
          <w:lang w:val="fr-FR"/>
        </w:rPr>
        <w:t xml:space="preserve"> en 2010</w:t>
      </w:r>
      <w:r w:rsidR="00D60A11" w:rsidRPr="00EA05B3">
        <w:rPr>
          <w:rStyle w:val="FootnoteReference"/>
          <w:lang w:val="fr-FR"/>
        </w:rPr>
        <w:footnoteReference w:id="43"/>
      </w:r>
      <w:r w:rsidR="00D60A11" w:rsidRPr="00EA05B3">
        <w:rPr>
          <w:lang w:val="fr-FR"/>
        </w:rPr>
        <w:t>.</w:t>
      </w:r>
    </w:p>
    <w:p w:rsidR="00D60A11" w:rsidRPr="00EA05B3" w:rsidRDefault="008F7D5A" w:rsidP="008F7D5A">
      <w:pPr>
        <w:pStyle w:val="SingleTxtG"/>
        <w:rPr>
          <w:lang w:val="fr-FR"/>
        </w:rPr>
      </w:pPr>
      <w:r w:rsidRPr="00EA05B3">
        <w:rPr>
          <w:lang w:val="fr-FR"/>
        </w:rPr>
        <w:t>104.</w:t>
      </w:r>
      <w:r w:rsidRPr="00EA05B3">
        <w:rPr>
          <w:lang w:val="fr-FR"/>
        </w:rPr>
        <w:tab/>
      </w:r>
      <w:r w:rsidR="00D60A11" w:rsidRPr="00EA05B3">
        <w:rPr>
          <w:lang w:val="fr-FR"/>
        </w:rPr>
        <w:t xml:space="preserve">Les provinces dans lesquelles </w:t>
      </w:r>
      <w:r w:rsidR="009379A7" w:rsidRPr="00EA05B3">
        <w:rPr>
          <w:lang w:val="fr-FR"/>
        </w:rPr>
        <w:t>l’</w:t>
      </w:r>
      <w:r w:rsidR="00D60A11" w:rsidRPr="00EA05B3">
        <w:rPr>
          <w:lang w:val="fr-FR"/>
        </w:rPr>
        <w:t>incidence du travail des enfants est la plus élevée sont les provinces de la région amazonienne et de la région montagneuse (Sierra).</w:t>
      </w:r>
    </w:p>
    <w:p w:rsidR="00D60A11" w:rsidRPr="00EA05B3" w:rsidRDefault="008F7D5A" w:rsidP="008F7D5A">
      <w:pPr>
        <w:pStyle w:val="SingleTxtG"/>
        <w:rPr>
          <w:lang w:val="fr-FR"/>
        </w:rPr>
      </w:pPr>
      <w:r w:rsidRPr="00EA05B3">
        <w:rPr>
          <w:lang w:val="fr-FR"/>
        </w:rPr>
        <w:t>105.</w:t>
      </w:r>
      <w:r w:rsidRPr="00EA05B3">
        <w:rPr>
          <w:lang w:val="fr-FR"/>
        </w:rPr>
        <w:tab/>
      </w:r>
      <w:r w:rsidR="00D60A11" w:rsidRPr="00EA05B3">
        <w:rPr>
          <w:lang w:val="fr-FR"/>
        </w:rPr>
        <w:t xml:space="preserve">Selon les données des recensements de 2001 et de 2010, le point de basculement associé à </w:t>
      </w:r>
      <w:r w:rsidR="009379A7" w:rsidRPr="00EA05B3">
        <w:rPr>
          <w:lang w:val="fr-FR"/>
        </w:rPr>
        <w:t>l’</w:t>
      </w:r>
      <w:r w:rsidR="00D60A11" w:rsidRPr="00EA05B3">
        <w:rPr>
          <w:lang w:val="fr-FR"/>
        </w:rPr>
        <w:t xml:space="preserve">augmentation du travail des enfants se situe vers </w:t>
      </w:r>
      <w:r w:rsidR="009379A7" w:rsidRPr="00EA05B3">
        <w:rPr>
          <w:lang w:val="fr-FR"/>
        </w:rPr>
        <w:t>l’</w:t>
      </w:r>
      <w:r w:rsidR="00D60A11" w:rsidRPr="00EA05B3">
        <w:rPr>
          <w:lang w:val="fr-FR"/>
        </w:rPr>
        <w:t xml:space="preserve">âge de 12 ans, qui coïncide avec la fin de </w:t>
      </w:r>
      <w:r w:rsidR="009379A7" w:rsidRPr="00EA05B3">
        <w:rPr>
          <w:lang w:val="fr-FR"/>
        </w:rPr>
        <w:t>l’</w:t>
      </w:r>
      <w:r w:rsidR="00D60A11" w:rsidRPr="00EA05B3">
        <w:rPr>
          <w:lang w:val="fr-FR"/>
        </w:rPr>
        <w:t>enseignement primaire.</w:t>
      </w:r>
    </w:p>
    <w:p w:rsidR="00D60A11" w:rsidRPr="00EA05B3" w:rsidRDefault="008F7D5A" w:rsidP="008F7D5A">
      <w:pPr>
        <w:pStyle w:val="SingleTxtG"/>
        <w:rPr>
          <w:lang w:val="fr-FR"/>
        </w:rPr>
      </w:pPr>
      <w:r w:rsidRPr="00EA05B3">
        <w:rPr>
          <w:lang w:val="fr-FR"/>
        </w:rPr>
        <w:t>106.</w:t>
      </w:r>
      <w:r w:rsidRPr="00EA05B3">
        <w:rPr>
          <w:lang w:val="fr-FR"/>
        </w:rPr>
        <w:tab/>
      </w:r>
      <w:r w:rsidR="009379A7" w:rsidRPr="00EA05B3">
        <w:rPr>
          <w:lang w:val="fr-FR"/>
        </w:rPr>
        <w:t>L’</w:t>
      </w:r>
      <w:r w:rsidR="00D60A11" w:rsidRPr="00EA05B3">
        <w:rPr>
          <w:lang w:val="fr-FR"/>
        </w:rPr>
        <w:t xml:space="preserve">accès et le maintien dans le système éducatif est considéré comme </w:t>
      </w:r>
      <w:r w:rsidR="009379A7" w:rsidRPr="00EA05B3">
        <w:rPr>
          <w:lang w:val="fr-FR"/>
        </w:rPr>
        <w:t>l’</w:t>
      </w:r>
      <w:r w:rsidR="00D60A11" w:rsidRPr="00EA05B3">
        <w:rPr>
          <w:lang w:val="fr-FR"/>
        </w:rPr>
        <w:t xml:space="preserve">une des stratégies les plus efficaces pour prévenir et éliminer le travail des enfants. </w:t>
      </w:r>
      <w:r w:rsidR="009379A7" w:rsidRPr="00EA05B3">
        <w:rPr>
          <w:lang w:val="fr-FR"/>
        </w:rPr>
        <w:t>L’</w:t>
      </w:r>
      <w:r w:rsidR="00D60A11" w:rsidRPr="00EA05B3">
        <w:rPr>
          <w:lang w:val="fr-FR"/>
        </w:rPr>
        <w:t xml:space="preserve">un des changements les plus importants en ce sens est la diminution significative du nombre et du pourcentage </w:t>
      </w:r>
      <w:r w:rsidR="009379A7" w:rsidRPr="00EA05B3">
        <w:rPr>
          <w:lang w:val="fr-FR"/>
        </w:rPr>
        <w:t>d’</w:t>
      </w:r>
      <w:r w:rsidR="00D60A11" w:rsidRPr="00EA05B3">
        <w:rPr>
          <w:lang w:val="fr-FR"/>
        </w:rPr>
        <w:t xml:space="preserve">enfants exclus du système éducatif, (indépendamment du fait </w:t>
      </w:r>
      <w:r w:rsidR="009379A7" w:rsidRPr="00EA05B3">
        <w:rPr>
          <w:lang w:val="fr-FR"/>
        </w:rPr>
        <w:t>qu’</w:t>
      </w:r>
      <w:r w:rsidR="00D60A11" w:rsidRPr="00EA05B3">
        <w:rPr>
          <w:lang w:val="fr-FR"/>
        </w:rPr>
        <w:t xml:space="preserve">ils travaillent ou non). Le pourcentage </w:t>
      </w:r>
      <w:r w:rsidR="009379A7" w:rsidRPr="00EA05B3">
        <w:rPr>
          <w:lang w:val="fr-FR"/>
        </w:rPr>
        <w:t>d’</w:t>
      </w:r>
      <w:r w:rsidR="00D60A11" w:rsidRPr="00EA05B3">
        <w:rPr>
          <w:lang w:val="fr-FR"/>
        </w:rPr>
        <w:t>enfants non intégrés dans le système est passé de 16,8</w:t>
      </w:r>
      <w:r w:rsidR="009379A7" w:rsidRPr="00EA05B3">
        <w:rPr>
          <w:lang w:val="fr-FR"/>
        </w:rPr>
        <w:t> %</w:t>
      </w:r>
      <w:r w:rsidR="00D60A11" w:rsidRPr="00EA05B3">
        <w:rPr>
          <w:lang w:val="fr-FR"/>
        </w:rPr>
        <w:t xml:space="preserve"> en 2001 à 6,9</w:t>
      </w:r>
      <w:r w:rsidR="009379A7" w:rsidRPr="00EA05B3">
        <w:rPr>
          <w:lang w:val="fr-FR"/>
        </w:rPr>
        <w:t> %</w:t>
      </w:r>
      <w:r w:rsidR="00D60A11" w:rsidRPr="00EA05B3">
        <w:rPr>
          <w:lang w:val="fr-FR"/>
        </w:rPr>
        <w:t xml:space="preserve"> en 2010</w:t>
      </w:r>
      <w:r w:rsidR="00D60A11" w:rsidRPr="00EA05B3">
        <w:rPr>
          <w:rStyle w:val="FootnoteReference"/>
          <w:lang w:val="fr-FR"/>
        </w:rPr>
        <w:footnoteReference w:id="44"/>
      </w:r>
      <w:r w:rsidR="00D60A11" w:rsidRPr="00EA05B3">
        <w:rPr>
          <w:lang w:val="fr-FR"/>
        </w:rPr>
        <w:t xml:space="preserve">. </w:t>
      </w:r>
    </w:p>
    <w:p w:rsidR="00D60A11" w:rsidRPr="00EA05B3" w:rsidRDefault="008F7D5A" w:rsidP="008F7D5A">
      <w:pPr>
        <w:pStyle w:val="SingleTxtG"/>
        <w:rPr>
          <w:lang w:val="fr-FR"/>
        </w:rPr>
      </w:pPr>
      <w:r w:rsidRPr="00EA05B3">
        <w:rPr>
          <w:lang w:val="fr-FR"/>
        </w:rPr>
        <w:t>107.</w:t>
      </w:r>
      <w:r w:rsidRPr="00EA05B3">
        <w:rPr>
          <w:lang w:val="fr-FR"/>
        </w:rPr>
        <w:tab/>
      </w:r>
      <w:r w:rsidR="00D60A11" w:rsidRPr="00EA05B3">
        <w:rPr>
          <w:lang w:val="fr-FR"/>
        </w:rPr>
        <w:t xml:space="preserve">Ce chiffre </w:t>
      </w:r>
      <w:r w:rsidR="0050005C" w:rsidRPr="00EA05B3">
        <w:rPr>
          <w:lang w:val="fr-FR"/>
        </w:rPr>
        <w:t>est associé à une</w:t>
      </w:r>
      <w:r w:rsidR="00D60A11" w:rsidRPr="00EA05B3">
        <w:rPr>
          <w:lang w:val="fr-FR"/>
        </w:rPr>
        <w:t xml:space="preserve"> augmentation de 10</w:t>
      </w:r>
      <w:r w:rsidR="009379A7" w:rsidRPr="00EA05B3">
        <w:rPr>
          <w:lang w:val="fr-FR"/>
        </w:rPr>
        <w:t> %</w:t>
      </w:r>
      <w:r w:rsidR="00D60A11" w:rsidRPr="00EA05B3">
        <w:rPr>
          <w:lang w:val="fr-FR"/>
        </w:rPr>
        <w:t xml:space="preserve"> du pourcentage </w:t>
      </w:r>
      <w:r w:rsidR="009379A7" w:rsidRPr="00EA05B3">
        <w:rPr>
          <w:lang w:val="fr-FR"/>
        </w:rPr>
        <w:t>d’</w:t>
      </w:r>
      <w:r w:rsidR="00D60A11" w:rsidRPr="00EA05B3">
        <w:rPr>
          <w:lang w:val="fr-FR"/>
        </w:rPr>
        <w:t>enfants qui étudient sans travailler, qui est passé de 81</w:t>
      </w:r>
      <w:r w:rsidR="009379A7" w:rsidRPr="00EA05B3">
        <w:rPr>
          <w:lang w:val="fr-FR"/>
        </w:rPr>
        <w:t> %</w:t>
      </w:r>
      <w:r w:rsidR="00D60A11" w:rsidRPr="00EA05B3">
        <w:rPr>
          <w:lang w:val="fr-FR"/>
        </w:rPr>
        <w:t xml:space="preserve"> à 91</w:t>
      </w:r>
      <w:r w:rsidR="009379A7" w:rsidRPr="00EA05B3">
        <w:rPr>
          <w:lang w:val="fr-FR"/>
        </w:rPr>
        <w:t> %</w:t>
      </w:r>
      <w:r w:rsidR="00D60A11" w:rsidRPr="00EA05B3">
        <w:rPr>
          <w:lang w:val="fr-FR"/>
        </w:rPr>
        <w:t xml:space="preserve"> entre les deux recensements.</w:t>
      </w:r>
    </w:p>
    <w:p w:rsidR="00D60A11" w:rsidRPr="00EA05B3" w:rsidRDefault="008F7D5A" w:rsidP="008F7D5A">
      <w:pPr>
        <w:pStyle w:val="SingleTxtG"/>
        <w:rPr>
          <w:lang w:val="fr-FR"/>
        </w:rPr>
      </w:pPr>
      <w:r w:rsidRPr="00EA05B3">
        <w:rPr>
          <w:lang w:val="fr-FR"/>
        </w:rPr>
        <w:t>108.</w:t>
      </w:r>
      <w:r w:rsidRPr="00EA05B3">
        <w:rPr>
          <w:lang w:val="fr-FR"/>
        </w:rPr>
        <w:tab/>
      </w:r>
      <w:r w:rsidR="00D60A11" w:rsidRPr="00EA05B3">
        <w:rPr>
          <w:lang w:val="fr-FR"/>
        </w:rPr>
        <w:t xml:space="preserve">Les efforts accomplis pour rendre </w:t>
      </w:r>
      <w:r w:rsidR="009379A7" w:rsidRPr="00EA05B3">
        <w:rPr>
          <w:lang w:val="fr-FR"/>
        </w:rPr>
        <w:t>l’</w:t>
      </w:r>
      <w:r w:rsidR="00D60A11" w:rsidRPr="00EA05B3">
        <w:rPr>
          <w:lang w:val="fr-FR"/>
        </w:rPr>
        <w:t xml:space="preserve">enseignement primaire universel se reflètent dans les données relatives au travail des enfants. Alors </w:t>
      </w:r>
      <w:r w:rsidR="009379A7" w:rsidRPr="00EA05B3">
        <w:rPr>
          <w:lang w:val="fr-FR"/>
        </w:rPr>
        <w:t>qu’</w:t>
      </w:r>
      <w:r w:rsidR="00D60A11" w:rsidRPr="00EA05B3">
        <w:rPr>
          <w:lang w:val="fr-FR"/>
        </w:rPr>
        <w:t>en 2001, 73</w:t>
      </w:r>
      <w:r w:rsidR="009379A7" w:rsidRPr="00EA05B3">
        <w:rPr>
          <w:lang w:val="fr-FR"/>
        </w:rPr>
        <w:t> %</w:t>
      </w:r>
      <w:r w:rsidR="00D60A11" w:rsidRPr="00EA05B3">
        <w:rPr>
          <w:lang w:val="fr-FR"/>
        </w:rPr>
        <w:t xml:space="preserve"> des enfants qui travaillaient ne fréquentaient pas </w:t>
      </w:r>
      <w:r w:rsidR="009379A7" w:rsidRPr="00EA05B3">
        <w:rPr>
          <w:lang w:val="fr-FR"/>
        </w:rPr>
        <w:t>l’</w:t>
      </w:r>
      <w:r w:rsidR="00D60A11" w:rsidRPr="00EA05B3">
        <w:rPr>
          <w:lang w:val="fr-FR"/>
        </w:rPr>
        <w:t>école, en 2010 ce pourcentage est passé à 43</w:t>
      </w:r>
      <w:r w:rsidR="009379A7" w:rsidRPr="00EA05B3">
        <w:rPr>
          <w:lang w:val="fr-FR"/>
        </w:rPr>
        <w:t> %</w:t>
      </w:r>
      <w:r w:rsidR="00D60A11" w:rsidRPr="00EA05B3">
        <w:rPr>
          <w:rStyle w:val="FootnoteReference"/>
          <w:lang w:val="fr-FR"/>
        </w:rPr>
        <w:footnoteReference w:id="45"/>
      </w:r>
      <w:r w:rsidR="00D60A11" w:rsidRPr="00EA05B3">
        <w:rPr>
          <w:lang w:val="fr-FR"/>
        </w:rPr>
        <w:t xml:space="preserve">. On observe donc un changement </w:t>
      </w:r>
      <w:r w:rsidR="004A6FBB" w:rsidRPr="00EA05B3">
        <w:rPr>
          <w:lang w:val="fr-FR"/>
        </w:rPr>
        <w:t xml:space="preserve">important </w:t>
      </w:r>
      <w:r w:rsidR="00D60A11" w:rsidRPr="00EA05B3">
        <w:rPr>
          <w:lang w:val="fr-FR"/>
        </w:rPr>
        <w:t xml:space="preserve">dans les caractéristiques du travail des enfants chez les moins de 15 ans. Alors </w:t>
      </w:r>
      <w:r w:rsidR="009379A7" w:rsidRPr="00EA05B3">
        <w:rPr>
          <w:lang w:val="fr-FR"/>
        </w:rPr>
        <w:t>qu’</w:t>
      </w:r>
      <w:r w:rsidR="00D60A11" w:rsidRPr="00EA05B3">
        <w:rPr>
          <w:lang w:val="fr-FR"/>
        </w:rPr>
        <w:t xml:space="preserve">en 2001 la majorité des enfants qui travaillaient ne fréquentaient pas </w:t>
      </w:r>
      <w:r w:rsidR="009379A7" w:rsidRPr="00EA05B3">
        <w:rPr>
          <w:lang w:val="fr-FR"/>
        </w:rPr>
        <w:t>l’</w:t>
      </w:r>
      <w:r w:rsidR="00D60A11" w:rsidRPr="00EA05B3">
        <w:rPr>
          <w:lang w:val="fr-FR"/>
        </w:rPr>
        <w:t xml:space="preserve">école, la tendance </w:t>
      </w:r>
      <w:r w:rsidR="009379A7" w:rsidRPr="00EA05B3">
        <w:rPr>
          <w:lang w:val="fr-FR"/>
        </w:rPr>
        <w:t>s’</w:t>
      </w:r>
      <w:r w:rsidR="00D60A11" w:rsidRPr="00EA05B3">
        <w:rPr>
          <w:lang w:val="fr-FR"/>
        </w:rPr>
        <w:t>est inversée en 2010 puisque la majorité des enfants qui travaillent concilient activité professionnelle et études.</w:t>
      </w:r>
    </w:p>
    <w:p w:rsidR="00D60A11" w:rsidRPr="00EA05B3" w:rsidRDefault="008F7D5A" w:rsidP="008F7D5A">
      <w:pPr>
        <w:pStyle w:val="SingleTxtG"/>
        <w:rPr>
          <w:lang w:val="fr-FR"/>
        </w:rPr>
      </w:pPr>
      <w:r w:rsidRPr="00EA05B3">
        <w:rPr>
          <w:lang w:val="fr-FR"/>
        </w:rPr>
        <w:t>109.</w:t>
      </w:r>
      <w:r w:rsidRPr="00EA05B3">
        <w:rPr>
          <w:lang w:val="fr-FR"/>
        </w:rPr>
        <w:tab/>
      </w:r>
      <w:r w:rsidR="00D60A11" w:rsidRPr="00EA05B3">
        <w:rPr>
          <w:lang w:val="fr-FR"/>
        </w:rPr>
        <w:t xml:space="preserve">La diminution la plus sensible du nombre </w:t>
      </w:r>
      <w:r w:rsidR="009379A7" w:rsidRPr="00EA05B3">
        <w:rPr>
          <w:lang w:val="fr-FR"/>
        </w:rPr>
        <w:t>d’</w:t>
      </w:r>
      <w:r w:rsidR="00D60A11" w:rsidRPr="00EA05B3">
        <w:rPr>
          <w:lang w:val="fr-FR"/>
        </w:rPr>
        <w:t xml:space="preserve">enfants qui travaillent et ne </w:t>
      </w:r>
      <w:r w:rsidR="004D2189" w:rsidRPr="00EA05B3">
        <w:rPr>
          <w:lang w:val="fr-FR"/>
        </w:rPr>
        <w:t>sont pas scolarisés</w:t>
      </w:r>
      <w:r w:rsidR="00D60A11" w:rsidRPr="00EA05B3">
        <w:rPr>
          <w:lang w:val="fr-FR"/>
        </w:rPr>
        <w:t xml:space="preserve"> </w:t>
      </w:r>
      <w:r w:rsidR="009379A7" w:rsidRPr="00EA05B3">
        <w:rPr>
          <w:lang w:val="fr-FR"/>
        </w:rPr>
        <w:t>s’</w:t>
      </w:r>
      <w:r w:rsidR="00D60A11" w:rsidRPr="00EA05B3">
        <w:rPr>
          <w:lang w:val="fr-FR"/>
        </w:rPr>
        <w:t>observe chez les enfants autochtones.</w:t>
      </w:r>
    </w:p>
    <w:p w:rsidR="00D60A11" w:rsidRPr="00EA05B3" w:rsidRDefault="008F7D5A" w:rsidP="008F7D5A">
      <w:pPr>
        <w:pStyle w:val="SingleTxtG"/>
        <w:rPr>
          <w:lang w:val="fr-FR"/>
        </w:rPr>
      </w:pPr>
      <w:r w:rsidRPr="00EA05B3">
        <w:rPr>
          <w:lang w:val="fr-FR"/>
        </w:rPr>
        <w:t>110.</w:t>
      </w:r>
      <w:r w:rsidRPr="00EA05B3">
        <w:rPr>
          <w:lang w:val="fr-FR"/>
        </w:rPr>
        <w:tab/>
      </w:r>
      <w:r w:rsidR="00D60A11" w:rsidRPr="00EA05B3">
        <w:rPr>
          <w:lang w:val="fr-FR"/>
        </w:rPr>
        <w:t>Il convient de souligner que le travail des enfants en Équateur concerne majoritairement les garçons. En 2001, 7 mineurs qui travaillaient sur 10 étaient des garçons. En 2010, ce pourcentage a légèrement diminué et est passé à 6,6 sur 10.</w:t>
      </w:r>
    </w:p>
    <w:p w:rsidR="00D60A11" w:rsidRPr="00EA05B3" w:rsidRDefault="008F7D5A" w:rsidP="008F7D5A">
      <w:pPr>
        <w:pStyle w:val="SingleTxtG"/>
        <w:rPr>
          <w:lang w:val="fr-FR"/>
        </w:rPr>
      </w:pPr>
      <w:r w:rsidRPr="00EA05B3">
        <w:rPr>
          <w:lang w:val="fr-FR"/>
        </w:rPr>
        <w:t>111.</w:t>
      </w:r>
      <w:r w:rsidRPr="00EA05B3">
        <w:rPr>
          <w:lang w:val="fr-FR"/>
        </w:rPr>
        <w:tab/>
      </w:r>
      <w:r w:rsidR="00D60A11" w:rsidRPr="00EA05B3">
        <w:rPr>
          <w:lang w:val="fr-FR"/>
        </w:rPr>
        <w:t xml:space="preserve">Dans le cas des enfants autochtones, cette situation </w:t>
      </w:r>
      <w:r w:rsidR="009379A7" w:rsidRPr="00EA05B3">
        <w:rPr>
          <w:lang w:val="fr-FR"/>
        </w:rPr>
        <w:t>s’</w:t>
      </w:r>
      <w:r w:rsidR="00D60A11" w:rsidRPr="00EA05B3">
        <w:rPr>
          <w:lang w:val="fr-FR"/>
        </w:rPr>
        <w:t xml:space="preserve">observe également en 2010 et </w:t>
      </w:r>
      <w:r w:rsidR="009379A7" w:rsidRPr="00EA05B3">
        <w:rPr>
          <w:lang w:val="fr-FR"/>
        </w:rPr>
        <w:t>s’</w:t>
      </w:r>
      <w:r w:rsidR="00D60A11" w:rsidRPr="00EA05B3">
        <w:rPr>
          <w:lang w:val="fr-FR"/>
        </w:rPr>
        <w:t xml:space="preserve">accompagne </w:t>
      </w:r>
      <w:r w:rsidR="009379A7" w:rsidRPr="00EA05B3">
        <w:rPr>
          <w:lang w:val="fr-FR"/>
        </w:rPr>
        <w:t>d’</w:t>
      </w:r>
      <w:r w:rsidR="00D60A11" w:rsidRPr="00EA05B3">
        <w:rPr>
          <w:lang w:val="fr-FR"/>
        </w:rPr>
        <w:t xml:space="preserve">une diminution </w:t>
      </w:r>
      <w:r w:rsidR="004D2189" w:rsidRPr="00EA05B3">
        <w:rPr>
          <w:lang w:val="fr-FR"/>
        </w:rPr>
        <w:t xml:space="preserve">notable </w:t>
      </w:r>
      <w:r w:rsidR="00D60A11" w:rsidRPr="00EA05B3">
        <w:rPr>
          <w:lang w:val="fr-FR"/>
        </w:rPr>
        <w:t>du travail des enfants qui est passé de 16</w:t>
      </w:r>
      <w:r w:rsidR="009379A7" w:rsidRPr="00EA05B3">
        <w:rPr>
          <w:lang w:val="fr-FR"/>
        </w:rPr>
        <w:t> %</w:t>
      </w:r>
      <w:r w:rsidR="00D60A11" w:rsidRPr="00EA05B3">
        <w:rPr>
          <w:lang w:val="fr-FR"/>
        </w:rPr>
        <w:t xml:space="preserve"> à 7,7</w:t>
      </w:r>
      <w:r w:rsidR="009379A7" w:rsidRPr="00EA05B3">
        <w:rPr>
          <w:lang w:val="fr-FR"/>
        </w:rPr>
        <w:t> %</w:t>
      </w:r>
      <w:r w:rsidR="00D60A11" w:rsidRPr="00EA05B3">
        <w:rPr>
          <w:lang w:val="fr-FR"/>
        </w:rPr>
        <w:t>.</w:t>
      </w:r>
    </w:p>
    <w:p w:rsidR="00D60A11" w:rsidRPr="00EA05B3" w:rsidRDefault="008F7D5A" w:rsidP="008F7D5A">
      <w:pPr>
        <w:pStyle w:val="SingleTxtG"/>
        <w:rPr>
          <w:b/>
          <w:lang w:val="fr-FR"/>
        </w:rPr>
      </w:pPr>
      <w:r w:rsidRPr="00EA05B3">
        <w:rPr>
          <w:lang w:val="fr-FR"/>
        </w:rPr>
        <w:t>112.</w:t>
      </w:r>
      <w:r w:rsidRPr="00EA05B3">
        <w:rPr>
          <w:lang w:val="fr-FR"/>
        </w:rPr>
        <w:tab/>
      </w:r>
      <w:r w:rsidR="00D60A11" w:rsidRPr="00EA05B3">
        <w:rPr>
          <w:lang w:val="fr-FR"/>
        </w:rPr>
        <w:t xml:space="preserve">Toutefois, certains problèmes et inégalités persistent et sont pris en compte dans </w:t>
      </w:r>
      <w:r w:rsidR="009379A7" w:rsidRPr="00EA05B3">
        <w:rPr>
          <w:lang w:val="fr-FR"/>
        </w:rPr>
        <w:t>l’</w:t>
      </w:r>
      <w:r w:rsidR="00D60A11" w:rsidRPr="00EA05B3">
        <w:rPr>
          <w:lang w:val="fr-FR"/>
        </w:rPr>
        <w:t xml:space="preserve">élaboration des politiques et des programmes publics. </w:t>
      </w:r>
      <w:r w:rsidR="009379A7" w:rsidRPr="00EA05B3">
        <w:rPr>
          <w:lang w:val="fr-FR"/>
        </w:rPr>
        <w:t>L’</w:t>
      </w:r>
      <w:r w:rsidR="00D60A11" w:rsidRPr="00EA05B3">
        <w:rPr>
          <w:lang w:val="fr-FR"/>
        </w:rPr>
        <w:t xml:space="preserve">une des stratégies les plus </w:t>
      </w:r>
      <w:r w:rsidR="004D2189" w:rsidRPr="00EA05B3">
        <w:rPr>
          <w:lang w:val="fr-FR"/>
        </w:rPr>
        <w:t xml:space="preserve">efficaces </w:t>
      </w:r>
      <w:r w:rsidR="00D60A11" w:rsidRPr="00EA05B3">
        <w:rPr>
          <w:lang w:val="fr-FR"/>
        </w:rPr>
        <w:t xml:space="preserve">pour éliminer le travail des enfants a été </w:t>
      </w:r>
      <w:r w:rsidR="009379A7" w:rsidRPr="00EA05B3">
        <w:rPr>
          <w:lang w:val="fr-FR"/>
        </w:rPr>
        <w:t>d’</w:t>
      </w:r>
      <w:r w:rsidR="00D60A11" w:rsidRPr="00EA05B3">
        <w:rPr>
          <w:lang w:val="fr-FR"/>
        </w:rPr>
        <w:t xml:space="preserve">améliorer </w:t>
      </w:r>
      <w:r w:rsidR="009379A7" w:rsidRPr="00EA05B3">
        <w:rPr>
          <w:lang w:val="fr-FR"/>
        </w:rPr>
        <w:t>l’</w:t>
      </w:r>
      <w:r w:rsidR="00D60A11" w:rsidRPr="00EA05B3">
        <w:rPr>
          <w:lang w:val="fr-FR"/>
        </w:rPr>
        <w:t xml:space="preserve">accès à </w:t>
      </w:r>
      <w:r w:rsidR="009379A7" w:rsidRPr="00EA05B3">
        <w:rPr>
          <w:lang w:val="fr-FR"/>
        </w:rPr>
        <w:t>l’</w:t>
      </w:r>
      <w:r w:rsidR="00D60A11" w:rsidRPr="00EA05B3">
        <w:rPr>
          <w:lang w:val="fr-FR"/>
        </w:rPr>
        <w:t xml:space="preserve">éducation. Ainsi, </w:t>
      </w:r>
      <w:r w:rsidR="009379A7" w:rsidRPr="00EA05B3">
        <w:rPr>
          <w:lang w:val="fr-FR"/>
        </w:rPr>
        <w:t>l’</w:t>
      </w:r>
      <w:r w:rsidR="00D60A11" w:rsidRPr="00EA05B3">
        <w:rPr>
          <w:lang w:val="fr-FR"/>
        </w:rPr>
        <w:t xml:space="preserve">augmentation des inscriptions dans les trois dernières années de </w:t>
      </w:r>
      <w:r w:rsidR="009379A7" w:rsidRPr="00EA05B3">
        <w:rPr>
          <w:lang w:val="fr-FR"/>
        </w:rPr>
        <w:t>l’</w:t>
      </w:r>
      <w:r w:rsidR="00D60A11" w:rsidRPr="00EA05B3">
        <w:rPr>
          <w:lang w:val="fr-FR"/>
        </w:rPr>
        <w:t xml:space="preserve">enseignement de base est un des objectifs prioritaires permettant de progresser en matière </w:t>
      </w:r>
      <w:r w:rsidR="009379A7" w:rsidRPr="00EA05B3">
        <w:rPr>
          <w:lang w:val="fr-FR"/>
        </w:rPr>
        <w:t>d’</w:t>
      </w:r>
      <w:r w:rsidR="00D60A11" w:rsidRPr="00EA05B3">
        <w:rPr>
          <w:lang w:val="fr-FR"/>
        </w:rPr>
        <w:t>élimination du travail des enfants.</w:t>
      </w:r>
    </w:p>
    <w:p w:rsidR="00D60A11" w:rsidRPr="00EA05B3" w:rsidRDefault="008F7D5A" w:rsidP="008F7D5A">
      <w:pPr>
        <w:pStyle w:val="SingleTxtG"/>
        <w:rPr>
          <w:lang w:val="fr-FR"/>
        </w:rPr>
      </w:pPr>
      <w:r w:rsidRPr="00EA05B3">
        <w:rPr>
          <w:lang w:val="fr-FR"/>
        </w:rPr>
        <w:t>113.</w:t>
      </w:r>
      <w:r w:rsidRPr="00EA05B3">
        <w:rPr>
          <w:lang w:val="fr-FR"/>
        </w:rPr>
        <w:tab/>
      </w:r>
      <w:r w:rsidR="00D60A11" w:rsidRPr="00EA05B3">
        <w:rPr>
          <w:lang w:val="fr-FR"/>
        </w:rPr>
        <w:t xml:space="preserve">De même, il est indispensable de garantir </w:t>
      </w:r>
      <w:r w:rsidR="009379A7" w:rsidRPr="00EA05B3">
        <w:rPr>
          <w:lang w:val="fr-FR"/>
        </w:rPr>
        <w:t>l’</w:t>
      </w:r>
      <w:r w:rsidR="00D60A11" w:rsidRPr="00EA05B3">
        <w:rPr>
          <w:lang w:val="fr-FR"/>
        </w:rPr>
        <w:t>accès et le maintien dans le système éducatif, en particulier pour les enfants et les adolescents des zones rurales.</w:t>
      </w:r>
    </w:p>
    <w:p w:rsidR="00D60A11" w:rsidRPr="00EA05B3" w:rsidRDefault="008F7D5A" w:rsidP="008F7D5A">
      <w:pPr>
        <w:pStyle w:val="SingleTxtG"/>
        <w:rPr>
          <w:b/>
          <w:bCs/>
          <w:lang w:val="fr-FR"/>
        </w:rPr>
      </w:pPr>
      <w:r w:rsidRPr="00EA05B3">
        <w:rPr>
          <w:lang w:val="fr-FR"/>
        </w:rPr>
        <w:t>114.</w:t>
      </w:r>
      <w:r w:rsidRPr="00EA05B3">
        <w:rPr>
          <w:lang w:val="fr-FR"/>
        </w:rPr>
        <w:tab/>
      </w:r>
      <w:r w:rsidR="00D60A11" w:rsidRPr="00EA05B3">
        <w:rPr>
          <w:lang w:val="fr-FR"/>
        </w:rPr>
        <w:t xml:space="preserve">Par ailleurs il est nécessaire que le Ministère de </w:t>
      </w:r>
      <w:r w:rsidR="009379A7" w:rsidRPr="00EA05B3">
        <w:rPr>
          <w:lang w:val="fr-FR"/>
        </w:rPr>
        <w:t>l’</w:t>
      </w:r>
      <w:r w:rsidR="00D60A11" w:rsidRPr="00EA05B3">
        <w:rPr>
          <w:lang w:val="fr-FR"/>
        </w:rPr>
        <w:t xml:space="preserve">éducation </w:t>
      </w:r>
      <w:r w:rsidR="004D2189" w:rsidRPr="00EA05B3">
        <w:rPr>
          <w:lang w:val="fr-FR"/>
        </w:rPr>
        <w:t>s’emploie davantage à</w:t>
      </w:r>
      <w:r w:rsidR="009C0A83" w:rsidRPr="00EA05B3">
        <w:rPr>
          <w:lang w:val="fr-FR"/>
        </w:rPr>
        <w:t xml:space="preserve"> </w:t>
      </w:r>
      <w:r w:rsidR="00D60A11" w:rsidRPr="00EA05B3">
        <w:rPr>
          <w:lang w:val="fr-FR"/>
        </w:rPr>
        <w:t xml:space="preserve">définir et exécuter la politique publique de lutte contre le travail des enfants Il est important de préciser que le travail des enfants </w:t>
      </w:r>
      <w:r w:rsidR="009379A7" w:rsidRPr="00EA05B3">
        <w:rPr>
          <w:lang w:val="fr-FR"/>
        </w:rPr>
        <w:t>s’</w:t>
      </w:r>
      <w:r w:rsidR="00D60A11" w:rsidRPr="00EA05B3">
        <w:rPr>
          <w:lang w:val="fr-FR"/>
        </w:rPr>
        <w:t>accomplit majoritairement dans le cadre des activités économiques réalisées par les familles.</w:t>
      </w:r>
    </w:p>
    <w:p w:rsidR="00D60A11" w:rsidRPr="00EA05B3" w:rsidRDefault="008F7D5A" w:rsidP="008F7D5A">
      <w:pPr>
        <w:pStyle w:val="SingleTxtG"/>
        <w:rPr>
          <w:lang w:val="fr-FR"/>
        </w:rPr>
      </w:pPr>
      <w:r w:rsidRPr="00EA05B3">
        <w:rPr>
          <w:lang w:val="fr-FR"/>
        </w:rPr>
        <w:t>115.</w:t>
      </w:r>
      <w:r w:rsidRPr="00EA05B3">
        <w:rPr>
          <w:lang w:val="fr-FR"/>
        </w:rPr>
        <w:tab/>
      </w:r>
      <w:r w:rsidR="00D60A11" w:rsidRPr="00EA05B3">
        <w:rPr>
          <w:lang w:val="fr-FR"/>
        </w:rPr>
        <w:t xml:space="preserve">Il convient aussi de souligner que des progrès </w:t>
      </w:r>
      <w:r w:rsidR="004D2189" w:rsidRPr="00EA05B3">
        <w:rPr>
          <w:lang w:val="fr-FR"/>
        </w:rPr>
        <w:t xml:space="preserve">importants </w:t>
      </w:r>
      <w:r w:rsidR="00D60A11" w:rsidRPr="00EA05B3">
        <w:rPr>
          <w:lang w:val="fr-FR"/>
        </w:rPr>
        <w:t xml:space="preserve">ont été enregistrés </w:t>
      </w:r>
      <w:r w:rsidR="004D2189" w:rsidRPr="00EA05B3">
        <w:rPr>
          <w:lang w:val="fr-FR"/>
        </w:rPr>
        <w:t>depuis</w:t>
      </w:r>
      <w:r w:rsidR="00D60A11" w:rsidRPr="00EA05B3">
        <w:rPr>
          <w:lang w:val="fr-FR"/>
        </w:rPr>
        <w:t xml:space="preserve"> 2009, lorsque le </w:t>
      </w:r>
      <w:r w:rsidR="004D2189" w:rsidRPr="00EA05B3">
        <w:rPr>
          <w:lang w:val="fr-FR"/>
        </w:rPr>
        <w:t xml:space="preserve">Ministère de l’inclusion économique et sociale </w:t>
      </w:r>
      <w:r w:rsidR="00D60A11" w:rsidRPr="00EA05B3">
        <w:rPr>
          <w:lang w:val="fr-FR"/>
        </w:rPr>
        <w:t xml:space="preserve">et </w:t>
      </w:r>
      <w:r w:rsidR="009379A7" w:rsidRPr="00EA05B3">
        <w:rPr>
          <w:lang w:val="fr-FR"/>
        </w:rPr>
        <w:t>l’</w:t>
      </w:r>
      <w:r w:rsidR="00D60A11" w:rsidRPr="00EA05B3">
        <w:rPr>
          <w:lang w:val="fr-FR"/>
        </w:rPr>
        <w:t xml:space="preserve">INFA ont créé et rendu opérationnel le premier Réseau public de services spécialisés dans la prise en charge des enfants victimes de maltraitance et </w:t>
      </w:r>
      <w:r w:rsidR="004D2189" w:rsidRPr="00EA05B3">
        <w:rPr>
          <w:lang w:val="fr-FR"/>
        </w:rPr>
        <w:t xml:space="preserve">de sévices </w:t>
      </w:r>
      <w:r w:rsidR="00D60A11" w:rsidRPr="00EA05B3">
        <w:rPr>
          <w:lang w:val="fr-FR"/>
        </w:rPr>
        <w:t>sexuels.</w:t>
      </w:r>
    </w:p>
    <w:p w:rsidR="00D60A11" w:rsidRPr="00EA05B3" w:rsidRDefault="008F7D5A" w:rsidP="008F7D5A">
      <w:pPr>
        <w:pStyle w:val="SingleTxtG"/>
        <w:rPr>
          <w:lang w:val="fr-FR"/>
        </w:rPr>
      </w:pPr>
      <w:r w:rsidRPr="00EA05B3">
        <w:rPr>
          <w:lang w:val="fr-FR"/>
        </w:rPr>
        <w:t>116.</w:t>
      </w:r>
      <w:r w:rsidRPr="00EA05B3">
        <w:rPr>
          <w:lang w:val="fr-FR"/>
        </w:rPr>
        <w:tab/>
      </w:r>
      <w:r w:rsidR="00D60A11" w:rsidRPr="00EA05B3">
        <w:rPr>
          <w:lang w:val="fr-FR"/>
        </w:rPr>
        <w:t xml:space="preserve">Actuellement, </w:t>
      </w:r>
      <w:r w:rsidR="009379A7" w:rsidRPr="00EA05B3">
        <w:rPr>
          <w:lang w:val="fr-FR"/>
        </w:rPr>
        <w:t>l’</w:t>
      </w:r>
      <w:r w:rsidR="00D60A11" w:rsidRPr="00EA05B3">
        <w:rPr>
          <w:lang w:val="fr-FR"/>
        </w:rPr>
        <w:t xml:space="preserve">Équateur compte 83 </w:t>
      </w:r>
      <w:r w:rsidR="0050005C" w:rsidRPr="00EA05B3">
        <w:rPr>
          <w:lang w:val="fr-FR"/>
        </w:rPr>
        <w:t xml:space="preserve">centres </w:t>
      </w:r>
      <w:r w:rsidR="00D60A11" w:rsidRPr="00EA05B3">
        <w:rPr>
          <w:lang w:val="fr-FR"/>
        </w:rPr>
        <w:t>de protection des droits qui agissent en collaboration étroite avec la justice et traitent environ 30 000 cas par an.</w:t>
      </w:r>
    </w:p>
    <w:p w:rsidR="00D60A11" w:rsidRPr="00EA05B3" w:rsidRDefault="00301DCD" w:rsidP="00301DCD">
      <w:pPr>
        <w:pStyle w:val="H1G"/>
        <w:rPr>
          <w:lang w:val="fr-FR"/>
        </w:rPr>
      </w:pPr>
      <w:bookmarkStart w:id="8" w:name="_Toc392676781"/>
      <w:r w:rsidRPr="00EA05B3">
        <w:rPr>
          <w:lang w:val="fr-FR"/>
        </w:rPr>
        <w:tab/>
        <w:t>D.</w:t>
      </w:r>
      <w:r w:rsidRPr="00EA05B3">
        <w:rPr>
          <w:lang w:val="fr-FR"/>
        </w:rPr>
        <w:tab/>
        <w:t>Données démographiques</w:t>
      </w:r>
      <w:bookmarkEnd w:id="8"/>
      <w:r w:rsidRPr="00EA05B3">
        <w:rPr>
          <w:lang w:val="fr-FR"/>
        </w:rPr>
        <w:t xml:space="preserve"> </w:t>
      </w:r>
    </w:p>
    <w:p w:rsidR="00D60A11" w:rsidRPr="00EA05B3" w:rsidRDefault="008F7D5A" w:rsidP="008F7D5A">
      <w:pPr>
        <w:pStyle w:val="SingleTxtG"/>
        <w:rPr>
          <w:lang w:val="fr-FR"/>
        </w:rPr>
      </w:pPr>
      <w:r w:rsidRPr="00EA05B3">
        <w:rPr>
          <w:lang w:val="fr-FR"/>
        </w:rPr>
        <w:t>117.</w:t>
      </w:r>
      <w:r w:rsidRPr="00EA05B3">
        <w:rPr>
          <w:lang w:val="fr-FR"/>
        </w:rPr>
        <w:tab/>
      </w:r>
      <w:r w:rsidR="00D60A11" w:rsidRPr="00EA05B3">
        <w:rPr>
          <w:lang w:val="fr-FR"/>
        </w:rPr>
        <w:t xml:space="preserve">Le dernier recensement de la population (septième recensement de la population et sixième recensement du logement) a été réalisé en 2010 par </w:t>
      </w:r>
      <w:r w:rsidR="009379A7" w:rsidRPr="00EA05B3">
        <w:rPr>
          <w:lang w:val="fr-FR"/>
        </w:rPr>
        <w:t>l’</w:t>
      </w:r>
      <w:r w:rsidR="00D60A11" w:rsidRPr="00EA05B3">
        <w:rPr>
          <w:lang w:val="fr-FR"/>
        </w:rPr>
        <w:t xml:space="preserve">Institut national des statistiques et des recensements (INEC). </w:t>
      </w:r>
    </w:p>
    <w:p w:rsidR="00D60A11" w:rsidRPr="00EA05B3" w:rsidRDefault="00FD0043" w:rsidP="00537986">
      <w:pPr>
        <w:pStyle w:val="SingleTxtG"/>
        <w:rPr>
          <w:lang w:val="fr-FR"/>
        </w:rPr>
      </w:pPr>
      <w:r w:rsidRPr="00EA05B3">
        <w:rPr>
          <w:lang w:val="fr-FR"/>
        </w:rPr>
        <w:t>118.</w:t>
      </w:r>
      <w:r w:rsidRPr="00EA05B3">
        <w:rPr>
          <w:lang w:val="fr-FR"/>
        </w:rPr>
        <w:tab/>
      </w:r>
      <w:r w:rsidR="00D60A11" w:rsidRPr="00EA05B3">
        <w:rPr>
          <w:lang w:val="fr-FR"/>
        </w:rPr>
        <w:t xml:space="preserve">Selon le recensement de 2010, la population de </w:t>
      </w:r>
      <w:r w:rsidR="009379A7" w:rsidRPr="00EA05B3">
        <w:rPr>
          <w:lang w:val="fr-FR"/>
        </w:rPr>
        <w:t>l’</w:t>
      </w:r>
      <w:r w:rsidR="00D60A11" w:rsidRPr="00EA05B3">
        <w:rPr>
          <w:lang w:val="fr-FR"/>
        </w:rPr>
        <w:t xml:space="preserve">Équateur est de 14 483 499 habitants. Du point de vue ethnique, cette population est composée </w:t>
      </w:r>
      <w:r w:rsidR="0050005C" w:rsidRPr="00EA05B3">
        <w:rPr>
          <w:lang w:val="fr-FR"/>
        </w:rPr>
        <w:t xml:space="preserve">de </w:t>
      </w:r>
      <w:r w:rsidR="00D60A11" w:rsidRPr="00EA05B3">
        <w:rPr>
          <w:lang w:val="fr-FR"/>
        </w:rPr>
        <w:t>71,9</w:t>
      </w:r>
      <w:r w:rsidR="009379A7" w:rsidRPr="00EA05B3">
        <w:rPr>
          <w:lang w:val="fr-FR"/>
        </w:rPr>
        <w:t> %</w:t>
      </w:r>
      <w:r w:rsidR="00D60A11" w:rsidRPr="00EA05B3">
        <w:rPr>
          <w:lang w:val="fr-FR"/>
        </w:rPr>
        <w:t xml:space="preserve"> de métis, 7,4</w:t>
      </w:r>
      <w:r w:rsidR="009379A7" w:rsidRPr="00EA05B3">
        <w:rPr>
          <w:lang w:val="fr-FR"/>
        </w:rPr>
        <w:t> %</w:t>
      </w:r>
      <w:r w:rsidR="00D60A11" w:rsidRPr="00EA05B3">
        <w:rPr>
          <w:lang w:val="fr-FR"/>
        </w:rPr>
        <w:t xml:space="preserve"> de </w:t>
      </w:r>
      <w:r w:rsidR="0092704E" w:rsidRPr="00EA05B3">
        <w:rPr>
          <w:lang w:val="fr-FR"/>
        </w:rPr>
        <w:t>Montubios</w:t>
      </w:r>
      <w:r w:rsidR="00D60A11" w:rsidRPr="00EA05B3">
        <w:rPr>
          <w:lang w:val="fr-FR"/>
        </w:rPr>
        <w:t>, 7,2</w:t>
      </w:r>
      <w:r w:rsidR="009379A7" w:rsidRPr="00EA05B3">
        <w:rPr>
          <w:lang w:val="fr-FR"/>
        </w:rPr>
        <w:t> %</w:t>
      </w:r>
      <w:r w:rsidR="00D60A11" w:rsidRPr="00EA05B3">
        <w:rPr>
          <w:lang w:val="fr-FR"/>
        </w:rPr>
        <w:t xml:space="preserve"> </w:t>
      </w:r>
      <w:r w:rsidR="00B36EE6" w:rsidRPr="00EA05B3">
        <w:rPr>
          <w:lang w:val="fr-FR"/>
        </w:rPr>
        <w:t>d’Afro</w:t>
      </w:r>
      <w:r w:rsidR="00D60A11" w:rsidRPr="00EA05B3">
        <w:rPr>
          <w:lang w:val="fr-FR"/>
        </w:rPr>
        <w:t>-</w:t>
      </w:r>
      <w:r w:rsidR="00B36EE6" w:rsidRPr="00EA05B3">
        <w:rPr>
          <w:lang w:val="fr-FR"/>
        </w:rPr>
        <w:t>É</w:t>
      </w:r>
      <w:r w:rsidR="00D60A11" w:rsidRPr="00EA05B3">
        <w:rPr>
          <w:lang w:val="fr-FR"/>
        </w:rPr>
        <w:t>quatoriens et 7</w:t>
      </w:r>
      <w:r w:rsidR="009379A7" w:rsidRPr="00EA05B3">
        <w:rPr>
          <w:lang w:val="fr-FR"/>
        </w:rPr>
        <w:t> %</w:t>
      </w:r>
      <w:r w:rsidR="00D60A11" w:rsidRPr="00EA05B3">
        <w:rPr>
          <w:lang w:val="fr-FR"/>
        </w:rPr>
        <w:t xml:space="preserve"> </w:t>
      </w:r>
      <w:r w:rsidR="009379A7" w:rsidRPr="00EA05B3">
        <w:rPr>
          <w:lang w:val="fr-FR"/>
        </w:rPr>
        <w:t>d’</w:t>
      </w:r>
      <w:r w:rsidR="00D60A11" w:rsidRPr="00EA05B3">
        <w:rPr>
          <w:lang w:val="fr-FR"/>
        </w:rPr>
        <w:t xml:space="preserve">autochtones. Entre les deux derniers recensements, pendant la période 2001-2010, la population </w:t>
      </w:r>
      <w:r w:rsidR="004A6FBB" w:rsidRPr="00EA05B3">
        <w:rPr>
          <w:lang w:val="fr-FR"/>
        </w:rPr>
        <w:t>a</w:t>
      </w:r>
      <w:r w:rsidR="00D60A11" w:rsidRPr="00EA05B3">
        <w:rPr>
          <w:lang w:val="fr-FR"/>
        </w:rPr>
        <w:t xml:space="preserve"> augmenté à un rythme de 1,95</w:t>
      </w:r>
      <w:r w:rsidR="009379A7" w:rsidRPr="00EA05B3">
        <w:rPr>
          <w:lang w:val="fr-FR"/>
        </w:rPr>
        <w:t> %</w:t>
      </w:r>
      <w:r w:rsidR="00D60A11" w:rsidRPr="00EA05B3">
        <w:rPr>
          <w:lang w:val="fr-FR"/>
        </w:rPr>
        <w:t xml:space="preserve"> par an. </w:t>
      </w:r>
    </w:p>
    <w:p w:rsidR="00D60A11" w:rsidRPr="00EA05B3" w:rsidRDefault="00FD0043" w:rsidP="00537986">
      <w:pPr>
        <w:pStyle w:val="SingleTxtG"/>
        <w:rPr>
          <w:lang w:val="fr-FR"/>
        </w:rPr>
      </w:pPr>
      <w:r w:rsidRPr="00EA05B3">
        <w:rPr>
          <w:lang w:val="fr-FR"/>
        </w:rPr>
        <w:t>119.</w:t>
      </w:r>
      <w:r w:rsidRPr="00EA05B3">
        <w:rPr>
          <w:lang w:val="fr-FR"/>
        </w:rPr>
        <w:tab/>
      </w:r>
      <w:r w:rsidR="00D60A11" w:rsidRPr="00EA05B3">
        <w:rPr>
          <w:lang w:val="fr-FR"/>
        </w:rPr>
        <w:t>Selon les données obtenues, sur les 14 483 499 habitants, 63</w:t>
      </w:r>
      <w:r w:rsidR="009379A7" w:rsidRPr="00EA05B3">
        <w:rPr>
          <w:lang w:val="fr-FR"/>
        </w:rPr>
        <w:t> %</w:t>
      </w:r>
      <w:r w:rsidR="00D60A11" w:rsidRPr="00EA05B3">
        <w:rPr>
          <w:lang w:val="fr-FR"/>
        </w:rPr>
        <w:t xml:space="preserve"> (9 090 786 personnes) vivent dans les zones urbaines et 37</w:t>
      </w:r>
      <w:r w:rsidR="009379A7" w:rsidRPr="00EA05B3">
        <w:rPr>
          <w:lang w:val="fr-FR"/>
        </w:rPr>
        <w:t> %</w:t>
      </w:r>
      <w:r w:rsidR="00D60A11" w:rsidRPr="00EA05B3">
        <w:rPr>
          <w:lang w:val="fr-FR"/>
        </w:rPr>
        <w:t xml:space="preserve"> (5 392 713 personnes) dans les zones rurales (voir annexe, tableau 1).</w:t>
      </w:r>
    </w:p>
    <w:p w:rsidR="00D60A11" w:rsidRPr="00EA05B3" w:rsidRDefault="00FD0043" w:rsidP="00537986">
      <w:pPr>
        <w:pStyle w:val="SingleTxtG"/>
        <w:rPr>
          <w:lang w:val="fr-FR"/>
        </w:rPr>
      </w:pPr>
      <w:r w:rsidRPr="00EA05B3">
        <w:rPr>
          <w:lang w:val="fr-FR"/>
        </w:rPr>
        <w:t>120.</w:t>
      </w:r>
      <w:r w:rsidRPr="00EA05B3">
        <w:rPr>
          <w:lang w:val="fr-FR"/>
        </w:rPr>
        <w:tab/>
      </w:r>
      <w:r w:rsidR="00D60A11" w:rsidRPr="00EA05B3">
        <w:rPr>
          <w:lang w:val="fr-FR"/>
        </w:rPr>
        <w:t xml:space="preserve">La ventilation de la population urbaine et rurale en fonction du sexe et de </w:t>
      </w:r>
      <w:r w:rsidR="009379A7" w:rsidRPr="00EA05B3">
        <w:rPr>
          <w:lang w:val="fr-FR"/>
        </w:rPr>
        <w:t>l’</w:t>
      </w:r>
      <w:r w:rsidR="00D60A11" w:rsidRPr="00EA05B3">
        <w:rPr>
          <w:lang w:val="fr-FR"/>
        </w:rPr>
        <w:t>âge montre que 4 451 434 hommes vivent en milieu urbain et 2 726 249 en milieu rural</w:t>
      </w:r>
      <w:r w:rsidR="00B36EE6" w:rsidRPr="00EA05B3">
        <w:rPr>
          <w:lang w:val="fr-FR"/>
        </w:rPr>
        <w:t>;</w:t>
      </w:r>
      <w:r w:rsidR="00D60A11" w:rsidRPr="00EA05B3">
        <w:rPr>
          <w:lang w:val="fr-FR"/>
        </w:rPr>
        <w:t xml:space="preserve"> en ce qui concerne la population féminine les chiffres sont de 4 639 352 femmes en milieu urbain et 2 666 464 en milieu rural (voir annexe, tableau 2).</w:t>
      </w:r>
    </w:p>
    <w:p w:rsidR="00D60A11" w:rsidRPr="00EA05B3" w:rsidRDefault="00FD0043" w:rsidP="00537986">
      <w:pPr>
        <w:pStyle w:val="SingleTxtG"/>
        <w:rPr>
          <w:bCs/>
          <w:lang w:val="fr-FR"/>
        </w:rPr>
      </w:pPr>
      <w:r w:rsidRPr="00EA05B3">
        <w:rPr>
          <w:lang w:val="fr-FR"/>
        </w:rPr>
        <w:t>121.</w:t>
      </w:r>
      <w:r w:rsidRPr="00EA05B3">
        <w:rPr>
          <w:lang w:val="fr-FR"/>
        </w:rPr>
        <w:tab/>
      </w:r>
      <w:r w:rsidR="00D60A11" w:rsidRPr="00EA05B3">
        <w:rPr>
          <w:lang w:val="fr-FR"/>
        </w:rPr>
        <w:t>Par ailleurs, les projections pour 2020 estiment que sur 14 483 499 habitants 3 139 142 hommes vivront dans les zones rurales et 5 526 795 dans les zones urbaines et prévoient leur ventilation spécifique par sexe et par âge (voir annexe, tableaux 3 et 3.1).</w:t>
      </w:r>
    </w:p>
    <w:p w:rsidR="00D60A11" w:rsidRPr="00EA05B3" w:rsidRDefault="00FD0043" w:rsidP="00537986">
      <w:pPr>
        <w:pStyle w:val="SingleTxtG"/>
        <w:rPr>
          <w:bCs/>
          <w:lang w:val="fr-FR"/>
        </w:rPr>
      </w:pPr>
      <w:r w:rsidRPr="00EA05B3">
        <w:rPr>
          <w:lang w:val="fr-FR"/>
        </w:rPr>
        <w:t>122.</w:t>
      </w:r>
      <w:r w:rsidRPr="00EA05B3">
        <w:rPr>
          <w:lang w:val="fr-FR"/>
        </w:rPr>
        <w:tab/>
      </w:r>
      <w:r w:rsidR="00D60A11" w:rsidRPr="00EA05B3">
        <w:rPr>
          <w:lang w:val="fr-FR"/>
        </w:rPr>
        <w:t>La projection pour 2020 concernant la population féminine prévoit que 5 750 850 femmes vivront dans les zones urbaines et 3 093 856 dans les zones rurales (voir annexe, tableaux 4 et 4.1).</w:t>
      </w:r>
    </w:p>
    <w:p w:rsidR="00D60A11" w:rsidRPr="00EA05B3" w:rsidRDefault="00FD0043" w:rsidP="00537986">
      <w:pPr>
        <w:pStyle w:val="SingleTxtG"/>
        <w:rPr>
          <w:lang w:val="fr-FR"/>
        </w:rPr>
      </w:pPr>
      <w:r w:rsidRPr="00EA05B3">
        <w:rPr>
          <w:lang w:val="fr-FR"/>
        </w:rPr>
        <w:t>123.</w:t>
      </w:r>
      <w:r w:rsidRPr="00EA05B3">
        <w:rPr>
          <w:lang w:val="fr-FR"/>
        </w:rPr>
        <w:tab/>
      </w:r>
      <w:r w:rsidR="009379A7" w:rsidRPr="00EA05B3">
        <w:rPr>
          <w:lang w:val="fr-FR"/>
        </w:rPr>
        <w:t>L’</w:t>
      </w:r>
      <w:r w:rsidR="00D60A11" w:rsidRPr="00EA05B3">
        <w:rPr>
          <w:lang w:val="fr-FR"/>
        </w:rPr>
        <w:t>analyse de la densité de population montre que 6 081 342 vivent dans la région montagneuse (Sierra), 7 604 835 dans la région côtière (Costa), 739 814 dans la région amazonienne, 25 124 dans la région des îles et 32 384 dans les régions non délimitées.</w:t>
      </w:r>
      <w:r w:rsidR="000D57A5" w:rsidRPr="00EA05B3">
        <w:rPr>
          <w:lang w:val="fr-FR"/>
        </w:rPr>
        <w:t xml:space="preserve"> </w:t>
      </w:r>
      <w:r w:rsidR="00D60A11" w:rsidRPr="00EA05B3">
        <w:rPr>
          <w:lang w:val="fr-FR"/>
        </w:rPr>
        <w:t xml:space="preserve">Il convient de signaler que les provinces de Santo Domingo de los Tsáchilas et Santa Elena ne sont pas prises en compte dans ce calcul car </w:t>
      </w:r>
      <w:r w:rsidR="0050005C" w:rsidRPr="00EA05B3">
        <w:rPr>
          <w:lang w:val="fr-FR"/>
        </w:rPr>
        <w:t xml:space="preserve">leur création </w:t>
      </w:r>
      <w:r w:rsidR="00AD4AA1" w:rsidRPr="00EA05B3">
        <w:rPr>
          <w:lang w:val="fr-FR"/>
        </w:rPr>
        <w:t xml:space="preserve">ne </w:t>
      </w:r>
      <w:r w:rsidR="0050005C" w:rsidRPr="00EA05B3">
        <w:rPr>
          <w:lang w:val="fr-FR"/>
        </w:rPr>
        <w:t xml:space="preserve">date </w:t>
      </w:r>
      <w:r w:rsidR="00AD4AA1" w:rsidRPr="00EA05B3">
        <w:rPr>
          <w:lang w:val="fr-FR"/>
        </w:rPr>
        <w:t xml:space="preserve">que </w:t>
      </w:r>
      <w:r w:rsidR="0050005C" w:rsidRPr="00EA05B3">
        <w:rPr>
          <w:lang w:val="fr-FR"/>
        </w:rPr>
        <w:t>de</w:t>
      </w:r>
      <w:r w:rsidR="00D60A11" w:rsidRPr="00EA05B3">
        <w:rPr>
          <w:lang w:val="fr-FR"/>
        </w:rPr>
        <w:t xml:space="preserve"> novembre 2007 (voir annexe, tableau 5).</w:t>
      </w:r>
    </w:p>
    <w:p w:rsidR="00D60A11" w:rsidRPr="00EA05B3" w:rsidRDefault="00FD0043" w:rsidP="00537986">
      <w:pPr>
        <w:pStyle w:val="SingleTxtG"/>
        <w:rPr>
          <w:lang w:val="fr-FR"/>
        </w:rPr>
      </w:pPr>
      <w:r w:rsidRPr="00EA05B3">
        <w:rPr>
          <w:lang w:val="fr-FR"/>
        </w:rPr>
        <w:t>124.</w:t>
      </w:r>
      <w:r w:rsidRPr="00EA05B3">
        <w:rPr>
          <w:lang w:val="fr-FR"/>
        </w:rPr>
        <w:tab/>
      </w:r>
      <w:r w:rsidR="00D60A11" w:rsidRPr="00EA05B3">
        <w:rPr>
          <w:lang w:val="fr-FR"/>
        </w:rPr>
        <w:t xml:space="preserve">Les habitants de </w:t>
      </w:r>
      <w:r w:rsidR="009379A7" w:rsidRPr="00EA05B3">
        <w:rPr>
          <w:lang w:val="fr-FR"/>
        </w:rPr>
        <w:t>l’</w:t>
      </w:r>
      <w:r w:rsidR="00D60A11" w:rsidRPr="00EA05B3">
        <w:rPr>
          <w:lang w:val="fr-FR"/>
        </w:rPr>
        <w:t xml:space="preserve">Équateur parlent en majorité le castillan, qui est donc reconnu comme langue officielle par la Constitution. Cette même Constitution reconnaît cependant que </w:t>
      </w:r>
      <w:r w:rsidR="009379A7" w:rsidRPr="00EA05B3">
        <w:rPr>
          <w:lang w:val="fr-FR"/>
        </w:rPr>
        <w:t>l’</w:t>
      </w:r>
      <w:r w:rsidR="00D60A11" w:rsidRPr="00EA05B3">
        <w:rPr>
          <w:lang w:val="fr-FR"/>
        </w:rPr>
        <w:t xml:space="preserve">Équateur est un État plurinational et </w:t>
      </w:r>
      <w:r w:rsidR="009379A7" w:rsidRPr="00EA05B3">
        <w:rPr>
          <w:lang w:val="fr-FR"/>
        </w:rPr>
        <w:t>qu’</w:t>
      </w:r>
      <w:r w:rsidR="00D60A11" w:rsidRPr="00EA05B3">
        <w:rPr>
          <w:lang w:val="fr-FR"/>
        </w:rPr>
        <w:t xml:space="preserve">un certain nombre </w:t>
      </w:r>
      <w:r w:rsidR="009379A7" w:rsidRPr="00EA05B3">
        <w:rPr>
          <w:lang w:val="fr-FR"/>
        </w:rPr>
        <w:t>d’</w:t>
      </w:r>
      <w:r w:rsidR="00D60A11" w:rsidRPr="00EA05B3">
        <w:rPr>
          <w:lang w:val="fr-FR"/>
        </w:rPr>
        <w:t xml:space="preserve">autres langues ancestrales peuvent être utilisées officiellement par les peuples et nationalités autochtones. Le recensement de 2010 ayant permis </w:t>
      </w:r>
      <w:r w:rsidR="009379A7" w:rsidRPr="00EA05B3">
        <w:rPr>
          <w:lang w:val="fr-FR"/>
        </w:rPr>
        <w:t>d’</w:t>
      </w:r>
      <w:r w:rsidR="00D60A11" w:rsidRPr="00EA05B3">
        <w:rPr>
          <w:lang w:val="fr-FR"/>
        </w:rPr>
        <w:t xml:space="preserve">établir que 591 448 personnes parlent le kichwa, la Constitution reconnaît que le castillan, le kichwa et le shuar sont les langues officielles pour les relations interculturelles et que les autres langues ancestrales sont </w:t>
      </w:r>
      <w:r w:rsidR="009379A7" w:rsidRPr="00EA05B3">
        <w:rPr>
          <w:lang w:val="fr-FR"/>
        </w:rPr>
        <w:t>d’</w:t>
      </w:r>
      <w:r w:rsidR="00D60A11" w:rsidRPr="00EA05B3">
        <w:rPr>
          <w:lang w:val="fr-FR"/>
        </w:rPr>
        <w:t xml:space="preserve">usage officiel pour les nationalités autochtones. La population autochtone shuar </w:t>
      </w:r>
      <w:r w:rsidR="009379A7" w:rsidRPr="00EA05B3">
        <w:rPr>
          <w:lang w:val="fr-FR"/>
        </w:rPr>
        <w:t>s’</w:t>
      </w:r>
      <w:r w:rsidR="00D60A11" w:rsidRPr="00EA05B3">
        <w:rPr>
          <w:lang w:val="fr-FR"/>
        </w:rPr>
        <w:t>élève à 61 910 personnes (voir annexe, tableau 7). La population kichwa est constituée par 285 719 hommes et 305 729 femmes et se répartit entre les zones urbaines (105 436 personnes) et les zones rurales (486 012 personnes). En ce qui concerne la population autochtone shuar, elle comporte 31 057 hommes et 30 853 femmes, et se répartit entre les zones urbaines (4 310 personnes) et les zones rurales (57 600 personnes). (voir annexe, tableaux 7.1 et 7.2).</w:t>
      </w:r>
    </w:p>
    <w:p w:rsidR="00D60A11" w:rsidRPr="00EA05B3" w:rsidRDefault="00FD0043" w:rsidP="00537986">
      <w:pPr>
        <w:pStyle w:val="SingleTxtG"/>
        <w:rPr>
          <w:bCs/>
          <w:lang w:val="fr-FR"/>
        </w:rPr>
      </w:pPr>
      <w:r w:rsidRPr="00EA05B3">
        <w:rPr>
          <w:lang w:val="fr-FR"/>
        </w:rPr>
        <w:t>125.</w:t>
      </w:r>
      <w:r w:rsidRPr="00EA05B3">
        <w:rPr>
          <w:lang w:val="fr-FR"/>
        </w:rPr>
        <w:tab/>
      </w:r>
      <w:r w:rsidR="00D60A11" w:rsidRPr="00EA05B3">
        <w:rPr>
          <w:lang w:val="fr-FR"/>
        </w:rPr>
        <w:t xml:space="preserve">Le recensement de 2010 a permis de répertorier les différents groupes ethniques du pays grâce à une question invitant </w:t>
      </w:r>
      <w:r w:rsidR="0050005C" w:rsidRPr="00EA05B3">
        <w:rPr>
          <w:lang w:val="fr-FR"/>
        </w:rPr>
        <w:t xml:space="preserve">chaque personne </w:t>
      </w:r>
      <w:r w:rsidR="00D60A11" w:rsidRPr="00EA05B3">
        <w:rPr>
          <w:lang w:val="fr-FR"/>
        </w:rPr>
        <w:t xml:space="preserve">à indiquer à quelle catégorie de population </w:t>
      </w:r>
      <w:r w:rsidR="0050005C" w:rsidRPr="00EA05B3">
        <w:rPr>
          <w:lang w:val="fr-FR"/>
        </w:rPr>
        <w:t>(</w:t>
      </w:r>
      <w:r w:rsidR="00D60A11" w:rsidRPr="00EA05B3">
        <w:rPr>
          <w:lang w:val="fr-FR"/>
        </w:rPr>
        <w:t xml:space="preserve">métisse, autochtone, mulâtre, afro-équatorienne, blanche </w:t>
      </w:r>
      <w:r w:rsidR="00AD4AA1" w:rsidRPr="00EA05B3">
        <w:rPr>
          <w:lang w:val="fr-FR"/>
        </w:rPr>
        <w:t xml:space="preserve">ou </w:t>
      </w:r>
      <w:r w:rsidR="00D60A11" w:rsidRPr="00EA05B3">
        <w:rPr>
          <w:lang w:val="fr-FR"/>
        </w:rPr>
        <w:t>autre</w:t>
      </w:r>
      <w:r w:rsidR="00AD4AA1" w:rsidRPr="00EA05B3">
        <w:rPr>
          <w:lang w:val="fr-FR"/>
        </w:rPr>
        <w:t>) elle estime appartenir</w:t>
      </w:r>
      <w:r w:rsidR="00D60A11" w:rsidRPr="00EA05B3">
        <w:rPr>
          <w:lang w:val="fr-FR"/>
        </w:rPr>
        <w:t>. Selon les résultats, la distribution de la population en fonction de sa culture et de ses coutumes est la suivante</w:t>
      </w:r>
      <w:r w:rsidR="00B36EE6" w:rsidRPr="00EA05B3">
        <w:rPr>
          <w:lang w:val="fr-FR"/>
        </w:rPr>
        <w:t>:</w:t>
      </w:r>
      <w:r w:rsidR="00D60A11" w:rsidRPr="00EA05B3">
        <w:rPr>
          <w:lang w:val="fr-FR"/>
        </w:rPr>
        <w:t xml:space="preserve"> 1 018 176 autochtones, 615 262 </w:t>
      </w:r>
      <w:r w:rsidR="00B36EE6" w:rsidRPr="00EA05B3">
        <w:rPr>
          <w:lang w:val="fr-FR"/>
        </w:rPr>
        <w:t>A</w:t>
      </w:r>
      <w:r w:rsidR="00D60A11" w:rsidRPr="00EA05B3">
        <w:rPr>
          <w:lang w:val="fr-FR"/>
        </w:rPr>
        <w:t>fro-</w:t>
      </w:r>
      <w:r w:rsidR="00B36EE6" w:rsidRPr="00EA05B3">
        <w:rPr>
          <w:lang w:val="fr-FR"/>
        </w:rPr>
        <w:t>É</w:t>
      </w:r>
      <w:r w:rsidR="00D60A11" w:rsidRPr="00EA05B3">
        <w:rPr>
          <w:lang w:val="fr-FR"/>
        </w:rPr>
        <w:t xml:space="preserve">quatoriens, 145 398 noirs, 280 899 mulâtres, 1 070 728 </w:t>
      </w:r>
      <w:r w:rsidR="00134C32" w:rsidRPr="00EA05B3">
        <w:rPr>
          <w:lang w:val="fr-FR"/>
        </w:rPr>
        <w:t>Montubios</w:t>
      </w:r>
      <w:r w:rsidR="00D60A11" w:rsidRPr="00EA05B3">
        <w:rPr>
          <w:lang w:val="fr-FR"/>
        </w:rPr>
        <w:t>, 10 417 299 métis et 882 383 blancs (voir annexe, tableaux 8 et 8.1).</w:t>
      </w:r>
    </w:p>
    <w:p w:rsidR="00D60A11" w:rsidRPr="00EA05B3" w:rsidRDefault="00FD0043" w:rsidP="00537986">
      <w:pPr>
        <w:pStyle w:val="SingleTxtG"/>
        <w:rPr>
          <w:lang w:val="fr-FR"/>
        </w:rPr>
      </w:pPr>
      <w:r w:rsidRPr="00EA05B3">
        <w:rPr>
          <w:lang w:val="fr-FR"/>
        </w:rPr>
        <w:t>126.</w:t>
      </w:r>
      <w:r w:rsidRPr="00EA05B3">
        <w:rPr>
          <w:lang w:val="fr-FR"/>
        </w:rPr>
        <w:tab/>
      </w:r>
      <w:r w:rsidR="00D60A11" w:rsidRPr="00EA05B3">
        <w:rPr>
          <w:lang w:val="fr-FR"/>
        </w:rPr>
        <w:t>Le recensement de 2010 ne comprenait pas de questions sur la religion pratiquée par la population équatorienne. Il convient néanmoins de noter que la Constitution reconnaît la liberté de culte.</w:t>
      </w:r>
    </w:p>
    <w:p w:rsidR="00D60A11" w:rsidRPr="00EA05B3" w:rsidRDefault="00FD0043" w:rsidP="00537986">
      <w:pPr>
        <w:pStyle w:val="SingleTxtG"/>
        <w:rPr>
          <w:lang w:val="fr-FR"/>
        </w:rPr>
      </w:pPr>
      <w:r w:rsidRPr="00EA05B3">
        <w:rPr>
          <w:lang w:val="fr-FR"/>
        </w:rPr>
        <w:t>127.</w:t>
      </w:r>
      <w:r w:rsidRPr="00EA05B3">
        <w:rPr>
          <w:lang w:val="fr-FR"/>
        </w:rPr>
        <w:tab/>
      </w:r>
      <w:r w:rsidR="00D60A11" w:rsidRPr="00EA05B3">
        <w:rPr>
          <w:lang w:val="fr-FR"/>
        </w:rPr>
        <w:t xml:space="preserve">Les statistiques relatives aux naissances et aux décès sont basées sur les résultats </w:t>
      </w:r>
      <w:r w:rsidR="009379A7" w:rsidRPr="00EA05B3">
        <w:rPr>
          <w:lang w:val="fr-FR"/>
        </w:rPr>
        <w:t>d’</w:t>
      </w:r>
      <w:r w:rsidR="00D60A11" w:rsidRPr="00EA05B3">
        <w:rPr>
          <w:lang w:val="fr-FR"/>
        </w:rPr>
        <w:t xml:space="preserve">une enquête statistique sur les faits </w:t>
      </w:r>
      <w:r w:rsidR="009379A7" w:rsidRPr="00EA05B3">
        <w:rPr>
          <w:lang w:val="fr-FR"/>
        </w:rPr>
        <w:t>d’</w:t>
      </w:r>
      <w:r w:rsidR="00D60A11" w:rsidRPr="00EA05B3">
        <w:rPr>
          <w:lang w:val="fr-FR"/>
        </w:rPr>
        <w:t xml:space="preserve">état civil et la santé, menée en 2011 par </w:t>
      </w:r>
      <w:r w:rsidR="009379A7" w:rsidRPr="00EA05B3">
        <w:rPr>
          <w:lang w:val="fr-FR"/>
        </w:rPr>
        <w:t>l’</w:t>
      </w:r>
      <w:r w:rsidR="00D60A11" w:rsidRPr="00EA05B3">
        <w:rPr>
          <w:lang w:val="fr-FR"/>
        </w:rPr>
        <w:t xml:space="preserve">Institut national des statistiques et des recensements, laquelle a permis de ventiler le nombre de naissances et de décès par province et par groupe </w:t>
      </w:r>
      <w:r w:rsidR="009379A7" w:rsidRPr="00EA05B3">
        <w:rPr>
          <w:lang w:val="fr-FR"/>
        </w:rPr>
        <w:t>d’</w:t>
      </w:r>
      <w:r w:rsidR="00D60A11" w:rsidRPr="00EA05B3">
        <w:rPr>
          <w:lang w:val="fr-FR"/>
        </w:rPr>
        <w:t xml:space="preserve">âge. Les données sur les naissances montrent que le pourcentage de naissances le plus élevé </w:t>
      </w:r>
      <w:r w:rsidR="009379A7" w:rsidRPr="00EA05B3">
        <w:rPr>
          <w:lang w:val="fr-FR"/>
        </w:rPr>
        <w:t>s’</w:t>
      </w:r>
      <w:r w:rsidR="00D60A11" w:rsidRPr="00EA05B3">
        <w:rPr>
          <w:lang w:val="fr-FR"/>
        </w:rPr>
        <w:t>observe dans la province de Guayas, avec 30 525 hommes et 20 584 femmes, immédiatement suivie par la province de Manabí, avec 11 887 hommes et 11 155 femmes (voir annexe, tableau 9).</w:t>
      </w:r>
      <w:r w:rsidR="000D57A5" w:rsidRPr="00EA05B3">
        <w:rPr>
          <w:lang w:val="fr-FR"/>
        </w:rPr>
        <w:t xml:space="preserve"> </w:t>
      </w:r>
      <w:r w:rsidR="00D60A11" w:rsidRPr="00EA05B3">
        <w:rPr>
          <w:lang w:val="fr-FR"/>
        </w:rPr>
        <w:t xml:space="preserve">En ce qui concerne les décès, les chiffres les plus élevés </w:t>
      </w:r>
      <w:r w:rsidR="009379A7" w:rsidRPr="00EA05B3">
        <w:rPr>
          <w:lang w:val="fr-FR"/>
        </w:rPr>
        <w:t>s’</w:t>
      </w:r>
      <w:r w:rsidR="00D60A11" w:rsidRPr="00EA05B3">
        <w:rPr>
          <w:lang w:val="fr-FR"/>
        </w:rPr>
        <w:t>observent dans la province de Manabí, avec 9 207 hommes et 6 922 femmes (voir annexe, tableau 10).</w:t>
      </w:r>
    </w:p>
    <w:p w:rsidR="00D60A11" w:rsidRPr="00EA05B3" w:rsidRDefault="00FD0043" w:rsidP="00537986">
      <w:pPr>
        <w:pStyle w:val="SingleTxtG"/>
        <w:rPr>
          <w:bCs/>
          <w:lang w:val="fr-FR"/>
        </w:rPr>
      </w:pPr>
      <w:r w:rsidRPr="00EA05B3">
        <w:rPr>
          <w:lang w:val="fr-FR"/>
        </w:rPr>
        <w:t>128.</w:t>
      </w:r>
      <w:r w:rsidRPr="00EA05B3">
        <w:rPr>
          <w:lang w:val="fr-FR"/>
        </w:rPr>
        <w:tab/>
      </w:r>
      <w:r w:rsidR="00D60A11" w:rsidRPr="00EA05B3">
        <w:rPr>
          <w:lang w:val="fr-FR"/>
        </w:rPr>
        <w:t xml:space="preserve">Après la situation démographique, il y a lieu de se pencher sur la structure de consommation des ménages. Les informations sur ce sujet proviennent de </w:t>
      </w:r>
      <w:r w:rsidR="009379A7" w:rsidRPr="00EA05B3">
        <w:rPr>
          <w:lang w:val="fr-FR"/>
        </w:rPr>
        <w:t>l’</w:t>
      </w:r>
      <w:r w:rsidR="00D60A11" w:rsidRPr="00EA05B3">
        <w:rPr>
          <w:lang w:val="fr-FR"/>
        </w:rPr>
        <w:t>enquête</w:t>
      </w:r>
      <w:r w:rsidR="000D57A5" w:rsidRPr="00EA05B3">
        <w:rPr>
          <w:lang w:val="fr-FR"/>
        </w:rPr>
        <w:t xml:space="preserve"> </w:t>
      </w:r>
      <w:r w:rsidR="00D60A11" w:rsidRPr="00EA05B3">
        <w:rPr>
          <w:lang w:val="fr-FR"/>
        </w:rPr>
        <w:t xml:space="preserve">sur les conditions de vie réalisée par </w:t>
      </w:r>
      <w:r w:rsidR="009379A7" w:rsidRPr="00EA05B3">
        <w:rPr>
          <w:lang w:val="fr-FR"/>
        </w:rPr>
        <w:t>l’</w:t>
      </w:r>
      <w:r w:rsidR="00D60A11" w:rsidRPr="00EA05B3">
        <w:rPr>
          <w:lang w:val="fr-FR"/>
        </w:rPr>
        <w:t>Institut national des statistiques et des recensements. Il en ressort que la nourriture et les boissons non alcoolisées représentent 35,5</w:t>
      </w:r>
      <w:r w:rsidR="009379A7" w:rsidRPr="00EA05B3">
        <w:rPr>
          <w:lang w:val="fr-FR"/>
        </w:rPr>
        <w:t> %</w:t>
      </w:r>
      <w:r w:rsidR="00D60A11" w:rsidRPr="00EA05B3">
        <w:rPr>
          <w:lang w:val="fr-FR"/>
        </w:rPr>
        <w:t xml:space="preserve"> des dépenses en milieu rural contre 27,9</w:t>
      </w:r>
      <w:r w:rsidR="009379A7" w:rsidRPr="00EA05B3">
        <w:rPr>
          <w:lang w:val="fr-FR"/>
        </w:rPr>
        <w:t> %</w:t>
      </w:r>
      <w:r w:rsidR="00D60A11" w:rsidRPr="00EA05B3">
        <w:rPr>
          <w:lang w:val="fr-FR"/>
        </w:rPr>
        <w:t xml:space="preserve"> au niveau national (voir annexe, tableau 13). </w:t>
      </w:r>
    </w:p>
    <w:p w:rsidR="00D60A11" w:rsidRPr="00EA05B3" w:rsidRDefault="00FD0043" w:rsidP="00537986">
      <w:pPr>
        <w:pStyle w:val="SingleTxtG"/>
        <w:rPr>
          <w:lang w:val="fr-FR"/>
        </w:rPr>
      </w:pPr>
      <w:r w:rsidRPr="00EA05B3">
        <w:rPr>
          <w:lang w:val="fr-FR"/>
        </w:rPr>
        <w:t>129.</w:t>
      </w:r>
      <w:r w:rsidRPr="00EA05B3">
        <w:rPr>
          <w:lang w:val="fr-FR"/>
        </w:rPr>
        <w:tab/>
      </w:r>
      <w:r w:rsidR="00D60A11" w:rsidRPr="00EA05B3">
        <w:rPr>
          <w:lang w:val="fr-FR"/>
        </w:rPr>
        <w:t xml:space="preserve">Ces données ont été contextualisées en tenant compte de certains indicateurs de pauvreté, tels que les seuils de pauvreté et </w:t>
      </w:r>
      <w:r w:rsidR="009379A7" w:rsidRPr="00EA05B3">
        <w:rPr>
          <w:lang w:val="fr-FR"/>
        </w:rPr>
        <w:t>d’</w:t>
      </w:r>
      <w:r w:rsidR="00D60A11" w:rsidRPr="00EA05B3">
        <w:rPr>
          <w:lang w:val="fr-FR"/>
        </w:rPr>
        <w:t xml:space="preserve">extrême pauvreté, et la pauvreté et </w:t>
      </w:r>
      <w:r w:rsidR="009379A7" w:rsidRPr="00EA05B3">
        <w:rPr>
          <w:lang w:val="fr-FR"/>
        </w:rPr>
        <w:t>l’</w:t>
      </w:r>
      <w:r w:rsidR="00D60A11" w:rsidRPr="00EA05B3">
        <w:rPr>
          <w:lang w:val="fr-FR"/>
        </w:rPr>
        <w:t xml:space="preserve">extrême pauvreté mesurées par le niveau de consommation. Le tableau ci-après est basé sur les résultats de </w:t>
      </w:r>
      <w:r w:rsidR="009379A7" w:rsidRPr="00EA05B3">
        <w:rPr>
          <w:lang w:val="fr-FR"/>
        </w:rPr>
        <w:t>l’</w:t>
      </w:r>
      <w:r w:rsidR="00D60A11" w:rsidRPr="00EA05B3">
        <w:rPr>
          <w:lang w:val="fr-FR"/>
        </w:rPr>
        <w:t xml:space="preserve">enquête sur les conditions de vie réalisée en 2006 par </w:t>
      </w:r>
      <w:r w:rsidR="009379A7" w:rsidRPr="00EA05B3">
        <w:rPr>
          <w:lang w:val="fr-FR"/>
        </w:rPr>
        <w:t>l’</w:t>
      </w:r>
      <w:r w:rsidR="00D60A11" w:rsidRPr="00EA05B3">
        <w:rPr>
          <w:lang w:val="fr-FR"/>
        </w:rPr>
        <w:t>Institut national des statistiques et des recensements.</w:t>
      </w:r>
    </w:p>
    <w:p w:rsidR="00D60A11" w:rsidRPr="00EA05B3" w:rsidRDefault="00646BB6" w:rsidP="00301DCD">
      <w:pPr>
        <w:pStyle w:val="H23G"/>
        <w:rPr>
          <w:lang w:val="fr-FR"/>
        </w:rPr>
      </w:pPr>
      <w:bookmarkStart w:id="9" w:name="_Toc392676823"/>
      <w:r w:rsidRPr="00EA05B3">
        <w:rPr>
          <w:lang w:val="fr-FR"/>
        </w:rPr>
        <w:tab/>
      </w:r>
      <w:r w:rsidRPr="00EA05B3">
        <w:rPr>
          <w:lang w:val="fr-FR"/>
        </w:rPr>
        <w:tab/>
        <w:t xml:space="preserve">Seuils de pauvreté et </w:t>
      </w:r>
      <w:r w:rsidR="009379A7" w:rsidRPr="00EA05B3">
        <w:rPr>
          <w:lang w:val="fr-FR"/>
        </w:rPr>
        <w:t>d’</w:t>
      </w:r>
      <w:r w:rsidRPr="00EA05B3">
        <w:rPr>
          <w:lang w:val="fr-FR"/>
        </w:rPr>
        <w:t>extrême pauvreté, 2006</w:t>
      </w:r>
      <w:bookmarkEnd w:id="9"/>
      <w:r w:rsidR="00CA326C" w:rsidRPr="00EA05B3">
        <w:rPr>
          <w:lang w:val="fr-FR"/>
        </w:rPr>
        <w:t xml:space="preserve"> (en pourcentage)</w:t>
      </w:r>
    </w:p>
    <w:tbl>
      <w:tblPr>
        <w:tblW w:w="0" w:type="auto"/>
        <w:tblInd w:w="1134" w:type="dxa"/>
        <w:tblBorders>
          <w:top w:val="single" w:sz="4" w:space="0" w:color="auto"/>
        </w:tblBorders>
        <w:tblLayout w:type="fixed"/>
        <w:tblCellMar>
          <w:left w:w="0" w:type="dxa"/>
          <w:right w:w="0" w:type="dxa"/>
        </w:tblCellMar>
        <w:tblLook w:val="04A0"/>
      </w:tblPr>
      <w:tblGrid>
        <w:gridCol w:w="2456"/>
        <w:gridCol w:w="2457"/>
        <w:gridCol w:w="2457"/>
      </w:tblGrid>
      <w:tr w:rsidR="00D60A11" w:rsidRPr="00EA05B3">
        <w:trPr>
          <w:cantSplit/>
          <w:tblHeader/>
        </w:trPr>
        <w:tc>
          <w:tcPr>
            <w:tcW w:w="2456" w:type="dxa"/>
            <w:tcBorders>
              <w:top w:val="single" w:sz="4" w:space="0" w:color="auto"/>
              <w:bottom w:val="single" w:sz="12" w:space="0" w:color="auto"/>
            </w:tcBorders>
            <w:shd w:val="clear" w:color="auto" w:fill="auto"/>
            <w:vAlign w:val="bottom"/>
          </w:tcPr>
          <w:p w:rsidR="00D60A11" w:rsidRPr="00EA05B3" w:rsidRDefault="00D60A11" w:rsidP="00EB276C">
            <w:pPr>
              <w:keepNext/>
              <w:spacing w:before="80" w:after="80" w:line="200" w:lineRule="exact"/>
              <w:rPr>
                <w:bCs/>
                <w:i/>
                <w:sz w:val="16"/>
                <w:lang w:val="fr-FR"/>
              </w:rPr>
            </w:pPr>
            <w:r w:rsidRPr="00EA05B3">
              <w:rPr>
                <w:i/>
                <w:sz w:val="16"/>
                <w:lang w:val="fr-FR"/>
              </w:rPr>
              <w:t>Panier</w:t>
            </w:r>
          </w:p>
        </w:tc>
        <w:tc>
          <w:tcPr>
            <w:tcW w:w="2457" w:type="dxa"/>
            <w:tcBorders>
              <w:top w:val="single" w:sz="4" w:space="0" w:color="auto"/>
              <w:bottom w:val="single" w:sz="12" w:space="0" w:color="auto"/>
            </w:tcBorders>
            <w:shd w:val="clear" w:color="auto" w:fill="auto"/>
            <w:vAlign w:val="bottom"/>
          </w:tcPr>
          <w:p w:rsidR="00D60A11" w:rsidRPr="00EA05B3" w:rsidRDefault="009C5BB8" w:rsidP="00B36EE6">
            <w:pPr>
              <w:keepNext/>
              <w:spacing w:before="80" w:after="80" w:line="200" w:lineRule="exact"/>
              <w:jc w:val="right"/>
              <w:rPr>
                <w:bCs/>
                <w:i/>
                <w:sz w:val="16"/>
                <w:lang w:val="fr-FR"/>
              </w:rPr>
            </w:pPr>
            <w:r w:rsidRPr="00EA05B3">
              <w:rPr>
                <w:i/>
                <w:sz w:val="16"/>
                <w:lang w:val="fr-FR"/>
              </w:rPr>
              <w:t xml:space="preserve"> Extrême pauvreté</w:t>
            </w:r>
          </w:p>
        </w:tc>
        <w:tc>
          <w:tcPr>
            <w:tcW w:w="2457" w:type="dxa"/>
            <w:tcBorders>
              <w:top w:val="single" w:sz="4" w:space="0" w:color="auto"/>
              <w:bottom w:val="single" w:sz="12" w:space="0" w:color="auto"/>
            </w:tcBorders>
            <w:shd w:val="clear" w:color="auto" w:fill="auto"/>
            <w:vAlign w:val="bottom"/>
          </w:tcPr>
          <w:p w:rsidR="00D60A11" w:rsidRPr="00EA05B3" w:rsidRDefault="00D60A11" w:rsidP="00EB276C">
            <w:pPr>
              <w:keepNext/>
              <w:spacing w:before="80" w:after="80" w:line="200" w:lineRule="exact"/>
              <w:jc w:val="right"/>
              <w:rPr>
                <w:bCs/>
                <w:i/>
                <w:sz w:val="16"/>
                <w:lang w:val="fr-FR"/>
              </w:rPr>
            </w:pPr>
            <w:r w:rsidRPr="00EA05B3">
              <w:rPr>
                <w:i/>
                <w:sz w:val="16"/>
                <w:lang w:val="fr-FR"/>
              </w:rPr>
              <w:t>Pauvreté</w:t>
            </w:r>
          </w:p>
        </w:tc>
      </w:tr>
      <w:tr w:rsidR="00D60A11" w:rsidRPr="00EA05B3">
        <w:trPr>
          <w:cantSplit/>
        </w:trPr>
        <w:tc>
          <w:tcPr>
            <w:tcW w:w="2456" w:type="dxa"/>
            <w:tcBorders>
              <w:top w:val="single" w:sz="12" w:space="0" w:color="auto"/>
            </w:tcBorders>
            <w:shd w:val="clear" w:color="auto" w:fill="auto"/>
          </w:tcPr>
          <w:p w:rsidR="00D60A11" w:rsidRPr="00EA05B3" w:rsidRDefault="00D60A11" w:rsidP="00EB276C">
            <w:pPr>
              <w:keepNext/>
              <w:spacing w:before="40" w:after="40" w:line="220" w:lineRule="exact"/>
              <w:rPr>
                <w:sz w:val="18"/>
                <w:lang w:val="fr-FR"/>
              </w:rPr>
            </w:pPr>
            <w:r w:rsidRPr="00EA05B3">
              <w:rPr>
                <w:sz w:val="18"/>
                <w:lang w:val="fr-FR"/>
              </w:rPr>
              <w:t>Quotidien</w:t>
            </w:r>
          </w:p>
        </w:tc>
        <w:tc>
          <w:tcPr>
            <w:tcW w:w="2457" w:type="dxa"/>
            <w:tcBorders>
              <w:top w:val="single" w:sz="12" w:space="0" w:color="auto"/>
            </w:tcBorders>
            <w:shd w:val="clear" w:color="auto" w:fill="auto"/>
          </w:tcPr>
          <w:p w:rsidR="00D60A11" w:rsidRPr="00EA05B3" w:rsidRDefault="00D60A11" w:rsidP="00EB276C">
            <w:pPr>
              <w:keepNext/>
              <w:spacing w:before="40" w:after="40" w:line="220" w:lineRule="exact"/>
              <w:jc w:val="right"/>
              <w:rPr>
                <w:sz w:val="18"/>
                <w:lang w:val="fr-FR"/>
              </w:rPr>
            </w:pPr>
            <w:r w:rsidRPr="00EA05B3">
              <w:rPr>
                <w:sz w:val="18"/>
                <w:lang w:val="fr-FR"/>
              </w:rPr>
              <w:t xml:space="preserve">1,06 </w:t>
            </w:r>
          </w:p>
        </w:tc>
        <w:tc>
          <w:tcPr>
            <w:tcW w:w="2457" w:type="dxa"/>
            <w:tcBorders>
              <w:top w:val="single" w:sz="12" w:space="0" w:color="auto"/>
            </w:tcBorders>
            <w:shd w:val="clear" w:color="auto" w:fill="auto"/>
          </w:tcPr>
          <w:p w:rsidR="00D60A11" w:rsidRPr="00EA05B3" w:rsidRDefault="00D60A11" w:rsidP="00EB276C">
            <w:pPr>
              <w:keepNext/>
              <w:spacing w:before="40" w:after="40" w:line="220" w:lineRule="exact"/>
              <w:jc w:val="right"/>
              <w:rPr>
                <w:sz w:val="18"/>
                <w:lang w:val="fr-FR"/>
              </w:rPr>
            </w:pPr>
            <w:r w:rsidRPr="00EA05B3">
              <w:rPr>
                <w:sz w:val="18"/>
                <w:lang w:val="fr-FR"/>
              </w:rPr>
              <w:t>1,89</w:t>
            </w:r>
          </w:p>
        </w:tc>
      </w:tr>
      <w:tr w:rsidR="00D60A11" w:rsidRPr="00EA05B3">
        <w:trPr>
          <w:cantSplit/>
        </w:trPr>
        <w:tc>
          <w:tcPr>
            <w:tcW w:w="2456" w:type="dxa"/>
            <w:shd w:val="clear" w:color="auto" w:fill="auto"/>
          </w:tcPr>
          <w:p w:rsidR="00D60A11" w:rsidRPr="00EA05B3" w:rsidRDefault="00D60A11" w:rsidP="00EB276C">
            <w:pPr>
              <w:keepNext/>
              <w:spacing w:before="40" w:after="40" w:line="220" w:lineRule="exact"/>
              <w:rPr>
                <w:sz w:val="18"/>
                <w:lang w:val="fr-FR"/>
              </w:rPr>
            </w:pPr>
            <w:r w:rsidRPr="00EA05B3">
              <w:rPr>
                <w:sz w:val="18"/>
                <w:lang w:val="fr-FR"/>
              </w:rPr>
              <w:t>Bihebdomadaire</w:t>
            </w:r>
          </w:p>
        </w:tc>
        <w:tc>
          <w:tcPr>
            <w:tcW w:w="2457" w:type="dxa"/>
            <w:shd w:val="clear" w:color="auto" w:fill="auto"/>
          </w:tcPr>
          <w:p w:rsidR="00D60A11" w:rsidRPr="00EA05B3" w:rsidRDefault="00D60A11" w:rsidP="00EB276C">
            <w:pPr>
              <w:keepNext/>
              <w:spacing w:before="40" w:after="40" w:line="220" w:lineRule="exact"/>
              <w:jc w:val="right"/>
              <w:rPr>
                <w:sz w:val="18"/>
                <w:lang w:val="fr-FR"/>
              </w:rPr>
            </w:pPr>
            <w:r w:rsidRPr="00EA05B3">
              <w:rPr>
                <w:sz w:val="18"/>
                <w:lang w:val="fr-FR"/>
              </w:rPr>
              <w:t>15,96</w:t>
            </w:r>
          </w:p>
        </w:tc>
        <w:tc>
          <w:tcPr>
            <w:tcW w:w="2457" w:type="dxa"/>
            <w:shd w:val="clear" w:color="auto" w:fill="auto"/>
          </w:tcPr>
          <w:p w:rsidR="00D60A11" w:rsidRPr="00EA05B3" w:rsidRDefault="00D60A11" w:rsidP="00EB276C">
            <w:pPr>
              <w:keepNext/>
              <w:spacing w:before="40" w:after="40" w:line="220" w:lineRule="exact"/>
              <w:jc w:val="right"/>
              <w:rPr>
                <w:sz w:val="18"/>
                <w:lang w:val="fr-FR"/>
              </w:rPr>
            </w:pPr>
            <w:r w:rsidRPr="00EA05B3">
              <w:rPr>
                <w:sz w:val="18"/>
                <w:lang w:val="fr-FR"/>
              </w:rPr>
              <w:t>28,3</w:t>
            </w:r>
          </w:p>
        </w:tc>
      </w:tr>
      <w:tr w:rsidR="00D60A11" w:rsidRPr="00EA05B3">
        <w:trPr>
          <w:cantSplit/>
        </w:trPr>
        <w:tc>
          <w:tcPr>
            <w:tcW w:w="2456" w:type="dxa"/>
            <w:tcBorders>
              <w:bottom w:val="single" w:sz="12" w:space="0" w:color="auto"/>
            </w:tcBorders>
            <w:shd w:val="clear" w:color="auto" w:fill="auto"/>
          </w:tcPr>
          <w:p w:rsidR="00D60A11" w:rsidRPr="00EA05B3" w:rsidRDefault="00D60A11" w:rsidP="00EB276C">
            <w:pPr>
              <w:keepNext/>
              <w:spacing w:before="40" w:after="40" w:line="220" w:lineRule="exact"/>
              <w:rPr>
                <w:sz w:val="18"/>
                <w:lang w:val="fr-FR"/>
              </w:rPr>
            </w:pPr>
            <w:r w:rsidRPr="00EA05B3">
              <w:rPr>
                <w:sz w:val="18"/>
                <w:lang w:val="fr-FR"/>
              </w:rPr>
              <w:t>Mensuel</w:t>
            </w:r>
          </w:p>
        </w:tc>
        <w:tc>
          <w:tcPr>
            <w:tcW w:w="2457" w:type="dxa"/>
            <w:tcBorders>
              <w:bottom w:val="single" w:sz="12" w:space="0" w:color="auto"/>
            </w:tcBorders>
            <w:shd w:val="clear" w:color="auto" w:fill="auto"/>
          </w:tcPr>
          <w:p w:rsidR="00D60A11" w:rsidRPr="00EA05B3" w:rsidRDefault="00D60A11" w:rsidP="00EB276C">
            <w:pPr>
              <w:keepNext/>
              <w:spacing w:before="40" w:after="40" w:line="220" w:lineRule="exact"/>
              <w:jc w:val="right"/>
              <w:rPr>
                <w:sz w:val="18"/>
                <w:lang w:val="fr-FR"/>
              </w:rPr>
            </w:pPr>
            <w:r w:rsidRPr="00EA05B3">
              <w:rPr>
                <w:sz w:val="18"/>
                <w:lang w:val="fr-FR"/>
              </w:rPr>
              <w:t>31,92</w:t>
            </w:r>
          </w:p>
        </w:tc>
        <w:tc>
          <w:tcPr>
            <w:tcW w:w="2457" w:type="dxa"/>
            <w:tcBorders>
              <w:bottom w:val="single" w:sz="12" w:space="0" w:color="auto"/>
            </w:tcBorders>
            <w:shd w:val="clear" w:color="auto" w:fill="auto"/>
          </w:tcPr>
          <w:p w:rsidR="00D60A11" w:rsidRPr="00EA05B3" w:rsidRDefault="00D60A11" w:rsidP="00EB276C">
            <w:pPr>
              <w:keepNext/>
              <w:spacing w:before="40" w:after="40" w:line="220" w:lineRule="exact"/>
              <w:jc w:val="right"/>
              <w:rPr>
                <w:sz w:val="18"/>
                <w:lang w:val="fr-FR"/>
              </w:rPr>
            </w:pPr>
            <w:r w:rsidRPr="00EA05B3">
              <w:rPr>
                <w:sz w:val="18"/>
                <w:lang w:val="fr-FR"/>
              </w:rPr>
              <w:t>56,6</w:t>
            </w:r>
          </w:p>
        </w:tc>
      </w:tr>
    </w:tbl>
    <w:p w:rsidR="00F922D6" w:rsidRPr="00EA05B3" w:rsidRDefault="00F922D6" w:rsidP="00F922D6">
      <w:pPr>
        <w:pStyle w:val="SingleTxtG"/>
        <w:spacing w:before="120"/>
        <w:ind w:firstLine="170"/>
        <w:jc w:val="left"/>
        <w:rPr>
          <w:sz w:val="18"/>
          <w:szCs w:val="18"/>
          <w:lang w:val="fr-FR"/>
        </w:rPr>
      </w:pPr>
      <w:r w:rsidRPr="00EA05B3">
        <w:rPr>
          <w:i/>
          <w:sz w:val="18"/>
          <w:lang w:val="fr-FR"/>
        </w:rPr>
        <w:t>Source</w:t>
      </w:r>
      <w:r w:rsidR="00B36EE6" w:rsidRPr="00EA05B3">
        <w:rPr>
          <w:lang w:val="fr-FR"/>
        </w:rPr>
        <w:t>:</w:t>
      </w:r>
      <w:r w:rsidRPr="00EA05B3">
        <w:rPr>
          <w:sz w:val="18"/>
          <w:lang w:val="fr-FR"/>
        </w:rPr>
        <w:t xml:space="preserve"> INEC.</w:t>
      </w:r>
    </w:p>
    <w:p w:rsidR="00D60A11" w:rsidRPr="00EA05B3" w:rsidRDefault="00646BB6" w:rsidP="00563B9D">
      <w:pPr>
        <w:pStyle w:val="H23G"/>
        <w:rPr>
          <w:lang w:val="fr-FR"/>
        </w:rPr>
      </w:pPr>
      <w:r w:rsidRPr="00EA05B3">
        <w:rPr>
          <w:lang w:val="fr-FR"/>
        </w:rPr>
        <w:tab/>
      </w:r>
      <w:r w:rsidRPr="00EA05B3">
        <w:rPr>
          <w:lang w:val="fr-FR"/>
        </w:rPr>
        <w:tab/>
      </w:r>
      <w:bookmarkStart w:id="10" w:name="_Toc392676824"/>
      <w:r w:rsidRPr="00EA05B3">
        <w:rPr>
          <w:lang w:val="fr-FR"/>
        </w:rPr>
        <w:t>Pauvreté et extrême pauvreté mesurées par le niveau de consommation, 2006 (en</w:t>
      </w:r>
      <w:r w:rsidR="00134C32" w:rsidRPr="00EA05B3">
        <w:rPr>
          <w:lang w:val="fr-FR"/>
        </w:rPr>
        <w:t> </w:t>
      </w:r>
      <w:r w:rsidRPr="00EA05B3">
        <w:rPr>
          <w:lang w:val="fr-FR"/>
        </w:rPr>
        <w:t>pourcentage)</w:t>
      </w:r>
      <w:bookmarkEnd w:id="10"/>
    </w:p>
    <w:tbl>
      <w:tblPr>
        <w:tblW w:w="0" w:type="auto"/>
        <w:tblInd w:w="1134" w:type="dxa"/>
        <w:tblBorders>
          <w:top w:val="single" w:sz="4" w:space="0" w:color="auto"/>
        </w:tblBorders>
        <w:tblLayout w:type="fixed"/>
        <w:tblCellMar>
          <w:left w:w="0" w:type="dxa"/>
          <w:right w:w="0" w:type="dxa"/>
        </w:tblCellMar>
        <w:tblLook w:val="04A0"/>
      </w:tblPr>
      <w:tblGrid>
        <w:gridCol w:w="2456"/>
        <w:gridCol w:w="2457"/>
        <w:gridCol w:w="2457"/>
      </w:tblGrid>
      <w:tr w:rsidR="00D60A11" w:rsidRPr="00EA05B3">
        <w:trPr>
          <w:cantSplit/>
          <w:tblHeader/>
        </w:trPr>
        <w:tc>
          <w:tcPr>
            <w:tcW w:w="2456" w:type="dxa"/>
            <w:tcBorders>
              <w:top w:val="single" w:sz="4" w:space="0" w:color="auto"/>
              <w:bottom w:val="single" w:sz="12" w:space="0" w:color="auto"/>
            </w:tcBorders>
            <w:shd w:val="clear" w:color="auto" w:fill="auto"/>
            <w:vAlign w:val="bottom"/>
          </w:tcPr>
          <w:p w:rsidR="00D60A11" w:rsidRPr="00EA05B3" w:rsidRDefault="00D60A11" w:rsidP="00EB276C">
            <w:pPr>
              <w:keepNext/>
              <w:spacing w:before="80" w:after="80" w:line="200" w:lineRule="exact"/>
              <w:rPr>
                <w:bCs/>
                <w:i/>
                <w:sz w:val="16"/>
                <w:lang w:val="fr-FR"/>
              </w:rPr>
            </w:pPr>
            <w:r w:rsidRPr="00EA05B3">
              <w:rPr>
                <w:i/>
                <w:sz w:val="16"/>
                <w:lang w:val="fr-FR"/>
              </w:rPr>
              <w:t>Niveau</w:t>
            </w:r>
          </w:p>
        </w:tc>
        <w:tc>
          <w:tcPr>
            <w:tcW w:w="2457" w:type="dxa"/>
            <w:tcBorders>
              <w:top w:val="single" w:sz="4" w:space="0" w:color="auto"/>
              <w:bottom w:val="single" w:sz="12" w:space="0" w:color="auto"/>
            </w:tcBorders>
            <w:shd w:val="clear" w:color="auto" w:fill="auto"/>
            <w:vAlign w:val="bottom"/>
          </w:tcPr>
          <w:p w:rsidR="00D60A11" w:rsidRPr="00EA05B3" w:rsidRDefault="00D60A11" w:rsidP="00EB276C">
            <w:pPr>
              <w:keepNext/>
              <w:spacing w:before="80" w:after="80" w:line="200" w:lineRule="exact"/>
              <w:ind w:left="113"/>
              <w:jc w:val="right"/>
              <w:rPr>
                <w:bCs/>
                <w:i/>
                <w:sz w:val="16"/>
                <w:lang w:val="fr-FR"/>
              </w:rPr>
            </w:pPr>
            <w:r w:rsidRPr="00EA05B3">
              <w:rPr>
                <w:i/>
                <w:sz w:val="16"/>
                <w:lang w:val="fr-FR"/>
              </w:rPr>
              <w:t>Population extrêmement pauvre</w:t>
            </w:r>
          </w:p>
        </w:tc>
        <w:tc>
          <w:tcPr>
            <w:tcW w:w="2457" w:type="dxa"/>
            <w:tcBorders>
              <w:top w:val="single" w:sz="4" w:space="0" w:color="auto"/>
              <w:bottom w:val="single" w:sz="12" w:space="0" w:color="auto"/>
            </w:tcBorders>
            <w:shd w:val="clear" w:color="auto" w:fill="auto"/>
            <w:vAlign w:val="bottom"/>
          </w:tcPr>
          <w:p w:rsidR="00D60A11" w:rsidRPr="00EA05B3" w:rsidRDefault="00D60A11" w:rsidP="00EB276C">
            <w:pPr>
              <w:keepNext/>
              <w:spacing w:before="80" w:after="80" w:line="200" w:lineRule="exact"/>
              <w:ind w:left="113"/>
              <w:jc w:val="right"/>
              <w:rPr>
                <w:bCs/>
                <w:i/>
                <w:sz w:val="16"/>
                <w:lang w:val="fr-FR"/>
              </w:rPr>
            </w:pPr>
            <w:r w:rsidRPr="00EA05B3">
              <w:rPr>
                <w:i/>
                <w:sz w:val="16"/>
                <w:lang w:val="fr-FR"/>
              </w:rPr>
              <w:t>Population pauvre</w:t>
            </w:r>
          </w:p>
        </w:tc>
      </w:tr>
      <w:tr w:rsidR="00D60A11" w:rsidRPr="00EA05B3">
        <w:trPr>
          <w:cantSplit/>
        </w:trPr>
        <w:tc>
          <w:tcPr>
            <w:tcW w:w="2456" w:type="dxa"/>
            <w:tcBorders>
              <w:top w:val="single" w:sz="12" w:space="0" w:color="auto"/>
            </w:tcBorders>
            <w:shd w:val="clear" w:color="auto" w:fill="auto"/>
          </w:tcPr>
          <w:p w:rsidR="00D60A11" w:rsidRPr="00EA05B3" w:rsidRDefault="00D60A11" w:rsidP="00EB276C">
            <w:pPr>
              <w:keepNext/>
              <w:spacing w:before="40" w:after="40" w:line="220" w:lineRule="exact"/>
              <w:rPr>
                <w:sz w:val="18"/>
                <w:lang w:val="fr-FR"/>
              </w:rPr>
            </w:pPr>
            <w:r w:rsidRPr="00EA05B3">
              <w:rPr>
                <w:sz w:val="18"/>
                <w:lang w:val="fr-FR"/>
              </w:rPr>
              <w:t>Quotidien</w:t>
            </w:r>
          </w:p>
        </w:tc>
        <w:tc>
          <w:tcPr>
            <w:tcW w:w="2457" w:type="dxa"/>
            <w:tcBorders>
              <w:top w:val="single" w:sz="12" w:space="0" w:color="auto"/>
            </w:tcBorders>
            <w:shd w:val="clear" w:color="auto" w:fill="auto"/>
          </w:tcPr>
          <w:p w:rsidR="00D60A11" w:rsidRPr="00EA05B3" w:rsidRDefault="00D60A11" w:rsidP="00EB276C">
            <w:pPr>
              <w:keepNext/>
              <w:spacing w:before="40" w:after="40" w:line="220" w:lineRule="exact"/>
              <w:ind w:left="113"/>
              <w:jc w:val="right"/>
              <w:rPr>
                <w:sz w:val="18"/>
                <w:lang w:val="fr-FR"/>
              </w:rPr>
            </w:pPr>
            <w:r w:rsidRPr="00EA05B3">
              <w:rPr>
                <w:sz w:val="18"/>
                <w:lang w:val="fr-FR"/>
              </w:rPr>
              <w:t>12,8</w:t>
            </w:r>
          </w:p>
        </w:tc>
        <w:tc>
          <w:tcPr>
            <w:tcW w:w="2457" w:type="dxa"/>
            <w:tcBorders>
              <w:top w:val="single" w:sz="12" w:space="0" w:color="auto"/>
            </w:tcBorders>
            <w:shd w:val="clear" w:color="auto" w:fill="auto"/>
          </w:tcPr>
          <w:p w:rsidR="00D60A11" w:rsidRPr="00EA05B3" w:rsidRDefault="00D60A11" w:rsidP="00EB276C">
            <w:pPr>
              <w:keepNext/>
              <w:spacing w:before="40" w:after="40" w:line="220" w:lineRule="exact"/>
              <w:ind w:left="113"/>
              <w:jc w:val="right"/>
              <w:rPr>
                <w:sz w:val="18"/>
                <w:lang w:val="fr-FR"/>
              </w:rPr>
            </w:pPr>
            <w:r w:rsidRPr="00EA05B3">
              <w:rPr>
                <w:sz w:val="18"/>
                <w:lang w:val="fr-FR"/>
              </w:rPr>
              <w:t>38,3</w:t>
            </w:r>
          </w:p>
        </w:tc>
      </w:tr>
      <w:tr w:rsidR="00D60A11" w:rsidRPr="00EA05B3">
        <w:trPr>
          <w:cantSplit/>
        </w:trPr>
        <w:tc>
          <w:tcPr>
            <w:tcW w:w="2456" w:type="dxa"/>
            <w:shd w:val="clear" w:color="auto" w:fill="auto"/>
          </w:tcPr>
          <w:p w:rsidR="00D60A11" w:rsidRPr="00EA05B3" w:rsidRDefault="00D60A11" w:rsidP="00EB276C">
            <w:pPr>
              <w:keepNext/>
              <w:spacing w:before="40" w:after="40" w:line="220" w:lineRule="exact"/>
              <w:rPr>
                <w:sz w:val="18"/>
                <w:lang w:val="fr-FR"/>
              </w:rPr>
            </w:pPr>
            <w:r w:rsidRPr="00EA05B3">
              <w:rPr>
                <w:sz w:val="18"/>
                <w:lang w:val="fr-FR"/>
              </w:rPr>
              <w:t>Bihebdomadaire</w:t>
            </w:r>
          </w:p>
        </w:tc>
        <w:tc>
          <w:tcPr>
            <w:tcW w:w="2457" w:type="dxa"/>
            <w:shd w:val="clear" w:color="auto" w:fill="auto"/>
          </w:tcPr>
          <w:p w:rsidR="00D60A11" w:rsidRPr="00EA05B3" w:rsidRDefault="00D60A11" w:rsidP="00EB276C">
            <w:pPr>
              <w:keepNext/>
              <w:spacing w:before="40" w:after="40" w:line="220" w:lineRule="exact"/>
              <w:ind w:left="113"/>
              <w:jc w:val="right"/>
              <w:rPr>
                <w:sz w:val="18"/>
                <w:lang w:val="fr-FR"/>
              </w:rPr>
            </w:pPr>
            <w:r w:rsidRPr="00EA05B3">
              <w:rPr>
                <w:sz w:val="18"/>
                <w:lang w:val="fr-FR"/>
              </w:rPr>
              <w:t>4,8</w:t>
            </w:r>
          </w:p>
        </w:tc>
        <w:tc>
          <w:tcPr>
            <w:tcW w:w="2457" w:type="dxa"/>
            <w:shd w:val="clear" w:color="auto" w:fill="auto"/>
          </w:tcPr>
          <w:p w:rsidR="00D60A11" w:rsidRPr="00EA05B3" w:rsidRDefault="00D60A11" w:rsidP="00EB276C">
            <w:pPr>
              <w:keepNext/>
              <w:spacing w:before="40" w:after="40" w:line="220" w:lineRule="exact"/>
              <w:ind w:left="113"/>
              <w:jc w:val="right"/>
              <w:rPr>
                <w:sz w:val="18"/>
                <w:lang w:val="fr-FR"/>
              </w:rPr>
            </w:pPr>
            <w:r w:rsidRPr="00EA05B3">
              <w:rPr>
                <w:sz w:val="18"/>
                <w:lang w:val="fr-FR"/>
              </w:rPr>
              <w:t>24,9</w:t>
            </w:r>
          </w:p>
        </w:tc>
      </w:tr>
      <w:tr w:rsidR="00D60A11" w:rsidRPr="00EA05B3">
        <w:trPr>
          <w:cantSplit/>
        </w:trPr>
        <w:tc>
          <w:tcPr>
            <w:tcW w:w="2456" w:type="dxa"/>
            <w:tcBorders>
              <w:bottom w:val="single" w:sz="12" w:space="0" w:color="auto"/>
            </w:tcBorders>
            <w:shd w:val="clear" w:color="auto" w:fill="auto"/>
          </w:tcPr>
          <w:p w:rsidR="00D60A11" w:rsidRPr="00EA05B3" w:rsidRDefault="00D60A11" w:rsidP="00EB276C">
            <w:pPr>
              <w:keepNext/>
              <w:spacing w:before="40" w:after="40" w:line="220" w:lineRule="exact"/>
              <w:rPr>
                <w:sz w:val="18"/>
                <w:lang w:val="fr-FR"/>
              </w:rPr>
            </w:pPr>
            <w:r w:rsidRPr="00EA05B3">
              <w:rPr>
                <w:sz w:val="18"/>
                <w:lang w:val="fr-FR"/>
              </w:rPr>
              <w:t>Mensuel</w:t>
            </w:r>
          </w:p>
        </w:tc>
        <w:tc>
          <w:tcPr>
            <w:tcW w:w="2457" w:type="dxa"/>
            <w:tcBorders>
              <w:bottom w:val="single" w:sz="12" w:space="0" w:color="auto"/>
            </w:tcBorders>
            <w:shd w:val="clear" w:color="auto" w:fill="auto"/>
          </w:tcPr>
          <w:p w:rsidR="00D60A11" w:rsidRPr="00EA05B3" w:rsidRDefault="00D60A11" w:rsidP="00EB276C">
            <w:pPr>
              <w:keepNext/>
              <w:spacing w:before="40" w:after="40" w:line="220" w:lineRule="exact"/>
              <w:ind w:left="113"/>
              <w:jc w:val="right"/>
              <w:rPr>
                <w:sz w:val="18"/>
                <w:lang w:val="fr-FR"/>
              </w:rPr>
            </w:pPr>
            <w:r w:rsidRPr="00EA05B3">
              <w:rPr>
                <w:sz w:val="18"/>
                <w:lang w:val="fr-FR"/>
              </w:rPr>
              <w:t>26,9</w:t>
            </w:r>
          </w:p>
        </w:tc>
        <w:tc>
          <w:tcPr>
            <w:tcW w:w="2457" w:type="dxa"/>
            <w:tcBorders>
              <w:bottom w:val="single" w:sz="12" w:space="0" w:color="auto"/>
            </w:tcBorders>
            <w:shd w:val="clear" w:color="auto" w:fill="auto"/>
          </w:tcPr>
          <w:p w:rsidR="00D60A11" w:rsidRPr="00EA05B3" w:rsidRDefault="00D60A11" w:rsidP="00EB276C">
            <w:pPr>
              <w:keepNext/>
              <w:spacing w:before="40" w:after="40" w:line="220" w:lineRule="exact"/>
              <w:ind w:left="113"/>
              <w:jc w:val="right"/>
              <w:rPr>
                <w:sz w:val="18"/>
                <w:lang w:val="fr-FR"/>
              </w:rPr>
            </w:pPr>
            <w:r w:rsidRPr="00EA05B3">
              <w:rPr>
                <w:sz w:val="18"/>
                <w:lang w:val="fr-FR"/>
              </w:rPr>
              <w:t>61,5</w:t>
            </w:r>
          </w:p>
        </w:tc>
      </w:tr>
    </w:tbl>
    <w:p w:rsidR="00F922D6" w:rsidRPr="00EA05B3" w:rsidRDefault="00F922D6" w:rsidP="00F922D6">
      <w:pPr>
        <w:pStyle w:val="SingleTxtG"/>
        <w:spacing w:before="120"/>
        <w:ind w:firstLine="170"/>
        <w:jc w:val="left"/>
        <w:rPr>
          <w:sz w:val="18"/>
          <w:szCs w:val="18"/>
          <w:lang w:val="fr-FR"/>
        </w:rPr>
      </w:pPr>
      <w:r w:rsidRPr="00EA05B3">
        <w:rPr>
          <w:i/>
          <w:sz w:val="18"/>
          <w:lang w:val="fr-FR"/>
        </w:rPr>
        <w:t>Source</w:t>
      </w:r>
      <w:r w:rsidR="00B36EE6" w:rsidRPr="00EA05B3">
        <w:rPr>
          <w:lang w:val="fr-FR"/>
        </w:rPr>
        <w:t>:</w:t>
      </w:r>
      <w:r w:rsidRPr="00EA05B3">
        <w:rPr>
          <w:sz w:val="18"/>
          <w:lang w:val="fr-FR"/>
        </w:rPr>
        <w:t xml:space="preserve"> INEC.</w:t>
      </w:r>
    </w:p>
    <w:p w:rsidR="00D60A11" w:rsidRPr="00EA05B3" w:rsidRDefault="00FD0043" w:rsidP="00537986">
      <w:pPr>
        <w:pStyle w:val="SingleTxtG"/>
        <w:rPr>
          <w:lang w:val="fr-FR"/>
        </w:rPr>
      </w:pPr>
      <w:r w:rsidRPr="00EA05B3">
        <w:rPr>
          <w:lang w:val="fr-FR"/>
        </w:rPr>
        <w:t>130.</w:t>
      </w:r>
      <w:r w:rsidRPr="00EA05B3">
        <w:rPr>
          <w:lang w:val="fr-FR"/>
        </w:rPr>
        <w:tab/>
      </w:r>
      <w:r w:rsidR="009379A7" w:rsidRPr="00EA05B3">
        <w:rPr>
          <w:lang w:val="fr-FR"/>
        </w:rPr>
        <w:t>D’</w:t>
      </w:r>
      <w:r w:rsidR="00D60A11" w:rsidRPr="00EA05B3">
        <w:rPr>
          <w:lang w:val="fr-FR"/>
        </w:rPr>
        <w:t>après les enquêtes réalisées, la province de Bolívar compte 108 577 pauvres, soit 60,6</w:t>
      </w:r>
      <w:r w:rsidR="009379A7" w:rsidRPr="00EA05B3">
        <w:rPr>
          <w:lang w:val="fr-FR"/>
        </w:rPr>
        <w:t> %</w:t>
      </w:r>
      <w:r w:rsidR="00D60A11" w:rsidRPr="00EA05B3">
        <w:rPr>
          <w:lang w:val="fr-FR"/>
        </w:rPr>
        <w:t xml:space="preserve"> de sa population, </w:t>
      </w:r>
      <w:r w:rsidR="009379A7" w:rsidRPr="00EA05B3">
        <w:rPr>
          <w:lang w:val="fr-FR"/>
        </w:rPr>
        <w:t>l’</w:t>
      </w:r>
      <w:r w:rsidR="00D60A11" w:rsidRPr="00EA05B3">
        <w:rPr>
          <w:lang w:val="fr-FR"/>
        </w:rPr>
        <w:t>ensemble de la région amazonienne compte 382 687 pauvres, soit 59</w:t>
      </w:r>
      <w:r w:rsidR="009379A7" w:rsidRPr="00EA05B3">
        <w:rPr>
          <w:lang w:val="fr-FR"/>
        </w:rPr>
        <w:t> %</w:t>
      </w:r>
      <w:r w:rsidR="00D60A11" w:rsidRPr="00EA05B3">
        <w:rPr>
          <w:lang w:val="fr-FR"/>
        </w:rPr>
        <w:t xml:space="preserve"> de sa population et la province de Carchi compte 89 292 pauvres, soit 54,6</w:t>
      </w:r>
      <w:r w:rsidR="009379A7" w:rsidRPr="00EA05B3">
        <w:rPr>
          <w:lang w:val="fr-FR"/>
        </w:rPr>
        <w:t> %</w:t>
      </w:r>
      <w:r w:rsidR="00D60A11" w:rsidRPr="00EA05B3">
        <w:rPr>
          <w:lang w:val="fr-FR"/>
        </w:rPr>
        <w:t xml:space="preserve"> de sa population.</w:t>
      </w:r>
      <w:r w:rsidR="000D57A5" w:rsidRPr="00EA05B3">
        <w:rPr>
          <w:lang w:val="fr-FR"/>
        </w:rPr>
        <w:t xml:space="preserve"> </w:t>
      </w:r>
      <w:r w:rsidR="009379A7" w:rsidRPr="00EA05B3">
        <w:rPr>
          <w:lang w:val="fr-FR"/>
        </w:rPr>
        <w:t>C’</w:t>
      </w:r>
      <w:r w:rsidR="00D60A11" w:rsidRPr="00EA05B3">
        <w:rPr>
          <w:lang w:val="fr-FR"/>
        </w:rPr>
        <w:t>est dans ces régions que les niveaux de pauvreté, mesurés par la consommation, sont les plus élevés.</w:t>
      </w:r>
    </w:p>
    <w:p w:rsidR="00D60A11" w:rsidRPr="00EA05B3" w:rsidRDefault="00FD0043" w:rsidP="00537986">
      <w:pPr>
        <w:pStyle w:val="SingleTxtG"/>
        <w:rPr>
          <w:lang w:val="fr-FR"/>
        </w:rPr>
      </w:pPr>
      <w:r w:rsidRPr="00EA05B3">
        <w:rPr>
          <w:lang w:val="fr-FR"/>
        </w:rPr>
        <w:t>131.</w:t>
      </w:r>
      <w:r w:rsidRPr="00EA05B3">
        <w:rPr>
          <w:lang w:val="fr-FR"/>
        </w:rPr>
        <w:tab/>
      </w:r>
      <w:r w:rsidR="00D60A11" w:rsidRPr="00EA05B3">
        <w:rPr>
          <w:lang w:val="fr-FR"/>
        </w:rPr>
        <w:t>Les trois provinces qui ont les niveaux de pauvreté mesurés par la consommation les plus faibles sont</w:t>
      </w:r>
      <w:r w:rsidR="00B36EE6" w:rsidRPr="00EA05B3">
        <w:rPr>
          <w:lang w:val="fr-FR"/>
        </w:rPr>
        <w:t>:</w:t>
      </w:r>
      <w:r w:rsidR="00D60A11" w:rsidRPr="00EA05B3">
        <w:rPr>
          <w:lang w:val="fr-FR"/>
        </w:rPr>
        <w:t xml:space="preserve"> Pichincha, avec 509 186 pauvres, soit 22,4</w:t>
      </w:r>
      <w:r w:rsidR="009379A7" w:rsidRPr="00EA05B3">
        <w:rPr>
          <w:lang w:val="fr-FR"/>
        </w:rPr>
        <w:t> %</w:t>
      </w:r>
      <w:r w:rsidR="00D60A11" w:rsidRPr="00EA05B3">
        <w:rPr>
          <w:lang w:val="fr-FR"/>
        </w:rPr>
        <w:t xml:space="preserve"> de sa population</w:t>
      </w:r>
      <w:r w:rsidR="00B36EE6" w:rsidRPr="00EA05B3">
        <w:rPr>
          <w:lang w:val="fr-FR"/>
        </w:rPr>
        <w:t>;</w:t>
      </w:r>
      <w:r w:rsidR="00D60A11" w:rsidRPr="00EA05B3">
        <w:rPr>
          <w:lang w:val="fr-FR"/>
        </w:rPr>
        <w:t xml:space="preserve"> Azuay, avec 176 310 pauvres, soit 26,6</w:t>
      </w:r>
      <w:r w:rsidR="009379A7" w:rsidRPr="00EA05B3">
        <w:rPr>
          <w:lang w:val="fr-FR"/>
        </w:rPr>
        <w:t> %</w:t>
      </w:r>
      <w:r w:rsidR="00D60A11" w:rsidRPr="00EA05B3">
        <w:rPr>
          <w:lang w:val="fr-FR"/>
        </w:rPr>
        <w:t xml:space="preserve"> de sa population, et El Oro avec 165 279 pauvres, soit 20,1</w:t>
      </w:r>
      <w:r w:rsidR="009379A7" w:rsidRPr="00EA05B3">
        <w:rPr>
          <w:lang w:val="fr-FR"/>
        </w:rPr>
        <w:t> %</w:t>
      </w:r>
      <w:r w:rsidR="00D60A11" w:rsidRPr="00EA05B3">
        <w:rPr>
          <w:lang w:val="fr-FR"/>
        </w:rPr>
        <w:t xml:space="preserve"> de sa population.</w:t>
      </w:r>
    </w:p>
    <w:p w:rsidR="00D60A11" w:rsidRPr="00EA05B3" w:rsidRDefault="00FD0043" w:rsidP="00537986">
      <w:pPr>
        <w:pStyle w:val="SingleTxtG"/>
        <w:rPr>
          <w:lang w:val="fr-FR"/>
        </w:rPr>
      </w:pPr>
      <w:r w:rsidRPr="00EA05B3">
        <w:rPr>
          <w:lang w:val="fr-FR"/>
        </w:rPr>
        <w:t>132.</w:t>
      </w:r>
      <w:r w:rsidRPr="00EA05B3">
        <w:rPr>
          <w:lang w:val="fr-FR"/>
        </w:rPr>
        <w:tab/>
      </w:r>
      <w:r w:rsidR="00D60A11" w:rsidRPr="00EA05B3">
        <w:rPr>
          <w:lang w:val="fr-FR"/>
        </w:rPr>
        <w:t>Parmi les indicateurs de pauvreté importants figurent encore les besoins fondamentaux non satisfaits</w:t>
      </w:r>
      <w:r w:rsidR="0050005C" w:rsidRPr="00EA05B3">
        <w:rPr>
          <w:lang w:val="fr-FR"/>
        </w:rPr>
        <w:t xml:space="preserve"> (</w:t>
      </w:r>
      <w:r w:rsidR="00D60A11" w:rsidRPr="00EA05B3">
        <w:rPr>
          <w:lang w:val="fr-FR"/>
        </w:rPr>
        <w:t xml:space="preserve">indicateur </w:t>
      </w:r>
      <w:r w:rsidR="0050005C" w:rsidRPr="00EA05B3">
        <w:rPr>
          <w:lang w:val="fr-FR"/>
        </w:rPr>
        <w:t xml:space="preserve">qui </w:t>
      </w:r>
      <w:r w:rsidR="00D60A11" w:rsidRPr="00EA05B3">
        <w:rPr>
          <w:lang w:val="fr-FR"/>
        </w:rPr>
        <w:t xml:space="preserve">prend en compte </w:t>
      </w:r>
      <w:r w:rsidR="009379A7" w:rsidRPr="00EA05B3">
        <w:rPr>
          <w:lang w:val="fr-FR"/>
        </w:rPr>
        <w:t>l’</w:t>
      </w:r>
      <w:r w:rsidR="00D60A11" w:rsidRPr="00EA05B3">
        <w:rPr>
          <w:lang w:val="fr-FR"/>
        </w:rPr>
        <w:t xml:space="preserve">accès aux soins de santé, à </w:t>
      </w:r>
      <w:r w:rsidR="009379A7" w:rsidRPr="00EA05B3">
        <w:rPr>
          <w:lang w:val="fr-FR"/>
        </w:rPr>
        <w:t>l’</w:t>
      </w:r>
      <w:r w:rsidR="00D60A11" w:rsidRPr="00EA05B3">
        <w:rPr>
          <w:lang w:val="fr-FR"/>
        </w:rPr>
        <w:t xml:space="preserve">alimentation, à </w:t>
      </w:r>
      <w:r w:rsidR="009379A7" w:rsidRPr="00EA05B3">
        <w:rPr>
          <w:lang w:val="fr-FR"/>
        </w:rPr>
        <w:t>l’</w:t>
      </w:r>
      <w:r w:rsidR="00D60A11" w:rsidRPr="00EA05B3">
        <w:rPr>
          <w:lang w:val="fr-FR"/>
        </w:rPr>
        <w:t xml:space="preserve">éducation, au logement, aux services urbains et au marché de </w:t>
      </w:r>
      <w:r w:rsidR="009379A7" w:rsidRPr="00EA05B3">
        <w:rPr>
          <w:lang w:val="fr-FR"/>
        </w:rPr>
        <w:t>l’</w:t>
      </w:r>
      <w:r w:rsidR="00D60A11" w:rsidRPr="00EA05B3">
        <w:rPr>
          <w:lang w:val="fr-FR"/>
        </w:rPr>
        <w:t>emploi</w:t>
      </w:r>
      <w:r w:rsidR="0050005C" w:rsidRPr="00EA05B3">
        <w:rPr>
          <w:lang w:val="fr-FR"/>
        </w:rPr>
        <w:t xml:space="preserve">) </w:t>
      </w:r>
      <w:r w:rsidR="00D60A11" w:rsidRPr="00EA05B3">
        <w:rPr>
          <w:lang w:val="fr-FR"/>
        </w:rPr>
        <w:t xml:space="preserve">et le coefficient de Gini. Les tableaux ci-après ont été établis sur la base de </w:t>
      </w:r>
      <w:r w:rsidR="009379A7" w:rsidRPr="00EA05B3">
        <w:rPr>
          <w:lang w:val="fr-FR"/>
        </w:rPr>
        <w:t>l’</w:t>
      </w:r>
      <w:r w:rsidR="00D60A11" w:rsidRPr="00EA05B3">
        <w:rPr>
          <w:lang w:val="fr-FR"/>
        </w:rPr>
        <w:t>enquête sur les conditions de vie en 2005-2006.</w:t>
      </w:r>
    </w:p>
    <w:p w:rsidR="00D60A11" w:rsidRPr="00EA05B3" w:rsidRDefault="00646BB6" w:rsidP="00301DCD">
      <w:pPr>
        <w:pStyle w:val="H23G"/>
        <w:rPr>
          <w:lang w:val="fr-FR"/>
        </w:rPr>
      </w:pPr>
      <w:bookmarkStart w:id="11" w:name="_Toc392676825"/>
      <w:r w:rsidRPr="00EA05B3">
        <w:rPr>
          <w:lang w:val="fr-FR"/>
        </w:rPr>
        <w:tab/>
      </w:r>
      <w:r w:rsidRPr="00EA05B3">
        <w:rPr>
          <w:lang w:val="fr-FR"/>
        </w:rPr>
        <w:tab/>
        <w:t xml:space="preserve">Pourcentage </w:t>
      </w:r>
      <w:r w:rsidR="009379A7" w:rsidRPr="00EA05B3">
        <w:rPr>
          <w:lang w:val="fr-FR"/>
        </w:rPr>
        <w:t>d’</w:t>
      </w:r>
      <w:r w:rsidRPr="00EA05B3">
        <w:rPr>
          <w:lang w:val="fr-FR"/>
        </w:rPr>
        <w:t>habitants dont les besoins fondamentaux ne sont pas satisfaits, 2006</w:t>
      </w:r>
      <w:bookmarkEnd w:id="11"/>
    </w:p>
    <w:tbl>
      <w:tblPr>
        <w:tblW w:w="0" w:type="auto"/>
        <w:tblInd w:w="1134" w:type="dxa"/>
        <w:tblBorders>
          <w:top w:val="single" w:sz="4" w:space="0" w:color="auto"/>
        </w:tblBorders>
        <w:tblLayout w:type="fixed"/>
        <w:tblCellMar>
          <w:left w:w="0" w:type="dxa"/>
          <w:right w:w="0" w:type="dxa"/>
        </w:tblCellMar>
        <w:tblLook w:val="04A0"/>
      </w:tblPr>
      <w:tblGrid>
        <w:gridCol w:w="2456"/>
        <w:gridCol w:w="2457"/>
        <w:gridCol w:w="2457"/>
      </w:tblGrid>
      <w:tr w:rsidR="00D60A11" w:rsidRPr="00EA05B3">
        <w:trPr>
          <w:cantSplit/>
          <w:tblHeader/>
        </w:trPr>
        <w:tc>
          <w:tcPr>
            <w:tcW w:w="2456" w:type="dxa"/>
            <w:tcBorders>
              <w:top w:val="single" w:sz="4" w:space="0" w:color="auto"/>
              <w:bottom w:val="single" w:sz="12" w:space="0" w:color="auto"/>
            </w:tcBorders>
            <w:shd w:val="clear" w:color="auto" w:fill="auto"/>
            <w:vAlign w:val="bottom"/>
          </w:tcPr>
          <w:p w:rsidR="00D60A11" w:rsidRPr="00EA05B3" w:rsidRDefault="00D60A11" w:rsidP="00EB276C">
            <w:pPr>
              <w:keepNext/>
              <w:spacing w:before="80" w:after="80" w:line="200" w:lineRule="exact"/>
              <w:rPr>
                <w:bCs/>
                <w:i/>
                <w:sz w:val="16"/>
                <w:lang w:val="fr-FR"/>
              </w:rPr>
            </w:pPr>
            <w:r w:rsidRPr="00EA05B3">
              <w:rPr>
                <w:i/>
                <w:sz w:val="16"/>
                <w:lang w:val="fr-FR"/>
              </w:rPr>
              <w:t>Ensemble du pays</w:t>
            </w:r>
          </w:p>
        </w:tc>
        <w:tc>
          <w:tcPr>
            <w:tcW w:w="2457" w:type="dxa"/>
            <w:tcBorders>
              <w:top w:val="single" w:sz="4" w:space="0" w:color="auto"/>
              <w:bottom w:val="single" w:sz="12" w:space="0" w:color="auto"/>
            </w:tcBorders>
            <w:shd w:val="clear" w:color="auto" w:fill="auto"/>
            <w:vAlign w:val="bottom"/>
          </w:tcPr>
          <w:p w:rsidR="00D60A11" w:rsidRPr="00EA05B3" w:rsidRDefault="00D60A11" w:rsidP="00EB276C">
            <w:pPr>
              <w:keepNext/>
              <w:spacing w:before="80" w:after="80" w:line="200" w:lineRule="exact"/>
              <w:rPr>
                <w:bCs/>
                <w:i/>
                <w:sz w:val="16"/>
                <w:lang w:val="fr-FR"/>
              </w:rPr>
            </w:pPr>
            <w:r w:rsidRPr="00EA05B3">
              <w:rPr>
                <w:i/>
                <w:sz w:val="16"/>
                <w:lang w:val="fr-FR"/>
              </w:rPr>
              <w:t>Total</w:t>
            </w:r>
          </w:p>
        </w:tc>
        <w:tc>
          <w:tcPr>
            <w:tcW w:w="2457" w:type="dxa"/>
            <w:tcBorders>
              <w:top w:val="single" w:sz="4" w:space="0" w:color="auto"/>
              <w:bottom w:val="single" w:sz="12" w:space="0" w:color="auto"/>
            </w:tcBorders>
            <w:shd w:val="clear" w:color="auto" w:fill="auto"/>
            <w:vAlign w:val="bottom"/>
          </w:tcPr>
          <w:p w:rsidR="00D60A11" w:rsidRPr="00EA05B3" w:rsidRDefault="00D60A11" w:rsidP="00EB276C">
            <w:pPr>
              <w:keepNext/>
              <w:spacing w:before="80" w:after="80" w:line="200" w:lineRule="exact"/>
              <w:jc w:val="right"/>
              <w:rPr>
                <w:bCs/>
                <w:i/>
                <w:sz w:val="16"/>
                <w:lang w:val="fr-FR"/>
              </w:rPr>
            </w:pPr>
            <w:r w:rsidRPr="00EA05B3">
              <w:rPr>
                <w:i/>
                <w:sz w:val="16"/>
                <w:lang w:val="fr-FR"/>
              </w:rPr>
              <w:t>45,8</w:t>
            </w:r>
          </w:p>
        </w:tc>
      </w:tr>
      <w:tr w:rsidR="00D60A11" w:rsidRPr="00EA05B3">
        <w:trPr>
          <w:cantSplit/>
        </w:trPr>
        <w:tc>
          <w:tcPr>
            <w:tcW w:w="2456" w:type="dxa"/>
            <w:vMerge w:val="restart"/>
            <w:tcBorders>
              <w:top w:val="single" w:sz="12" w:space="0" w:color="auto"/>
            </w:tcBorders>
            <w:shd w:val="clear" w:color="auto" w:fill="auto"/>
          </w:tcPr>
          <w:p w:rsidR="00D60A11" w:rsidRPr="00EA05B3" w:rsidRDefault="00D60A11" w:rsidP="00EB276C">
            <w:pPr>
              <w:keepNext/>
              <w:spacing w:before="40" w:after="40" w:line="220" w:lineRule="exact"/>
              <w:rPr>
                <w:sz w:val="18"/>
                <w:lang w:val="fr-FR"/>
              </w:rPr>
            </w:pPr>
            <w:r w:rsidRPr="00EA05B3">
              <w:rPr>
                <w:sz w:val="18"/>
                <w:lang w:val="fr-FR"/>
              </w:rPr>
              <w:t>Régional</w:t>
            </w:r>
          </w:p>
        </w:tc>
        <w:tc>
          <w:tcPr>
            <w:tcW w:w="2457" w:type="dxa"/>
            <w:tcBorders>
              <w:top w:val="single" w:sz="12" w:space="0" w:color="auto"/>
            </w:tcBorders>
            <w:shd w:val="clear" w:color="auto" w:fill="auto"/>
          </w:tcPr>
          <w:p w:rsidR="00D60A11" w:rsidRPr="00EA05B3" w:rsidRDefault="00D60A11" w:rsidP="00EB276C">
            <w:pPr>
              <w:keepNext/>
              <w:spacing w:before="40" w:after="40" w:line="220" w:lineRule="exact"/>
              <w:rPr>
                <w:sz w:val="18"/>
                <w:lang w:val="fr-FR"/>
              </w:rPr>
            </w:pPr>
            <w:r w:rsidRPr="00EA05B3">
              <w:rPr>
                <w:sz w:val="18"/>
                <w:lang w:val="fr-FR"/>
              </w:rPr>
              <w:t>Zones urbaines</w:t>
            </w:r>
          </w:p>
        </w:tc>
        <w:tc>
          <w:tcPr>
            <w:tcW w:w="2457" w:type="dxa"/>
            <w:tcBorders>
              <w:top w:val="single" w:sz="12" w:space="0" w:color="auto"/>
            </w:tcBorders>
            <w:shd w:val="clear" w:color="auto" w:fill="auto"/>
          </w:tcPr>
          <w:p w:rsidR="00D60A11" w:rsidRPr="00EA05B3" w:rsidRDefault="00D60A11" w:rsidP="00EB276C">
            <w:pPr>
              <w:keepNext/>
              <w:spacing w:before="40" w:after="40" w:line="220" w:lineRule="exact"/>
              <w:jc w:val="right"/>
              <w:rPr>
                <w:sz w:val="18"/>
                <w:lang w:val="fr-FR"/>
              </w:rPr>
            </w:pPr>
            <w:r w:rsidRPr="00EA05B3">
              <w:rPr>
                <w:sz w:val="18"/>
                <w:lang w:val="fr-FR"/>
              </w:rPr>
              <w:t>24,8</w:t>
            </w:r>
          </w:p>
        </w:tc>
      </w:tr>
      <w:tr w:rsidR="00D60A11" w:rsidRPr="00EA05B3">
        <w:trPr>
          <w:cantSplit/>
        </w:trPr>
        <w:tc>
          <w:tcPr>
            <w:tcW w:w="2456" w:type="dxa"/>
            <w:vMerge/>
            <w:shd w:val="clear" w:color="auto" w:fill="auto"/>
          </w:tcPr>
          <w:p w:rsidR="00D60A11" w:rsidRPr="00EA05B3" w:rsidRDefault="00D60A11" w:rsidP="00EB276C">
            <w:pPr>
              <w:keepNext/>
              <w:spacing w:before="40" w:after="40" w:line="220" w:lineRule="exact"/>
              <w:rPr>
                <w:sz w:val="18"/>
                <w:lang w:val="fr-FR"/>
              </w:rPr>
            </w:pPr>
          </w:p>
        </w:tc>
        <w:tc>
          <w:tcPr>
            <w:tcW w:w="2457" w:type="dxa"/>
            <w:shd w:val="clear" w:color="auto" w:fill="auto"/>
          </w:tcPr>
          <w:p w:rsidR="00D60A11" w:rsidRPr="00EA05B3" w:rsidRDefault="00D60A11" w:rsidP="00EB276C">
            <w:pPr>
              <w:keepNext/>
              <w:spacing w:before="40" w:after="40" w:line="220" w:lineRule="exact"/>
              <w:rPr>
                <w:sz w:val="18"/>
                <w:lang w:val="fr-FR"/>
              </w:rPr>
            </w:pPr>
            <w:r w:rsidRPr="00EA05B3">
              <w:rPr>
                <w:sz w:val="18"/>
                <w:lang w:val="fr-FR"/>
              </w:rPr>
              <w:t>Zones rurales</w:t>
            </w:r>
          </w:p>
        </w:tc>
        <w:tc>
          <w:tcPr>
            <w:tcW w:w="2457" w:type="dxa"/>
            <w:shd w:val="clear" w:color="auto" w:fill="auto"/>
          </w:tcPr>
          <w:p w:rsidR="00D60A11" w:rsidRPr="00EA05B3" w:rsidRDefault="00D60A11" w:rsidP="00EB276C">
            <w:pPr>
              <w:keepNext/>
              <w:spacing w:before="40" w:after="40" w:line="220" w:lineRule="exact"/>
              <w:jc w:val="right"/>
              <w:rPr>
                <w:sz w:val="18"/>
                <w:lang w:val="fr-FR"/>
              </w:rPr>
            </w:pPr>
            <w:r w:rsidRPr="00EA05B3">
              <w:rPr>
                <w:sz w:val="18"/>
                <w:lang w:val="fr-FR"/>
              </w:rPr>
              <w:t>82,2</w:t>
            </w:r>
          </w:p>
        </w:tc>
      </w:tr>
      <w:tr w:rsidR="00D60A11" w:rsidRPr="00EA05B3">
        <w:trPr>
          <w:cantSplit/>
        </w:trPr>
        <w:tc>
          <w:tcPr>
            <w:tcW w:w="2456" w:type="dxa"/>
            <w:vMerge/>
            <w:shd w:val="clear" w:color="auto" w:fill="auto"/>
          </w:tcPr>
          <w:p w:rsidR="00D60A11" w:rsidRPr="00EA05B3" w:rsidRDefault="00D60A11" w:rsidP="00EB276C">
            <w:pPr>
              <w:keepNext/>
              <w:spacing w:before="40" w:after="40" w:line="220" w:lineRule="exact"/>
              <w:rPr>
                <w:sz w:val="18"/>
                <w:lang w:val="fr-FR"/>
              </w:rPr>
            </w:pPr>
          </w:p>
        </w:tc>
        <w:tc>
          <w:tcPr>
            <w:tcW w:w="2457" w:type="dxa"/>
            <w:shd w:val="clear" w:color="auto" w:fill="auto"/>
          </w:tcPr>
          <w:p w:rsidR="00D60A11" w:rsidRPr="00EA05B3" w:rsidRDefault="00D60A11" w:rsidP="00EB276C">
            <w:pPr>
              <w:keepNext/>
              <w:spacing w:before="40" w:after="40" w:line="220" w:lineRule="exact"/>
              <w:rPr>
                <w:sz w:val="18"/>
                <w:lang w:val="fr-FR"/>
              </w:rPr>
            </w:pPr>
            <w:r w:rsidRPr="00EA05B3">
              <w:rPr>
                <w:sz w:val="18"/>
                <w:lang w:val="fr-FR"/>
              </w:rPr>
              <w:t>Région côtière (Costa)</w:t>
            </w:r>
          </w:p>
        </w:tc>
        <w:tc>
          <w:tcPr>
            <w:tcW w:w="2457" w:type="dxa"/>
            <w:shd w:val="clear" w:color="auto" w:fill="auto"/>
          </w:tcPr>
          <w:p w:rsidR="00D60A11" w:rsidRPr="00EA05B3" w:rsidRDefault="00D60A11" w:rsidP="00EB276C">
            <w:pPr>
              <w:keepNext/>
              <w:spacing w:before="40" w:after="40" w:line="220" w:lineRule="exact"/>
              <w:jc w:val="right"/>
              <w:rPr>
                <w:sz w:val="18"/>
                <w:lang w:val="fr-FR"/>
              </w:rPr>
            </w:pPr>
            <w:r w:rsidRPr="00EA05B3">
              <w:rPr>
                <w:sz w:val="18"/>
                <w:lang w:val="fr-FR"/>
              </w:rPr>
              <w:t>51,4</w:t>
            </w:r>
          </w:p>
        </w:tc>
      </w:tr>
      <w:tr w:rsidR="00D60A11" w:rsidRPr="00EA05B3">
        <w:trPr>
          <w:cantSplit/>
        </w:trPr>
        <w:tc>
          <w:tcPr>
            <w:tcW w:w="2456" w:type="dxa"/>
            <w:vMerge/>
            <w:shd w:val="clear" w:color="auto" w:fill="auto"/>
          </w:tcPr>
          <w:p w:rsidR="00D60A11" w:rsidRPr="00EA05B3" w:rsidRDefault="00D60A11" w:rsidP="00EB276C">
            <w:pPr>
              <w:keepNext/>
              <w:spacing w:before="40" w:after="40" w:line="220" w:lineRule="exact"/>
              <w:rPr>
                <w:sz w:val="18"/>
                <w:lang w:val="fr-FR"/>
              </w:rPr>
            </w:pPr>
          </w:p>
        </w:tc>
        <w:tc>
          <w:tcPr>
            <w:tcW w:w="2457" w:type="dxa"/>
            <w:shd w:val="clear" w:color="auto" w:fill="auto"/>
          </w:tcPr>
          <w:p w:rsidR="00D60A11" w:rsidRPr="00EA05B3" w:rsidRDefault="00D60A11" w:rsidP="00EB276C">
            <w:pPr>
              <w:keepNext/>
              <w:spacing w:before="40" w:after="40" w:line="220" w:lineRule="exact"/>
              <w:rPr>
                <w:sz w:val="18"/>
                <w:lang w:val="fr-FR"/>
              </w:rPr>
            </w:pPr>
            <w:r w:rsidRPr="00EA05B3">
              <w:rPr>
                <w:sz w:val="18"/>
                <w:lang w:val="fr-FR"/>
              </w:rPr>
              <w:t>Région montagneuse (Sierra)</w:t>
            </w:r>
          </w:p>
        </w:tc>
        <w:tc>
          <w:tcPr>
            <w:tcW w:w="2457" w:type="dxa"/>
            <w:shd w:val="clear" w:color="auto" w:fill="auto"/>
          </w:tcPr>
          <w:p w:rsidR="00D60A11" w:rsidRPr="00EA05B3" w:rsidRDefault="00D60A11" w:rsidP="00EB276C">
            <w:pPr>
              <w:keepNext/>
              <w:spacing w:before="40" w:after="40" w:line="220" w:lineRule="exact"/>
              <w:jc w:val="right"/>
              <w:rPr>
                <w:sz w:val="18"/>
                <w:lang w:val="fr-FR"/>
              </w:rPr>
            </w:pPr>
            <w:r w:rsidRPr="00EA05B3">
              <w:rPr>
                <w:sz w:val="18"/>
                <w:lang w:val="fr-FR"/>
              </w:rPr>
              <w:t>36,9</w:t>
            </w:r>
          </w:p>
        </w:tc>
      </w:tr>
      <w:tr w:rsidR="00D60A11" w:rsidRPr="00EA05B3">
        <w:trPr>
          <w:cantSplit/>
        </w:trPr>
        <w:tc>
          <w:tcPr>
            <w:tcW w:w="2456" w:type="dxa"/>
            <w:vMerge/>
            <w:tcBorders>
              <w:bottom w:val="single" w:sz="12" w:space="0" w:color="auto"/>
            </w:tcBorders>
            <w:shd w:val="clear" w:color="auto" w:fill="auto"/>
          </w:tcPr>
          <w:p w:rsidR="00D60A11" w:rsidRPr="00EA05B3" w:rsidRDefault="00D60A11" w:rsidP="00EB276C">
            <w:pPr>
              <w:keepNext/>
              <w:spacing w:before="40" w:after="40" w:line="220" w:lineRule="exact"/>
              <w:rPr>
                <w:sz w:val="18"/>
                <w:lang w:val="fr-FR"/>
              </w:rPr>
            </w:pPr>
          </w:p>
        </w:tc>
        <w:tc>
          <w:tcPr>
            <w:tcW w:w="2457" w:type="dxa"/>
            <w:tcBorders>
              <w:bottom w:val="single" w:sz="12" w:space="0" w:color="auto"/>
            </w:tcBorders>
            <w:shd w:val="clear" w:color="auto" w:fill="auto"/>
          </w:tcPr>
          <w:p w:rsidR="00D60A11" w:rsidRPr="00EA05B3" w:rsidRDefault="00D60A11" w:rsidP="00EB276C">
            <w:pPr>
              <w:keepNext/>
              <w:spacing w:before="40" w:after="40" w:line="220" w:lineRule="exact"/>
              <w:rPr>
                <w:sz w:val="18"/>
                <w:lang w:val="fr-FR"/>
              </w:rPr>
            </w:pPr>
            <w:r w:rsidRPr="00EA05B3">
              <w:rPr>
                <w:sz w:val="18"/>
                <w:lang w:val="fr-FR"/>
              </w:rPr>
              <w:t>Région amazonienne</w:t>
            </w:r>
          </w:p>
        </w:tc>
        <w:tc>
          <w:tcPr>
            <w:tcW w:w="2457" w:type="dxa"/>
            <w:tcBorders>
              <w:bottom w:val="single" w:sz="12" w:space="0" w:color="auto"/>
            </w:tcBorders>
            <w:shd w:val="clear" w:color="auto" w:fill="auto"/>
          </w:tcPr>
          <w:p w:rsidR="00D60A11" w:rsidRPr="00EA05B3" w:rsidRDefault="00D60A11" w:rsidP="00EB276C">
            <w:pPr>
              <w:keepNext/>
              <w:spacing w:before="40" w:after="40" w:line="220" w:lineRule="exact"/>
              <w:jc w:val="right"/>
              <w:rPr>
                <w:sz w:val="18"/>
                <w:lang w:val="fr-FR"/>
              </w:rPr>
            </w:pPr>
            <w:r w:rsidRPr="00EA05B3">
              <w:rPr>
                <w:sz w:val="18"/>
                <w:lang w:val="fr-FR"/>
              </w:rPr>
              <w:t>71</w:t>
            </w:r>
          </w:p>
        </w:tc>
      </w:tr>
    </w:tbl>
    <w:p w:rsidR="00F922D6" w:rsidRPr="00EA05B3" w:rsidRDefault="00F922D6" w:rsidP="00F922D6">
      <w:pPr>
        <w:pStyle w:val="SingleTxtG"/>
        <w:spacing w:before="120"/>
        <w:ind w:firstLine="170"/>
        <w:jc w:val="left"/>
        <w:rPr>
          <w:sz w:val="18"/>
          <w:szCs w:val="18"/>
          <w:lang w:val="fr-FR"/>
        </w:rPr>
      </w:pPr>
      <w:r w:rsidRPr="00EA05B3">
        <w:rPr>
          <w:i/>
          <w:sz w:val="18"/>
          <w:lang w:val="fr-FR"/>
        </w:rPr>
        <w:t>Source</w:t>
      </w:r>
      <w:r w:rsidR="00B36EE6" w:rsidRPr="00EA05B3">
        <w:rPr>
          <w:lang w:val="fr-FR"/>
        </w:rPr>
        <w:t>:</w:t>
      </w:r>
      <w:r w:rsidRPr="00EA05B3">
        <w:rPr>
          <w:sz w:val="18"/>
          <w:lang w:val="fr-FR"/>
        </w:rPr>
        <w:t xml:space="preserve"> INEC 2005/2006.</w:t>
      </w:r>
    </w:p>
    <w:p w:rsidR="00D60A11" w:rsidRPr="00EA05B3" w:rsidRDefault="00646BB6" w:rsidP="005059C0">
      <w:pPr>
        <w:pStyle w:val="H23G"/>
        <w:rPr>
          <w:lang w:val="fr-FR"/>
        </w:rPr>
      </w:pPr>
      <w:r w:rsidRPr="00EA05B3">
        <w:rPr>
          <w:lang w:val="fr-FR"/>
        </w:rPr>
        <w:tab/>
      </w:r>
      <w:r w:rsidRPr="00EA05B3">
        <w:rPr>
          <w:lang w:val="fr-FR"/>
        </w:rPr>
        <w:tab/>
      </w:r>
      <w:bookmarkStart w:id="12" w:name="_Toc392676826"/>
      <w:r w:rsidRPr="00EA05B3">
        <w:rPr>
          <w:lang w:val="fr-FR"/>
        </w:rPr>
        <w:t>Indicateurs de pauvreté au niveau national − zones urbaines et rurales</w:t>
      </w:r>
      <w:bookmarkEnd w:id="12"/>
    </w:p>
    <w:tbl>
      <w:tblPr>
        <w:tblW w:w="7370" w:type="dxa"/>
        <w:tblInd w:w="1134" w:type="dxa"/>
        <w:tblLayout w:type="fixed"/>
        <w:tblCellMar>
          <w:left w:w="0" w:type="dxa"/>
          <w:right w:w="0" w:type="dxa"/>
        </w:tblCellMar>
        <w:tblLook w:val="01E0"/>
      </w:tblPr>
      <w:tblGrid>
        <w:gridCol w:w="1474"/>
        <w:gridCol w:w="1474"/>
        <w:gridCol w:w="1474"/>
        <w:gridCol w:w="1474"/>
        <w:gridCol w:w="1474"/>
        <w:tblGridChange w:id="13">
          <w:tblGrid>
            <w:gridCol w:w="1474"/>
            <w:gridCol w:w="1474"/>
            <w:gridCol w:w="1474"/>
            <w:gridCol w:w="1474"/>
            <w:gridCol w:w="1474"/>
          </w:tblGrid>
        </w:tblGridChange>
      </w:tblGrid>
      <w:tr w:rsidR="00404F22" w:rsidRPr="009969F6" w:rsidTr="009969F6">
        <w:tc>
          <w:tcPr>
            <w:tcW w:w="1955" w:type="dxa"/>
            <w:tcBorders>
              <w:top w:val="single" w:sz="4" w:space="0" w:color="auto"/>
              <w:bottom w:val="single" w:sz="12" w:space="0" w:color="auto"/>
            </w:tcBorders>
            <w:shd w:val="clear" w:color="auto" w:fill="auto"/>
            <w:vAlign w:val="bottom"/>
          </w:tcPr>
          <w:p w:rsidR="00404F22" w:rsidRPr="009969F6" w:rsidRDefault="00404F22" w:rsidP="009969F6">
            <w:pPr>
              <w:spacing w:before="80" w:after="80" w:line="200" w:lineRule="exact"/>
              <w:rPr>
                <w:i/>
                <w:sz w:val="16"/>
                <w:lang w:val="fr-FR"/>
              </w:rPr>
            </w:pPr>
            <w:r w:rsidRPr="009969F6">
              <w:rPr>
                <w:i/>
                <w:sz w:val="16"/>
                <w:lang w:val="fr-FR"/>
              </w:rPr>
              <w:t>Trimestres</w:t>
            </w:r>
          </w:p>
        </w:tc>
        <w:tc>
          <w:tcPr>
            <w:tcW w:w="1955" w:type="dxa"/>
            <w:tcBorders>
              <w:top w:val="single" w:sz="4" w:space="0" w:color="auto"/>
              <w:bottom w:val="single" w:sz="12" w:space="0" w:color="auto"/>
            </w:tcBorders>
            <w:shd w:val="clear" w:color="auto" w:fill="auto"/>
            <w:vAlign w:val="bottom"/>
          </w:tcPr>
          <w:p w:rsidR="00404F22" w:rsidRPr="009969F6" w:rsidRDefault="00404F22" w:rsidP="009969F6">
            <w:pPr>
              <w:spacing w:before="80" w:after="80" w:line="200" w:lineRule="exact"/>
              <w:jc w:val="right"/>
              <w:rPr>
                <w:i/>
                <w:sz w:val="16"/>
                <w:lang w:val="fr-FR"/>
              </w:rPr>
            </w:pPr>
            <w:r w:rsidRPr="009969F6">
              <w:rPr>
                <w:i/>
                <w:sz w:val="16"/>
                <w:lang w:val="fr-FR"/>
              </w:rPr>
              <w:t xml:space="preserve">Incidence de la pauvreté </w:t>
            </w:r>
          </w:p>
        </w:tc>
        <w:tc>
          <w:tcPr>
            <w:tcW w:w="1956" w:type="dxa"/>
            <w:tcBorders>
              <w:top w:val="single" w:sz="4" w:space="0" w:color="auto"/>
              <w:bottom w:val="single" w:sz="12" w:space="0" w:color="auto"/>
            </w:tcBorders>
            <w:shd w:val="clear" w:color="auto" w:fill="auto"/>
            <w:vAlign w:val="bottom"/>
          </w:tcPr>
          <w:p w:rsidR="00404F22" w:rsidRPr="009969F6" w:rsidRDefault="00404F22" w:rsidP="009969F6">
            <w:pPr>
              <w:spacing w:before="80" w:after="80" w:line="200" w:lineRule="exact"/>
              <w:jc w:val="right"/>
              <w:rPr>
                <w:i/>
                <w:sz w:val="16"/>
                <w:lang w:val="fr-FR"/>
              </w:rPr>
            </w:pPr>
            <w:r w:rsidRPr="009969F6">
              <w:rPr>
                <w:i/>
                <w:sz w:val="16"/>
                <w:lang w:val="fr-FR"/>
              </w:rPr>
              <w:t>Écart</w:t>
            </w:r>
            <w:r w:rsidR="00E11972" w:rsidRPr="009969F6">
              <w:rPr>
                <w:i/>
                <w:sz w:val="16"/>
                <w:lang w:val="fr-FR"/>
              </w:rPr>
              <w:t>-</w:t>
            </w:r>
            <w:r w:rsidRPr="009969F6">
              <w:rPr>
                <w:i/>
                <w:sz w:val="16"/>
                <w:lang w:val="fr-FR"/>
              </w:rPr>
              <w:t>type</w:t>
            </w:r>
          </w:p>
        </w:tc>
        <w:tc>
          <w:tcPr>
            <w:tcW w:w="1956" w:type="dxa"/>
            <w:tcBorders>
              <w:top w:val="single" w:sz="4" w:space="0" w:color="auto"/>
              <w:bottom w:val="single" w:sz="12" w:space="0" w:color="auto"/>
            </w:tcBorders>
            <w:shd w:val="clear" w:color="auto" w:fill="auto"/>
            <w:vAlign w:val="bottom"/>
          </w:tcPr>
          <w:p w:rsidR="00404F22" w:rsidRPr="009969F6" w:rsidRDefault="00404F22" w:rsidP="009969F6">
            <w:pPr>
              <w:spacing w:before="80" w:after="80" w:line="200" w:lineRule="exact"/>
              <w:jc w:val="right"/>
              <w:rPr>
                <w:i/>
                <w:sz w:val="16"/>
                <w:lang w:val="fr-FR"/>
              </w:rPr>
            </w:pPr>
            <w:r w:rsidRPr="009969F6">
              <w:rPr>
                <w:i/>
                <w:sz w:val="16"/>
                <w:lang w:val="fr-FR"/>
              </w:rPr>
              <w:t>Limite inférieure</w:t>
            </w:r>
          </w:p>
        </w:tc>
        <w:tc>
          <w:tcPr>
            <w:tcW w:w="1956" w:type="dxa"/>
            <w:tcBorders>
              <w:top w:val="single" w:sz="4" w:space="0" w:color="auto"/>
              <w:bottom w:val="single" w:sz="12" w:space="0" w:color="auto"/>
            </w:tcBorders>
            <w:shd w:val="clear" w:color="auto" w:fill="auto"/>
            <w:vAlign w:val="bottom"/>
          </w:tcPr>
          <w:p w:rsidR="00404F22" w:rsidRPr="009969F6" w:rsidRDefault="00404F22" w:rsidP="009969F6">
            <w:pPr>
              <w:spacing w:before="80" w:after="80" w:line="200" w:lineRule="exact"/>
              <w:jc w:val="right"/>
              <w:rPr>
                <w:i/>
                <w:sz w:val="16"/>
                <w:lang w:val="fr-FR"/>
              </w:rPr>
            </w:pPr>
            <w:r w:rsidRPr="009969F6">
              <w:rPr>
                <w:i/>
                <w:sz w:val="16"/>
                <w:lang w:val="fr-FR"/>
              </w:rPr>
              <w:t>Limite supérieure</w:t>
            </w:r>
          </w:p>
        </w:tc>
      </w:tr>
      <w:tr w:rsidR="00404F22" w:rsidRPr="009969F6" w:rsidTr="009969F6">
        <w:tc>
          <w:tcPr>
            <w:tcW w:w="1955" w:type="dxa"/>
            <w:tcBorders>
              <w:top w:val="single" w:sz="12" w:space="0" w:color="auto"/>
            </w:tcBorders>
            <w:shd w:val="clear" w:color="auto" w:fill="auto"/>
            <w:vAlign w:val="bottom"/>
          </w:tcPr>
          <w:p w:rsidR="00404F22" w:rsidRPr="009969F6" w:rsidRDefault="00404F22" w:rsidP="009969F6">
            <w:pPr>
              <w:spacing w:before="40" w:after="40" w:line="220" w:lineRule="exact"/>
              <w:rPr>
                <w:sz w:val="18"/>
                <w:lang w:val="fr-FR"/>
              </w:rPr>
            </w:pPr>
            <w:r w:rsidRPr="009969F6">
              <w:rPr>
                <w:sz w:val="18"/>
                <w:lang w:val="fr-FR"/>
              </w:rPr>
              <w:t>Juin 2010</w:t>
            </w:r>
          </w:p>
        </w:tc>
        <w:tc>
          <w:tcPr>
            <w:tcW w:w="1955" w:type="dxa"/>
            <w:tcBorders>
              <w:top w:val="single" w:sz="12" w:space="0" w:color="auto"/>
            </w:tcBorders>
            <w:shd w:val="clear" w:color="auto" w:fill="auto"/>
            <w:vAlign w:val="bottom"/>
          </w:tcPr>
          <w:p w:rsidR="00404F22" w:rsidRPr="009969F6" w:rsidRDefault="00404F22" w:rsidP="009969F6">
            <w:pPr>
              <w:spacing w:before="40" w:after="40" w:line="220" w:lineRule="exact"/>
              <w:jc w:val="right"/>
              <w:rPr>
                <w:sz w:val="18"/>
                <w:lang w:val="fr-FR"/>
              </w:rPr>
            </w:pPr>
            <w:r w:rsidRPr="009969F6">
              <w:rPr>
                <w:sz w:val="18"/>
                <w:lang w:val="fr-FR"/>
              </w:rPr>
              <w:t>33,01 %</w:t>
            </w:r>
          </w:p>
        </w:tc>
        <w:tc>
          <w:tcPr>
            <w:tcW w:w="1956" w:type="dxa"/>
            <w:tcBorders>
              <w:top w:val="single" w:sz="12" w:space="0" w:color="auto"/>
            </w:tcBorders>
            <w:shd w:val="clear" w:color="auto" w:fill="auto"/>
            <w:vAlign w:val="bottom"/>
          </w:tcPr>
          <w:p w:rsidR="00404F22" w:rsidRPr="009969F6" w:rsidRDefault="00404F22" w:rsidP="009969F6">
            <w:pPr>
              <w:spacing w:before="40" w:after="40" w:line="220" w:lineRule="exact"/>
              <w:jc w:val="right"/>
              <w:rPr>
                <w:sz w:val="18"/>
                <w:lang w:val="fr-FR"/>
              </w:rPr>
            </w:pPr>
            <w:r w:rsidRPr="009969F6">
              <w:rPr>
                <w:sz w:val="18"/>
                <w:lang w:val="fr-FR"/>
              </w:rPr>
              <w:t>0,69 %</w:t>
            </w:r>
          </w:p>
        </w:tc>
        <w:tc>
          <w:tcPr>
            <w:tcW w:w="1956" w:type="dxa"/>
            <w:tcBorders>
              <w:top w:val="single" w:sz="12" w:space="0" w:color="auto"/>
            </w:tcBorders>
            <w:shd w:val="clear" w:color="auto" w:fill="auto"/>
            <w:vAlign w:val="bottom"/>
          </w:tcPr>
          <w:p w:rsidR="00404F22" w:rsidRPr="009969F6" w:rsidRDefault="00404F22" w:rsidP="009969F6">
            <w:pPr>
              <w:spacing w:before="40" w:after="40" w:line="220" w:lineRule="exact"/>
              <w:jc w:val="right"/>
              <w:rPr>
                <w:sz w:val="18"/>
                <w:lang w:val="fr-FR"/>
              </w:rPr>
            </w:pPr>
            <w:r w:rsidRPr="009969F6">
              <w:rPr>
                <w:sz w:val="18"/>
                <w:lang w:val="fr-FR"/>
              </w:rPr>
              <w:t>31,66 %</w:t>
            </w:r>
          </w:p>
        </w:tc>
        <w:tc>
          <w:tcPr>
            <w:tcW w:w="1956" w:type="dxa"/>
            <w:tcBorders>
              <w:top w:val="single" w:sz="12" w:space="0" w:color="auto"/>
            </w:tcBorders>
            <w:shd w:val="clear" w:color="auto" w:fill="auto"/>
            <w:vAlign w:val="bottom"/>
          </w:tcPr>
          <w:p w:rsidR="00404F22" w:rsidRPr="009969F6" w:rsidRDefault="00404F22" w:rsidP="009969F6">
            <w:pPr>
              <w:spacing w:before="40" w:after="40" w:line="220" w:lineRule="exact"/>
              <w:jc w:val="right"/>
              <w:rPr>
                <w:sz w:val="18"/>
                <w:lang w:val="fr-FR"/>
              </w:rPr>
            </w:pPr>
            <w:r w:rsidRPr="009969F6">
              <w:rPr>
                <w:sz w:val="18"/>
                <w:lang w:val="fr-FR"/>
              </w:rPr>
              <w:t>34,39 %</w:t>
            </w:r>
          </w:p>
        </w:tc>
      </w:tr>
      <w:tr w:rsidR="00404F22" w:rsidRPr="009969F6" w:rsidTr="009969F6">
        <w:tc>
          <w:tcPr>
            <w:tcW w:w="1955" w:type="dxa"/>
            <w:tcBorders>
              <w:bottom w:val="single" w:sz="12" w:space="0" w:color="auto"/>
            </w:tcBorders>
            <w:shd w:val="clear" w:color="auto" w:fill="auto"/>
            <w:vAlign w:val="bottom"/>
          </w:tcPr>
          <w:p w:rsidR="00404F22" w:rsidRPr="009969F6" w:rsidRDefault="00404F22" w:rsidP="009969F6">
            <w:pPr>
              <w:spacing w:before="40" w:after="40" w:line="220" w:lineRule="exact"/>
              <w:rPr>
                <w:sz w:val="18"/>
                <w:lang w:val="fr-FR"/>
              </w:rPr>
            </w:pPr>
            <w:r w:rsidRPr="009969F6">
              <w:rPr>
                <w:sz w:val="18"/>
                <w:lang w:val="fr-FR"/>
              </w:rPr>
              <w:t>Décembre 2010</w:t>
            </w:r>
          </w:p>
        </w:tc>
        <w:tc>
          <w:tcPr>
            <w:tcW w:w="1955" w:type="dxa"/>
            <w:tcBorders>
              <w:bottom w:val="single" w:sz="12" w:space="0" w:color="auto"/>
            </w:tcBorders>
            <w:shd w:val="clear" w:color="auto" w:fill="auto"/>
            <w:vAlign w:val="bottom"/>
          </w:tcPr>
          <w:p w:rsidR="00404F22" w:rsidRPr="009969F6" w:rsidRDefault="00404F22" w:rsidP="009969F6">
            <w:pPr>
              <w:spacing w:before="40" w:after="40" w:line="220" w:lineRule="exact"/>
              <w:jc w:val="right"/>
              <w:rPr>
                <w:sz w:val="18"/>
                <w:lang w:val="fr-FR"/>
              </w:rPr>
            </w:pPr>
            <w:r w:rsidRPr="009969F6">
              <w:rPr>
                <w:sz w:val="18"/>
                <w:lang w:val="fr-FR"/>
              </w:rPr>
              <w:t>32,76 %</w:t>
            </w:r>
          </w:p>
        </w:tc>
        <w:tc>
          <w:tcPr>
            <w:tcW w:w="1956" w:type="dxa"/>
            <w:tcBorders>
              <w:bottom w:val="single" w:sz="12" w:space="0" w:color="auto"/>
            </w:tcBorders>
            <w:shd w:val="clear" w:color="auto" w:fill="auto"/>
            <w:vAlign w:val="bottom"/>
          </w:tcPr>
          <w:p w:rsidR="00404F22" w:rsidRPr="009969F6" w:rsidRDefault="00404F22" w:rsidP="009969F6">
            <w:pPr>
              <w:spacing w:before="40" w:after="40" w:line="220" w:lineRule="exact"/>
              <w:jc w:val="right"/>
              <w:rPr>
                <w:sz w:val="18"/>
                <w:lang w:val="fr-FR"/>
              </w:rPr>
            </w:pPr>
            <w:r w:rsidRPr="009969F6">
              <w:rPr>
                <w:sz w:val="18"/>
                <w:lang w:val="fr-FR"/>
              </w:rPr>
              <w:t>0,59 %</w:t>
            </w:r>
          </w:p>
        </w:tc>
        <w:tc>
          <w:tcPr>
            <w:tcW w:w="1956" w:type="dxa"/>
            <w:tcBorders>
              <w:bottom w:val="single" w:sz="12" w:space="0" w:color="auto"/>
            </w:tcBorders>
            <w:shd w:val="clear" w:color="auto" w:fill="auto"/>
            <w:vAlign w:val="bottom"/>
          </w:tcPr>
          <w:p w:rsidR="00404F22" w:rsidRPr="009969F6" w:rsidRDefault="00404F22" w:rsidP="009969F6">
            <w:pPr>
              <w:spacing w:before="40" w:after="40" w:line="220" w:lineRule="exact"/>
              <w:jc w:val="right"/>
              <w:rPr>
                <w:sz w:val="18"/>
                <w:lang w:val="fr-FR"/>
              </w:rPr>
            </w:pPr>
            <w:r w:rsidRPr="009969F6">
              <w:rPr>
                <w:sz w:val="18"/>
                <w:lang w:val="fr-FR"/>
              </w:rPr>
              <w:t>31,61 %</w:t>
            </w:r>
          </w:p>
        </w:tc>
        <w:tc>
          <w:tcPr>
            <w:tcW w:w="1956" w:type="dxa"/>
            <w:tcBorders>
              <w:bottom w:val="single" w:sz="12" w:space="0" w:color="auto"/>
            </w:tcBorders>
            <w:shd w:val="clear" w:color="auto" w:fill="auto"/>
            <w:vAlign w:val="bottom"/>
          </w:tcPr>
          <w:p w:rsidR="00404F22" w:rsidRPr="009969F6" w:rsidRDefault="00404F22" w:rsidP="009969F6">
            <w:pPr>
              <w:spacing w:before="40" w:after="40" w:line="220" w:lineRule="exact"/>
              <w:jc w:val="right"/>
              <w:rPr>
                <w:sz w:val="18"/>
                <w:lang w:val="fr-FR"/>
              </w:rPr>
            </w:pPr>
            <w:r w:rsidRPr="009969F6">
              <w:rPr>
                <w:sz w:val="18"/>
                <w:lang w:val="fr-FR"/>
              </w:rPr>
              <w:t>33,94 %</w:t>
            </w:r>
          </w:p>
        </w:tc>
      </w:tr>
    </w:tbl>
    <w:p w:rsidR="00F922D6" w:rsidRPr="00EA05B3" w:rsidRDefault="00F922D6" w:rsidP="0038472E">
      <w:pPr>
        <w:pStyle w:val="SingleTxtG"/>
        <w:spacing w:before="120" w:after="240"/>
        <w:ind w:firstLine="170"/>
        <w:rPr>
          <w:szCs w:val="18"/>
          <w:lang w:val="fr-FR"/>
        </w:rPr>
      </w:pPr>
      <w:r w:rsidRPr="00EA05B3">
        <w:rPr>
          <w:i/>
          <w:sz w:val="18"/>
          <w:szCs w:val="18"/>
          <w:lang w:val="fr-FR"/>
        </w:rPr>
        <w:t>Source</w:t>
      </w:r>
      <w:r w:rsidR="00B36EE6" w:rsidRPr="00EA05B3">
        <w:rPr>
          <w:sz w:val="18"/>
          <w:szCs w:val="18"/>
          <w:lang w:val="fr-FR"/>
        </w:rPr>
        <w:t>:</w:t>
      </w:r>
      <w:r w:rsidRPr="00EA05B3">
        <w:rPr>
          <w:sz w:val="18"/>
          <w:szCs w:val="18"/>
          <w:lang w:val="fr-FR"/>
        </w:rPr>
        <w:t xml:space="preserve"> INEC et SENPLADES 2010</w:t>
      </w:r>
      <w:r w:rsidR="00D425E2" w:rsidRPr="00EA05B3">
        <w:rPr>
          <w:sz w:val="18"/>
          <w:szCs w:val="18"/>
          <w:lang w:val="fr-FR"/>
        </w:rPr>
        <w:t>.</w:t>
      </w:r>
    </w:p>
    <w:p w:rsidR="00674845" w:rsidRPr="00EA05B3" w:rsidRDefault="00646BB6" w:rsidP="00674845">
      <w:pPr>
        <w:pStyle w:val="H23G"/>
        <w:rPr>
          <w:lang w:val="fr-FR"/>
        </w:rPr>
      </w:pPr>
      <w:r w:rsidRPr="00EA05B3">
        <w:rPr>
          <w:lang w:val="fr-FR"/>
        </w:rPr>
        <w:tab/>
      </w:r>
      <w:r w:rsidRPr="00EA05B3">
        <w:rPr>
          <w:lang w:val="fr-FR"/>
        </w:rPr>
        <w:tab/>
      </w:r>
      <w:bookmarkStart w:id="14" w:name="_Toc392676827"/>
      <w:r w:rsidRPr="00EA05B3">
        <w:rPr>
          <w:lang w:val="fr-FR"/>
        </w:rPr>
        <w:t>Pauvreté en milieu urbain</w:t>
      </w:r>
      <w:bookmarkEnd w:id="14"/>
    </w:p>
    <w:tbl>
      <w:tblPr>
        <w:tblW w:w="7370" w:type="dxa"/>
        <w:tblInd w:w="1134" w:type="dxa"/>
        <w:tblLayout w:type="fixed"/>
        <w:tblCellMar>
          <w:left w:w="0" w:type="dxa"/>
          <w:right w:w="0" w:type="dxa"/>
        </w:tblCellMar>
        <w:tblLook w:val="01E0"/>
      </w:tblPr>
      <w:tblGrid>
        <w:gridCol w:w="1474"/>
        <w:gridCol w:w="1474"/>
        <w:gridCol w:w="1474"/>
        <w:gridCol w:w="1474"/>
        <w:gridCol w:w="1474"/>
        <w:tblGridChange w:id="15">
          <w:tblGrid>
            <w:gridCol w:w="1474"/>
            <w:gridCol w:w="1474"/>
            <w:gridCol w:w="1474"/>
            <w:gridCol w:w="1474"/>
            <w:gridCol w:w="1474"/>
          </w:tblGrid>
        </w:tblGridChange>
      </w:tblGrid>
      <w:tr w:rsidR="00674845" w:rsidRPr="009969F6" w:rsidTr="009969F6">
        <w:tc>
          <w:tcPr>
            <w:tcW w:w="1955" w:type="dxa"/>
            <w:tcBorders>
              <w:top w:val="single" w:sz="4" w:space="0" w:color="auto"/>
              <w:bottom w:val="single" w:sz="12" w:space="0" w:color="auto"/>
            </w:tcBorders>
            <w:shd w:val="clear" w:color="auto" w:fill="auto"/>
            <w:vAlign w:val="bottom"/>
          </w:tcPr>
          <w:p w:rsidR="00674845" w:rsidRPr="009969F6" w:rsidRDefault="00674845" w:rsidP="009969F6">
            <w:pPr>
              <w:spacing w:before="80" w:after="80" w:line="200" w:lineRule="exact"/>
              <w:rPr>
                <w:i/>
                <w:sz w:val="16"/>
                <w:lang w:val="fr-FR"/>
              </w:rPr>
            </w:pPr>
            <w:r w:rsidRPr="009969F6">
              <w:rPr>
                <w:i/>
                <w:sz w:val="16"/>
                <w:lang w:val="fr-FR"/>
              </w:rPr>
              <w:t>Trimestres</w:t>
            </w:r>
          </w:p>
        </w:tc>
        <w:tc>
          <w:tcPr>
            <w:tcW w:w="1955" w:type="dxa"/>
            <w:tcBorders>
              <w:top w:val="single" w:sz="4" w:space="0" w:color="auto"/>
              <w:bottom w:val="single" w:sz="12" w:space="0" w:color="auto"/>
            </w:tcBorders>
            <w:shd w:val="clear" w:color="auto" w:fill="auto"/>
            <w:vAlign w:val="bottom"/>
          </w:tcPr>
          <w:p w:rsidR="00674845" w:rsidRPr="009969F6" w:rsidRDefault="00674845" w:rsidP="009969F6">
            <w:pPr>
              <w:spacing w:before="80" w:after="80" w:line="200" w:lineRule="exact"/>
              <w:jc w:val="right"/>
              <w:rPr>
                <w:i/>
                <w:sz w:val="16"/>
                <w:lang w:val="fr-FR"/>
              </w:rPr>
            </w:pPr>
            <w:r w:rsidRPr="009969F6">
              <w:rPr>
                <w:i/>
                <w:sz w:val="16"/>
                <w:lang w:val="fr-FR"/>
              </w:rPr>
              <w:t xml:space="preserve">Incidence de la pauvreté </w:t>
            </w:r>
          </w:p>
        </w:tc>
        <w:tc>
          <w:tcPr>
            <w:tcW w:w="1956" w:type="dxa"/>
            <w:tcBorders>
              <w:top w:val="single" w:sz="4" w:space="0" w:color="auto"/>
              <w:bottom w:val="single" w:sz="12" w:space="0" w:color="auto"/>
            </w:tcBorders>
            <w:shd w:val="clear" w:color="auto" w:fill="auto"/>
            <w:vAlign w:val="bottom"/>
          </w:tcPr>
          <w:p w:rsidR="00674845" w:rsidRPr="009969F6" w:rsidRDefault="00674845" w:rsidP="009969F6">
            <w:pPr>
              <w:spacing w:before="80" w:after="80" w:line="200" w:lineRule="exact"/>
              <w:jc w:val="right"/>
              <w:rPr>
                <w:i/>
                <w:sz w:val="16"/>
                <w:lang w:val="fr-FR"/>
              </w:rPr>
            </w:pPr>
            <w:r w:rsidRPr="009969F6">
              <w:rPr>
                <w:i/>
                <w:sz w:val="16"/>
                <w:lang w:val="fr-FR"/>
              </w:rPr>
              <w:t>Écart</w:t>
            </w:r>
            <w:r w:rsidR="00E11972" w:rsidRPr="009969F6">
              <w:rPr>
                <w:i/>
                <w:sz w:val="16"/>
                <w:lang w:val="fr-FR"/>
              </w:rPr>
              <w:t>-</w:t>
            </w:r>
            <w:r w:rsidRPr="009969F6">
              <w:rPr>
                <w:i/>
                <w:sz w:val="16"/>
                <w:lang w:val="fr-FR"/>
              </w:rPr>
              <w:t>type</w:t>
            </w:r>
          </w:p>
        </w:tc>
        <w:tc>
          <w:tcPr>
            <w:tcW w:w="1956" w:type="dxa"/>
            <w:tcBorders>
              <w:top w:val="single" w:sz="4" w:space="0" w:color="auto"/>
              <w:bottom w:val="single" w:sz="12" w:space="0" w:color="auto"/>
            </w:tcBorders>
            <w:shd w:val="clear" w:color="auto" w:fill="auto"/>
            <w:vAlign w:val="bottom"/>
          </w:tcPr>
          <w:p w:rsidR="00674845" w:rsidRPr="009969F6" w:rsidRDefault="00674845" w:rsidP="009969F6">
            <w:pPr>
              <w:spacing w:before="80" w:after="80" w:line="200" w:lineRule="exact"/>
              <w:jc w:val="right"/>
              <w:rPr>
                <w:i/>
                <w:sz w:val="16"/>
                <w:lang w:val="fr-FR"/>
              </w:rPr>
            </w:pPr>
            <w:r w:rsidRPr="009969F6">
              <w:rPr>
                <w:i/>
                <w:sz w:val="16"/>
                <w:lang w:val="fr-FR"/>
              </w:rPr>
              <w:t>Limite inférieure</w:t>
            </w:r>
          </w:p>
        </w:tc>
        <w:tc>
          <w:tcPr>
            <w:tcW w:w="1956" w:type="dxa"/>
            <w:tcBorders>
              <w:top w:val="single" w:sz="4" w:space="0" w:color="auto"/>
              <w:bottom w:val="single" w:sz="12" w:space="0" w:color="auto"/>
            </w:tcBorders>
            <w:shd w:val="clear" w:color="auto" w:fill="auto"/>
            <w:vAlign w:val="bottom"/>
          </w:tcPr>
          <w:p w:rsidR="00674845" w:rsidRPr="009969F6" w:rsidRDefault="00674845" w:rsidP="009969F6">
            <w:pPr>
              <w:spacing w:before="80" w:after="80" w:line="200" w:lineRule="exact"/>
              <w:jc w:val="right"/>
              <w:rPr>
                <w:i/>
                <w:sz w:val="16"/>
                <w:lang w:val="fr-FR"/>
              </w:rPr>
            </w:pPr>
            <w:r w:rsidRPr="009969F6">
              <w:rPr>
                <w:i/>
                <w:sz w:val="16"/>
                <w:lang w:val="fr-FR"/>
              </w:rPr>
              <w:t>Limite supérieure</w:t>
            </w:r>
          </w:p>
        </w:tc>
      </w:tr>
      <w:tr w:rsidR="00674845" w:rsidRPr="009969F6" w:rsidTr="009969F6">
        <w:tc>
          <w:tcPr>
            <w:tcW w:w="1955" w:type="dxa"/>
            <w:tcBorders>
              <w:top w:val="single" w:sz="12" w:space="0" w:color="auto"/>
            </w:tcBorders>
            <w:shd w:val="clear" w:color="auto" w:fill="auto"/>
            <w:vAlign w:val="bottom"/>
          </w:tcPr>
          <w:p w:rsidR="00674845" w:rsidRPr="009969F6" w:rsidRDefault="00674845" w:rsidP="009969F6">
            <w:pPr>
              <w:spacing w:before="40" w:after="40" w:line="220" w:lineRule="exact"/>
              <w:rPr>
                <w:sz w:val="18"/>
                <w:lang w:val="fr-FR"/>
              </w:rPr>
            </w:pPr>
            <w:r w:rsidRPr="009969F6">
              <w:rPr>
                <w:sz w:val="18"/>
                <w:lang w:val="fr-FR"/>
              </w:rPr>
              <w:t>Mars 2010</w:t>
            </w:r>
          </w:p>
        </w:tc>
        <w:tc>
          <w:tcPr>
            <w:tcW w:w="1955" w:type="dxa"/>
            <w:tcBorders>
              <w:top w:val="single" w:sz="12" w:space="0" w:color="auto"/>
            </w:tcBorders>
            <w:shd w:val="clear" w:color="auto" w:fill="auto"/>
            <w:vAlign w:val="bottom"/>
          </w:tcPr>
          <w:p w:rsidR="00674845" w:rsidRPr="009969F6" w:rsidRDefault="00674845" w:rsidP="009969F6">
            <w:pPr>
              <w:spacing w:before="40" w:after="40" w:line="220" w:lineRule="exact"/>
              <w:jc w:val="right"/>
              <w:rPr>
                <w:sz w:val="18"/>
                <w:lang w:val="fr-FR"/>
              </w:rPr>
            </w:pPr>
            <w:r w:rsidRPr="009969F6">
              <w:rPr>
                <w:sz w:val="18"/>
                <w:lang w:val="fr-FR"/>
              </w:rPr>
              <w:t>22,60</w:t>
            </w:r>
            <w:r w:rsidR="000E632B" w:rsidRPr="009969F6">
              <w:rPr>
                <w:sz w:val="18"/>
                <w:lang w:val="fr-FR"/>
              </w:rPr>
              <w:t xml:space="preserve"> %</w:t>
            </w:r>
          </w:p>
        </w:tc>
        <w:tc>
          <w:tcPr>
            <w:tcW w:w="1956" w:type="dxa"/>
            <w:tcBorders>
              <w:top w:val="single" w:sz="12" w:space="0" w:color="auto"/>
            </w:tcBorders>
            <w:shd w:val="clear" w:color="auto" w:fill="auto"/>
            <w:vAlign w:val="bottom"/>
          </w:tcPr>
          <w:p w:rsidR="00674845" w:rsidRPr="009969F6" w:rsidRDefault="00674845" w:rsidP="009969F6">
            <w:pPr>
              <w:spacing w:before="40" w:after="40" w:line="220" w:lineRule="exact"/>
              <w:jc w:val="right"/>
              <w:rPr>
                <w:sz w:val="18"/>
                <w:lang w:val="fr-FR"/>
              </w:rPr>
            </w:pPr>
            <w:r w:rsidRPr="009969F6">
              <w:rPr>
                <w:sz w:val="18"/>
                <w:lang w:val="fr-FR"/>
              </w:rPr>
              <w:t>0,92</w:t>
            </w:r>
            <w:r w:rsidR="000E632B" w:rsidRPr="009969F6">
              <w:rPr>
                <w:sz w:val="18"/>
                <w:lang w:val="fr-FR"/>
              </w:rPr>
              <w:t xml:space="preserve"> %</w:t>
            </w:r>
          </w:p>
        </w:tc>
        <w:tc>
          <w:tcPr>
            <w:tcW w:w="1956" w:type="dxa"/>
            <w:tcBorders>
              <w:top w:val="single" w:sz="12" w:space="0" w:color="auto"/>
            </w:tcBorders>
            <w:shd w:val="clear" w:color="auto" w:fill="auto"/>
            <w:vAlign w:val="bottom"/>
          </w:tcPr>
          <w:p w:rsidR="00674845" w:rsidRPr="009969F6" w:rsidRDefault="00674845" w:rsidP="009969F6">
            <w:pPr>
              <w:spacing w:before="40" w:after="40" w:line="220" w:lineRule="exact"/>
              <w:jc w:val="right"/>
              <w:rPr>
                <w:sz w:val="18"/>
                <w:lang w:val="fr-FR"/>
              </w:rPr>
            </w:pPr>
            <w:r w:rsidRPr="009969F6">
              <w:rPr>
                <w:sz w:val="18"/>
                <w:lang w:val="fr-FR"/>
              </w:rPr>
              <w:t>20,85</w:t>
            </w:r>
            <w:r w:rsidR="000E632B" w:rsidRPr="009969F6">
              <w:rPr>
                <w:sz w:val="18"/>
                <w:lang w:val="fr-FR"/>
              </w:rPr>
              <w:t xml:space="preserve"> %</w:t>
            </w:r>
          </w:p>
        </w:tc>
        <w:tc>
          <w:tcPr>
            <w:tcW w:w="1956" w:type="dxa"/>
            <w:tcBorders>
              <w:top w:val="single" w:sz="12" w:space="0" w:color="auto"/>
            </w:tcBorders>
            <w:shd w:val="clear" w:color="auto" w:fill="auto"/>
            <w:vAlign w:val="bottom"/>
          </w:tcPr>
          <w:p w:rsidR="00674845" w:rsidRPr="009969F6" w:rsidRDefault="00674845" w:rsidP="009969F6">
            <w:pPr>
              <w:spacing w:before="40" w:after="40" w:line="220" w:lineRule="exact"/>
              <w:jc w:val="right"/>
              <w:rPr>
                <w:sz w:val="18"/>
                <w:lang w:val="fr-FR"/>
              </w:rPr>
            </w:pPr>
            <w:r w:rsidRPr="009969F6">
              <w:rPr>
                <w:sz w:val="18"/>
                <w:lang w:val="fr-FR"/>
              </w:rPr>
              <w:t>24,45</w:t>
            </w:r>
            <w:r w:rsidR="000E632B" w:rsidRPr="009969F6">
              <w:rPr>
                <w:sz w:val="18"/>
                <w:lang w:val="fr-FR"/>
              </w:rPr>
              <w:t xml:space="preserve"> %</w:t>
            </w:r>
          </w:p>
        </w:tc>
      </w:tr>
      <w:tr w:rsidR="00674845" w:rsidRPr="009969F6" w:rsidTr="009969F6">
        <w:tc>
          <w:tcPr>
            <w:tcW w:w="1955" w:type="dxa"/>
            <w:shd w:val="clear" w:color="auto" w:fill="auto"/>
            <w:vAlign w:val="bottom"/>
          </w:tcPr>
          <w:p w:rsidR="00674845" w:rsidRPr="009969F6" w:rsidRDefault="00674845" w:rsidP="009969F6">
            <w:pPr>
              <w:spacing w:before="40" w:after="40" w:line="220" w:lineRule="exact"/>
              <w:rPr>
                <w:sz w:val="18"/>
                <w:lang w:val="fr-FR"/>
              </w:rPr>
            </w:pPr>
            <w:r w:rsidRPr="009969F6">
              <w:rPr>
                <w:sz w:val="18"/>
                <w:lang w:val="fr-FR"/>
              </w:rPr>
              <w:t>Juin 2010</w:t>
            </w:r>
          </w:p>
        </w:tc>
        <w:tc>
          <w:tcPr>
            <w:tcW w:w="1955" w:type="dxa"/>
            <w:shd w:val="clear" w:color="auto" w:fill="auto"/>
            <w:vAlign w:val="bottom"/>
          </w:tcPr>
          <w:p w:rsidR="00674845" w:rsidRPr="009969F6" w:rsidRDefault="00674845" w:rsidP="009969F6">
            <w:pPr>
              <w:spacing w:before="40" w:after="40" w:line="220" w:lineRule="exact"/>
              <w:jc w:val="right"/>
              <w:rPr>
                <w:sz w:val="18"/>
                <w:lang w:val="fr-FR"/>
              </w:rPr>
            </w:pPr>
            <w:r w:rsidRPr="009969F6">
              <w:rPr>
                <w:sz w:val="18"/>
                <w:lang w:val="fr-FR"/>
              </w:rPr>
              <w:t>22,91</w:t>
            </w:r>
            <w:r w:rsidR="000E632B" w:rsidRPr="009969F6">
              <w:rPr>
                <w:sz w:val="18"/>
                <w:lang w:val="fr-FR"/>
              </w:rPr>
              <w:t xml:space="preserve"> %</w:t>
            </w:r>
          </w:p>
        </w:tc>
        <w:tc>
          <w:tcPr>
            <w:tcW w:w="1956" w:type="dxa"/>
            <w:shd w:val="clear" w:color="auto" w:fill="auto"/>
            <w:vAlign w:val="bottom"/>
          </w:tcPr>
          <w:p w:rsidR="00674845" w:rsidRPr="009969F6" w:rsidRDefault="00674845" w:rsidP="009969F6">
            <w:pPr>
              <w:spacing w:before="40" w:after="40" w:line="220" w:lineRule="exact"/>
              <w:jc w:val="right"/>
              <w:rPr>
                <w:sz w:val="18"/>
                <w:lang w:val="fr-FR"/>
              </w:rPr>
            </w:pPr>
            <w:r w:rsidRPr="009969F6">
              <w:rPr>
                <w:sz w:val="18"/>
                <w:lang w:val="fr-FR"/>
              </w:rPr>
              <w:t>0,79</w:t>
            </w:r>
            <w:r w:rsidR="000E632B" w:rsidRPr="009969F6">
              <w:rPr>
                <w:sz w:val="18"/>
                <w:lang w:val="fr-FR"/>
              </w:rPr>
              <w:t xml:space="preserve"> % </w:t>
            </w:r>
          </w:p>
        </w:tc>
        <w:tc>
          <w:tcPr>
            <w:tcW w:w="1956" w:type="dxa"/>
            <w:shd w:val="clear" w:color="auto" w:fill="auto"/>
            <w:vAlign w:val="bottom"/>
          </w:tcPr>
          <w:p w:rsidR="00674845" w:rsidRPr="009969F6" w:rsidRDefault="00674845" w:rsidP="009969F6">
            <w:pPr>
              <w:spacing w:before="40" w:after="40" w:line="220" w:lineRule="exact"/>
              <w:jc w:val="right"/>
              <w:rPr>
                <w:sz w:val="18"/>
                <w:lang w:val="fr-FR"/>
              </w:rPr>
            </w:pPr>
            <w:r w:rsidRPr="009969F6">
              <w:rPr>
                <w:sz w:val="18"/>
                <w:lang w:val="fr-FR"/>
              </w:rPr>
              <w:t>21,39</w:t>
            </w:r>
            <w:r w:rsidR="000E632B" w:rsidRPr="009969F6">
              <w:rPr>
                <w:sz w:val="18"/>
                <w:lang w:val="fr-FR"/>
              </w:rPr>
              <w:t xml:space="preserve"> %</w:t>
            </w:r>
          </w:p>
        </w:tc>
        <w:tc>
          <w:tcPr>
            <w:tcW w:w="1956" w:type="dxa"/>
            <w:shd w:val="clear" w:color="auto" w:fill="auto"/>
            <w:vAlign w:val="bottom"/>
          </w:tcPr>
          <w:p w:rsidR="00674845" w:rsidRPr="009969F6" w:rsidRDefault="00674845" w:rsidP="009969F6">
            <w:pPr>
              <w:spacing w:before="40" w:after="40" w:line="220" w:lineRule="exact"/>
              <w:jc w:val="right"/>
              <w:rPr>
                <w:sz w:val="18"/>
                <w:lang w:val="fr-FR"/>
              </w:rPr>
            </w:pPr>
            <w:r w:rsidRPr="009969F6">
              <w:rPr>
                <w:sz w:val="18"/>
                <w:lang w:val="fr-FR"/>
              </w:rPr>
              <w:t>24,50</w:t>
            </w:r>
            <w:r w:rsidR="000E632B" w:rsidRPr="009969F6">
              <w:rPr>
                <w:sz w:val="18"/>
                <w:lang w:val="fr-FR"/>
              </w:rPr>
              <w:t xml:space="preserve"> %</w:t>
            </w:r>
          </w:p>
        </w:tc>
      </w:tr>
      <w:tr w:rsidR="00674845" w:rsidRPr="009969F6" w:rsidTr="009969F6">
        <w:tc>
          <w:tcPr>
            <w:tcW w:w="1955" w:type="dxa"/>
            <w:shd w:val="clear" w:color="auto" w:fill="auto"/>
            <w:vAlign w:val="bottom"/>
          </w:tcPr>
          <w:p w:rsidR="00674845" w:rsidRPr="009969F6" w:rsidRDefault="00674845" w:rsidP="009969F6">
            <w:pPr>
              <w:spacing w:before="40" w:after="40" w:line="220" w:lineRule="exact"/>
              <w:rPr>
                <w:sz w:val="18"/>
                <w:lang w:val="fr-FR"/>
              </w:rPr>
            </w:pPr>
            <w:r w:rsidRPr="009969F6">
              <w:rPr>
                <w:sz w:val="18"/>
                <w:lang w:val="fr-FR"/>
              </w:rPr>
              <w:t>Septembre 2010</w:t>
            </w:r>
          </w:p>
        </w:tc>
        <w:tc>
          <w:tcPr>
            <w:tcW w:w="1955" w:type="dxa"/>
            <w:shd w:val="clear" w:color="auto" w:fill="auto"/>
            <w:vAlign w:val="bottom"/>
          </w:tcPr>
          <w:p w:rsidR="00674845" w:rsidRPr="009969F6" w:rsidRDefault="00674845" w:rsidP="009969F6">
            <w:pPr>
              <w:spacing w:before="40" w:after="40" w:line="220" w:lineRule="exact"/>
              <w:jc w:val="right"/>
              <w:rPr>
                <w:sz w:val="18"/>
                <w:lang w:val="fr-FR"/>
              </w:rPr>
            </w:pPr>
            <w:r w:rsidRPr="009969F6">
              <w:rPr>
                <w:sz w:val="18"/>
                <w:lang w:val="fr-FR"/>
              </w:rPr>
              <w:t>22,71</w:t>
            </w:r>
            <w:r w:rsidR="000E632B" w:rsidRPr="009969F6">
              <w:rPr>
                <w:sz w:val="18"/>
                <w:lang w:val="fr-FR"/>
              </w:rPr>
              <w:t xml:space="preserve"> %</w:t>
            </w:r>
          </w:p>
        </w:tc>
        <w:tc>
          <w:tcPr>
            <w:tcW w:w="1956" w:type="dxa"/>
            <w:shd w:val="clear" w:color="auto" w:fill="auto"/>
            <w:vAlign w:val="bottom"/>
          </w:tcPr>
          <w:p w:rsidR="00674845" w:rsidRPr="009969F6" w:rsidRDefault="00674845" w:rsidP="009969F6">
            <w:pPr>
              <w:spacing w:before="40" w:after="40" w:line="220" w:lineRule="exact"/>
              <w:jc w:val="right"/>
              <w:rPr>
                <w:sz w:val="18"/>
                <w:lang w:val="fr-FR"/>
              </w:rPr>
            </w:pPr>
            <w:r w:rsidRPr="009969F6">
              <w:rPr>
                <w:sz w:val="18"/>
                <w:lang w:val="fr-FR"/>
              </w:rPr>
              <w:t>0,81</w:t>
            </w:r>
            <w:r w:rsidR="000E632B" w:rsidRPr="009969F6">
              <w:rPr>
                <w:sz w:val="18"/>
                <w:lang w:val="fr-FR"/>
              </w:rPr>
              <w:t xml:space="preserve"> %</w:t>
            </w:r>
          </w:p>
        </w:tc>
        <w:tc>
          <w:tcPr>
            <w:tcW w:w="1956" w:type="dxa"/>
            <w:shd w:val="clear" w:color="auto" w:fill="auto"/>
            <w:vAlign w:val="bottom"/>
          </w:tcPr>
          <w:p w:rsidR="00674845" w:rsidRPr="009969F6" w:rsidRDefault="00674845" w:rsidP="009969F6">
            <w:pPr>
              <w:spacing w:before="40" w:after="40" w:line="220" w:lineRule="exact"/>
              <w:jc w:val="right"/>
              <w:rPr>
                <w:sz w:val="18"/>
                <w:lang w:val="fr-FR"/>
              </w:rPr>
            </w:pPr>
            <w:r w:rsidRPr="009969F6">
              <w:rPr>
                <w:sz w:val="18"/>
                <w:lang w:val="fr-FR"/>
              </w:rPr>
              <w:t>21,16</w:t>
            </w:r>
            <w:r w:rsidR="000E632B" w:rsidRPr="009969F6">
              <w:rPr>
                <w:sz w:val="18"/>
                <w:lang w:val="fr-FR"/>
              </w:rPr>
              <w:t xml:space="preserve"> %</w:t>
            </w:r>
          </w:p>
        </w:tc>
        <w:tc>
          <w:tcPr>
            <w:tcW w:w="1956" w:type="dxa"/>
            <w:shd w:val="clear" w:color="auto" w:fill="auto"/>
            <w:vAlign w:val="bottom"/>
          </w:tcPr>
          <w:p w:rsidR="00674845" w:rsidRPr="009969F6" w:rsidRDefault="00674845" w:rsidP="009969F6">
            <w:pPr>
              <w:spacing w:before="40" w:after="40" w:line="220" w:lineRule="exact"/>
              <w:jc w:val="right"/>
              <w:rPr>
                <w:sz w:val="18"/>
                <w:lang w:val="fr-FR"/>
              </w:rPr>
            </w:pPr>
            <w:r w:rsidRPr="009969F6">
              <w:rPr>
                <w:sz w:val="18"/>
                <w:lang w:val="fr-FR"/>
              </w:rPr>
              <w:t>24,34</w:t>
            </w:r>
            <w:r w:rsidR="000E632B" w:rsidRPr="009969F6">
              <w:rPr>
                <w:sz w:val="18"/>
                <w:lang w:val="fr-FR"/>
              </w:rPr>
              <w:t xml:space="preserve"> %</w:t>
            </w:r>
          </w:p>
        </w:tc>
      </w:tr>
      <w:tr w:rsidR="00674845" w:rsidRPr="009969F6" w:rsidTr="009969F6">
        <w:tc>
          <w:tcPr>
            <w:tcW w:w="1955" w:type="dxa"/>
            <w:tcBorders>
              <w:bottom w:val="single" w:sz="12" w:space="0" w:color="auto"/>
            </w:tcBorders>
            <w:shd w:val="clear" w:color="auto" w:fill="auto"/>
            <w:vAlign w:val="bottom"/>
          </w:tcPr>
          <w:p w:rsidR="00674845" w:rsidRPr="009969F6" w:rsidRDefault="00674845" w:rsidP="009969F6">
            <w:pPr>
              <w:spacing w:before="40" w:after="40" w:line="220" w:lineRule="exact"/>
              <w:rPr>
                <w:sz w:val="18"/>
                <w:lang w:val="fr-FR"/>
              </w:rPr>
            </w:pPr>
            <w:r w:rsidRPr="009969F6">
              <w:rPr>
                <w:sz w:val="18"/>
                <w:lang w:val="fr-FR"/>
              </w:rPr>
              <w:t>Décembre 2010</w:t>
            </w:r>
          </w:p>
        </w:tc>
        <w:tc>
          <w:tcPr>
            <w:tcW w:w="1955" w:type="dxa"/>
            <w:tcBorders>
              <w:bottom w:val="single" w:sz="12" w:space="0" w:color="auto"/>
            </w:tcBorders>
            <w:shd w:val="clear" w:color="auto" w:fill="auto"/>
            <w:vAlign w:val="bottom"/>
          </w:tcPr>
          <w:p w:rsidR="00674845" w:rsidRPr="009969F6" w:rsidRDefault="00674845" w:rsidP="009969F6">
            <w:pPr>
              <w:spacing w:before="40" w:after="40" w:line="220" w:lineRule="exact"/>
              <w:jc w:val="right"/>
              <w:rPr>
                <w:sz w:val="18"/>
                <w:lang w:val="fr-FR"/>
              </w:rPr>
            </w:pPr>
            <w:r w:rsidRPr="009969F6">
              <w:rPr>
                <w:sz w:val="18"/>
                <w:lang w:val="fr-FR"/>
              </w:rPr>
              <w:t>22,45</w:t>
            </w:r>
            <w:r w:rsidR="000E632B" w:rsidRPr="009969F6">
              <w:rPr>
                <w:sz w:val="18"/>
                <w:lang w:val="fr-FR"/>
              </w:rPr>
              <w:t xml:space="preserve"> %</w:t>
            </w:r>
          </w:p>
        </w:tc>
        <w:tc>
          <w:tcPr>
            <w:tcW w:w="1956" w:type="dxa"/>
            <w:tcBorders>
              <w:bottom w:val="single" w:sz="12" w:space="0" w:color="auto"/>
            </w:tcBorders>
            <w:shd w:val="clear" w:color="auto" w:fill="auto"/>
            <w:vAlign w:val="bottom"/>
          </w:tcPr>
          <w:p w:rsidR="00674845" w:rsidRPr="009969F6" w:rsidRDefault="00674845" w:rsidP="009969F6">
            <w:pPr>
              <w:spacing w:before="40" w:after="40" w:line="220" w:lineRule="exact"/>
              <w:jc w:val="right"/>
              <w:rPr>
                <w:sz w:val="18"/>
                <w:lang w:val="fr-FR"/>
              </w:rPr>
            </w:pPr>
            <w:r w:rsidRPr="009969F6">
              <w:rPr>
                <w:sz w:val="18"/>
                <w:lang w:val="fr-FR"/>
              </w:rPr>
              <w:t>0,70</w:t>
            </w:r>
            <w:r w:rsidR="000E632B" w:rsidRPr="009969F6">
              <w:rPr>
                <w:sz w:val="18"/>
                <w:lang w:val="fr-FR"/>
              </w:rPr>
              <w:t xml:space="preserve"> %</w:t>
            </w:r>
          </w:p>
        </w:tc>
        <w:tc>
          <w:tcPr>
            <w:tcW w:w="1956" w:type="dxa"/>
            <w:tcBorders>
              <w:bottom w:val="single" w:sz="12" w:space="0" w:color="auto"/>
            </w:tcBorders>
            <w:shd w:val="clear" w:color="auto" w:fill="auto"/>
            <w:vAlign w:val="bottom"/>
          </w:tcPr>
          <w:p w:rsidR="00674845" w:rsidRPr="009969F6" w:rsidRDefault="00674845" w:rsidP="009969F6">
            <w:pPr>
              <w:spacing w:before="40" w:after="40" w:line="220" w:lineRule="exact"/>
              <w:jc w:val="right"/>
              <w:rPr>
                <w:sz w:val="18"/>
                <w:lang w:val="fr-FR"/>
              </w:rPr>
            </w:pPr>
            <w:r w:rsidRPr="009969F6">
              <w:rPr>
                <w:sz w:val="18"/>
                <w:lang w:val="fr-FR"/>
              </w:rPr>
              <w:t>21,10</w:t>
            </w:r>
            <w:r w:rsidR="000E632B" w:rsidRPr="009969F6">
              <w:rPr>
                <w:sz w:val="18"/>
                <w:lang w:val="fr-FR"/>
              </w:rPr>
              <w:t xml:space="preserve"> %</w:t>
            </w:r>
          </w:p>
        </w:tc>
        <w:tc>
          <w:tcPr>
            <w:tcW w:w="1956" w:type="dxa"/>
            <w:tcBorders>
              <w:bottom w:val="single" w:sz="12" w:space="0" w:color="auto"/>
            </w:tcBorders>
            <w:shd w:val="clear" w:color="auto" w:fill="auto"/>
            <w:vAlign w:val="bottom"/>
          </w:tcPr>
          <w:p w:rsidR="00674845" w:rsidRPr="009969F6" w:rsidRDefault="00674845" w:rsidP="009969F6">
            <w:pPr>
              <w:spacing w:before="40" w:after="40" w:line="220" w:lineRule="exact"/>
              <w:jc w:val="right"/>
              <w:rPr>
                <w:sz w:val="18"/>
                <w:lang w:val="fr-FR"/>
              </w:rPr>
            </w:pPr>
            <w:r w:rsidRPr="009969F6">
              <w:rPr>
                <w:sz w:val="18"/>
                <w:lang w:val="fr-FR"/>
              </w:rPr>
              <w:t>23,86</w:t>
            </w:r>
            <w:r w:rsidR="000E632B" w:rsidRPr="009969F6">
              <w:rPr>
                <w:sz w:val="18"/>
                <w:lang w:val="fr-FR"/>
              </w:rPr>
              <w:t xml:space="preserve"> %</w:t>
            </w:r>
          </w:p>
        </w:tc>
      </w:tr>
    </w:tbl>
    <w:p w:rsidR="00F922D6" w:rsidRPr="00EA05B3" w:rsidRDefault="00F922D6" w:rsidP="0038472E">
      <w:pPr>
        <w:pStyle w:val="SingleTxtG"/>
        <w:spacing w:before="120" w:after="240"/>
        <w:ind w:firstLine="170"/>
        <w:rPr>
          <w:szCs w:val="18"/>
          <w:lang w:val="fr-FR"/>
        </w:rPr>
      </w:pPr>
      <w:r w:rsidRPr="00EA05B3">
        <w:rPr>
          <w:i/>
          <w:sz w:val="18"/>
          <w:szCs w:val="18"/>
          <w:lang w:val="fr-FR"/>
        </w:rPr>
        <w:t>Source</w:t>
      </w:r>
      <w:r w:rsidR="00B36EE6" w:rsidRPr="00EA05B3">
        <w:rPr>
          <w:sz w:val="18"/>
          <w:szCs w:val="18"/>
          <w:lang w:val="fr-FR"/>
        </w:rPr>
        <w:t>:</w:t>
      </w:r>
      <w:r w:rsidRPr="00EA05B3">
        <w:rPr>
          <w:sz w:val="18"/>
          <w:szCs w:val="18"/>
          <w:lang w:val="fr-FR"/>
        </w:rPr>
        <w:t xml:space="preserve"> INEC et SENPLADES 2010</w:t>
      </w:r>
      <w:r w:rsidR="00D425E2" w:rsidRPr="00EA05B3">
        <w:rPr>
          <w:sz w:val="18"/>
          <w:szCs w:val="18"/>
          <w:lang w:val="fr-FR"/>
        </w:rPr>
        <w:t>.</w:t>
      </w:r>
    </w:p>
    <w:p w:rsidR="00D60A11" w:rsidRPr="00EA05B3" w:rsidRDefault="00646BB6" w:rsidP="000E632B">
      <w:pPr>
        <w:pStyle w:val="H23G"/>
        <w:rPr>
          <w:lang w:val="fr-FR"/>
        </w:rPr>
      </w:pPr>
      <w:bookmarkStart w:id="16" w:name="_Toc392676828"/>
      <w:r w:rsidRPr="00EA05B3">
        <w:rPr>
          <w:lang w:val="fr-FR"/>
        </w:rPr>
        <w:tab/>
      </w:r>
      <w:r w:rsidRPr="00EA05B3">
        <w:rPr>
          <w:lang w:val="fr-FR"/>
        </w:rPr>
        <w:tab/>
        <w:t>Pauvreté en milieu rural</w:t>
      </w:r>
      <w:bookmarkEnd w:id="16"/>
    </w:p>
    <w:tbl>
      <w:tblPr>
        <w:tblW w:w="7370" w:type="dxa"/>
        <w:tblInd w:w="1134" w:type="dxa"/>
        <w:tblLayout w:type="fixed"/>
        <w:tblCellMar>
          <w:left w:w="0" w:type="dxa"/>
          <w:right w:w="0" w:type="dxa"/>
        </w:tblCellMar>
        <w:tblLook w:val="01E0"/>
      </w:tblPr>
      <w:tblGrid>
        <w:gridCol w:w="1474"/>
        <w:gridCol w:w="1474"/>
        <w:gridCol w:w="1474"/>
        <w:gridCol w:w="1474"/>
        <w:gridCol w:w="1474"/>
        <w:tblGridChange w:id="17">
          <w:tblGrid>
            <w:gridCol w:w="1474"/>
            <w:gridCol w:w="1474"/>
            <w:gridCol w:w="1474"/>
            <w:gridCol w:w="1474"/>
            <w:gridCol w:w="1474"/>
          </w:tblGrid>
        </w:tblGridChange>
      </w:tblGrid>
      <w:tr w:rsidR="00674845" w:rsidRPr="009969F6" w:rsidTr="009969F6">
        <w:tc>
          <w:tcPr>
            <w:tcW w:w="1474" w:type="dxa"/>
            <w:tcBorders>
              <w:top w:val="single" w:sz="4" w:space="0" w:color="auto"/>
              <w:bottom w:val="single" w:sz="12" w:space="0" w:color="auto"/>
            </w:tcBorders>
            <w:shd w:val="clear" w:color="auto" w:fill="auto"/>
            <w:vAlign w:val="bottom"/>
          </w:tcPr>
          <w:p w:rsidR="00674845" w:rsidRPr="009969F6" w:rsidRDefault="00674845" w:rsidP="009969F6">
            <w:pPr>
              <w:keepNext/>
              <w:keepLines/>
              <w:spacing w:before="80" w:after="80" w:line="200" w:lineRule="exact"/>
              <w:rPr>
                <w:i/>
                <w:sz w:val="16"/>
                <w:lang w:val="fr-FR"/>
              </w:rPr>
            </w:pPr>
            <w:r w:rsidRPr="009969F6">
              <w:rPr>
                <w:i/>
                <w:sz w:val="16"/>
                <w:lang w:val="fr-FR"/>
              </w:rPr>
              <w:t>Trimestres</w:t>
            </w:r>
          </w:p>
        </w:tc>
        <w:tc>
          <w:tcPr>
            <w:tcW w:w="1474" w:type="dxa"/>
            <w:tcBorders>
              <w:top w:val="single" w:sz="4" w:space="0" w:color="auto"/>
              <w:bottom w:val="single" w:sz="12" w:space="0" w:color="auto"/>
            </w:tcBorders>
            <w:shd w:val="clear" w:color="auto" w:fill="auto"/>
            <w:vAlign w:val="bottom"/>
          </w:tcPr>
          <w:p w:rsidR="00674845" w:rsidRPr="009969F6" w:rsidRDefault="00674845" w:rsidP="009969F6">
            <w:pPr>
              <w:keepNext/>
              <w:keepLines/>
              <w:spacing w:before="80" w:after="80" w:line="200" w:lineRule="exact"/>
              <w:jc w:val="right"/>
              <w:rPr>
                <w:i/>
                <w:sz w:val="16"/>
                <w:lang w:val="fr-FR"/>
              </w:rPr>
            </w:pPr>
            <w:r w:rsidRPr="009969F6">
              <w:rPr>
                <w:i/>
                <w:sz w:val="16"/>
                <w:lang w:val="fr-FR"/>
              </w:rPr>
              <w:t xml:space="preserve">Incidence de la pauvreté </w:t>
            </w:r>
          </w:p>
        </w:tc>
        <w:tc>
          <w:tcPr>
            <w:tcW w:w="1474" w:type="dxa"/>
            <w:tcBorders>
              <w:top w:val="single" w:sz="4" w:space="0" w:color="auto"/>
              <w:bottom w:val="single" w:sz="12" w:space="0" w:color="auto"/>
            </w:tcBorders>
            <w:shd w:val="clear" w:color="auto" w:fill="auto"/>
            <w:vAlign w:val="bottom"/>
          </w:tcPr>
          <w:p w:rsidR="00674845" w:rsidRPr="009969F6" w:rsidRDefault="00674845" w:rsidP="009969F6">
            <w:pPr>
              <w:keepNext/>
              <w:keepLines/>
              <w:spacing w:before="80" w:after="80" w:line="200" w:lineRule="exact"/>
              <w:jc w:val="right"/>
              <w:rPr>
                <w:i/>
                <w:sz w:val="16"/>
                <w:lang w:val="fr-FR"/>
              </w:rPr>
            </w:pPr>
            <w:r w:rsidRPr="009969F6">
              <w:rPr>
                <w:i/>
                <w:sz w:val="16"/>
                <w:lang w:val="fr-FR"/>
              </w:rPr>
              <w:t>Écart type</w:t>
            </w:r>
          </w:p>
        </w:tc>
        <w:tc>
          <w:tcPr>
            <w:tcW w:w="1474" w:type="dxa"/>
            <w:tcBorders>
              <w:top w:val="single" w:sz="4" w:space="0" w:color="auto"/>
              <w:bottom w:val="single" w:sz="12" w:space="0" w:color="auto"/>
            </w:tcBorders>
            <w:shd w:val="clear" w:color="auto" w:fill="auto"/>
            <w:vAlign w:val="bottom"/>
          </w:tcPr>
          <w:p w:rsidR="00674845" w:rsidRPr="009969F6" w:rsidRDefault="00674845" w:rsidP="009969F6">
            <w:pPr>
              <w:keepNext/>
              <w:keepLines/>
              <w:spacing w:before="80" w:after="80" w:line="200" w:lineRule="exact"/>
              <w:jc w:val="right"/>
              <w:rPr>
                <w:i/>
                <w:sz w:val="16"/>
                <w:lang w:val="fr-FR"/>
              </w:rPr>
            </w:pPr>
            <w:r w:rsidRPr="009969F6">
              <w:rPr>
                <w:i/>
                <w:sz w:val="16"/>
                <w:lang w:val="fr-FR"/>
              </w:rPr>
              <w:t>Limite inférieure</w:t>
            </w:r>
          </w:p>
        </w:tc>
        <w:tc>
          <w:tcPr>
            <w:tcW w:w="1474" w:type="dxa"/>
            <w:tcBorders>
              <w:top w:val="single" w:sz="4" w:space="0" w:color="auto"/>
              <w:bottom w:val="single" w:sz="12" w:space="0" w:color="auto"/>
            </w:tcBorders>
            <w:shd w:val="clear" w:color="auto" w:fill="auto"/>
            <w:vAlign w:val="bottom"/>
          </w:tcPr>
          <w:p w:rsidR="00674845" w:rsidRPr="009969F6" w:rsidRDefault="00674845" w:rsidP="009969F6">
            <w:pPr>
              <w:keepNext/>
              <w:keepLines/>
              <w:spacing w:before="80" w:after="80" w:line="200" w:lineRule="exact"/>
              <w:jc w:val="right"/>
              <w:rPr>
                <w:i/>
                <w:sz w:val="16"/>
                <w:lang w:val="fr-FR"/>
              </w:rPr>
            </w:pPr>
            <w:r w:rsidRPr="009969F6">
              <w:rPr>
                <w:i/>
                <w:sz w:val="16"/>
                <w:lang w:val="fr-FR"/>
              </w:rPr>
              <w:t>Limite supérieure</w:t>
            </w:r>
          </w:p>
        </w:tc>
      </w:tr>
      <w:tr w:rsidR="00674845" w:rsidRPr="009969F6" w:rsidTr="009969F6">
        <w:tc>
          <w:tcPr>
            <w:tcW w:w="1474" w:type="dxa"/>
            <w:tcBorders>
              <w:top w:val="single" w:sz="12" w:space="0" w:color="auto"/>
            </w:tcBorders>
            <w:shd w:val="clear" w:color="auto" w:fill="auto"/>
            <w:vAlign w:val="bottom"/>
          </w:tcPr>
          <w:p w:rsidR="00674845" w:rsidRPr="009969F6" w:rsidRDefault="00674845" w:rsidP="009969F6">
            <w:pPr>
              <w:keepNext/>
              <w:keepLines/>
              <w:spacing w:before="40" w:after="40" w:line="220" w:lineRule="exact"/>
              <w:rPr>
                <w:sz w:val="18"/>
                <w:lang w:val="fr-FR"/>
              </w:rPr>
            </w:pPr>
            <w:r w:rsidRPr="009969F6">
              <w:rPr>
                <w:sz w:val="18"/>
                <w:lang w:val="fr-FR"/>
              </w:rPr>
              <w:t>Juin 2010</w:t>
            </w:r>
          </w:p>
        </w:tc>
        <w:tc>
          <w:tcPr>
            <w:tcW w:w="1474" w:type="dxa"/>
            <w:tcBorders>
              <w:top w:val="single" w:sz="12" w:space="0" w:color="auto"/>
            </w:tcBorders>
            <w:shd w:val="clear" w:color="auto" w:fill="auto"/>
            <w:vAlign w:val="bottom"/>
          </w:tcPr>
          <w:p w:rsidR="00674845" w:rsidRPr="009969F6" w:rsidRDefault="00674845" w:rsidP="009969F6">
            <w:pPr>
              <w:keepNext/>
              <w:keepLines/>
              <w:spacing w:before="40" w:after="40" w:line="220" w:lineRule="exact"/>
              <w:jc w:val="right"/>
              <w:rPr>
                <w:sz w:val="18"/>
                <w:lang w:val="fr-FR"/>
              </w:rPr>
            </w:pPr>
            <w:r w:rsidRPr="009969F6">
              <w:rPr>
                <w:sz w:val="18"/>
                <w:lang w:val="fr-FR"/>
              </w:rPr>
              <w:t>52,89 %</w:t>
            </w:r>
          </w:p>
        </w:tc>
        <w:tc>
          <w:tcPr>
            <w:tcW w:w="1474" w:type="dxa"/>
            <w:tcBorders>
              <w:top w:val="single" w:sz="12" w:space="0" w:color="auto"/>
            </w:tcBorders>
            <w:shd w:val="clear" w:color="auto" w:fill="auto"/>
            <w:vAlign w:val="bottom"/>
          </w:tcPr>
          <w:p w:rsidR="00674845" w:rsidRPr="009969F6" w:rsidRDefault="00674845" w:rsidP="009969F6">
            <w:pPr>
              <w:keepNext/>
              <w:keepLines/>
              <w:spacing w:before="40" w:after="40" w:line="220" w:lineRule="exact"/>
              <w:jc w:val="right"/>
              <w:rPr>
                <w:sz w:val="18"/>
                <w:lang w:val="fr-FR"/>
              </w:rPr>
            </w:pPr>
            <w:r w:rsidRPr="009969F6">
              <w:rPr>
                <w:sz w:val="18"/>
                <w:lang w:val="fr-FR"/>
              </w:rPr>
              <w:t>1,09 %</w:t>
            </w:r>
          </w:p>
        </w:tc>
        <w:tc>
          <w:tcPr>
            <w:tcW w:w="1474" w:type="dxa"/>
            <w:tcBorders>
              <w:top w:val="single" w:sz="12" w:space="0" w:color="auto"/>
            </w:tcBorders>
            <w:shd w:val="clear" w:color="auto" w:fill="auto"/>
            <w:vAlign w:val="bottom"/>
          </w:tcPr>
          <w:p w:rsidR="00674845" w:rsidRPr="009969F6" w:rsidRDefault="00674845" w:rsidP="009969F6">
            <w:pPr>
              <w:keepNext/>
              <w:keepLines/>
              <w:spacing w:before="40" w:after="40" w:line="220" w:lineRule="exact"/>
              <w:jc w:val="right"/>
              <w:rPr>
                <w:sz w:val="18"/>
                <w:lang w:val="fr-FR"/>
              </w:rPr>
            </w:pPr>
            <w:r w:rsidRPr="009969F6">
              <w:rPr>
                <w:sz w:val="18"/>
                <w:lang w:val="fr-FR"/>
              </w:rPr>
              <w:t>50,75 %</w:t>
            </w:r>
          </w:p>
        </w:tc>
        <w:tc>
          <w:tcPr>
            <w:tcW w:w="1474" w:type="dxa"/>
            <w:tcBorders>
              <w:top w:val="single" w:sz="12" w:space="0" w:color="auto"/>
            </w:tcBorders>
            <w:shd w:val="clear" w:color="auto" w:fill="auto"/>
            <w:vAlign w:val="bottom"/>
          </w:tcPr>
          <w:p w:rsidR="00674845" w:rsidRPr="009969F6" w:rsidRDefault="00674845" w:rsidP="009969F6">
            <w:pPr>
              <w:keepNext/>
              <w:keepLines/>
              <w:spacing w:before="40" w:after="40" w:line="220" w:lineRule="exact"/>
              <w:jc w:val="right"/>
              <w:rPr>
                <w:sz w:val="18"/>
                <w:lang w:val="fr-FR"/>
              </w:rPr>
            </w:pPr>
            <w:r w:rsidRPr="009969F6">
              <w:rPr>
                <w:sz w:val="18"/>
                <w:lang w:val="fr-FR"/>
              </w:rPr>
              <w:t>55,02 %</w:t>
            </w:r>
          </w:p>
        </w:tc>
      </w:tr>
      <w:tr w:rsidR="00674845" w:rsidRPr="009969F6" w:rsidTr="009969F6">
        <w:tc>
          <w:tcPr>
            <w:tcW w:w="1474" w:type="dxa"/>
            <w:tcBorders>
              <w:bottom w:val="single" w:sz="12" w:space="0" w:color="auto"/>
            </w:tcBorders>
            <w:shd w:val="clear" w:color="auto" w:fill="auto"/>
            <w:vAlign w:val="bottom"/>
          </w:tcPr>
          <w:p w:rsidR="00674845" w:rsidRPr="009969F6" w:rsidRDefault="00674845" w:rsidP="009969F6">
            <w:pPr>
              <w:keepNext/>
              <w:keepLines/>
              <w:spacing w:before="40" w:after="40" w:line="220" w:lineRule="exact"/>
              <w:rPr>
                <w:sz w:val="18"/>
                <w:lang w:val="fr-FR"/>
              </w:rPr>
            </w:pPr>
            <w:r w:rsidRPr="009969F6">
              <w:rPr>
                <w:sz w:val="18"/>
                <w:lang w:val="fr-FR"/>
              </w:rPr>
              <w:t>Décembre 2010</w:t>
            </w:r>
          </w:p>
        </w:tc>
        <w:tc>
          <w:tcPr>
            <w:tcW w:w="1474" w:type="dxa"/>
            <w:tcBorders>
              <w:bottom w:val="single" w:sz="12" w:space="0" w:color="auto"/>
            </w:tcBorders>
            <w:shd w:val="clear" w:color="auto" w:fill="auto"/>
            <w:vAlign w:val="bottom"/>
          </w:tcPr>
          <w:p w:rsidR="00674845" w:rsidRPr="009969F6" w:rsidRDefault="00674845" w:rsidP="009969F6">
            <w:pPr>
              <w:keepNext/>
              <w:keepLines/>
              <w:spacing w:before="40" w:after="40" w:line="220" w:lineRule="exact"/>
              <w:jc w:val="right"/>
              <w:rPr>
                <w:sz w:val="18"/>
                <w:lang w:val="fr-FR"/>
              </w:rPr>
            </w:pPr>
            <w:r w:rsidRPr="009969F6">
              <w:rPr>
                <w:sz w:val="18"/>
                <w:lang w:val="fr-FR"/>
              </w:rPr>
              <w:t>52,96 %</w:t>
            </w:r>
          </w:p>
        </w:tc>
        <w:tc>
          <w:tcPr>
            <w:tcW w:w="1474" w:type="dxa"/>
            <w:tcBorders>
              <w:bottom w:val="single" w:sz="12" w:space="0" w:color="auto"/>
            </w:tcBorders>
            <w:shd w:val="clear" w:color="auto" w:fill="auto"/>
            <w:vAlign w:val="bottom"/>
          </w:tcPr>
          <w:p w:rsidR="00674845" w:rsidRPr="009969F6" w:rsidRDefault="00674845" w:rsidP="009969F6">
            <w:pPr>
              <w:keepNext/>
              <w:keepLines/>
              <w:spacing w:before="40" w:after="40" w:line="220" w:lineRule="exact"/>
              <w:jc w:val="right"/>
              <w:rPr>
                <w:sz w:val="18"/>
                <w:lang w:val="fr-FR"/>
              </w:rPr>
            </w:pPr>
            <w:r w:rsidRPr="009969F6">
              <w:rPr>
                <w:sz w:val="18"/>
                <w:lang w:val="fr-FR"/>
              </w:rPr>
              <w:t>1,01 %</w:t>
            </w:r>
          </w:p>
        </w:tc>
        <w:tc>
          <w:tcPr>
            <w:tcW w:w="1474" w:type="dxa"/>
            <w:tcBorders>
              <w:bottom w:val="single" w:sz="12" w:space="0" w:color="auto"/>
            </w:tcBorders>
            <w:shd w:val="clear" w:color="auto" w:fill="auto"/>
            <w:vAlign w:val="bottom"/>
          </w:tcPr>
          <w:p w:rsidR="00674845" w:rsidRPr="009969F6" w:rsidRDefault="00674845" w:rsidP="009969F6">
            <w:pPr>
              <w:keepNext/>
              <w:keepLines/>
              <w:spacing w:before="40" w:after="40" w:line="220" w:lineRule="exact"/>
              <w:jc w:val="right"/>
              <w:rPr>
                <w:sz w:val="18"/>
                <w:lang w:val="fr-FR"/>
              </w:rPr>
            </w:pPr>
            <w:r w:rsidRPr="009969F6">
              <w:rPr>
                <w:sz w:val="18"/>
                <w:lang w:val="fr-FR"/>
              </w:rPr>
              <w:t>50,96 %</w:t>
            </w:r>
          </w:p>
        </w:tc>
        <w:tc>
          <w:tcPr>
            <w:tcW w:w="1474" w:type="dxa"/>
            <w:tcBorders>
              <w:bottom w:val="single" w:sz="12" w:space="0" w:color="auto"/>
            </w:tcBorders>
            <w:shd w:val="clear" w:color="auto" w:fill="auto"/>
            <w:vAlign w:val="bottom"/>
          </w:tcPr>
          <w:p w:rsidR="00674845" w:rsidRPr="009969F6" w:rsidRDefault="00674845" w:rsidP="009969F6">
            <w:pPr>
              <w:keepNext/>
              <w:keepLines/>
              <w:spacing w:before="40" w:after="40" w:line="220" w:lineRule="exact"/>
              <w:jc w:val="right"/>
              <w:rPr>
                <w:sz w:val="18"/>
                <w:lang w:val="fr-FR"/>
              </w:rPr>
            </w:pPr>
            <w:r w:rsidRPr="009969F6">
              <w:rPr>
                <w:sz w:val="18"/>
                <w:lang w:val="fr-FR"/>
              </w:rPr>
              <w:t>54,94 %</w:t>
            </w:r>
          </w:p>
        </w:tc>
      </w:tr>
    </w:tbl>
    <w:p w:rsidR="00674845" w:rsidRPr="00EA05B3" w:rsidRDefault="000E632B" w:rsidP="000E632B">
      <w:pPr>
        <w:pStyle w:val="SingleTxtG"/>
        <w:spacing w:before="120" w:after="240"/>
        <w:ind w:firstLine="170"/>
        <w:rPr>
          <w:lang w:val="fr-FR"/>
        </w:rPr>
      </w:pPr>
      <w:r w:rsidRPr="00EA05B3">
        <w:rPr>
          <w:i/>
          <w:sz w:val="18"/>
          <w:szCs w:val="18"/>
          <w:lang w:val="fr-FR"/>
        </w:rPr>
        <w:t>Source</w:t>
      </w:r>
      <w:r w:rsidRPr="00EA05B3">
        <w:rPr>
          <w:sz w:val="18"/>
          <w:szCs w:val="18"/>
          <w:lang w:val="fr-FR"/>
        </w:rPr>
        <w:t>: INEC et SENPLADES 2010.</w:t>
      </w:r>
    </w:p>
    <w:p w:rsidR="00D60A11" w:rsidRPr="00EA05B3" w:rsidRDefault="005059C0" w:rsidP="005059C0">
      <w:pPr>
        <w:pStyle w:val="H1G"/>
        <w:rPr>
          <w:lang w:val="fr-FR"/>
        </w:rPr>
      </w:pPr>
      <w:bookmarkStart w:id="18" w:name="_Toc392676782"/>
      <w:r w:rsidRPr="00EA05B3">
        <w:rPr>
          <w:lang w:val="fr-FR"/>
        </w:rPr>
        <w:tab/>
        <w:t>E.</w:t>
      </w:r>
      <w:r w:rsidRPr="00EA05B3">
        <w:rPr>
          <w:lang w:val="fr-FR"/>
        </w:rPr>
        <w:tab/>
        <w:t>Droits liés au travail</w:t>
      </w:r>
      <w:bookmarkEnd w:id="18"/>
    </w:p>
    <w:p w:rsidR="00D60A11" w:rsidRPr="00EA05B3" w:rsidRDefault="00FD0043" w:rsidP="00537986">
      <w:pPr>
        <w:pStyle w:val="SingleTxtG"/>
        <w:rPr>
          <w:lang w:val="fr-FR"/>
        </w:rPr>
      </w:pPr>
      <w:r w:rsidRPr="00EA05B3">
        <w:rPr>
          <w:lang w:val="fr-FR"/>
        </w:rPr>
        <w:t>133.</w:t>
      </w:r>
      <w:r w:rsidRPr="00EA05B3">
        <w:rPr>
          <w:lang w:val="fr-FR"/>
        </w:rPr>
        <w:tab/>
      </w:r>
      <w:r w:rsidR="00D60A11" w:rsidRPr="00EA05B3">
        <w:rPr>
          <w:lang w:val="fr-FR"/>
        </w:rPr>
        <w:t>Le revenu par habitant a augmenté en moyenne de 0,8</w:t>
      </w:r>
      <w:r w:rsidR="009379A7" w:rsidRPr="00EA05B3">
        <w:rPr>
          <w:lang w:val="fr-FR"/>
        </w:rPr>
        <w:t> %</w:t>
      </w:r>
      <w:r w:rsidR="00D60A11" w:rsidRPr="00EA05B3">
        <w:rPr>
          <w:lang w:val="fr-FR"/>
        </w:rPr>
        <w:t xml:space="preserve"> par an entre 1982 et 2006. Pendant la période 2006-2011, il a progressé presque 6 fois plus vite, à raison de 4,6</w:t>
      </w:r>
      <w:r w:rsidR="009379A7" w:rsidRPr="00EA05B3">
        <w:rPr>
          <w:lang w:val="fr-FR"/>
        </w:rPr>
        <w:t> %</w:t>
      </w:r>
      <w:r w:rsidR="00D60A11" w:rsidRPr="00EA05B3">
        <w:rPr>
          <w:lang w:val="fr-FR"/>
        </w:rPr>
        <w:t xml:space="preserve"> par an</w:t>
      </w:r>
      <w:r w:rsidR="0050005C" w:rsidRPr="00EA05B3">
        <w:rPr>
          <w:lang w:val="fr-FR"/>
        </w:rPr>
        <w:t>,</w:t>
      </w:r>
      <w:r w:rsidR="00D60A11" w:rsidRPr="00EA05B3">
        <w:rPr>
          <w:lang w:val="fr-FR"/>
        </w:rPr>
        <w:t xml:space="preserve"> malgré une certaine baisse due à la crise financière internationale qui a éclaté en 2008. Cette croissance est essentiellement corrélée à </w:t>
      </w:r>
      <w:r w:rsidR="009379A7" w:rsidRPr="00EA05B3">
        <w:rPr>
          <w:lang w:val="fr-FR"/>
        </w:rPr>
        <w:t>l’</w:t>
      </w:r>
      <w:r w:rsidR="00D60A11" w:rsidRPr="00EA05B3">
        <w:rPr>
          <w:lang w:val="fr-FR"/>
        </w:rPr>
        <w:t xml:space="preserve">évolution favorable du prix du pétrole et autres bien </w:t>
      </w:r>
      <w:r w:rsidR="009379A7" w:rsidRPr="00EA05B3">
        <w:rPr>
          <w:lang w:val="fr-FR"/>
        </w:rPr>
        <w:t>d’</w:t>
      </w:r>
      <w:r w:rsidR="00D60A11" w:rsidRPr="00EA05B3">
        <w:rPr>
          <w:lang w:val="fr-FR"/>
        </w:rPr>
        <w:t xml:space="preserve">exportation et à </w:t>
      </w:r>
      <w:r w:rsidR="009379A7" w:rsidRPr="00EA05B3">
        <w:rPr>
          <w:lang w:val="fr-FR"/>
        </w:rPr>
        <w:t>l’</w:t>
      </w:r>
      <w:r w:rsidR="00D60A11" w:rsidRPr="00EA05B3">
        <w:rPr>
          <w:lang w:val="fr-FR"/>
        </w:rPr>
        <w:t>augmentation des fonds envoyés par les migrants équatoriens</w:t>
      </w:r>
      <w:r w:rsidR="0050005C" w:rsidRPr="00EA05B3">
        <w:rPr>
          <w:lang w:val="fr-FR"/>
        </w:rPr>
        <w:t xml:space="preserve"> résidant</w:t>
      </w:r>
      <w:r w:rsidR="00D60A11" w:rsidRPr="00EA05B3">
        <w:rPr>
          <w:lang w:val="fr-FR"/>
        </w:rPr>
        <w:t xml:space="preserve"> à </w:t>
      </w:r>
      <w:r w:rsidR="009379A7" w:rsidRPr="00EA05B3">
        <w:rPr>
          <w:lang w:val="fr-FR"/>
        </w:rPr>
        <w:t>l’</w:t>
      </w:r>
      <w:r w:rsidR="00D60A11" w:rsidRPr="00EA05B3">
        <w:rPr>
          <w:lang w:val="fr-FR"/>
        </w:rPr>
        <w:t>étranger, même si leur montant a commencé à baisser en 2009, en conséquence de la crise qui sévit aux États Unis et en Espagne, principales destinations des migrants équatoriens.</w:t>
      </w:r>
    </w:p>
    <w:p w:rsidR="00D60A11" w:rsidRPr="00EA05B3" w:rsidRDefault="00404F22" w:rsidP="00537986">
      <w:pPr>
        <w:pStyle w:val="SingleTxtG"/>
        <w:rPr>
          <w:lang w:val="fr-FR"/>
        </w:rPr>
      </w:pPr>
      <w:r w:rsidRPr="00EA05B3">
        <w:rPr>
          <w:lang w:val="fr-FR"/>
        </w:rPr>
        <w:t>134.</w:t>
      </w:r>
      <w:r w:rsidRPr="00EA05B3">
        <w:rPr>
          <w:lang w:val="fr-FR"/>
        </w:rPr>
        <w:tab/>
      </w:r>
      <w:r w:rsidR="00D60A11" w:rsidRPr="00EA05B3">
        <w:rPr>
          <w:lang w:val="fr-FR"/>
        </w:rPr>
        <w:t xml:space="preserve">En prenant appui sur les droits reconnus par la Constitution de 2008, le Plan national pour le bien-vivre 2009-2013 vise notamment à </w:t>
      </w:r>
      <w:r w:rsidR="00B15670" w:rsidRPr="00EA05B3">
        <w:rPr>
          <w:lang w:val="fr-FR"/>
        </w:rPr>
        <w:t>«</w:t>
      </w:r>
      <w:r w:rsidR="00D60A11" w:rsidRPr="00EA05B3">
        <w:rPr>
          <w:lang w:val="fr-FR"/>
        </w:rPr>
        <w:t>garantir un travail stable, juste et digne, sous ses différentes formes</w:t>
      </w:r>
      <w:r w:rsidR="00B15670" w:rsidRPr="00EA05B3">
        <w:rPr>
          <w:lang w:val="fr-FR"/>
        </w:rPr>
        <w:t>»</w:t>
      </w:r>
      <w:r w:rsidR="00D60A11" w:rsidRPr="00EA05B3">
        <w:rPr>
          <w:lang w:val="fr-FR"/>
        </w:rPr>
        <w:t xml:space="preserve"> (objectif 6)</w:t>
      </w:r>
      <w:r w:rsidR="00D60A11" w:rsidRPr="00EA05B3">
        <w:rPr>
          <w:rStyle w:val="FootnoteReference"/>
          <w:lang w:val="fr-FR"/>
        </w:rPr>
        <w:footnoteReference w:id="46"/>
      </w:r>
      <w:r w:rsidR="00D60A11" w:rsidRPr="00EA05B3">
        <w:rPr>
          <w:lang w:val="fr-FR"/>
        </w:rPr>
        <w:t xml:space="preserve">. </w:t>
      </w:r>
    </w:p>
    <w:p w:rsidR="00D60A11" w:rsidRPr="00EA05B3" w:rsidRDefault="00404F22" w:rsidP="00537986">
      <w:pPr>
        <w:pStyle w:val="SingleTxtG"/>
        <w:rPr>
          <w:lang w:val="fr-FR"/>
        </w:rPr>
      </w:pPr>
      <w:r w:rsidRPr="00EA05B3">
        <w:rPr>
          <w:lang w:val="fr-FR"/>
        </w:rPr>
        <w:t>135.</w:t>
      </w:r>
      <w:r w:rsidRPr="00EA05B3">
        <w:rPr>
          <w:lang w:val="fr-FR"/>
        </w:rPr>
        <w:tab/>
      </w:r>
      <w:r w:rsidR="00D60A11" w:rsidRPr="00EA05B3">
        <w:rPr>
          <w:lang w:val="fr-FR"/>
        </w:rPr>
        <w:t xml:space="preserve">Bien que des progrès importants aient été accomplis en la matière, il demeure encore des inégalités et des écarts sensibles au détriment de divers groupes de population </w:t>
      </w:r>
      <w:r w:rsidR="0050005C" w:rsidRPr="00EA05B3">
        <w:rPr>
          <w:lang w:val="fr-FR"/>
        </w:rPr>
        <w:t xml:space="preserve">en ce qui concerne des paramètres tels que </w:t>
      </w:r>
      <w:r w:rsidR="009379A7" w:rsidRPr="00EA05B3">
        <w:rPr>
          <w:lang w:val="fr-FR"/>
        </w:rPr>
        <w:t>l’</w:t>
      </w:r>
      <w:r w:rsidR="00D60A11" w:rsidRPr="00EA05B3">
        <w:rPr>
          <w:lang w:val="fr-FR"/>
        </w:rPr>
        <w:t xml:space="preserve">âge, le sexe, le lieu de résidence et/ou </w:t>
      </w:r>
      <w:r w:rsidR="009379A7" w:rsidRPr="00EA05B3">
        <w:rPr>
          <w:lang w:val="fr-FR"/>
        </w:rPr>
        <w:t>l’</w:t>
      </w:r>
      <w:r w:rsidR="00D60A11" w:rsidRPr="00EA05B3">
        <w:rPr>
          <w:lang w:val="fr-FR"/>
        </w:rPr>
        <w:t>appartenance ethnique.</w:t>
      </w:r>
    </w:p>
    <w:p w:rsidR="00D60A11" w:rsidRPr="00EA05B3" w:rsidRDefault="000E632B" w:rsidP="00537986">
      <w:pPr>
        <w:pStyle w:val="SingleTxtG"/>
        <w:rPr>
          <w:lang w:val="fr-FR"/>
        </w:rPr>
      </w:pPr>
      <w:r w:rsidRPr="00EA05B3">
        <w:rPr>
          <w:lang w:val="fr-FR"/>
        </w:rPr>
        <w:t>136.</w:t>
      </w:r>
      <w:r w:rsidRPr="00EA05B3">
        <w:rPr>
          <w:lang w:val="fr-FR"/>
        </w:rPr>
        <w:tab/>
      </w:r>
      <w:r w:rsidR="00D60A11" w:rsidRPr="00EA05B3">
        <w:rPr>
          <w:lang w:val="fr-FR"/>
        </w:rPr>
        <w:t xml:space="preserve">Le redressement de </w:t>
      </w:r>
      <w:r w:rsidR="009379A7" w:rsidRPr="00EA05B3">
        <w:rPr>
          <w:lang w:val="fr-FR"/>
        </w:rPr>
        <w:t>l’</w:t>
      </w:r>
      <w:r w:rsidR="00D60A11" w:rsidRPr="00EA05B3">
        <w:rPr>
          <w:lang w:val="fr-FR"/>
        </w:rPr>
        <w:t xml:space="preserve">économie et du marché du travail a commencé en 2000, au moment de la crise interne de la fin des années </w:t>
      </w:r>
      <w:r w:rsidR="00AA11F3" w:rsidRPr="00EA05B3">
        <w:rPr>
          <w:lang w:val="fr-FR"/>
        </w:rPr>
        <w:t>19</w:t>
      </w:r>
      <w:r w:rsidR="00D60A11" w:rsidRPr="00EA05B3">
        <w:rPr>
          <w:lang w:val="fr-FR"/>
        </w:rPr>
        <w:t xml:space="preserve">90, et </w:t>
      </w:r>
      <w:r w:rsidR="009379A7" w:rsidRPr="00EA05B3">
        <w:rPr>
          <w:lang w:val="fr-FR"/>
        </w:rPr>
        <w:t>s’</w:t>
      </w:r>
      <w:r w:rsidR="00D60A11" w:rsidRPr="00EA05B3">
        <w:rPr>
          <w:lang w:val="fr-FR"/>
        </w:rPr>
        <w:t>est poursuivi et renforcé à partir de 2007,</w:t>
      </w:r>
      <w:r w:rsidR="000D57A5" w:rsidRPr="00EA05B3">
        <w:rPr>
          <w:lang w:val="fr-FR"/>
        </w:rPr>
        <w:t xml:space="preserve"> </w:t>
      </w:r>
      <w:r w:rsidR="00D60A11" w:rsidRPr="00EA05B3">
        <w:rPr>
          <w:lang w:val="fr-FR"/>
        </w:rPr>
        <w:t xml:space="preserve">avec les changements de modèle économique et </w:t>
      </w:r>
      <w:r w:rsidR="009379A7" w:rsidRPr="00EA05B3">
        <w:rPr>
          <w:lang w:val="fr-FR"/>
        </w:rPr>
        <w:t>l’</w:t>
      </w:r>
      <w:r w:rsidR="00D60A11" w:rsidRPr="00EA05B3">
        <w:rPr>
          <w:lang w:val="fr-FR"/>
        </w:rPr>
        <w:t>adoption de politiques visant à améliorer les conditions de vie de la population et le marché du travail.</w:t>
      </w:r>
    </w:p>
    <w:p w:rsidR="00D60A11" w:rsidRPr="00EA05B3" w:rsidRDefault="000E632B" w:rsidP="00537986">
      <w:pPr>
        <w:pStyle w:val="SingleTxtG"/>
        <w:rPr>
          <w:lang w:val="fr-FR"/>
        </w:rPr>
      </w:pPr>
      <w:r w:rsidRPr="00EA05B3">
        <w:rPr>
          <w:lang w:val="fr-FR"/>
        </w:rPr>
        <w:t>137.</w:t>
      </w:r>
      <w:r w:rsidRPr="00EA05B3">
        <w:rPr>
          <w:lang w:val="fr-FR"/>
        </w:rPr>
        <w:tab/>
      </w:r>
      <w:r w:rsidR="009379A7" w:rsidRPr="00EA05B3">
        <w:rPr>
          <w:lang w:val="fr-FR"/>
        </w:rPr>
        <w:t>L’</w:t>
      </w:r>
      <w:r w:rsidR="00D60A11" w:rsidRPr="00EA05B3">
        <w:rPr>
          <w:lang w:val="fr-FR"/>
        </w:rPr>
        <w:t xml:space="preserve">amélioration de </w:t>
      </w:r>
      <w:r w:rsidR="009379A7" w:rsidRPr="00EA05B3">
        <w:rPr>
          <w:lang w:val="fr-FR"/>
        </w:rPr>
        <w:t>l’</w:t>
      </w:r>
      <w:r w:rsidR="00D60A11" w:rsidRPr="00EA05B3">
        <w:rPr>
          <w:lang w:val="fr-FR"/>
        </w:rPr>
        <w:t>activité économique de la population active (PEA) a marqué une pause en 2008 et 2009 mais a repris les années suivantes selon la même tendance.</w:t>
      </w:r>
    </w:p>
    <w:p w:rsidR="00D60A11" w:rsidRPr="00EA05B3" w:rsidRDefault="000E632B" w:rsidP="00537986">
      <w:pPr>
        <w:pStyle w:val="SingleTxtG"/>
        <w:rPr>
          <w:lang w:val="fr-FR"/>
        </w:rPr>
      </w:pPr>
      <w:r w:rsidRPr="00EA05B3">
        <w:rPr>
          <w:lang w:val="fr-FR"/>
        </w:rPr>
        <w:t>138.</w:t>
      </w:r>
      <w:r w:rsidRPr="00EA05B3">
        <w:rPr>
          <w:lang w:val="fr-FR"/>
        </w:rPr>
        <w:tab/>
      </w:r>
      <w:r w:rsidR="009379A7" w:rsidRPr="00EA05B3">
        <w:rPr>
          <w:lang w:val="fr-FR"/>
        </w:rPr>
        <w:t>D’</w:t>
      </w:r>
      <w:r w:rsidR="00D60A11" w:rsidRPr="00EA05B3">
        <w:rPr>
          <w:lang w:val="fr-FR"/>
        </w:rPr>
        <w:t xml:space="preserve">après les enquêtes réalisées par </w:t>
      </w:r>
      <w:r w:rsidR="009379A7" w:rsidRPr="00EA05B3">
        <w:rPr>
          <w:lang w:val="fr-FR"/>
        </w:rPr>
        <w:t>l’</w:t>
      </w:r>
      <w:r w:rsidR="00D60A11" w:rsidRPr="00EA05B3">
        <w:rPr>
          <w:lang w:val="fr-FR"/>
        </w:rPr>
        <w:t>INEC, en mars 2010, le chômage touchait 9,1</w:t>
      </w:r>
      <w:r w:rsidR="009379A7" w:rsidRPr="00EA05B3">
        <w:rPr>
          <w:lang w:val="fr-FR"/>
        </w:rPr>
        <w:t> %</w:t>
      </w:r>
      <w:r w:rsidR="00D60A11" w:rsidRPr="00EA05B3">
        <w:rPr>
          <w:lang w:val="fr-FR"/>
        </w:rPr>
        <w:t xml:space="preserve"> de la population active en milieu urbain, ce qui représente une augmentation de 0,5</w:t>
      </w:r>
      <w:r w:rsidR="009379A7" w:rsidRPr="00EA05B3">
        <w:rPr>
          <w:lang w:val="fr-FR"/>
        </w:rPr>
        <w:t> %</w:t>
      </w:r>
      <w:r w:rsidR="00D60A11" w:rsidRPr="00EA05B3">
        <w:rPr>
          <w:lang w:val="fr-FR"/>
        </w:rPr>
        <w:t xml:space="preserve"> par rapport à </w:t>
      </w:r>
      <w:r w:rsidR="009379A7" w:rsidRPr="00EA05B3">
        <w:rPr>
          <w:lang w:val="fr-FR"/>
        </w:rPr>
        <w:t>l’</w:t>
      </w:r>
      <w:r w:rsidR="00D60A11" w:rsidRPr="00EA05B3">
        <w:rPr>
          <w:lang w:val="fr-FR"/>
        </w:rPr>
        <w:t>année précédente. Le taux de chômage était beaucoup plus élevé chez les femmes (11,6</w:t>
      </w:r>
      <w:r w:rsidR="009379A7" w:rsidRPr="00EA05B3">
        <w:rPr>
          <w:lang w:val="fr-FR"/>
        </w:rPr>
        <w:t> %</w:t>
      </w:r>
      <w:r w:rsidR="00D60A11" w:rsidRPr="00EA05B3">
        <w:rPr>
          <w:lang w:val="fr-FR"/>
        </w:rPr>
        <w:t>) que chez les hommes (7,2</w:t>
      </w:r>
      <w:r w:rsidR="009379A7" w:rsidRPr="00EA05B3">
        <w:rPr>
          <w:lang w:val="fr-FR"/>
        </w:rPr>
        <w:t> %</w:t>
      </w:r>
      <w:r w:rsidR="00D60A11" w:rsidRPr="00EA05B3">
        <w:rPr>
          <w:lang w:val="fr-FR"/>
        </w:rPr>
        <w:t>). En outre, 51,3</w:t>
      </w:r>
      <w:r w:rsidR="009379A7" w:rsidRPr="00EA05B3">
        <w:rPr>
          <w:lang w:val="fr-FR"/>
        </w:rPr>
        <w:t> %</w:t>
      </w:r>
      <w:r w:rsidR="00D60A11" w:rsidRPr="00EA05B3">
        <w:rPr>
          <w:lang w:val="fr-FR"/>
        </w:rPr>
        <w:t xml:space="preserve"> de la population active était en situation de sous-emploi alors que 37,6</w:t>
      </w:r>
      <w:r w:rsidR="009379A7" w:rsidRPr="00EA05B3">
        <w:rPr>
          <w:lang w:val="fr-FR"/>
        </w:rPr>
        <w:t> %</w:t>
      </w:r>
      <w:r w:rsidR="00D60A11" w:rsidRPr="00EA05B3">
        <w:rPr>
          <w:lang w:val="fr-FR"/>
        </w:rPr>
        <w:t xml:space="preserve"> seulement travaillait à temps plein. À noter toutefois que ces deux derniers indicateurs étaient en baisse par rapport à mars 2009.</w:t>
      </w:r>
    </w:p>
    <w:p w:rsidR="00D60A11" w:rsidRPr="00EA05B3" w:rsidRDefault="000E632B" w:rsidP="00537986">
      <w:pPr>
        <w:pStyle w:val="SingleTxtG"/>
        <w:rPr>
          <w:lang w:val="fr-FR"/>
        </w:rPr>
      </w:pPr>
      <w:r w:rsidRPr="00EA05B3">
        <w:rPr>
          <w:lang w:val="fr-FR"/>
        </w:rPr>
        <w:t>139.</w:t>
      </w:r>
      <w:r w:rsidRPr="00EA05B3">
        <w:rPr>
          <w:lang w:val="fr-FR"/>
        </w:rPr>
        <w:tab/>
      </w:r>
      <w:r w:rsidR="00D60A11" w:rsidRPr="00EA05B3">
        <w:rPr>
          <w:lang w:val="fr-FR"/>
        </w:rPr>
        <w:t xml:space="preserve">Si </w:t>
      </w:r>
      <w:r w:rsidR="009379A7" w:rsidRPr="00EA05B3">
        <w:rPr>
          <w:lang w:val="fr-FR"/>
        </w:rPr>
        <w:t>l’</w:t>
      </w:r>
      <w:r w:rsidR="00D60A11" w:rsidRPr="00EA05B3">
        <w:rPr>
          <w:lang w:val="fr-FR"/>
        </w:rPr>
        <w:t>on considère les actifs occupés (personnes occupées à temps plein, plus personnes en situation de sous-emploi)</w:t>
      </w:r>
      <w:r w:rsidR="0050005C" w:rsidRPr="00EA05B3">
        <w:rPr>
          <w:lang w:val="fr-FR"/>
        </w:rPr>
        <w:t>,</w:t>
      </w:r>
      <w:r w:rsidR="00D60A11" w:rsidRPr="00EA05B3">
        <w:rPr>
          <w:lang w:val="fr-FR"/>
        </w:rPr>
        <w:t xml:space="preserve"> la part du secteur informel (43,4</w:t>
      </w:r>
      <w:r w:rsidR="009379A7" w:rsidRPr="00EA05B3">
        <w:rPr>
          <w:lang w:val="fr-FR"/>
        </w:rPr>
        <w:t> %</w:t>
      </w:r>
      <w:r w:rsidR="00D60A11" w:rsidRPr="00EA05B3">
        <w:rPr>
          <w:lang w:val="fr-FR"/>
        </w:rPr>
        <w:t>) demeure plus importante que celle du secteur formel (39,4</w:t>
      </w:r>
      <w:r w:rsidR="009379A7" w:rsidRPr="00EA05B3">
        <w:rPr>
          <w:lang w:val="fr-FR"/>
        </w:rPr>
        <w:t> %</w:t>
      </w:r>
      <w:r w:rsidR="00D60A11" w:rsidRPr="00EA05B3">
        <w:rPr>
          <w:lang w:val="fr-FR"/>
        </w:rPr>
        <w:t xml:space="preserve">). Les deux branches </w:t>
      </w:r>
      <w:r w:rsidR="009379A7" w:rsidRPr="00EA05B3">
        <w:rPr>
          <w:lang w:val="fr-FR"/>
        </w:rPr>
        <w:t>d’</w:t>
      </w:r>
      <w:r w:rsidR="00D60A11" w:rsidRPr="00EA05B3">
        <w:rPr>
          <w:lang w:val="fr-FR"/>
        </w:rPr>
        <w:t xml:space="preserve">activité qui enregistrent le plus fort taux </w:t>
      </w:r>
      <w:r w:rsidR="009379A7" w:rsidRPr="00EA05B3">
        <w:rPr>
          <w:lang w:val="fr-FR"/>
        </w:rPr>
        <w:t>d’</w:t>
      </w:r>
      <w:r w:rsidR="00D60A11" w:rsidRPr="00EA05B3">
        <w:rPr>
          <w:lang w:val="fr-FR"/>
        </w:rPr>
        <w:t>occupation sont le commerce (26,6</w:t>
      </w:r>
      <w:r w:rsidR="009379A7" w:rsidRPr="00EA05B3">
        <w:rPr>
          <w:lang w:val="fr-FR"/>
        </w:rPr>
        <w:t> %</w:t>
      </w:r>
      <w:r w:rsidR="00D60A11" w:rsidRPr="00EA05B3">
        <w:rPr>
          <w:lang w:val="fr-FR"/>
        </w:rPr>
        <w:t xml:space="preserve">) et </w:t>
      </w:r>
      <w:r w:rsidR="009379A7" w:rsidRPr="00EA05B3">
        <w:rPr>
          <w:lang w:val="fr-FR"/>
        </w:rPr>
        <w:t>l’</w:t>
      </w:r>
      <w:r w:rsidR="00D60A11" w:rsidRPr="00EA05B3">
        <w:rPr>
          <w:lang w:val="fr-FR"/>
        </w:rPr>
        <w:t>industrie (13,9</w:t>
      </w:r>
      <w:r w:rsidR="009379A7" w:rsidRPr="00EA05B3">
        <w:rPr>
          <w:lang w:val="fr-FR"/>
        </w:rPr>
        <w:t> %</w:t>
      </w:r>
      <w:r w:rsidR="00D60A11" w:rsidRPr="00EA05B3">
        <w:rPr>
          <w:lang w:val="fr-FR"/>
        </w:rPr>
        <w:t xml:space="preserve">). En ce qui concerne les villes, le taux </w:t>
      </w:r>
      <w:r w:rsidR="009379A7" w:rsidRPr="00EA05B3">
        <w:rPr>
          <w:lang w:val="fr-FR"/>
        </w:rPr>
        <w:t>d’</w:t>
      </w:r>
      <w:r w:rsidR="00D60A11" w:rsidRPr="00EA05B3">
        <w:rPr>
          <w:lang w:val="fr-FR"/>
        </w:rPr>
        <w:t>emploi à plein temps est supérieur à la moyenne nationale (37,6</w:t>
      </w:r>
      <w:r w:rsidR="009379A7" w:rsidRPr="00EA05B3">
        <w:rPr>
          <w:lang w:val="fr-FR"/>
        </w:rPr>
        <w:t> %</w:t>
      </w:r>
      <w:r w:rsidR="00D60A11" w:rsidRPr="00EA05B3">
        <w:rPr>
          <w:lang w:val="fr-FR"/>
        </w:rPr>
        <w:t>) à Cuenca (50,1</w:t>
      </w:r>
      <w:r w:rsidR="009379A7" w:rsidRPr="00EA05B3">
        <w:rPr>
          <w:lang w:val="fr-FR"/>
        </w:rPr>
        <w:t> %</w:t>
      </w:r>
      <w:r w:rsidR="00D60A11" w:rsidRPr="00EA05B3">
        <w:rPr>
          <w:lang w:val="fr-FR"/>
        </w:rPr>
        <w:t>), Quito (49,2</w:t>
      </w:r>
      <w:r w:rsidR="009379A7" w:rsidRPr="00EA05B3">
        <w:rPr>
          <w:lang w:val="fr-FR"/>
        </w:rPr>
        <w:t> %</w:t>
      </w:r>
      <w:r w:rsidR="00D60A11" w:rsidRPr="00EA05B3">
        <w:rPr>
          <w:lang w:val="fr-FR"/>
        </w:rPr>
        <w:t>), Ambato (44,7</w:t>
      </w:r>
      <w:r w:rsidR="009379A7" w:rsidRPr="00EA05B3">
        <w:rPr>
          <w:lang w:val="fr-FR"/>
        </w:rPr>
        <w:t> %</w:t>
      </w:r>
      <w:r w:rsidR="00D60A11" w:rsidRPr="00EA05B3">
        <w:rPr>
          <w:lang w:val="fr-FR"/>
        </w:rPr>
        <w:t>) et Guayaquil (38,4</w:t>
      </w:r>
      <w:r w:rsidR="009379A7" w:rsidRPr="00EA05B3">
        <w:rPr>
          <w:lang w:val="fr-FR"/>
        </w:rPr>
        <w:t> %</w:t>
      </w:r>
      <w:r w:rsidR="00D60A11" w:rsidRPr="00EA05B3">
        <w:rPr>
          <w:lang w:val="fr-FR"/>
        </w:rPr>
        <w:t>).</w:t>
      </w:r>
      <w:r w:rsidR="000D57A5" w:rsidRPr="00EA05B3">
        <w:rPr>
          <w:lang w:val="fr-FR"/>
        </w:rPr>
        <w:t xml:space="preserve"> </w:t>
      </w:r>
      <w:r w:rsidR="00D60A11" w:rsidRPr="00EA05B3">
        <w:rPr>
          <w:lang w:val="fr-FR"/>
        </w:rPr>
        <w:t>Machala (37</w:t>
      </w:r>
      <w:r w:rsidR="009379A7" w:rsidRPr="00EA05B3">
        <w:rPr>
          <w:lang w:val="fr-FR"/>
        </w:rPr>
        <w:t> %</w:t>
      </w:r>
      <w:r w:rsidR="00D60A11" w:rsidRPr="00EA05B3">
        <w:rPr>
          <w:lang w:val="fr-FR"/>
        </w:rPr>
        <w:t>) est la seule ville où le taux de personnes occupées à temps plein est inférieur à la moyenne nationale.</w:t>
      </w:r>
    </w:p>
    <w:p w:rsidR="00D60A11" w:rsidRPr="00EA05B3" w:rsidRDefault="000E632B" w:rsidP="00537986">
      <w:pPr>
        <w:pStyle w:val="SingleTxtG"/>
        <w:rPr>
          <w:lang w:val="fr-FR"/>
        </w:rPr>
      </w:pPr>
      <w:r w:rsidRPr="00EA05B3">
        <w:rPr>
          <w:lang w:val="fr-FR"/>
        </w:rPr>
        <w:t>140.</w:t>
      </w:r>
      <w:r w:rsidRPr="00EA05B3">
        <w:rPr>
          <w:lang w:val="fr-FR"/>
        </w:rPr>
        <w:tab/>
      </w:r>
      <w:r w:rsidR="009379A7" w:rsidRPr="00EA05B3">
        <w:rPr>
          <w:lang w:val="fr-FR"/>
        </w:rPr>
        <w:t>C’</w:t>
      </w:r>
      <w:r w:rsidR="00D60A11" w:rsidRPr="00EA05B3">
        <w:rPr>
          <w:lang w:val="fr-FR"/>
        </w:rPr>
        <w:t>est à Machala que le taux de sous-emploi est le plus élevé (53,4</w:t>
      </w:r>
      <w:r w:rsidR="009379A7" w:rsidRPr="00EA05B3">
        <w:rPr>
          <w:lang w:val="fr-FR"/>
        </w:rPr>
        <w:t> %</w:t>
      </w:r>
      <w:r w:rsidR="00D60A11" w:rsidRPr="00EA05B3">
        <w:rPr>
          <w:lang w:val="fr-FR"/>
        </w:rPr>
        <w:t>). Le taux de chômage enregistré à Guayaquil (12,3</w:t>
      </w:r>
      <w:r w:rsidR="009379A7" w:rsidRPr="00EA05B3">
        <w:rPr>
          <w:lang w:val="fr-FR"/>
        </w:rPr>
        <w:t> %</w:t>
      </w:r>
      <w:r w:rsidR="00D60A11" w:rsidRPr="00EA05B3">
        <w:rPr>
          <w:lang w:val="fr-FR"/>
        </w:rPr>
        <w:t>) est plus élevé que dans les autres villes et supérieur à la moyenne nationale.</w:t>
      </w:r>
    </w:p>
    <w:p w:rsidR="00D60A11" w:rsidRPr="00EA05B3" w:rsidRDefault="000E632B" w:rsidP="00537986">
      <w:pPr>
        <w:pStyle w:val="SingleTxtG"/>
        <w:rPr>
          <w:lang w:val="fr-FR"/>
        </w:rPr>
      </w:pPr>
      <w:r w:rsidRPr="00EA05B3">
        <w:rPr>
          <w:lang w:val="fr-FR"/>
        </w:rPr>
        <w:t>141.</w:t>
      </w:r>
      <w:r w:rsidRPr="00EA05B3">
        <w:rPr>
          <w:lang w:val="fr-FR"/>
        </w:rPr>
        <w:tab/>
      </w:r>
      <w:r w:rsidR="00D60A11" w:rsidRPr="00EA05B3">
        <w:rPr>
          <w:lang w:val="fr-FR"/>
        </w:rPr>
        <w:t>En matière salariale, depuis le 1</w:t>
      </w:r>
      <w:r w:rsidR="00D60A11" w:rsidRPr="00EA05B3">
        <w:rPr>
          <w:vertAlign w:val="superscript"/>
          <w:lang w:val="fr-FR"/>
        </w:rPr>
        <w:t>er</w:t>
      </w:r>
      <w:r w:rsidR="00AA11F3" w:rsidRPr="00EA05B3">
        <w:rPr>
          <w:lang w:val="fr-FR"/>
        </w:rPr>
        <w:t xml:space="preserve"> </w:t>
      </w:r>
      <w:r w:rsidR="00D60A11" w:rsidRPr="00EA05B3">
        <w:rPr>
          <w:lang w:val="fr-FR"/>
        </w:rPr>
        <w:t>janvier 2013</w:t>
      </w:r>
      <w:r w:rsidR="00D60A11" w:rsidRPr="00EA05B3">
        <w:rPr>
          <w:rStyle w:val="FootnoteReference"/>
          <w:lang w:val="fr-FR"/>
        </w:rPr>
        <w:footnoteReference w:id="47"/>
      </w:r>
      <w:r w:rsidR="00D60A11" w:rsidRPr="00EA05B3">
        <w:rPr>
          <w:lang w:val="fr-FR"/>
        </w:rPr>
        <w:t xml:space="preserve"> le salaire de base unifié (SBU) des travailleurs du régime général est de 318,00 dollars des États-Unis, ce qui représente une augmentation de 8,81</w:t>
      </w:r>
      <w:r w:rsidR="009379A7" w:rsidRPr="00EA05B3">
        <w:rPr>
          <w:lang w:val="fr-FR"/>
        </w:rPr>
        <w:t> %</w:t>
      </w:r>
      <w:r w:rsidR="00D60A11" w:rsidRPr="00EA05B3">
        <w:rPr>
          <w:lang w:val="fr-FR"/>
        </w:rPr>
        <w:t xml:space="preserve"> (26 dollars) par rapport au SBU de 2012.</w:t>
      </w:r>
    </w:p>
    <w:p w:rsidR="00D60A11" w:rsidRPr="00EA05B3" w:rsidRDefault="000E632B" w:rsidP="00537986">
      <w:pPr>
        <w:pStyle w:val="SingleTxtG"/>
        <w:rPr>
          <w:lang w:val="fr-FR"/>
        </w:rPr>
      </w:pPr>
      <w:r w:rsidRPr="00EA05B3">
        <w:rPr>
          <w:lang w:val="fr-FR"/>
        </w:rPr>
        <w:t>142.</w:t>
      </w:r>
      <w:r w:rsidRPr="00EA05B3">
        <w:rPr>
          <w:lang w:val="fr-FR"/>
        </w:rPr>
        <w:tab/>
      </w:r>
      <w:r w:rsidR="00D60A11" w:rsidRPr="00EA05B3">
        <w:rPr>
          <w:lang w:val="fr-FR"/>
        </w:rPr>
        <w:t xml:space="preserve">Quant aux politiques de </w:t>
      </w:r>
      <w:r w:rsidR="009379A7" w:rsidRPr="00EA05B3">
        <w:rPr>
          <w:lang w:val="fr-FR"/>
        </w:rPr>
        <w:t>l’</w:t>
      </w:r>
      <w:r w:rsidR="00D60A11" w:rsidRPr="00EA05B3">
        <w:rPr>
          <w:lang w:val="fr-FR"/>
        </w:rPr>
        <w:t xml:space="preserve">emploi, il y a lieu de relever </w:t>
      </w:r>
      <w:r w:rsidR="009379A7" w:rsidRPr="00EA05B3">
        <w:rPr>
          <w:lang w:val="fr-FR"/>
        </w:rPr>
        <w:t>qu’</w:t>
      </w:r>
      <w:r w:rsidR="00D60A11" w:rsidRPr="00EA05B3">
        <w:rPr>
          <w:lang w:val="fr-FR"/>
        </w:rPr>
        <w:t>en avril 2010, le Conseil sectoriel de la production</w:t>
      </w:r>
      <w:r w:rsidR="00D60A11" w:rsidRPr="00EA05B3">
        <w:rPr>
          <w:rStyle w:val="FootnoteReference"/>
          <w:lang w:val="fr-FR"/>
        </w:rPr>
        <w:footnoteReference w:id="48"/>
      </w:r>
      <w:r w:rsidR="00D60A11" w:rsidRPr="00EA05B3">
        <w:rPr>
          <w:lang w:val="fr-FR"/>
        </w:rPr>
        <w:t xml:space="preserve">, par </w:t>
      </w:r>
      <w:r w:rsidR="009379A7" w:rsidRPr="00EA05B3">
        <w:rPr>
          <w:lang w:val="fr-FR"/>
        </w:rPr>
        <w:t>l’</w:t>
      </w:r>
      <w:r w:rsidR="00D60A11" w:rsidRPr="00EA05B3">
        <w:rPr>
          <w:lang w:val="fr-FR"/>
        </w:rPr>
        <w:t xml:space="preserve">intermédiaire du Ministère de la production, de </w:t>
      </w:r>
      <w:r w:rsidR="009379A7" w:rsidRPr="00EA05B3">
        <w:rPr>
          <w:lang w:val="fr-FR"/>
        </w:rPr>
        <w:t>l’</w:t>
      </w:r>
      <w:r w:rsidR="00D60A11" w:rsidRPr="00EA05B3">
        <w:rPr>
          <w:lang w:val="fr-FR"/>
        </w:rPr>
        <w:t>emploi et de la compétitivité, a lancé le Programme de transformation de la production</w:t>
      </w:r>
      <w:r w:rsidR="00D60A11" w:rsidRPr="006A764B">
        <w:rPr>
          <w:sz w:val="18"/>
          <w:szCs w:val="18"/>
          <w:vertAlign w:val="superscript"/>
          <w:lang w:val="fr-FR"/>
        </w:rPr>
        <w:footnoteReference w:id="49"/>
      </w:r>
      <w:r w:rsidR="00D60A11" w:rsidRPr="00EA05B3">
        <w:rPr>
          <w:lang w:val="fr-FR"/>
        </w:rPr>
        <w:t xml:space="preserve">. Ce programme précise les objectifs, politiques et stratégies, ainsi que les programmes et projets en matière de production et en matière </w:t>
      </w:r>
      <w:r w:rsidR="009379A7" w:rsidRPr="00EA05B3">
        <w:rPr>
          <w:lang w:val="fr-FR"/>
        </w:rPr>
        <w:t>d’</w:t>
      </w:r>
      <w:r w:rsidR="00D60A11" w:rsidRPr="00EA05B3">
        <w:rPr>
          <w:lang w:val="fr-FR"/>
        </w:rPr>
        <w:t>emploi. Il comporte 14 secteurs prioritaires en matière de développement de la production, prévus dans la Stratégie de développement productif et le Plan national du bien-vivre.</w:t>
      </w:r>
    </w:p>
    <w:p w:rsidR="00D60A11" w:rsidRPr="00EA05B3" w:rsidRDefault="000E632B" w:rsidP="00537986">
      <w:pPr>
        <w:pStyle w:val="SingleTxtG"/>
        <w:rPr>
          <w:lang w:val="fr-FR"/>
        </w:rPr>
      </w:pPr>
      <w:r w:rsidRPr="00EA05B3">
        <w:rPr>
          <w:lang w:val="fr-FR"/>
        </w:rPr>
        <w:t>143.</w:t>
      </w:r>
      <w:r w:rsidRPr="00EA05B3">
        <w:rPr>
          <w:lang w:val="fr-FR"/>
        </w:rPr>
        <w:tab/>
      </w:r>
      <w:r w:rsidR="00D60A11" w:rsidRPr="00EA05B3">
        <w:rPr>
          <w:lang w:val="fr-FR"/>
        </w:rPr>
        <w:t>Il convient de souligner les progrès observés en ce qui concerne les chiffres du sous-emploi, qui est passé de 49,7</w:t>
      </w:r>
      <w:r w:rsidR="009379A7" w:rsidRPr="00EA05B3">
        <w:rPr>
          <w:lang w:val="fr-FR"/>
        </w:rPr>
        <w:t> %</w:t>
      </w:r>
      <w:r w:rsidR="00D60A11" w:rsidRPr="00EA05B3">
        <w:rPr>
          <w:lang w:val="fr-FR"/>
        </w:rPr>
        <w:t xml:space="preserve"> en décembre 2005 à 31,6</w:t>
      </w:r>
      <w:r w:rsidR="009379A7" w:rsidRPr="00EA05B3">
        <w:rPr>
          <w:lang w:val="fr-FR"/>
        </w:rPr>
        <w:t> %</w:t>
      </w:r>
      <w:r w:rsidR="00D60A11" w:rsidRPr="00EA05B3">
        <w:rPr>
          <w:lang w:val="fr-FR"/>
        </w:rPr>
        <w:t xml:space="preserve"> en décembre 2011 et le pourcentage de travailleurs ayant un emploi approprié, qui a doublé, passant de 8,4</w:t>
      </w:r>
      <w:r w:rsidR="009379A7" w:rsidRPr="00EA05B3">
        <w:rPr>
          <w:lang w:val="fr-FR"/>
        </w:rPr>
        <w:t> %</w:t>
      </w:r>
      <w:r w:rsidR="00D60A11" w:rsidRPr="00EA05B3">
        <w:rPr>
          <w:lang w:val="fr-FR"/>
        </w:rPr>
        <w:t xml:space="preserve"> à 20,1</w:t>
      </w:r>
      <w:r w:rsidR="009379A7" w:rsidRPr="00EA05B3">
        <w:rPr>
          <w:lang w:val="fr-FR"/>
        </w:rPr>
        <w:t> %</w:t>
      </w:r>
      <w:r w:rsidR="00D60A11" w:rsidRPr="00EA05B3">
        <w:rPr>
          <w:lang w:val="fr-FR"/>
        </w:rPr>
        <w:t xml:space="preserve"> sur la même période</w:t>
      </w:r>
      <w:r w:rsidR="00D60A11" w:rsidRPr="00EA05B3">
        <w:rPr>
          <w:rStyle w:val="FootnoteReference"/>
          <w:lang w:val="fr-FR"/>
        </w:rPr>
        <w:footnoteReference w:id="50"/>
      </w:r>
      <w:r w:rsidR="00D60A11" w:rsidRPr="00EA05B3">
        <w:rPr>
          <w:lang w:val="fr-FR"/>
        </w:rPr>
        <w:t>. Cette main</w:t>
      </w:r>
      <w:r w:rsidR="00AA11F3" w:rsidRPr="00EA05B3">
        <w:rPr>
          <w:lang w:val="fr-FR"/>
        </w:rPr>
        <w:t>-</w:t>
      </w:r>
      <w:r w:rsidR="009379A7" w:rsidRPr="00EA05B3">
        <w:rPr>
          <w:lang w:val="fr-FR"/>
        </w:rPr>
        <w:t>d’</w:t>
      </w:r>
      <w:r w:rsidR="00D60A11" w:rsidRPr="00EA05B3">
        <w:rPr>
          <w:lang w:val="fr-FR"/>
        </w:rPr>
        <w:t>œuvre possède les caractéristiques suivantes</w:t>
      </w:r>
      <w:r w:rsidR="00B36EE6" w:rsidRPr="00EA05B3">
        <w:rPr>
          <w:lang w:val="fr-FR"/>
        </w:rPr>
        <w:t>:</w:t>
      </w:r>
      <w:r w:rsidR="00D60A11" w:rsidRPr="00EA05B3">
        <w:rPr>
          <w:lang w:val="fr-FR"/>
        </w:rPr>
        <w:t xml:space="preserve"> rémunération supérieure au seuil de pauvreté, </w:t>
      </w:r>
      <w:r w:rsidR="0050005C" w:rsidRPr="00EA05B3">
        <w:rPr>
          <w:lang w:val="fr-FR"/>
        </w:rPr>
        <w:t xml:space="preserve">affiliation à la </w:t>
      </w:r>
      <w:r w:rsidR="00D60A11" w:rsidRPr="00EA05B3">
        <w:rPr>
          <w:lang w:val="fr-FR"/>
        </w:rPr>
        <w:t>sécurité sociale, journée de travail juste, âge approprié et stabilité du travail.</w:t>
      </w:r>
      <w:r w:rsidR="000D57A5" w:rsidRPr="00EA05B3">
        <w:rPr>
          <w:lang w:val="fr-FR"/>
        </w:rPr>
        <w:t xml:space="preserve"> </w:t>
      </w:r>
    </w:p>
    <w:p w:rsidR="00D60A11" w:rsidRPr="00EA05B3" w:rsidRDefault="000E632B" w:rsidP="00537986">
      <w:pPr>
        <w:pStyle w:val="SingleTxtG"/>
        <w:rPr>
          <w:lang w:val="fr-FR"/>
        </w:rPr>
      </w:pPr>
      <w:r w:rsidRPr="00EA05B3">
        <w:rPr>
          <w:lang w:val="fr-FR"/>
        </w:rPr>
        <w:t>144.</w:t>
      </w:r>
      <w:r w:rsidRPr="00EA05B3">
        <w:rPr>
          <w:lang w:val="fr-FR"/>
        </w:rPr>
        <w:tab/>
      </w:r>
      <w:r w:rsidR="00D60A11" w:rsidRPr="00EA05B3">
        <w:rPr>
          <w:lang w:val="fr-FR"/>
        </w:rPr>
        <w:t>Entre décembre 2005 et décembre 2011, le pourcentage de la population active</w:t>
      </w:r>
      <w:r w:rsidR="00D60A11" w:rsidRPr="00EA05B3">
        <w:rPr>
          <w:rStyle w:val="FootnoteReference"/>
          <w:lang w:val="fr-FR"/>
        </w:rPr>
        <w:footnoteReference w:id="51"/>
      </w:r>
      <w:r w:rsidR="00D60A11" w:rsidRPr="00EA05B3">
        <w:rPr>
          <w:lang w:val="fr-FR"/>
        </w:rPr>
        <w:t xml:space="preserve"> qui bénéficie de conditions de travail appropriées, </w:t>
      </w:r>
      <w:r w:rsidR="009379A7" w:rsidRPr="00EA05B3">
        <w:rPr>
          <w:lang w:val="fr-FR"/>
        </w:rPr>
        <w:t>d’</w:t>
      </w:r>
      <w:r w:rsidR="00D60A11" w:rsidRPr="00EA05B3">
        <w:rPr>
          <w:lang w:val="fr-FR"/>
        </w:rPr>
        <w:t>une rémunération lui permettant</w:t>
      </w:r>
      <w:r w:rsidR="000D57A5" w:rsidRPr="00EA05B3">
        <w:rPr>
          <w:lang w:val="fr-FR"/>
        </w:rPr>
        <w:t xml:space="preserve"> </w:t>
      </w:r>
      <w:r w:rsidR="009379A7" w:rsidRPr="00EA05B3">
        <w:rPr>
          <w:lang w:val="fr-FR"/>
        </w:rPr>
        <w:t>d’</w:t>
      </w:r>
      <w:r w:rsidR="00D60A11" w:rsidRPr="00EA05B3">
        <w:rPr>
          <w:lang w:val="fr-FR"/>
        </w:rPr>
        <w:t xml:space="preserve">avoir un logement digne et de sortir de la pauvreté, de la sécurité sociale, de la stabilité professionnelle, </w:t>
      </w:r>
      <w:r w:rsidR="009379A7" w:rsidRPr="00EA05B3">
        <w:rPr>
          <w:lang w:val="fr-FR"/>
        </w:rPr>
        <w:t>d’</w:t>
      </w:r>
      <w:r w:rsidR="00D60A11" w:rsidRPr="00EA05B3">
        <w:rPr>
          <w:lang w:val="fr-FR"/>
        </w:rPr>
        <w:t xml:space="preserve">une durée de travail inférieure ou égale à </w:t>
      </w:r>
      <w:r w:rsidR="00B15670" w:rsidRPr="00EA05B3">
        <w:rPr>
          <w:lang w:val="fr-FR"/>
        </w:rPr>
        <w:t xml:space="preserve">quarante-huit </w:t>
      </w:r>
      <w:r w:rsidR="00D60A11" w:rsidRPr="00EA05B3">
        <w:rPr>
          <w:lang w:val="fr-FR"/>
        </w:rPr>
        <w:t xml:space="preserve">heures par semaine et dont </w:t>
      </w:r>
      <w:r w:rsidR="009379A7" w:rsidRPr="00EA05B3">
        <w:rPr>
          <w:lang w:val="fr-FR"/>
        </w:rPr>
        <w:t>l’</w:t>
      </w:r>
      <w:r w:rsidR="00D60A11" w:rsidRPr="00EA05B3">
        <w:rPr>
          <w:lang w:val="fr-FR"/>
        </w:rPr>
        <w:t xml:space="preserve">âge est compatible avec le travail (entre 15 et 65 ans) a également doublé. </w:t>
      </w:r>
    </w:p>
    <w:p w:rsidR="00D60A11" w:rsidRPr="00EA05B3" w:rsidRDefault="000E632B" w:rsidP="00537986">
      <w:pPr>
        <w:pStyle w:val="SingleTxtG"/>
        <w:rPr>
          <w:lang w:val="fr-FR"/>
        </w:rPr>
      </w:pPr>
      <w:r w:rsidRPr="00EA05B3">
        <w:rPr>
          <w:lang w:val="fr-FR"/>
        </w:rPr>
        <w:t>145.</w:t>
      </w:r>
      <w:r w:rsidRPr="00EA05B3">
        <w:rPr>
          <w:lang w:val="fr-FR"/>
        </w:rPr>
        <w:tab/>
      </w:r>
      <w:r w:rsidR="00D60A11" w:rsidRPr="00EA05B3">
        <w:rPr>
          <w:lang w:val="fr-FR"/>
        </w:rPr>
        <w:t>Ce résultat est en grande partie dû aux politiques adoptées dans le domaine du travail</w:t>
      </w:r>
      <w:r w:rsidR="000D57A5" w:rsidRPr="00EA05B3">
        <w:rPr>
          <w:lang w:val="fr-FR"/>
        </w:rPr>
        <w:t xml:space="preserve"> </w:t>
      </w:r>
      <w:r w:rsidR="00D60A11" w:rsidRPr="00EA05B3">
        <w:rPr>
          <w:lang w:val="fr-FR"/>
        </w:rPr>
        <w:t xml:space="preserve">par le Gouvernement actuel, dont les objectifs sont notamment </w:t>
      </w:r>
      <w:r w:rsidR="009379A7" w:rsidRPr="00EA05B3">
        <w:rPr>
          <w:lang w:val="fr-FR"/>
        </w:rPr>
        <w:t>l’</w:t>
      </w:r>
      <w:r w:rsidR="00D60A11" w:rsidRPr="00EA05B3">
        <w:rPr>
          <w:lang w:val="fr-FR"/>
        </w:rPr>
        <w:t xml:space="preserve">élimination de </w:t>
      </w:r>
      <w:r w:rsidR="009379A7" w:rsidRPr="00EA05B3">
        <w:rPr>
          <w:lang w:val="fr-FR"/>
        </w:rPr>
        <w:t>l’</w:t>
      </w:r>
      <w:r w:rsidR="00D60A11" w:rsidRPr="00EA05B3">
        <w:rPr>
          <w:lang w:val="fr-FR"/>
        </w:rPr>
        <w:t xml:space="preserve">externalisation, </w:t>
      </w:r>
      <w:r w:rsidR="009379A7" w:rsidRPr="00EA05B3">
        <w:rPr>
          <w:lang w:val="fr-FR"/>
        </w:rPr>
        <w:t>l’</w:t>
      </w:r>
      <w:r w:rsidR="00D60A11" w:rsidRPr="00EA05B3">
        <w:rPr>
          <w:lang w:val="fr-FR"/>
        </w:rPr>
        <w:t>augmentation des salaires réels et la promotion des droits des travailleurs et aux mesures permettant de contrôler leur application.</w:t>
      </w:r>
    </w:p>
    <w:p w:rsidR="00D60A11" w:rsidRPr="00EA05B3" w:rsidRDefault="000E632B" w:rsidP="00537986">
      <w:pPr>
        <w:pStyle w:val="SingleTxtG"/>
        <w:rPr>
          <w:lang w:val="fr-FR"/>
        </w:rPr>
      </w:pPr>
      <w:r w:rsidRPr="00EA05B3">
        <w:rPr>
          <w:lang w:val="fr-FR"/>
        </w:rPr>
        <w:t>146.</w:t>
      </w:r>
      <w:r w:rsidRPr="00EA05B3">
        <w:rPr>
          <w:lang w:val="fr-FR"/>
        </w:rPr>
        <w:tab/>
      </w:r>
      <w:r w:rsidR="00D60A11" w:rsidRPr="00EA05B3">
        <w:rPr>
          <w:lang w:val="fr-FR"/>
        </w:rPr>
        <w:t xml:space="preserve">En plus de </w:t>
      </w:r>
      <w:r w:rsidR="009379A7" w:rsidRPr="00EA05B3">
        <w:rPr>
          <w:lang w:val="fr-FR"/>
        </w:rPr>
        <w:t>l’</w:t>
      </w:r>
      <w:r w:rsidR="00D60A11" w:rsidRPr="00EA05B3">
        <w:rPr>
          <w:lang w:val="fr-FR"/>
        </w:rPr>
        <w:t xml:space="preserve">augmentation annuelle du salaire minimum vital, la notion de </w:t>
      </w:r>
      <w:r w:rsidR="00B15670" w:rsidRPr="00EA05B3">
        <w:rPr>
          <w:lang w:val="fr-FR"/>
        </w:rPr>
        <w:t>«</w:t>
      </w:r>
      <w:r w:rsidR="00D60A11" w:rsidRPr="00EA05B3">
        <w:rPr>
          <w:lang w:val="fr-FR"/>
        </w:rPr>
        <w:t>salaire digne</w:t>
      </w:r>
      <w:r w:rsidR="00B15670" w:rsidRPr="00EA05B3">
        <w:rPr>
          <w:lang w:val="fr-FR"/>
        </w:rPr>
        <w:t>»</w:t>
      </w:r>
      <w:r w:rsidR="00D60A11" w:rsidRPr="00EA05B3">
        <w:rPr>
          <w:lang w:val="fr-FR"/>
        </w:rPr>
        <w:t xml:space="preserve">, correspondant au coût du panier familial de base, a été introduite en 2010. Pour 2011, ce salaire a été fixé à 350,70 dollars, alors que le salaire minimum vital était de 264 dollars cette même année. </w:t>
      </w:r>
    </w:p>
    <w:p w:rsidR="00D60A11" w:rsidRPr="00EA05B3" w:rsidRDefault="000E632B" w:rsidP="00537986">
      <w:pPr>
        <w:pStyle w:val="SingleTxtG"/>
        <w:rPr>
          <w:lang w:val="fr-FR"/>
        </w:rPr>
      </w:pPr>
      <w:r w:rsidRPr="00EA05B3">
        <w:rPr>
          <w:lang w:val="fr-FR"/>
        </w:rPr>
        <w:t>147.</w:t>
      </w:r>
      <w:r w:rsidRPr="00EA05B3">
        <w:rPr>
          <w:lang w:val="fr-FR"/>
        </w:rPr>
        <w:tab/>
      </w:r>
      <w:r w:rsidR="00D60A11" w:rsidRPr="00EA05B3">
        <w:rPr>
          <w:lang w:val="fr-FR"/>
        </w:rPr>
        <w:t xml:space="preserve">Néanmoins, les femmes ont toujours des revenus inférieurs à ceux des hommes, même si </w:t>
      </w:r>
      <w:r w:rsidR="009379A7" w:rsidRPr="00EA05B3">
        <w:rPr>
          <w:lang w:val="fr-FR"/>
        </w:rPr>
        <w:t>l’</w:t>
      </w:r>
      <w:r w:rsidR="00D60A11" w:rsidRPr="00EA05B3">
        <w:rPr>
          <w:lang w:val="fr-FR"/>
        </w:rPr>
        <w:t>écart a diminué de façon significative. En 2005, les revenus des hommes étaient en moyenne supérieurs de 40,5</w:t>
      </w:r>
      <w:r w:rsidR="009379A7" w:rsidRPr="00EA05B3">
        <w:rPr>
          <w:lang w:val="fr-FR"/>
        </w:rPr>
        <w:t> %</w:t>
      </w:r>
      <w:r w:rsidR="00D60A11" w:rsidRPr="00EA05B3">
        <w:rPr>
          <w:lang w:val="fr-FR"/>
        </w:rPr>
        <w:t xml:space="preserve"> à ceux des femmes. En 2011, cet écart est descendu à 14,1</w:t>
      </w:r>
      <w:r w:rsidR="009379A7" w:rsidRPr="00EA05B3">
        <w:rPr>
          <w:lang w:val="fr-FR"/>
        </w:rPr>
        <w:t> %</w:t>
      </w:r>
      <w:r w:rsidR="00D60A11" w:rsidRPr="00EA05B3">
        <w:rPr>
          <w:lang w:val="fr-FR"/>
        </w:rPr>
        <w:t>.</w:t>
      </w:r>
    </w:p>
    <w:p w:rsidR="00D60A11" w:rsidRPr="00EA05B3" w:rsidRDefault="000E632B" w:rsidP="00537986">
      <w:pPr>
        <w:pStyle w:val="SingleTxtG"/>
        <w:rPr>
          <w:lang w:val="fr-FR"/>
        </w:rPr>
      </w:pPr>
      <w:r w:rsidRPr="00EA05B3">
        <w:rPr>
          <w:lang w:val="fr-FR"/>
        </w:rPr>
        <w:t>148.</w:t>
      </w:r>
      <w:r w:rsidRPr="00EA05B3">
        <w:rPr>
          <w:lang w:val="fr-FR"/>
        </w:rPr>
        <w:tab/>
      </w:r>
      <w:r w:rsidR="00D60A11" w:rsidRPr="00EA05B3">
        <w:rPr>
          <w:lang w:val="fr-FR"/>
        </w:rPr>
        <w:t xml:space="preserve">En ce qui concerne la répartition géographique, malgré une amélioration constatée entre 2005 et 2011, le sous-emploi est concentré dans la région montagneuse (Sierra) et notamment dans les provinces de Bolívar, Chimborazo et Cañar. Les provinces de la région amazonienne ont également des pourcentages de sous-emploi élevés, en lien avec leur caractère rural et le pourcentage plus élevé de population autochtone. Le cas de Sucumbíos est une exception. Cette province possédant du pétrole, le taux de sous-emploi y est plus faible et la proportion </w:t>
      </w:r>
      <w:r w:rsidR="009379A7" w:rsidRPr="00EA05B3">
        <w:rPr>
          <w:lang w:val="fr-FR"/>
        </w:rPr>
        <w:t>d’</w:t>
      </w:r>
      <w:r w:rsidR="00D60A11" w:rsidRPr="00EA05B3">
        <w:rPr>
          <w:lang w:val="fr-FR"/>
        </w:rPr>
        <w:t>emploi approprié et adéquat plus élevée.</w:t>
      </w:r>
    </w:p>
    <w:p w:rsidR="00D60A11" w:rsidRPr="00EA05B3" w:rsidRDefault="000E632B" w:rsidP="00537986">
      <w:pPr>
        <w:pStyle w:val="SingleTxtG"/>
        <w:rPr>
          <w:lang w:val="fr-FR"/>
        </w:rPr>
      </w:pPr>
      <w:r w:rsidRPr="00EA05B3">
        <w:rPr>
          <w:lang w:val="fr-FR"/>
        </w:rPr>
        <w:t>149.</w:t>
      </w:r>
      <w:r w:rsidRPr="00EA05B3">
        <w:rPr>
          <w:lang w:val="fr-FR"/>
        </w:rPr>
        <w:tab/>
      </w:r>
      <w:r w:rsidR="00D60A11" w:rsidRPr="00EA05B3">
        <w:rPr>
          <w:lang w:val="fr-FR"/>
        </w:rPr>
        <w:t xml:space="preserve">Bien que le sous-emploi ait </w:t>
      </w:r>
      <w:r w:rsidR="009251B0" w:rsidRPr="00EA05B3">
        <w:rPr>
          <w:lang w:val="fr-FR"/>
        </w:rPr>
        <w:t xml:space="preserve">sensiblement </w:t>
      </w:r>
      <w:r w:rsidR="00D60A11" w:rsidRPr="00EA05B3">
        <w:rPr>
          <w:lang w:val="fr-FR"/>
        </w:rPr>
        <w:t>diminué ces dernières années, des disparités régionales persistent. La région côtière (Costa) possède les taux de chômage les plus élevés, alors que les provinces de la région montagneuse (Sierra) (Cotopaxi, Bolívar, Chimborazo, Tungurahua) et de la région amazonienne ont les taux de chômage les plus faibles.</w:t>
      </w:r>
    </w:p>
    <w:p w:rsidR="00D60A11" w:rsidRPr="00EA05B3" w:rsidRDefault="000E632B" w:rsidP="00537986">
      <w:pPr>
        <w:pStyle w:val="SingleTxtG"/>
        <w:rPr>
          <w:lang w:val="fr-FR"/>
        </w:rPr>
      </w:pPr>
      <w:r w:rsidRPr="00EA05B3">
        <w:rPr>
          <w:lang w:val="fr-FR"/>
        </w:rPr>
        <w:t>150.</w:t>
      </w:r>
      <w:r w:rsidRPr="00EA05B3">
        <w:rPr>
          <w:lang w:val="fr-FR"/>
        </w:rPr>
        <w:tab/>
      </w:r>
      <w:r w:rsidR="00D60A11" w:rsidRPr="00EA05B3">
        <w:rPr>
          <w:lang w:val="fr-FR"/>
        </w:rPr>
        <w:t>En ce qui concerne les personnes handicapées, selon le recensement de la population de 2010, 5,6</w:t>
      </w:r>
      <w:r w:rsidR="009379A7" w:rsidRPr="00EA05B3">
        <w:rPr>
          <w:lang w:val="fr-FR"/>
        </w:rPr>
        <w:t> %</w:t>
      </w:r>
      <w:r w:rsidR="00D60A11" w:rsidRPr="00EA05B3">
        <w:rPr>
          <w:lang w:val="fr-FR"/>
        </w:rPr>
        <w:t xml:space="preserve"> de la population nationale (816 156 personnes)</w:t>
      </w:r>
      <w:r w:rsidR="00D60A11" w:rsidRPr="00EA05B3">
        <w:rPr>
          <w:rStyle w:val="FootnoteReference"/>
          <w:lang w:val="fr-FR"/>
        </w:rPr>
        <w:footnoteReference w:id="52"/>
      </w:r>
      <w:r w:rsidR="00D60A11" w:rsidRPr="00EA05B3">
        <w:rPr>
          <w:lang w:val="fr-FR"/>
        </w:rPr>
        <w:t xml:space="preserve"> souffrent </w:t>
      </w:r>
      <w:r w:rsidR="009379A7" w:rsidRPr="00EA05B3">
        <w:rPr>
          <w:lang w:val="fr-FR"/>
        </w:rPr>
        <w:t>d’</w:t>
      </w:r>
      <w:r w:rsidR="00D60A11" w:rsidRPr="00EA05B3">
        <w:rPr>
          <w:lang w:val="fr-FR"/>
        </w:rPr>
        <w:t xml:space="preserve">une incapacité permanente depuis plus </w:t>
      </w:r>
      <w:r w:rsidR="009379A7" w:rsidRPr="00EA05B3">
        <w:rPr>
          <w:lang w:val="fr-FR"/>
        </w:rPr>
        <w:t>d’</w:t>
      </w:r>
      <w:r w:rsidR="00D60A11" w:rsidRPr="00EA05B3">
        <w:rPr>
          <w:lang w:val="fr-FR"/>
        </w:rPr>
        <w:t xml:space="preserve">un an. </w:t>
      </w:r>
    </w:p>
    <w:p w:rsidR="00D60A11" w:rsidRPr="00EA05B3" w:rsidRDefault="000E632B" w:rsidP="00537986">
      <w:pPr>
        <w:pStyle w:val="SingleTxtG"/>
        <w:rPr>
          <w:lang w:val="fr-FR"/>
        </w:rPr>
      </w:pPr>
      <w:r w:rsidRPr="00EA05B3">
        <w:rPr>
          <w:lang w:val="fr-FR"/>
        </w:rPr>
        <w:t>151.</w:t>
      </w:r>
      <w:r w:rsidRPr="00EA05B3">
        <w:rPr>
          <w:lang w:val="fr-FR"/>
        </w:rPr>
        <w:tab/>
      </w:r>
      <w:r w:rsidR="00D60A11" w:rsidRPr="00EA05B3">
        <w:rPr>
          <w:lang w:val="fr-FR"/>
        </w:rPr>
        <w:t>Les personnes handicapées représentent une part importante de la population active. Le taux de chômage dans cette population (5,1</w:t>
      </w:r>
      <w:r w:rsidR="009379A7" w:rsidRPr="00EA05B3">
        <w:rPr>
          <w:lang w:val="fr-FR"/>
        </w:rPr>
        <w:t> %</w:t>
      </w:r>
      <w:r w:rsidR="00D60A11" w:rsidRPr="00EA05B3">
        <w:rPr>
          <w:lang w:val="fr-FR"/>
        </w:rPr>
        <w:t>) est similaire au taux de chômage des personnes non handicapées (5,4</w:t>
      </w:r>
      <w:r w:rsidR="009379A7" w:rsidRPr="00EA05B3">
        <w:rPr>
          <w:lang w:val="fr-FR"/>
        </w:rPr>
        <w:t> %</w:t>
      </w:r>
      <w:r w:rsidR="00AA11F3" w:rsidRPr="00EA05B3">
        <w:rPr>
          <w:lang w:val="fr-FR"/>
        </w:rPr>
        <w:t>)</w:t>
      </w:r>
      <w:r w:rsidR="00D60A11" w:rsidRPr="00EA05B3">
        <w:rPr>
          <w:rStyle w:val="FootnoteReference"/>
          <w:lang w:val="fr-FR"/>
        </w:rPr>
        <w:footnoteReference w:id="53"/>
      </w:r>
      <w:r w:rsidR="00D60A11" w:rsidRPr="00EA05B3">
        <w:rPr>
          <w:lang w:val="fr-FR"/>
        </w:rPr>
        <w:t xml:space="preserve">, ce qui </w:t>
      </w:r>
      <w:r w:rsidR="005F36F6" w:rsidRPr="00EA05B3">
        <w:rPr>
          <w:lang w:val="fr-FR"/>
        </w:rPr>
        <w:t>est probablement dû à</w:t>
      </w:r>
      <w:r w:rsidR="00D60A11" w:rsidRPr="00EA05B3">
        <w:rPr>
          <w:lang w:val="fr-FR"/>
        </w:rPr>
        <w:t xml:space="preserve"> la politique </w:t>
      </w:r>
      <w:r w:rsidR="009379A7" w:rsidRPr="00EA05B3">
        <w:rPr>
          <w:lang w:val="fr-FR"/>
        </w:rPr>
        <w:t>d’</w:t>
      </w:r>
      <w:r w:rsidR="00D60A11" w:rsidRPr="00EA05B3">
        <w:rPr>
          <w:lang w:val="fr-FR"/>
        </w:rPr>
        <w:t xml:space="preserve">action positive menée par le Gouvernement actuel en faveur de </w:t>
      </w:r>
      <w:r w:rsidR="009379A7" w:rsidRPr="00EA05B3">
        <w:rPr>
          <w:lang w:val="fr-FR"/>
        </w:rPr>
        <w:t>l’</w:t>
      </w:r>
      <w:r w:rsidR="00D60A11" w:rsidRPr="00EA05B3">
        <w:rPr>
          <w:lang w:val="fr-FR"/>
        </w:rPr>
        <w:t>insertion professionnelle des personnes handicap</w:t>
      </w:r>
      <w:r w:rsidR="005F36F6" w:rsidRPr="00EA05B3">
        <w:rPr>
          <w:lang w:val="fr-FR"/>
        </w:rPr>
        <w:t>ées</w:t>
      </w:r>
      <w:r w:rsidR="00D60A11" w:rsidRPr="00EA05B3">
        <w:rPr>
          <w:lang w:val="fr-FR"/>
        </w:rPr>
        <w:t xml:space="preserve">. </w:t>
      </w:r>
    </w:p>
    <w:p w:rsidR="00D60A11" w:rsidRPr="00EA05B3" w:rsidRDefault="005059C0" w:rsidP="005059C0">
      <w:pPr>
        <w:pStyle w:val="H1G"/>
        <w:rPr>
          <w:lang w:val="fr-FR"/>
        </w:rPr>
      </w:pPr>
      <w:bookmarkStart w:id="19" w:name="_Toc392676783"/>
      <w:r w:rsidRPr="00EA05B3">
        <w:rPr>
          <w:lang w:val="fr-FR"/>
        </w:rPr>
        <w:tab/>
        <w:t>F.</w:t>
      </w:r>
      <w:r w:rsidRPr="00EA05B3">
        <w:rPr>
          <w:lang w:val="fr-FR"/>
        </w:rPr>
        <w:tab/>
        <w:t>Sécurité sociale et retraite</w:t>
      </w:r>
      <w:bookmarkEnd w:id="19"/>
    </w:p>
    <w:p w:rsidR="00D60A11" w:rsidRPr="00EA05B3" w:rsidRDefault="000E632B" w:rsidP="00537986">
      <w:pPr>
        <w:pStyle w:val="SingleTxtG"/>
        <w:rPr>
          <w:lang w:val="fr-FR"/>
        </w:rPr>
      </w:pPr>
      <w:r w:rsidRPr="00EA05B3">
        <w:rPr>
          <w:lang w:val="fr-FR"/>
        </w:rPr>
        <w:t>152.</w:t>
      </w:r>
      <w:r w:rsidRPr="00EA05B3">
        <w:rPr>
          <w:lang w:val="fr-FR"/>
        </w:rPr>
        <w:tab/>
      </w:r>
      <w:r w:rsidR="00D60A11" w:rsidRPr="00EA05B3">
        <w:rPr>
          <w:lang w:val="fr-FR"/>
        </w:rPr>
        <w:t xml:space="preserve">Conformément à la disposition constitutionnelle sur le droit à un travail stable, juste et digne, la sécurité sociale est reconnue comme </w:t>
      </w:r>
      <w:r w:rsidR="00B15670" w:rsidRPr="00EA05B3">
        <w:rPr>
          <w:lang w:val="fr-FR"/>
        </w:rPr>
        <w:t>«</w:t>
      </w:r>
      <w:r w:rsidR="00D60A11" w:rsidRPr="00EA05B3">
        <w:rPr>
          <w:lang w:val="fr-FR"/>
        </w:rPr>
        <w:t>un droit universel de tous les travailleurs</w:t>
      </w:r>
      <w:r w:rsidR="004A6FBB" w:rsidRPr="00EA05B3">
        <w:rPr>
          <w:lang w:val="fr-FR"/>
        </w:rPr>
        <w:t xml:space="preserve"> auquel on ne peut déroger</w:t>
      </w:r>
      <w:r w:rsidR="00284ACA" w:rsidRPr="00EA05B3">
        <w:rPr>
          <w:lang w:val="fr-FR"/>
        </w:rPr>
        <w:t>»</w:t>
      </w:r>
      <w:r w:rsidR="00D60A11" w:rsidRPr="00EA05B3">
        <w:rPr>
          <w:lang w:val="fr-FR"/>
        </w:rPr>
        <w:t xml:space="preserve"> (art</w:t>
      </w:r>
      <w:r w:rsidR="0095674E" w:rsidRPr="00EA05B3">
        <w:rPr>
          <w:lang w:val="fr-FR"/>
        </w:rPr>
        <w:t>.</w:t>
      </w:r>
      <w:r w:rsidR="00D60A11" w:rsidRPr="00EA05B3">
        <w:rPr>
          <w:lang w:val="fr-FR"/>
        </w:rPr>
        <w:t xml:space="preserve"> 34)</w:t>
      </w:r>
      <w:r w:rsidR="00D60A11" w:rsidRPr="00EA05B3">
        <w:rPr>
          <w:rStyle w:val="FootnoteReference"/>
          <w:lang w:val="fr-FR"/>
        </w:rPr>
        <w:footnoteReference w:id="54"/>
      </w:r>
      <w:r w:rsidR="00D60A11" w:rsidRPr="00EA05B3">
        <w:rPr>
          <w:lang w:val="fr-FR"/>
        </w:rPr>
        <w:t xml:space="preserve">. Dans ce domaine, un certain nombre de politiques ont été élaborées en vue </w:t>
      </w:r>
      <w:r w:rsidR="009379A7" w:rsidRPr="00EA05B3">
        <w:rPr>
          <w:lang w:val="fr-FR"/>
        </w:rPr>
        <w:t>d’</w:t>
      </w:r>
      <w:r w:rsidR="00D60A11" w:rsidRPr="00EA05B3">
        <w:rPr>
          <w:lang w:val="fr-FR"/>
        </w:rPr>
        <w:t xml:space="preserve">améliorer la couverture et les prestations de la sécurité sociale. </w:t>
      </w:r>
    </w:p>
    <w:p w:rsidR="00D60A11" w:rsidRPr="00EA05B3" w:rsidRDefault="0095674E" w:rsidP="0095674E">
      <w:pPr>
        <w:pStyle w:val="SingleTxtG"/>
        <w:rPr>
          <w:lang w:val="fr-FR"/>
        </w:rPr>
      </w:pPr>
      <w:r w:rsidRPr="00EA05B3">
        <w:rPr>
          <w:lang w:val="fr-FR"/>
        </w:rPr>
        <w:t>153.</w:t>
      </w:r>
      <w:r w:rsidRPr="00EA05B3">
        <w:rPr>
          <w:lang w:val="fr-FR"/>
        </w:rPr>
        <w:tab/>
      </w:r>
      <w:r w:rsidR="00D60A11" w:rsidRPr="00EA05B3">
        <w:rPr>
          <w:lang w:val="fr-FR"/>
        </w:rPr>
        <w:t>Entre les recensements de 2001 et de 2010, la population de plus de 15 ans affiliée à la sécurité sociale a beaucoup augmenté, plus précisément de 7</w:t>
      </w:r>
      <w:r w:rsidR="009379A7" w:rsidRPr="00EA05B3">
        <w:rPr>
          <w:lang w:val="fr-FR"/>
        </w:rPr>
        <w:t> %</w:t>
      </w:r>
      <w:r w:rsidR="00D60A11" w:rsidRPr="00EA05B3">
        <w:rPr>
          <w:lang w:val="fr-FR"/>
        </w:rPr>
        <w:t xml:space="preserve"> pour les hommes et presque 5</w:t>
      </w:r>
      <w:r w:rsidR="009379A7" w:rsidRPr="00EA05B3">
        <w:rPr>
          <w:lang w:val="fr-FR"/>
        </w:rPr>
        <w:t> %</w:t>
      </w:r>
      <w:r w:rsidR="00D60A11" w:rsidRPr="00EA05B3">
        <w:rPr>
          <w:lang w:val="fr-FR"/>
        </w:rPr>
        <w:t xml:space="preserve"> pour les femmes. Cet écart </w:t>
      </w:r>
      <w:r w:rsidR="009379A7" w:rsidRPr="00EA05B3">
        <w:rPr>
          <w:lang w:val="fr-FR"/>
        </w:rPr>
        <w:t>s’</w:t>
      </w:r>
      <w:r w:rsidR="00D60A11" w:rsidRPr="00EA05B3">
        <w:rPr>
          <w:lang w:val="fr-FR"/>
        </w:rPr>
        <w:t xml:space="preserve">explique par le fait </w:t>
      </w:r>
      <w:r w:rsidR="009379A7" w:rsidRPr="00EA05B3">
        <w:rPr>
          <w:lang w:val="fr-FR"/>
        </w:rPr>
        <w:t>qu’</w:t>
      </w:r>
      <w:r w:rsidR="00D60A11" w:rsidRPr="00EA05B3">
        <w:rPr>
          <w:lang w:val="fr-FR"/>
        </w:rPr>
        <w:t xml:space="preserve">une proportion importante de femmes ne participe pas au marché du travail en raison des tâches domestiques et de soins </w:t>
      </w:r>
      <w:r w:rsidR="009379A7" w:rsidRPr="00EA05B3">
        <w:rPr>
          <w:lang w:val="fr-FR"/>
        </w:rPr>
        <w:t>qu’</w:t>
      </w:r>
      <w:r w:rsidR="00D60A11" w:rsidRPr="00EA05B3">
        <w:rPr>
          <w:lang w:val="fr-FR"/>
        </w:rPr>
        <w:t xml:space="preserve">elles assument. Si on analyse la population active, on constate que cette augmentation est encore plus élevée, de </w:t>
      </w:r>
      <w:r w:rsidR="009379A7" w:rsidRPr="00EA05B3">
        <w:rPr>
          <w:lang w:val="fr-FR"/>
        </w:rPr>
        <w:t>l’</w:t>
      </w:r>
      <w:r w:rsidR="00D60A11" w:rsidRPr="00EA05B3">
        <w:rPr>
          <w:lang w:val="fr-FR"/>
        </w:rPr>
        <w:t>ordre de 10</w:t>
      </w:r>
      <w:r w:rsidR="009379A7" w:rsidRPr="00EA05B3">
        <w:rPr>
          <w:lang w:val="fr-FR"/>
        </w:rPr>
        <w:t> %</w:t>
      </w:r>
      <w:r w:rsidR="00D60A11" w:rsidRPr="00EA05B3">
        <w:rPr>
          <w:lang w:val="fr-FR"/>
        </w:rPr>
        <w:t xml:space="preserve"> pour les femmes (34,2</w:t>
      </w:r>
      <w:r w:rsidR="009379A7" w:rsidRPr="00EA05B3">
        <w:rPr>
          <w:lang w:val="fr-FR"/>
        </w:rPr>
        <w:t> %</w:t>
      </w:r>
      <w:r w:rsidR="00D60A11" w:rsidRPr="00EA05B3">
        <w:rPr>
          <w:lang w:val="fr-FR"/>
        </w:rPr>
        <w:t xml:space="preserve"> étaient affiliées en 2010, contre 24,3</w:t>
      </w:r>
      <w:r w:rsidR="009379A7" w:rsidRPr="00EA05B3">
        <w:rPr>
          <w:lang w:val="fr-FR"/>
        </w:rPr>
        <w:t> %</w:t>
      </w:r>
      <w:r w:rsidR="00D60A11" w:rsidRPr="00EA05B3">
        <w:rPr>
          <w:lang w:val="fr-FR"/>
        </w:rPr>
        <w:t xml:space="preserve"> en 2001) et de 12</w:t>
      </w:r>
      <w:r w:rsidR="009379A7" w:rsidRPr="00EA05B3">
        <w:rPr>
          <w:lang w:val="fr-FR"/>
        </w:rPr>
        <w:t> %</w:t>
      </w:r>
      <w:r w:rsidR="00D60A11" w:rsidRPr="00EA05B3">
        <w:rPr>
          <w:lang w:val="fr-FR"/>
        </w:rPr>
        <w:t xml:space="preserve"> pour les hommes (33,2</w:t>
      </w:r>
      <w:r w:rsidR="009379A7" w:rsidRPr="00EA05B3">
        <w:rPr>
          <w:lang w:val="fr-FR"/>
        </w:rPr>
        <w:t> %</w:t>
      </w:r>
      <w:r w:rsidR="00D60A11" w:rsidRPr="00EA05B3">
        <w:rPr>
          <w:lang w:val="fr-FR"/>
        </w:rPr>
        <w:t xml:space="preserve"> étaient affiliés en 2010, contre 23,1</w:t>
      </w:r>
      <w:r w:rsidR="009379A7" w:rsidRPr="00EA05B3">
        <w:rPr>
          <w:lang w:val="fr-FR"/>
        </w:rPr>
        <w:t> %</w:t>
      </w:r>
      <w:r w:rsidR="00D60A11" w:rsidRPr="00EA05B3">
        <w:rPr>
          <w:lang w:val="fr-FR"/>
        </w:rPr>
        <w:t xml:space="preserve"> en 2001)</w:t>
      </w:r>
      <w:r w:rsidR="00D60A11" w:rsidRPr="00EA05B3">
        <w:rPr>
          <w:rStyle w:val="FootnoteReference"/>
          <w:lang w:val="fr-FR"/>
        </w:rPr>
        <w:footnoteReference w:id="55"/>
      </w:r>
      <w:r w:rsidR="00D60A11" w:rsidRPr="00EA05B3">
        <w:rPr>
          <w:lang w:val="fr-FR"/>
        </w:rPr>
        <w:t xml:space="preserve">. En ce qui concerne le pourcentage </w:t>
      </w:r>
      <w:r w:rsidR="009379A7" w:rsidRPr="00EA05B3">
        <w:rPr>
          <w:lang w:val="fr-FR"/>
        </w:rPr>
        <w:t>d’</w:t>
      </w:r>
      <w:r w:rsidR="00D60A11" w:rsidRPr="00EA05B3">
        <w:rPr>
          <w:lang w:val="fr-FR"/>
        </w:rPr>
        <w:t xml:space="preserve">affiliation à la sécurité sociale, </w:t>
      </w:r>
      <w:r w:rsidR="005C686E" w:rsidRPr="00EA05B3">
        <w:rPr>
          <w:lang w:val="fr-FR"/>
        </w:rPr>
        <w:t xml:space="preserve">les inégalités entre les sexes ont </w:t>
      </w:r>
      <w:r w:rsidR="00D60A11" w:rsidRPr="00EA05B3">
        <w:rPr>
          <w:lang w:val="fr-FR"/>
        </w:rPr>
        <w:t xml:space="preserve">été </w:t>
      </w:r>
      <w:r w:rsidR="0050005C" w:rsidRPr="00EA05B3">
        <w:rPr>
          <w:lang w:val="fr-FR"/>
        </w:rPr>
        <w:t>pratiquement comblé</w:t>
      </w:r>
      <w:r w:rsidR="005C686E" w:rsidRPr="00EA05B3">
        <w:rPr>
          <w:lang w:val="fr-FR"/>
        </w:rPr>
        <w:t>es</w:t>
      </w:r>
      <w:r w:rsidR="00D60A11" w:rsidRPr="00EA05B3">
        <w:rPr>
          <w:lang w:val="fr-FR"/>
        </w:rPr>
        <w:t>.</w:t>
      </w:r>
    </w:p>
    <w:p w:rsidR="00D60A11" w:rsidRPr="00EA05B3" w:rsidRDefault="0095674E" w:rsidP="0095674E">
      <w:pPr>
        <w:pStyle w:val="SingleTxtG"/>
        <w:rPr>
          <w:lang w:val="fr-FR"/>
        </w:rPr>
      </w:pPr>
      <w:r w:rsidRPr="00EA05B3">
        <w:rPr>
          <w:lang w:val="fr-FR"/>
        </w:rPr>
        <w:t>154.</w:t>
      </w:r>
      <w:r w:rsidRPr="00EA05B3">
        <w:rPr>
          <w:lang w:val="fr-FR"/>
        </w:rPr>
        <w:tab/>
      </w:r>
      <w:r w:rsidR="00D60A11" w:rsidRPr="00EA05B3">
        <w:rPr>
          <w:lang w:val="fr-FR"/>
        </w:rPr>
        <w:t>En matière de sécurité sociale les inégalités persistent, au détriment du milieu rural.</w:t>
      </w:r>
    </w:p>
    <w:p w:rsidR="00D60A11" w:rsidRPr="00EA05B3" w:rsidRDefault="0095674E" w:rsidP="0095674E">
      <w:pPr>
        <w:pStyle w:val="SingleTxtG"/>
        <w:rPr>
          <w:lang w:val="fr-FR"/>
        </w:rPr>
      </w:pPr>
      <w:r w:rsidRPr="00EA05B3">
        <w:rPr>
          <w:lang w:val="fr-FR"/>
        </w:rPr>
        <w:t>155.</w:t>
      </w:r>
      <w:r w:rsidRPr="00EA05B3">
        <w:rPr>
          <w:lang w:val="fr-FR"/>
        </w:rPr>
        <w:tab/>
      </w:r>
      <w:r w:rsidR="00D60A11" w:rsidRPr="00EA05B3">
        <w:rPr>
          <w:lang w:val="fr-FR"/>
        </w:rPr>
        <w:t xml:space="preserve">Quant à la retraite, </w:t>
      </w:r>
      <w:r w:rsidR="009379A7" w:rsidRPr="00EA05B3">
        <w:rPr>
          <w:lang w:val="fr-FR"/>
        </w:rPr>
        <w:t>d’</w:t>
      </w:r>
      <w:r w:rsidR="00D60A11" w:rsidRPr="00EA05B3">
        <w:rPr>
          <w:lang w:val="fr-FR"/>
        </w:rPr>
        <w:t>après le recensement de 2010, la proportion de personnes de plus de 65 ans qui bénéficient de la sécurité sociale et perçoivent une retraite ou une pension atteint à peine 13,1</w:t>
      </w:r>
      <w:r w:rsidR="009379A7" w:rsidRPr="00EA05B3">
        <w:rPr>
          <w:lang w:val="fr-FR"/>
        </w:rPr>
        <w:t> %</w:t>
      </w:r>
      <w:r w:rsidR="00D60A11" w:rsidRPr="00EA05B3">
        <w:rPr>
          <w:lang w:val="fr-FR"/>
        </w:rPr>
        <w:t xml:space="preserve"> en Équateur, malgré une augmentation de presque 6</w:t>
      </w:r>
      <w:r w:rsidR="009379A7" w:rsidRPr="00EA05B3">
        <w:rPr>
          <w:lang w:val="fr-FR"/>
        </w:rPr>
        <w:t> %</w:t>
      </w:r>
      <w:r w:rsidR="00D60A11" w:rsidRPr="00EA05B3">
        <w:rPr>
          <w:lang w:val="fr-FR"/>
        </w:rPr>
        <w:t xml:space="preserve"> par rapport au chiffre de 7,6</w:t>
      </w:r>
      <w:r w:rsidR="009379A7" w:rsidRPr="00EA05B3">
        <w:rPr>
          <w:lang w:val="fr-FR"/>
        </w:rPr>
        <w:t> %</w:t>
      </w:r>
      <w:r w:rsidR="00D60A11" w:rsidRPr="00EA05B3">
        <w:rPr>
          <w:lang w:val="fr-FR"/>
        </w:rPr>
        <w:t xml:space="preserve"> donné par le recensement de 2001</w:t>
      </w:r>
      <w:r w:rsidR="00D60A11" w:rsidRPr="00EA05B3">
        <w:rPr>
          <w:rStyle w:val="FootnoteReference"/>
          <w:lang w:val="fr-FR"/>
        </w:rPr>
        <w:footnoteReference w:id="56"/>
      </w:r>
      <w:r w:rsidR="00D60A11" w:rsidRPr="00EA05B3">
        <w:rPr>
          <w:lang w:val="fr-FR"/>
        </w:rPr>
        <w:t xml:space="preserve">. </w:t>
      </w:r>
    </w:p>
    <w:p w:rsidR="00D60A11" w:rsidRPr="00EA05B3" w:rsidRDefault="0095674E" w:rsidP="0095674E">
      <w:pPr>
        <w:pStyle w:val="SingleTxtG"/>
        <w:rPr>
          <w:lang w:val="fr-FR"/>
        </w:rPr>
      </w:pPr>
      <w:r w:rsidRPr="00EA05B3">
        <w:rPr>
          <w:lang w:val="fr-FR"/>
        </w:rPr>
        <w:t>156.</w:t>
      </w:r>
      <w:r w:rsidRPr="00EA05B3">
        <w:rPr>
          <w:lang w:val="fr-FR"/>
        </w:rPr>
        <w:tab/>
      </w:r>
      <w:r w:rsidR="009379A7" w:rsidRPr="00EA05B3">
        <w:rPr>
          <w:lang w:val="fr-FR"/>
        </w:rPr>
        <w:t>L’</w:t>
      </w:r>
      <w:r w:rsidR="00D60A11" w:rsidRPr="00EA05B3">
        <w:rPr>
          <w:lang w:val="fr-FR"/>
        </w:rPr>
        <w:t xml:space="preserve">Équateur envisage de mettre en place des politiques pour améliorer la situation de non-protection dans laquelle se trouvent la plupart des personnes âgées et faire en sorte que celles-ci puissent toucher une pension, bénéficier </w:t>
      </w:r>
      <w:r w:rsidR="009379A7" w:rsidRPr="00EA05B3">
        <w:rPr>
          <w:lang w:val="fr-FR"/>
        </w:rPr>
        <w:t>d’</w:t>
      </w:r>
      <w:r w:rsidR="00D60A11" w:rsidRPr="00EA05B3">
        <w:rPr>
          <w:lang w:val="fr-FR"/>
        </w:rPr>
        <w:t xml:space="preserve">une assurance santé et des autres prestations sociales des retraités. </w:t>
      </w:r>
    </w:p>
    <w:p w:rsidR="00D60A11" w:rsidRPr="00EA05B3" w:rsidRDefault="0095674E" w:rsidP="0095674E">
      <w:pPr>
        <w:pStyle w:val="SingleTxtG"/>
        <w:rPr>
          <w:lang w:val="fr-FR"/>
        </w:rPr>
      </w:pPr>
      <w:r w:rsidRPr="00EA05B3">
        <w:rPr>
          <w:lang w:val="fr-FR"/>
        </w:rPr>
        <w:t>157.</w:t>
      </w:r>
      <w:r w:rsidRPr="00EA05B3">
        <w:rPr>
          <w:lang w:val="fr-FR"/>
        </w:rPr>
        <w:tab/>
      </w:r>
      <w:r w:rsidR="00D60A11" w:rsidRPr="00EA05B3">
        <w:rPr>
          <w:lang w:val="fr-FR"/>
        </w:rPr>
        <w:t xml:space="preserve">La reconnaissance du travail domestique et du travail parental </w:t>
      </w:r>
      <w:r w:rsidR="009379A7" w:rsidRPr="00EA05B3">
        <w:rPr>
          <w:lang w:val="fr-FR"/>
        </w:rPr>
        <w:t>d’</w:t>
      </w:r>
      <w:r w:rsidR="00D60A11" w:rsidRPr="00EA05B3">
        <w:rPr>
          <w:lang w:val="fr-FR"/>
        </w:rPr>
        <w:t xml:space="preserve">éducation constitue également un progrès important. </w:t>
      </w:r>
      <w:r w:rsidR="009379A7" w:rsidRPr="00EA05B3">
        <w:rPr>
          <w:lang w:val="fr-FR"/>
        </w:rPr>
        <w:t>L’</w:t>
      </w:r>
      <w:r w:rsidR="00D60A11" w:rsidRPr="00EA05B3">
        <w:rPr>
          <w:lang w:val="fr-FR"/>
        </w:rPr>
        <w:t>article 333</w:t>
      </w:r>
      <w:r w:rsidR="00D60A11" w:rsidRPr="00EA05B3">
        <w:rPr>
          <w:rStyle w:val="FootnoteReference"/>
          <w:lang w:val="fr-FR"/>
        </w:rPr>
        <w:footnoteReference w:id="57"/>
      </w:r>
      <w:r w:rsidR="00D60A11" w:rsidRPr="00EA05B3">
        <w:rPr>
          <w:lang w:val="fr-FR"/>
        </w:rPr>
        <w:t xml:space="preserve"> de la Constitution reconnaît </w:t>
      </w:r>
      <w:r w:rsidR="009379A7" w:rsidRPr="00EA05B3">
        <w:rPr>
          <w:lang w:val="fr-FR"/>
        </w:rPr>
        <w:t>qu’</w:t>
      </w:r>
      <w:r w:rsidR="00D60A11" w:rsidRPr="00EA05B3">
        <w:rPr>
          <w:lang w:val="fr-FR"/>
        </w:rPr>
        <w:t xml:space="preserve">il </w:t>
      </w:r>
      <w:r w:rsidR="009379A7" w:rsidRPr="00EA05B3">
        <w:rPr>
          <w:lang w:val="fr-FR"/>
        </w:rPr>
        <w:t>s’</w:t>
      </w:r>
      <w:r w:rsidR="00D60A11" w:rsidRPr="00EA05B3">
        <w:rPr>
          <w:lang w:val="fr-FR"/>
        </w:rPr>
        <w:t xml:space="preserve">agit </w:t>
      </w:r>
      <w:r w:rsidR="009379A7" w:rsidRPr="00EA05B3">
        <w:rPr>
          <w:lang w:val="fr-FR"/>
        </w:rPr>
        <w:t>d’</w:t>
      </w:r>
      <w:r w:rsidR="00D60A11" w:rsidRPr="00EA05B3">
        <w:rPr>
          <w:lang w:val="fr-FR"/>
        </w:rPr>
        <w:t xml:space="preserve">un travail productif qui doit bénéficier de la protection de </w:t>
      </w:r>
      <w:r w:rsidR="009379A7" w:rsidRPr="00EA05B3">
        <w:rPr>
          <w:lang w:val="fr-FR"/>
        </w:rPr>
        <w:t>l’</w:t>
      </w:r>
      <w:r w:rsidR="00D60A11" w:rsidRPr="00EA05B3">
        <w:rPr>
          <w:lang w:val="fr-FR"/>
        </w:rPr>
        <w:t>État et dispose que le bénéfice de la sécurité sociale doit être progressivement étendu aux personnes qui se chargent du travail familial non rémunéré au foyer, renforçant ainsi les droits des femmes et des personnes qui font ce travail.</w:t>
      </w:r>
    </w:p>
    <w:p w:rsidR="00D60A11" w:rsidRPr="00EA05B3" w:rsidRDefault="0095674E" w:rsidP="0095674E">
      <w:pPr>
        <w:pStyle w:val="SingleTxtG"/>
        <w:rPr>
          <w:lang w:val="fr-FR"/>
        </w:rPr>
      </w:pPr>
      <w:r w:rsidRPr="00EA05B3">
        <w:rPr>
          <w:lang w:val="fr-FR"/>
        </w:rPr>
        <w:t>158.</w:t>
      </w:r>
      <w:r w:rsidRPr="00EA05B3">
        <w:rPr>
          <w:lang w:val="fr-FR"/>
        </w:rPr>
        <w:tab/>
      </w:r>
      <w:r w:rsidR="00D60A11" w:rsidRPr="00EA05B3">
        <w:rPr>
          <w:lang w:val="fr-FR"/>
        </w:rPr>
        <w:t xml:space="preserve">Une étude sur le temps consacré </w:t>
      </w:r>
      <w:r w:rsidR="002D5213" w:rsidRPr="00EA05B3">
        <w:rPr>
          <w:lang w:val="fr-FR"/>
        </w:rPr>
        <w:t>aux tâches</w:t>
      </w:r>
      <w:r w:rsidR="00D60A11" w:rsidRPr="00EA05B3">
        <w:rPr>
          <w:lang w:val="fr-FR"/>
        </w:rPr>
        <w:t xml:space="preserve"> </w:t>
      </w:r>
      <w:r w:rsidR="002D5213" w:rsidRPr="00EA05B3">
        <w:rPr>
          <w:lang w:val="fr-FR"/>
        </w:rPr>
        <w:t xml:space="preserve">ménagères </w:t>
      </w:r>
      <w:r w:rsidR="00D60A11" w:rsidRPr="00EA05B3">
        <w:rPr>
          <w:lang w:val="fr-FR"/>
        </w:rPr>
        <w:t xml:space="preserve">montre clairement que les femmes en assument une plus grande part que les hommes. Il est donc nécessaire de définir des politiques permettant de faire évoluer les modèles socioculturels et de mettre en place une action interinstitutionnelle visant à modifier les stéréotypes </w:t>
      </w:r>
      <w:r w:rsidR="005C686E" w:rsidRPr="00EA05B3">
        <w:rPr>
          <w:lang w:val="fr-FR"/>
        </w:rPr>
        <w:t>sexistes</w:t>
      </w:r>
      <w:r w:rsidR="00D60A11" w:rsidRPr="00EA05B3">
        <w:rPr>
          <w:lang w:val="fr-FR"/>
        </w:rPr>
        <w:t xml:space="preserve">, à rendre les rôles plus flexibles et à distribuer plus équitablement les </w:t>
      </w:r>
      <w:r w:rsidR="005C686E" w:rsidRPr="00EA05B3">
        <w:rPr>
          <w:lang w:val="fr-FR"/>
        </w:rPr>
        <w:t xml:space="preserve">tâches </w:t>
      </w:r>
      <w:r w:rsidR="002D5213" w:rsidRPr="00EA05B3">
        <w:rPr>
          <w:lang w:val="fr-FR"/>
        </w:rPr>
        <w:t xml:space="preserve">ménagères </w:t>
      </w:r>
      <w:r w:rsidR="00D60A11" w:rsidRPr="00EA05B3">
        <w:rPr>
          <w:lang w:val="fr-FR"/>
        </w:rPr>
        <w:t>entre femmes et hommes.</w:t>
      </w:r>
    </w:p>
    <w:p w:rsidR="00D60A11" w:rsidRPr="00EA05B3" w:rsidRDefault="005059C0" w:rsidP="005059C0">
      <w:pPr>
        <w:pStyle w:val="H1G"/>
        <w:rPr>
          <w:lang w:val="fr-FR"/>
        </w:rPr>
      </w:pPr>
      <w:bookmarkStart w:id="20" w:name="_Toc392676784"/>
      <w:r w:rsidRPr="00EA05B3">
        <w:rPr>
          <w:lang w:val="fr-FR"/>
        </w:rPr>
        <w:tab/>
        <w:t>G.</w:t>
      </w:r>
      <w:r w:rsidRPr="00EA05B3">
        <w:rPr>
          <w:lang w:val="fr-FR"/>
        </w:rPr>
        <w:tab/>
        <w:t>Logement</w:t>
      </w:r>
      <w:bookmarkEnd w:id="20"/>
    </w:p>
    <w:p w:rsidR="00D60A11" w:rsidRPr="00EA05B3" w:rsidRDefault="0095674E" w:rsidP="0095674E">
      <w:pPr>
        <w:pStyle w:val="SingleTxtG"/>
        <w:rPr>
          <w:lang w:val="fr-FR"/>
        </w:rPr>
      </w:pPr>
      <w:r w:rsidRPr="00EA05B3">
        <w:rPr>
          <w:lang w:val="fr-FR"/>
        </w:rPr>
        <w:t>159.</w:t>
      </w:r>
      <w:r w:rsidRPr="00EA05B3">
        <w:rPr>
          <w:lang w:val="fr-FR"/>
        </w:rPr>
        <w:tab/>
      </w:r>
      <w:r w:rsidR="00D60A11" w:rsidRPr="00EA05B3">
        <w:rPr>
          <w:lang w:val="fr-FR"/>
        </w:rPr>
        <w:t>Le déficit qualitatif des logements est toujours important en Équateur. Environ 45</w:t>
      </w:r>
      <w:r w:rsidR="009379A7" w:rsidRPr="00EA05B3">
        <w:rPr>
          <w:lang w:val="fr-FR"/>
        </w:rPr>
        <w:t> %</w:t>
      </w:r>
      <w:r w:rsidR="00D60A11" w:rsidRPr="00EA05B3">
        <w:rPr>
          <w:lang w:val="fr-FR"/>
        </w:rPr>
        <w:t xml:space="preserve"> des logements du pays ne possèdent toujours pas </w:t>
      </w:r>
      <w:r w:rsidR="009379A7" w:rsidRPr="00EA05B3">
        <w:rPr>
          <w:lang w:val="fr-FR"/>
        </w:rPr>
        <w:t>d’</w:t>
      </w:r>
      <w:r w:rsidR="00D60A11" w:rsidRPr="00EA05B3">
        <w:rPr>
          <w:lang w:val="fr-FR"/>
        </w:rPr>
        <w:t xml:space="preserve">eau potable et </w:t>
      </w:r>
      <w:r w:rsidR="009379A7" w:rsidRPr="00EA05B3">
        <w:rPr>
          <w:lang w:val="fr-FR"/>
        </w:rPr>
        <w:t>d’</w:t>
      </w:r>
      <w:r w:rsidR="00D60A11" w:rsidRPr="00EA05B3">
        <w:rPr>
          <w:lang w:val="fr-FR"/>
        </w:rPr>
        <w:t>assainissement.</w:t>
      </w:r>
    </w:p>
    <w:p w:rsidR="00D60A11" w:rsidRPr="00EA05B3" w:rsidRDefault="0095674E" w:rsidP="0095674E">
      <w:pPr>
        <w:pStyle w:val="SingleTxtG"/>
        <w:rPr>
          <w:lang w:val="fr-FR"/>
        </w:rPr>
      </w:pPr>
      <w:r w:rsidRPr="00EA05B3">
        <w:rPr>
          <w:lang w:val="fr-FR"/>
        </w:rPr>
        <w:t>160.</w:t>
      </w:r>
      <w:r w:rsidRPr="00EA05B3">
        <w:rPr>
          <w:lang w:val="fr-FR"/>
        </w:rPr>
        <w:tab/>
      </w:r>
      <w:r w:rsidR="00D60A11" w:rsidRPr="00EA05B3">
        <w:rPr>
          <w:lang w:val="fr-FR"/>
        </w:rPr>
        <w:t xml:space="preserve">Toutefois, comme le montre une étude sur le déficit qualitatif des logements réalisée entre 1990 et 2010 et diffusée par le recensement de la population et du logement de </w:t>
      </w:r>
      <w:r w:rsidR="009379A7" w:rsidRPr="00EA05B3">
        <w:rPr>
          <w:lang w:val="fr-FR"/>
        </w:rPr>
        <w:t>l’</w:t>
      </w:r>
      <w:r w:rsidR="00D60A11" w:rsidRPr="00EA05B3">
        <w:rPr>
          <w:lang w:val="fr-FR"/>
        </w:rPr>
        <w:t>Institut national des statistiques et des recensements</w:t>
      </w:r>
      <w:r w:rsidR="00D60A11" w:rsidRPr="00EA05B3">
        <w:rPr>
          <w:rStyle w:val="FootnoteReference"/>
          <w:lang w:val="fr-FR"/>
        </w:rPr>
        <w:footnoteReference w:id="58"/>
      </w:r>
      <w:r w:rsidR="00D60A11" w:rsidRPr="00EA05B3">
        <w:rPr>
          <w:lang w:val="fr-FR"/>
        </w:rPr>
        <w:t>, les conditions de logement en Équateur se sont continuellement améliorées depuis 1982. Cette amélioration a été plus marquée entre les deux derniers recensements (2001-2010), atteignant presque 10</w:t>
      </w:r>
      <w:r w:rsidR="009379A7" w:rsidRPr="00EA05B3">
        <w:rPr>
          <w:lang w:val="fr-FR"/>
        </w:rPr>
        <w:t> %</w:t>
      </w:r>
      <w:r w:rsidR="00D60A11" w:rsidRPr="00EA05B3">
        <w:rPr>
          <w:lang w:val="fr-FR"/>
        </w:rPr>
        <w:t xml:space="preserve">, soit le double du chiffre </w:t>
      </w:r>
      <w:r w:rsidR="0050005C" w:rsidRPr="00EA05B3">
        <w:rPr>
          <w:lang w:val="fr-FR"/>
        </w:rPr>
        <w:t>correspondant aux</w:t>
      </w:r>
      <w:r w:rsidR="00D60A11" w:rsidRPr="00EA05B3">
        <w:rPr>
          <w:lang w:val="fr-FR"/>
        </w:rPr>
        <w:t xml:space="preserve"> périodes précédentes.</w:t>
      </w:r>
      <w:r w:rsidR="000D57A5" w:rsidRPr="00EA05B3">
        <w:rPr>
          <w:lang w:val="fr-FR"/>
        </w:rPr>
        <w:t xml:space="preserve"> </w:t>
      </w:r>
    </w:p>
    <w:p w:rsidR="00D60A11" w:rsidRPr="00EA05B3" w:rsidRDefault="0095674E" w:rsidP="0095674E">
      <w:pPr>
        <w:pStyle w:val="SingleTxtG"/>
        <w:rPr>
          <w:lang w:val="fr-FR"/>
        </w:rPr>
      </w:pPr>
      <w:r w:rsidRPr="00EA05B3">
        <w:rPr>
          <w:lang w:val="fr-FR"/>
        </w:rPr>
        <w:t>161.</w:t>
      </w:r>
      <w:r w:rsidRPr="00EA05B3">
        <w:rPr>
          <w:lang w:val="fr-FR"/>
        </w:rPr>
        <w:tab/>
      </w:r>
      <w:r w:rsidR="00D60A11" w:rsidRPr="00EA05B3">
        <w:rPr>
          <w:lang w:val="fr-FR"/>
        </w:rPr>
        <w:t>On observe également de fortes disparités régionales en ce qui concerne les conditions de logement. Alors que la moitié des logements en zone urbaine sont convenables, à peine 8</w:t>
      </w:r>
      <w:r w:rsidR="009379A7" w:rsidRPr="00EA05B3">
        <w:rPr>
          <w:lang w:val="fr-FR"/>
        </w:rPr>
        <w:t> %</w:t>
      </w:r>
      <w:r w:rsidR="00D60A11" w:rsidRPr="00EA05B3">
        <w:rPr>
          <w:lang w:val="fr-FR"/>
        </w:rPr>
        <w:t xml:space="preserve"> des logements le sont en zone rurale. Les régions les plus défavorisées sont la région amazonienne, avec un déficit de 84</w:t>
      </w:r>
      <w:r w:rsidR="009379A7" w:rsidRPr="00EA05B3">
        <w:rPr>
          <w:lang w:val="fr-FR"/>
        </w:rPr>
        <w:t> %</w:t>
      </w:r>
      <w:r w:rsidR="00D60A11" w:rsidRPr="00EA05B3">
        <w:rPr>
          <w:lang w:val="fr-FR"/>
        </w:rPr>
        <w:t>, les îles Galápagos (82</w:t>
      </w:r>
      <w:r w:rsidR="009379A7" w:rsidRPr="00EA05B3">
        <w:rPr>
          <w:lang w:val="fr-FR"/>
        </w:rPr>
        <w:t> %</w:t>
      </w:r>
      <w:r w:rsidR="00D60A11" w:rsidRPr="00EA05B3">
        <w:rPr>
          <w:lang w:val="fr-FR"/>
        </w:rPr>
        <w:t>) et la région côtière (71</w:t>
      </w:r>
      <w:r w:rsidR="009379A7" w:rsidRPr="00EA05B3">
        <w:rPr>
          <w:lang w:val="fr-FR"/>
        </w:rPr>
        <w:t> %</w:t>
      </w:r>
      <w:r w:rsidR="00D60A11" w:rsidRPr="00EA05B3">
        <w:rPr>
          <w:lang w:val="fr-FR"/>
        </w:rPr>
        <w:t>).</w:t>
      </w:r>
    </w:p>
    <w:p w:rsidR="00D60A11" w:rsidRPr="00EA05B3" w:rsidRDefault="0095674E" w:rsidP="0095674E">
      <w:pPr>
        <w:pStyle w:val="SingleTxtG"/>
        <w:rPr>
          <w:lang w:val="fr-FR"/>
        </w:rPr>
      </w:pPr>
      <w:r w:rsidRPr="00EA05B3">
        <w:rPr>
          <w:lang w:val="fr-FR"/>
        </w:rPr>
        <w:t>162.</w:t>
      </w:r>
      <w:r w:rsidRPr="00EA05B3">
        <w:rPr>
          <w:lang w:val="fr-FR"/>
        </w:rPr>
        <w:tab/>
      </w:r>
      <w:r w:rsidR="00D60A11" w:rsidRPr="00EA05B3">
        <w:rPr>
          <w:lang w:val="fr-FR"/>
        </w:rPr>
        <w:t xml:space="preserve">Dans le cadre de </w:t>
      </w:r>
      <w:r w:rsidR="009379A7" w:rsidRPr="00EA05B3">
        <w:rPr>
          <w:lang w:val="fr-FR"/>
        </w:rPr>
        <w:t>l’</w:t>
      </w:r>
      <w:r w:rsidR="00D60A11" w:rsidRPr="00EA05B3">
        <w:rPr>
          <w:lang w:val="fr-FR"/>
        </w:rPr>
        <w:t xml:space="preserve">enquête sur les conditions de vie réalisée en 2007, la catégorie </w:t>
      </w:r>
      <w:r w:rsidR="00B15670" w:rsidRPr="00EA05B3">
        <w:rPr>
          <w:lang w:val="fr-FR"/>
        </w:rPr>
        <w:t>«</w:t>
      </w:r>
      <w:r w:rsidR="00D60A11" w:rsidRPr="00EA05B3">
        <w:rPr>
          <w:lang w:val="fr-FR"/>
        </w:rPr>
        <w:t>logements présentant un déficit qualitatif</w:t>
      </w:r>
      <w:r w:rsidR="00B15670" w:rsidRPr="00EA05B3">
        <w:rPr>
          <w:lang w:val="fr-FR"/>
        </w:rPr>
        <w:t>»</w:t>
      </w:r>
      <w:r w:rsidR="000D57A5" w:rsidRPr="00EA05B3">
        <w:rPr>
          <w:lang w:val="fr-FR"/>
        </w:rPr>
        <w:t xml:space="preserve"> </w:t>
      </w:r>
      <w:r w:rsidR="00D60A11" w:rsidRPr="00EA05B3">
        <w:rPr>
          <w:lang w:val="fr-FR"/>
        </w:rPr>
        <w:t xml:space="preserve">prend en considération </w:t>
      </w:r>
      <w:r w:rsidR="009379A7" w:rsidRPr="00EA05B3">
        <w:rPr>
          <w:lang w:val="fr-FR"/>
        </w:rPr>
        <w:t>l’</w:t>
      </w:r>
      <w:r w:rsidR="00D60A11" w:rsidRPr="00EA05B3">
        <w:rPr>
          <w:lang w:val="fr-FR"/>
        </w:rPr>
        <w:t xml:space="preserve">espace disponible, les services de base fournis et les matériaux de construction utilisés, et la catégorie </w:t>
      </w:r>
      <w:r w:rsidR="00B15670" w:rsidRPr="00EA05B3">
        <w:rPr>
          <w:lang w:val="fr-FR"/>
        </w:rPr>
        <w:t>«</w:t>
      </w:r>
      <w:r w:rsidR="00D60A11" w:rsidRPr="00EA05B3">
        <w:rPr>
          <w:lang w:val="fr-FR"/>
        </w:rPr>
        <w:t>logements de taille suffisante</w:t>
      </w:r>
      <w:r w:rsidR="00B15670" w:rsidRPr="00EA05B3">
        <w:rPr>
          <w:lang w:val="fr-FR"/>
        </w:rPr>
        <w:t>»</w:t>
      </w:r>
      <w:r w:rsidR="00D60A11" w:rsidRPr="00EA05B3">
        <w:rPr>
          <w:lang w:val="fr-FR"/>
        </w:rPr>
        <w:t xml:space="preserve"> correspond à des logements de plus de deux pièces. Le tableau 11 ci-après </w:t>
      </w:r>
      <w:r w:rsidR="0050005C" w:rsidRPr="00EA05B3">
        <w:rPr>
          <w:lang w:val="fr-FR"/>
        </w:rPr>
        <w:t xml:space="preserve">résume </w:t>
      </w:r>
      <w:r w:rsidR="00D60A11" w:rsidRPr="00EA05B3">
        <w:rPr>
          <w:lang w:val="fr-FR"/>
        </w:rPr>
        <w:t>les critères pris en compte.</w:t>
      </w:r>
      <w:r w:rsidR="000D57A5" w:rsidRPr="00EA05B3">
        <w:rPr>
          <w:lang w:val="fr-FR"/>
        </w:rPr>
        <w:t xml:space="preserve"> </w:t>
      </w:r>
    </w:p>
    <w:p w:rsidR="00D60A11" w:rsidRPr="00EA05B3" w:rsidRDefault="00646BB6" w:rsidP="005059C0">
      <w:pPr>
        <w:pStyle w:val="H23G"/>
        <w:rPr>
          <w:lang w:val="fr-FR"/>
        </w:rPr>
      </w:pPr>
      <w:bookmarkStart w:id="21" w:name="_Toc392676829"/>
      <w:r w:rsidRPr="00EA05B3">
        <w:rPr>
          <w:lang w:val="fr-FR"/>
        </w:rPr>
        <w:tab/>
      </w:r>
      <w:r w:rsidRPr="00EA05B3">
        <w:rPr>
          <w:lang w:val="fr-FR"/>
        </w:rPr>
        <w:tab/>
        <w:t xml:space="preserve">Critères appliqués pour évaluer le </w:t>
      </w:r>
      <w:r w:rsidR="00B15670" w:rsidRPr="00EA05B3">
        <w:rPr>
          <w:lang w:val="fr-FR"/>
        </w:rPr>
        <w:t>«</w:t>
      </w:r>
      <w:r w:rsidRPr="00EA05B3">
        <w:rPr>
          <w:lang w:val="fr-FR"/>
        </w:rPr>
        <w:t>déficit qualitatif des logements</w:t>
      </w:r>
      <w:bookmarkEnd w:id="21"/>
      <w:r w:rsidR="00B15670" w:rsidRPr="00EA05B3">
        <w:rPr>
          <w:lang w:val="fr-FR"/>
        </w:rPr>
        <w:t>»</w:t>
      </w:r>
    </w:p>
    <w:tbl>
      <w:tblPr>
        <w:tblW w:w="8505" w:type="dxa"/>
        <w:tblInd w:w="1134" w:type="dxa"/>
        <w:tblBorders>
          <w:top w:val="single" w:sz="4" w:space="0" w:color="auto"/>
          <w:bottom w:val="single" w:sz="12" w:space="0" w:color="auto"/>
        </w:tblBorders>
        <w:tblLayout w:type="fixed"/>
        <w:tblCellMar>
          <w:left w:w="0" w:type="dxa"/>
          <w:right w:w="0" w:type="dxa"/>
        </w:tblCellMar>
        <w:tblLook w:val="04A0"/>
      </w:tblPr>
      <w:tblGrid>
        <w:gridCol w:w="1366"/>
        <w:gridCol w:w="1400"/>
        <w:gridCol w:w="2960"/>
        <w:gridCol w:w="2779"/>
      </w:tblGrid>
      <w:tr w:rsidR="003C3377" w:rsidRPr="00EA05B3">
        <w:trPr>
          <w:cantSplit/>
          <w:tblHeader/>
        </w:trPr>
        <w:tc>
          <w:tcPr>
            <w:tcW w:w="1366" w:type="dxa"/>
            <w:tcBorders>
              <w:top w:val="single" w:sz="4" w:space="0" w:color="auto"/>
              <w:bottom w:val="single" w:sz="12" w:space="0" w:color="auto"/>
            </w:tcBorders>
            <w:shd w:val="clear" w:color="auto" w:fill="auto"/>
            <w:vAlign w:val="bottom"/>
          </w:tcPr>
          <w:p w:rsidR="00FF5615" w:rsidRPr="00EA05B3" w:rsidRDefault="00FF5615" w:rsidP="003C3377">
            <w:pPr>
              <w:keepNext/>
              <w:spacing w:before="80" w:after="80" w:line="200" w:lineRule="exact"/>
              <w:ind w:right="113"/>
              <w:rPr>
                <w:bCs/>
                <w:i/>
                <w:sz w:val="16"/>
                <w:szCs w:val="16"/>
                <w:lang w:val="fr-FR"/>
              </w:rPr>
            </w:pPr>
            <w:r w:rsidRPr="00EA05B3">
              <w:rPr>
                <w:i/>
                <w:sz w:val="16"/>
                <w:lang w:val="fr-FR"/>
              </w:rPr>
              <w:t>Type</w:t>
            </w:r>
          </w:p>
        </w:tc>
        <w:tc>
          <w:tcPr>
            <w:tcW w:w="1400" w:type="dxa"/>
            <w:tcBorders>
              <w:top w:val="single" w:sz="4" w:space="0" w:color="auto"/>
              <w:bottom w:val="single" w:sz="12" w:space="0" w:color="auto"/>
            </w:tcBorders>
            <w:shd w:val="clear" w:color="auto" w:fill="auto"/>
            <w:vAlign w:val="bottom"/>
          </w:tcPr>
          <w:p w:rsidR="00FF5615" w:rsidRPr="00EA05B3" w:rsidRDefault="00FF5615" w:rsidP="003C3377">
            <w:pPr>
              <w:keepNext/>
              <w:spacing w:before="80" w:after="80" w:line="200" w:lineRule="exact"/>
              <w:ind w:right="113"/>
              <w:rPr>
                <w:bCs/>
                <w:i/>
                <w:sz w:val="16"/>
                <w:szCs w:val="16"/>
                <w:lang w:val="fr-FR"/>
              </w:rPr>
            </w:pPr>
            <w:r w:rsidRPr="00EA05B3">
              <w:rPr>
                <w:i/>
                <w:sz w:val="16"/>
                <w:lang w:val="fr-FR"/>
              </w:rPr>
              <w:t>Dimensions/</w:t>
            </w:r>
            <w:r w:rsidRPr="00EA05B3">
              <w:rPr>
                <w:bCs/>
                <w:i/>
                <w:sz w:val="16"/>
                <w:szCs w:val="16"/>
                <w:lang w:val="fr-FR"/>
              </w:rPr>
              <w:br/>
            </w:r>
            <w:r w:rsidRPr="00EA05B3">
              <w:rPr>
                <w:i/>
                <w:sz w:val="16"/>
                <w:lang w:val="fr-FR"/>
              </w:rPr>
              <w:t>surpopulation</w:t>
            </w:r>
          </w:p>
        </w:tc>
        <w:tc>
          <w:tcPr>
            <w:tcW w:w="2960" w:type="dxa"/>
            <w:tcBorders>
              <w:top w:val="single" w:sz="4" w:space="0" w:color="auto"/>
              <w:bottom w:val="single" w:sz="12" w:space="0" w:color="auto"/>
            </w:tcBorders>
            <w:shd w:val="clear" w:color="auto" w:fill="auto"/>
            <w:vAlign w:val="bottom"/>
          </w:tcPr>
          <w:p w:rsidR="00FF5615" w:rsidRPr="00EA05B3" w:rsidRDefault="00FF5615" w:rsidP="003C3377">
            <w:pPr>
              <w:keepNext/>
              <w:spacing w:before="80" w:after="80" w:line="200" w:lineRule="exact"/>
              <w:ind w:right="113"/>
              <w:rPr>
                <w:bCs/>
                <w:i/>
                <w:sz w:val="16"/>
                <w:szCs w:val="16"/>
                <w:lang w:val="fr-FR"/>
              </w:rPr>
            </w:pPr>
            <w:r w:rsidRPr="00EA05B3">
              <w:rPr>
                <w:i/>
                <w:sz w:val="16"/>
                <w:lang w:val="fr-FR"/>
              </w:rPr>
              <w:t>Services de base</w:t>
            </w:r>
          </w:p>
        </w:tc>
        <w:tc>
          <w:tcPr>
            <w:tcW w:w="2779" w:type="dxa"/>
            <w:tcBorders>
              <w:top w:val="single" w:sz="4" w:space="0" w:color="auto"/>
              <w:bottom w:val="single" w:sz="12" w:space="0" w:color="auto"/>
            </w:tcBorders>
            <w:shd w:val="clear" w:color="auto" w:fill="auto"/>
            <w:vAlign w:val="bottom"/>
          </w:tcPr>
          <w:p w:rsidR="00FF5615" w:rsidRPr="00EA05B3" w:rsidRDefault="00FF5615" w:rsidP="003C3377">
            <w:pPr>
              <w:keepNext/>
              <w:spacing w:before="80" w:after="80" w:line="200" w:lineRule="exact"/>
              <w:ind w:right="113"/>
              <w:rPr>
                <w:bCs/>
                <w:i/>
                <w:sz w:val="16"/>
                <w:szCs w:val="16"/>
                <w:lang w:val="fr-FR"/>
              </w:rPr>
            </w:pPr>
            <w:r w:rsidRPr="00EA05B3">
              <w:rPr>
                <w:i/>
                <w:sz w:val="16"/>
                <w:lang w:val="fr-FR"/>
              </w:rPr>
              <w:t>Matériaux de construction</w:t>
            </w:r>
          </w:p>
        </w:tc>
      </w:tr>
      <w:tr w:rsidR="00910500" w:rsidRPr="00EA05B3">
        <w:trPr>
          <w:cantSplit/>
          <w:trHeight w:hRule="exact" w:val="113"/>
          <w:tblHeader/>
        </w:trPr>
        <w:tc>
          <w:tcPr>
            <w:tcW w:w="1366" w:type="dxa"/>
            <w:tcBorders>
              <w:top w:val="single" w:sz="12" w:space="0" w:color="auto"/>
              <w:bottom w:val="nil"/>
            </w:tcBorders>
            <w:shd w:val="clear" w:color="auto" w:fill="auto"/>
          </w:tcPr>
          <w:p w:rsidR="00910500" w:rsidRPr="00EA05B3" w:rsidRDefault="00910500" w:rsidP="003C3377">
            <w:pPr>
              <w:spacing w:before="40" w:after="120" w:line="220" w:lineRule="exact"/>
              <w:ind w:right="113"/>
              <w:rPr>
                <w:lang w:val="fr-FR"/>
              </w:rPr>
            </w:pPr>
          </w:p>
        </w:tc>
        <w:tc>
          <w:tcPr>
            <w:tcW w:w="1400" w:type="dxa"/>
            <w:tcBorders>
              <w:top w:val="single" w:sz="12" w:space="0" w:color="auto"/>
              <w:bottom w:val="nil"/>
            </w:tcBorders>
            <w:shd w:val="clear" w:color="auto" w:fill="auto"/>
          </w:tcPr>
          <w:p w:rsidR="00910500" w:rsidRPr="00EA05B3" w:rsidRDefault="00910500" w:rsidP="003C3377">
            <w:pPr>
              <w:spacing w:before="40" w:after="120" w:line="220" w:lineRule="exact"/>
              <w:ind w:right="113"/>
              <w:rPr>
                <w:lang w:val="fr-FR"/>
              </w:rPr>
            </w:pPr>
          </w:p>
        </w:tc>
        <w:tc>
          <w:tcPr>
            <w:tcW w:w="2960" w:type="dxa"/>
            <w:tcBorders>
              <w:top w:val="single" w:sz="12" w:space="0" w:color="auto"/>
              <w:bottom w:val="nil"/>
            </w:tcBorders>
            <w:shd w:val="clear" w:color="auto" w:fill="auto"/>
          </w:tcPr>
          <w:p w:rsidR="00910500" w:rsidRPr="00EA05B3" w:rsidRDefault="00910500" w:rsidP="003C3377">
            <w:pPr>
              <w:spacing w:before="40" w:after="120" w:line="220" w:lineRule="exact"/>
              <w:ind w:right="113"/>
              <w:rPr>
                <w:lang w:val="fr-FR"/>
              </w:rPr>
            </w:pPr>
          </w:p>
        </w:tc>
        <w:tc>
          <w:tcPr>
            <w:tcW w:w="2779" w:type="dxa"/>
            <w:tcBorders>
              <w:top w:val="single" w:sz="12" w:space="0" w:color="auto"/>
              <w:bottom w:val="nil"/>
            </w:tcBorders>
            <w:shd w:val="clear" w:color="auto" w:fill="auto"/>
          </w:tcPr>
          <w:p w:rsidR="00910500" w:rsidRPr="00EA05B3" w:rsidRDefault="00910500" w:rsidP="003C3377">
            <w:pPr>
              <w:spacing w:before="40" w:after="120" w:line="220" w:lineRule="exact"/>
              <w:ind w:right="113"/>
              <w:rPr>
                <w:lang w:val="fr-FR"/>
              </w:rPr>
            </w:pPr>
          </w:p>
        </w:tc>
      </w:tr>
      <w:tr w:rsidR="003C3377" w:rsidRPr="00EA05B3">
        <w:trPr>
          <w:cantSplit/>
        </w:trPr>
        <w:tc>
          <w:tcPr>
            <w:tcW w:w="1366" w:type="dxa"/>
            <w:tcBorders>
              <w:top w:val="nil"/>
            </w:tcBorders>
            <w:shd w:val="clear" w:color="auto" w:fill="auto"/>
          </w:tcPr>
          <w:p w:rsidR="00FF5615" w:rsidRPr="00EA05B3" w:rsidRDefault="00FF5615" w:rsidP="003C3377">
            <w:pPr>
              <w:spacing w:before="40" w:after="120" w:line="220" w:lineRule="exact"/>
              <w:ind w:right="113"/>
              <w:rPr>
                <w:lang w:val="fr-FR"/>
              </w:rPr>
            </w:pPr>
            <w:r w:rsidRPr="00EA05B3">
              <w:rPr>
                <w:lang w:val="fr-FR"/>
              </w:rPr>
              <w:t>Non déficitaire</w:t>
            </w:r>
          </w:p>
        </w:tc>
        <w:tc>
          <w:tcPr>
            <w:tcW w:w="1400" w:type="dxa"/>
            <w:tcBorders>
              <w:top w:val="nil"/>
            </w:tcBorders>
            <w:shd w:val="clear" w:color="auto" w:fill="auto"/>
          </w:tcPr>
          <w:p w:rsidR="00FF5615" w:rsidRPr="00EA05B3" w:rsidRDefault="00FF5615" w:rsidP="003C3377">
            <w:pPr>
              <w:spacing w:before="40" w:after="120" w:line="220" w:lineRule="exact"/>
              <w:ind w:right="113"/>
              <w:rPr>
                <w:lang w:val="fr-FR"/>
              </w:rPr>
            </w:pPr>
            <w:r w:rsidRPr="00EA05B3">
              <w:rPr>
                <w:lang w:val="fr-FR"/>
              </w:rPr>
              <w:t>Jus</w:t>
            </w:r>
            <w:r w:rsidR="009379A7" w:rsidRPr="00EA05B3">
              <w:rPr>
                <w:lang w:val="fr-FR"/>
              </w:rPr>
              <w:t>qu’</w:t>
            </w:r>
            <w:r w:rsidRPr="00EA05B3">
              <w:rPr>
                <w:lang w:val="fr-FR"/>
              </w:rPr>
              <w:t>à trois personnes par chambre</w:t>
            </w:r>
          </w:p>
        </w:tc>
        <w:tc>
          <w:tcPr>
            <w:tcW w:w="2960" w:type="dxa"/>
            <w:tcBorders>
              <w:top w:val="nil"/>
            </w:tcBorders>
            <w:shd w:val="clear" w:color="auto" w:fill="auto"/>
          </w:tcPr>
          <w:p w:rsidR="00FF5615" w:rsidRPr="00EA05B3" w:rsidRDefault="00FF5615" w:rsidP="003C3377">
            <w:pPr>
              <w:spacing w:before="40" w:after="120" w:line="220" w:lineRule="exact"/>
              <w:ind w:right="113"/>
              <w:rPr>
                <w:lang w:val="fr-FR"/>
              </w:rPr>
            </w:pPr>
            <w:r w:rsidRPr="00EA05B3">
              <w:rPr>
                <w:lang w:val="fr-FR"/>
              </w:rPr>
              <w:t>Lumière</w:t>
            </w:r>
            <w:r w:rsidR="00B36EE6" w:rsidRPr="00EA05B3">
              <w:rPr>
                <w:lang w:val="fr-FR"/>
              </w:rPr>
              <w:t>:</w:t>
            </w:r>
            <w:r w:rsidRPr="00EA05B3">
              <w:rPr>
                <w:lang w:val="fr-FR"/>
              </w:rPr>
              <w:t xml:space="preserve"> fournisseur public ou privé</w:t>
            </w:r>
          </w:p>
        </w:tc>
        <w:tc>
          <w:tcPr>
            <w:tcW w:w="2779" w:type="dxa"/>
            <w:tcBorders>
              <w:top w:val="nil"/>
            </w:tcBorders>
            <w:shd w:val="clear" w:color="auto" w:fill="auto"/>
          </w:tcPr>
          <w:p w:rsidR="00FF5615" w:rsidRPr="00EA05B3" w:rsidRDefault="00FF5615" w:rsidP="003C3377">
            <w:pPr>
              <w:spacing w:before="40" w:after="120" w:line="220" w:lineRule="exact"/>
              <w:ind w:right="113"/>
              <w:rPr>
                <w:lang w:val="fr-FR"/>
              </w:rPr>
            </w:pPr>
            <w:r w:rsidRPr="00EA05B3">
              <w:rPr>
                <w:lang w:val="fr-FR"/>
              </w:rPr>
              <w:t>Sol</w:t>
            </w:r>
            <w:r w:rsidR="00B36EE6" w:rsidRPr="00EA05B3">
              <w:rPr>
                <w:lang w:val="fr-FR"/>
              </w:rPr>
              <w:t>:</w:t>
            </w:r>
            <w:r w:rsidRPr="00EA05B3">
              <w:rPr>
                <w:lang w:val="fr-FR"/>
              </w:rPr>
              <w:t xml:space="preserve"> plancher, plancher traité, parquet, parquet flottant, céramique, carrelage, mosaïque, linoléum, marbre, faux marbre</w:t>
            </w:r>
          </w:p>
        </w:tc>
      </w:tr>
      <w:tr w:rsidR="00FF5615" w:rsidRPr="00EA05B3">
        <w:trPr>
          <w:cantSplit/>
        </w:trPr>
        <w:tc>
          <w:tcPr>
            <w:tcW w:w="1366" w:type="dxa"/>
            <w:shd w:val="clear" w:color="auto" w:fill="auto"/>
          </w:tcPr>
          <w:p w:rsidR="00FF5615" w:rsidRPr="00EA05B3" w:rsidRDefault="00FF5615" w:rsidP="003C3377">
            <w:pPr>
              <w:spacing w:before="40" w:after="120" w:line="220" w:lineRule="exact"/>
              <w:ind w:right="113"/>
              <w:rPr>
                <w:lang w:val="fr-FR"/>
              </w:rPr>
            </w:pPr>
          </w:p>
        </w:tc>
        <w:tc>
          <w:tcPr>
            <w:tcW w:w="1400" w:type="dxa"/>
            <w:shd w:val="clear" w:color="auto" w:fill="auto"/>
          </w:tcPr>
          <w:p w:rsidR="00FF5615" w:rsidRPr="00EA05B3" w:rsidRDefault="00FF5615" w:rsidP="003C3377">
            <w:pPr>
              <w:spacing w:before="40" w:after="120" w:line="220" w:lineRule="exact"/>
              <w:ind w:right="113"/>
              <w:rPr>
                <w:lang w:val="fr-FR"/>
              </w:rPr>
            </w:pPr>
          </w:p>
        </w:tc>
        <w:tc>
          <w:tcPr>
            <w:tcW w:w="2960" w:type="dxa"/>
            <w:shd w:val="clear" w:color="auto" w:fill="auto"/>
          </w:tcPr>
          <w:p w:rsidR="00FF5615" w:rsidRPr="00EA05B3" w:rsidRDefault="00FF5615" w:rsidP="003C3377">
            <w:pPr>
              <w:spacing w:before="40" w:after="120" w:line="220" w:lineRule="exact"/>
              <w:ind w:right="113"/>
              <w:rPr>
                <w:lang w:val="fr-FR"/>
              </w:rPr>
            </w:pPr>
            <w:r w:rsidRPr="00EA05B3">
              <w:rPr>
                <w:lang w:val="fr-FR"/>
              </w:rPr>
              <w:t>Eau</w:t>
            </w:r>
            <w:r w:rsidR="00B36EE6" w:rsidRPr="00EA05B3">
              <w:rPr>
                <w:lang w:val="fr-FR"/>
              </w:rPr>
              <w:t>:</w:t>
            </w:r>
            <w:r w:rsidRPr="00EA05B3">
              <w:rPr>
                <w:lang w:val="fr-FR"/>
              </w:rPr>
              <w:t xml:space="preserve"> réseau public, fontaine ou robinet publics</w:t>
            </w:r>
          </w:p>
        </w:tc>
        <w:tc>
          <w:tcPr>
            <w:tcW w:w="2779" w:type="dxa"/>
            <w:shd w:val="clear" w:color="auto" w:fill="auto"/>
          </w:tcPr>
          <w:p w:rsidR="00FF5615" w:rsidRPr="00EA05B3" w:rsidRDefault="00FF5615" w:rsidP="003C3377">
            <w:pPr>
              <w:spacing w:before="40" w:after="120" w:line="220" w:lineRule="exact"/>
              <w:ind w:right="113"/>
              <w:rPr>
                <w:lang w:val="fr-FR"/>
              </w:rPr>
            </w:pPr>
            <w:r w:rsidRPr="00EA05B3">
              <w:rPr>
                <w:lang w:val="fr-FR"/>
              </w:rPr>
              <w:t>Murs</w:t>
            </w:r>
            <w:r w:rsidR="00B36EE6" w:rsidRPr="00EA05B3">
              <w:rPr>
                <w:lang w:val="fr-FR"/>
              </w:rPr>
              <w:t>:</w:t>
            </w:r>
            <w:r w:rsidRPr="00EA05B3">
              <w:rPr>
                <w:lang w:val="fr-FR"/>
              </w:rPr>
              <w:t xml:space="preserve"> béton, parpaing, brique, amiante/ciment (fibrolit), bois</w:t>
            </w:r>
          </w:p>
        </w:tc>
      </w:tr>
      <w:tr w:rsidR="00FF5615" w:rsidRPr="00EA05B3">
        <w:trPr>
          <w:cantSplit/>
        </w:trPr>
        <w:tc>
          <w:tcPr>
            <w:tcW w:w="1366" w:type="dxa"/>
            <w:shd w:val="clear" w:color="auto" w:fill="auto"/>
          </w:tcPr>
          <w:p w:rsidR="00FF5615" w:rsidRPr="00EA05B3" w:rsidRDefault="00FF5615" w:rsidP="003C3377">
            <w:pPr>
              <w:spacing w:before="40" w:after="120" w:line="220" w:lineRule="exact"/>
              <w:ind w:right="113"/>
              <w:rPr>
                <w:lang w:val="fr-FR"/>
              </w:rPr>
            </w:pPr>
          </w:p>
        </w:tc>
        <w:tc>
          <w:tcPr>
            <w:tcW w:w="1400" w:type="dxa"/>
            <w:shd w:val="clear" w:color="auto" w:fill="auto"/>
          </w:tcPr>
          <w:p w:rsidR="00FF5615" w:rsidRPr="00EA05B3" w:rsidRDefault="00FF5615" w:rsidP="003C3377">
            <w:pPr>
              <w:spacing w:before="40" w:after="120" w:line="220" w:lineRule="exact"/>
              <w:ind w:right="113"/>
              <w:rPr>
                <w:lang w:val="fr-FR"/>
              </w:rPr>
            </w:pPr>
          </w:p>
        </w:tc>
        <w:tc>
          <w:tcPr>
            <w:tcW w:w="2960" w:type="dxa"/>
            <w:shd w:val="clear" w:color="auto" w:fill="auto"/>
          </w:tcPr>
          <w:p w:rsidR="00FF5615" w:rsidRPr="00EA05B3" w:rsidRDefault="00FF5615" w:rsidP="003C3377">
            <w:pPr>
              <w:spacing w:before="40" w:after="120" w:line="220" w:lineRule="exact"/>
              <w:ind w:right="113"/>
              <w:rPr>
                <w:lang w:val="fr-FR"/>
              </w:rPr>
            </w:pPr>
            <w:r w:rsidRPr="00EA05B3">
              <w:rPr>
                <w:lang w:val="fr-FR"/>
              </w:rPr>
              <w:t>Assainissement</w:t>
            </w:r>
            <w:r w:rsidR="00B36EE6" w:rsidRPr="00EA05B3">
              <w:rPr>
                <w:lang w:val="fr-FR"/>
              </w:rPr>
              <w:t>:</w:t>
            </w:r>
            <w:r w:rsidRPr="00EA05B3">
              <w:rPr>
                <w:lang w:val="fr-FR"/>
              </w:rPr>
              <w:t xml:space="preserve"> toilettes et système </w:t>
            </w:r>
            <w:r w:rsidR="009379A7" w:rsidRPr="00EA05B3">
              <w:rPr>
                <w:lang w:val="fr-FR"/>
              </w:rPr>
              <w:t>d’</w:t>
            </w:r>
            <w:r w:rsidRPr="00EA05B3">
              <w:rPr>
                <w:lang w:val="fr-FR"/>
              </w:rPr>
              <w:t>égouts ou toilettes et fosse septique</w:t>
            </w:r>
          </w:p>
        </w:tc>
        <w:tc>
          <w:tcPr>
            <w:tcW w:w="2779" w:type="dxa"/>
            <w:shd w:val="clear" w:color="auto" w:fill="auto"/>
          </w:tcPr>
          <w:p w:rsidR="00FF5615" w:rsidRPr="00EA05B3" w:rsidRDefault="00FF5615" w:rsidP="003C3377">
            <w:pPr>
              <w:spacing w:before="40" w:after="120" w:line="220" w:lineRule="exact"/>
              <w:ind w:right="113"/>
              <w:rPr>
                <w:lang w:val="fr-FR"/>
              </w:rPr>
            </w:pPr>
            <w:r w:rsidRPr="00EA05B3">
              <w:rPr>
                <w:lang w:val="fr-FR"/>
              </w:rPr>
              <w:t>Toit</w:t>
            </w:r>
            <w:r w:rsidR="00B36EE6" w:rsidRPr="00EA05B3">
              <w:rPr>
                <w:lang w:val="fr-FR"/>
              </w:rPr>
              <w:t>:</w:t>
            </w:r>
            <w:r w:rsidRPr="00EA05B3">
              <w:rPr>
                <w:lang w:val="fr-FR"/>
              </w:rPr>
              <w:t xml:space="preserve"> béton, dalle, ciment, amiante (eternit), zinc, tuile</w:t>
            </w:r>
          </w:p>
        </w:tc>
      </w:tr>
      <w:tr w:rsidR="00FF5615" w:rsidRPr="00EA05B3">
        <w:trPr>
          <w:cantSplit/>
        </w:trPr>
        <w:tc>
          <w:tcPr>
            <w:tcW w:w="1366" w:type="dxa"/>
            <w:tcBorders>
              <w:bottom w:val="nil"/>
            </w:tcBorders>
            <w:shd w:val="clear" w:color="auto" w:fill="auto"/>
          </w:tcPr>
          <w:p w:rsidR="00FF5615" w:rsidRPr="00EA05B3" w:rsidRDefault="00FF5615" w:rsidP="003C3377">
            <w:pPr>
              <w:spacing w:before="40" w:after="120" w:line="220" w:lineRule="exact"/>
              <w:ind w:right="113"/>
              <w:rPr>
                <w:lang w:val="fr-FR"/>
              </w:rPr>
            </w:pPr>
            <w:r w:rsidRPr="00EA05B3">
              <w:rPr>
                <w:lang w:val="fr-FR"/>
              </w:rPr>
              <w:t>Déficitaire</w:t>
            </w:r>
          </w:p>
        </w:tc>
        <w:tc>
          <w:tcPr>
            <w:tcW w:w="1400" w:type="dxa"/>
            <w:tcBorders>
              <w:bottom w:val="nil"/>
            </w:tcBorders>
            <w:shd w:val="clear" w:color="auto" w:fill="auto"/>
          </w:tcPr>
          <w:p w:rsidR="00FF5615" w:rsidRPr="00EA05B3" w:rsidRDefault="00FF5615" w:rsidP="003C3377">
            <w:pPr>
              <w:spacing w:before="40" w:after="120" w:line="220" w:lineRule="exact"/>
              <w:ind w:right="113"/>
              <w:rPr>
                <w:lang w:val="fr-FR"/>
              </w:rPr>
            </w:pPr>
            <w:r w:rsidRPr="00EA05B3">
              <w:rPr>
                <w:lang w:val="fr-FR"/>
              </w:rPr>
              <w:t>Plus de trois personnes par chambre</w:t>
            </w:r>
          </w:p>
        </w:tc>
        <w:tc>
          <w:tcPr>
            <w:tcW w:w="2960" w:type="dxa"/>
            <w:tcBorders>
              <w:bottom w:val="nil"/>
            </w:tcBorders>
            <w:shd w:val="clear" w:color="auto" w:fill="auto"/>
          </w:tcPr>
          <w:p w:rsidR="00FF5615" w:rsidRPr="00EA05B3" w:rsidRDefault="00FF5615" w:rsidP="003C3377">
            <w:pPr>
              <w:spacing w:before="40" w:after="120" w:line="220" w:lineRule="exact"/>
              <w:ind w:right="113"/>
              <w:rPr>
                <w:szCs w:val="24"/>
                <w:lang w:val="fr-FR"/>
              </w:rPr>
            </w:pPr>
            <w:r w:rsidRPr="00EA05B3">
              <w:rPr>
                <w:lang w:val="fr-FR"/>
              </w:rPr>
              <w:t>Lumière</w:t>
            </w:r>
            <w:r w:rsidR="00B36EE6" w:rsidRPr="00EA05B3">
              <w:rPr>
                <w:lang w:val="fr-FR"/>
              </w:rPr>
              <w:t>:</w:t>
            </w:r>
            <w:r w:rsidRPr="00EA05B3">
              <w:rPr>
                <w:lang w:val="fr-FR"/>
              </w:rPr>
              <w:t xml:space="preserve"> panneaux solaires, bougie, lampe à huile, brûleur, gaz ou néant</w:t>
            </w:r>
          </w:p>
        </w:tc>
        <w:tc>
          <w:tcPr>
            <w:tcW w:w="2779" w:type="dxa"/>
            <w:tcBorders>
              <w:bottom w:val="nil"/>
            </w:tcBorders>
            <w:shd w:val="clear" w:color="auto" w:fill="auto"/>
          </w:tcPr>
          <w:p w:rsidR="00FF5615" w:rsidRPr="00EA05B3" w:rsidRDefault="00FF5615" w:rsidP="003C3377">
            <w:pPr>
              <w:spacing w:before="40" w:after="120" w:line="220" w:lineRule="exact"/>
              <w:ind w:right="113"/>
              <w:rPr>
                <w:szCs w:val="24"/>
                <w:lang w:val="fr-FR"/>
              </w:rPr>
            </w:pPr>
            <w:r w:rsidRPr="00EA05B3">
              <w:rPr>
                <w:lang w:val="fr-FR"/>
              </w:rPr>
              <w:t>Sol</w:t>
            </w:r>
            <w:r w:rsidR="00B36EE6" w:rsidRPr="00EA05B3">
              <w:rPr>
                <w:lang w:val="fr-FR"/>
              </w:rPr>
              <w:t>:</w:t>
            </w:r>
            <w:r w:rsidRPr="00EA05B3">
              <w:rPr>
                <w:lang w:val="fr-FR"/>
              </w:rPr>
              <w:t xml:space="preserve"> ciment, briques, planches, plancher non traité, chaume, terre, feuilles de palmier, pierre</w:t>
            </w:r>
          </w:p>
        </w:tc>
      </w:tr>
      <w:tr w:rsidR="00FF5615" w:rsidRPr="00EA05B3">
        <w:trPr>
          <w:cantSplit/>
        </w:trPr>
        <w:tc>
          <w:tcPr>
            <w:tcW w:w="1366" w:type="dxa"/>
            <w:tcBorders>
              <w:top w:val="nil"/>
              <w:bottom w:val="nil"/>
            </w:tcBorders>
            <w:shd w:val="clear" w:color="auto" w:fill="auto"/>
          </w:tcPr>
          <w:p w:rsidR="00FF5615" w:rsidRPr="00EA05B3" w:rsidRDefault="00FF5615" w:rsidP="003C3377">
            <w:pPr>
              <w:spacing w:before="40" w:after="120" w:line="220" w:lineRule="exact"/>
              <w:ind w:right="113"/>
              <w:rPr>
                <w:lang w:val="fr-FR"/>
              </w:rPr>
            </w:pPr>
          </w:p>
        </w:tc>
        <w:tc>
          <w:tcPr>
            <w:tcW w:w="1400" w:type="dxa"/>
            <w:tcBorders>
              <w:top w:val="nil"/>
              <w:bottom w:val="nil"/>
            </w:tcBorders>
            <w:shd w:val="clear" w:color="auto" w:fill="auto"/>
          </w:tcPr>
          <w:p w:rsidR="00FF5615" w:rsidRPr="00EA05B3" w:rsidRDefault="00FF5615" w:rsidP="003C3377">
            <w:pPr>
              <w:spacing w:before="40" w:after="120" w:line="220" w:lineRule="exact"/>
              <w:ind w:right="113"/>
              <w:rPr>
                <w:lang w:val="fr-FR"/>
              </w:rPr>
            </w:pPr>
          </w:p>
        </w:tc>
        <w:tc>
          <w:tcPr>
            <w:tcW w:w="2960" w:type="dxa"/>
            <w:tcBorders>
              <w:top w:val="nil"/>
              <w:bottom w:val="nil"/>
            </w:tcBorders>
            <w:shd w:val="clear" w:color="auto" w:fill="auto"/>
          </w:tcPr>
          <w:p w:rsidR="00FF5615" w:rsidRPr="00EA05B3" w:rsidRDefault="00FF5615" w:rsidP="003C3377">
            <w:pPr>
              <w:spacing w:before="40" w:after="120" w:line="220" w:lineRule="exact"/>
              <w:ind w:right="113"/>
              <w:rPr>
                <w:szCs w:val="24"/>
                <w:lang w:val="fr-FR"/>
              </w:rPr>
            </w:pPr>
            <w:r w:rsidRPr="00EA05B3">
              <w:rPr>
                <w:lang w:val="fr-FR"/>
              </w:rPr>
              <w:t>Eau</w:t>
            </w:r>
            <w:r w:rsidR="00B36EE6" w:rsidRPr="00EA05B3">
              <w:rPr>
                <w:lang w:val="fr-FR"/>
              </w:rPr>
              <w:t>:</w:t>
            </w:r>
            <w:r w:rsidRPr="00EA05B3">
              <w:rPr>
                <w:lang w:val="fr-FR"/>
              </w:rPr>
              <w:t xml:space="preserve"> autres canalisations, chariot/tricycle répartiteur, puits, rivière, eaux de ruissellement, ruisseau, eaux de pluie</w:t>
            </w:r>
          </w:p>
        </w:tc>
        <w:tc>
          <w:tcPr>
            <w:tcW w:w="2779" w:type="dxa"/>
            <w:tcBorders>
              <w:top w:val="nil"/>
              <w:bottom w:val="nil"/>
            </w:tcBorders>
            <w:shd w:val="clear" w:color="auto" w:fill="auto"/>
          </w:tcPr>
          <w:p w:rsidR="00FF5615" w:rsidRPr="00EA05B3" w:rsidRDefault="00FF5615" w:rsidP="003C3377">
            <w:pPr>
              <w:spacing w:before="40" w:after="120" w:line="220" w:lineRule="exact"/>
              <w:ind w:right="113"/>
              <w:rPr>
                <w:szCs w:val="24"/>
                <w:lang w:val="fr-FR"/>
              </w:rPr>
            </w:pPr>
            <w:r w:rsidRPr="00EA05B3">
              <w:rPr>
                <w:lang w:val="fr-FR"/>
              </w:rPr>
              <w:t>Murs</w:t>
            </w:r>
            <w:r w:rsidR="00B36EE6" w:rsidRPr="00EA05B3">
              <w:rPr>
                <w:lang w:val="fr-FR"/>
              </w:rPr>
              <w:t>:</w:t>
            </w:r>
            <w:r w:rsidRPr="00EA05B3">
              <w:rPr>
                <w:lang w:val="fr-FR"/>
              </w:rPr>
              <w:t xml:space="preserve"> torchis/pisé, branchages (chaume et roseaux), chaume, roseaux, plastique, zinc</w:t>
            </w:r>
          </w:p>
        </w:tc>
      </w:tr>
      <w:tr w:rsidR="00FF5615" w:rsidRPr="00EA05B3">
        <w:trPr>
          <w:cantSplit/>
        </w:trPr>
        <w:tc>
          <w:tcPr>
            <w:tcW w:w="1366" w:type="dxa"/>
            <w:tcBorders>
              <w:top w:val="nil"/>
            </w:tcBorders>
            <w:shd w:val="clear" w:color="auto" w:fill="auto"/>
          </w:tcPr>
          <w:p w:rsidR="00FF5615" w:rsidRPr="00EA05B3" w:rsidRDefault="00FF5615" w:rsidP="003C3377">
            <w:pPr>
              <w:keepNext/>
              <w:spacing w:before="40" w:after="120" w:line="220" w:lineRule="exact"/>
              <w:ind w:right="113"/>
              <w:rPr>
                <w:lang w:val="fr-FR"/>
              </w:rPr>
            </w:pPr>
          </w:p>
        </w:tc>
        <w:tc>
          <w:tcPr>
            <w:tcW w:w="1400" w:type="dxa"/>
            <w:tcBorders>
              <w:top w:val="nil"/>
            </w:tcBorders>
            <w:shd w:val="clear" w:color="auto" w:fill="auto"/>
          </w:tcPr>
          <w:p w:rsidR="00FF5615" w:rsidRPr="00EA05B3" w:rsidRDefault="00FF5615" w:rsidP="003C3377">
            <w:pPr>
              <w:keepNext/>
              <w:spacing w:before="40" w:after="120" w:line="220" w:lineRule="exact"/>
              <w:ind w:right="113"/>
              <w:rPr>
                <w:lang w:val="fr-FR"/>
              </w:rPr>
            </w:pPr>
          </w:p>
        </w:tc>
        <w:tc>
          <w:tcPr>
            <w:tcW w:w="2960" w:type="dxa"/>
            <w:tcBorders>
              <w:top w:val="nil"/>
            </w:tcBorders>
            <w:shd w:val="clear" w:color="auto" w:fill="auto"/>
          </w:tcPr>
          <w:p w:rsidR="00FF5615" w:rsidRPr="00EA05B3" w:rsidRDefault="00FF5615" w:rsidP="003C3377">
            <w:pPr>
              <w:keepNext/>
              <w:spacing w:before="40" w:after="120" w:line="220" w:lineRule="exact"/>
              <w:ind w:right="113"/>
              <w:rPr>
                <w:szCs w:val="24"/>
                <w:lang w:val="fr-FR"/>
              </w:rPr>
            </w:pPr>
            <w:r w:rsidRPr="00EA05B3">
              <w:rPr>
                <w:lang w:val="fr-FR"/>
              </w:rPr>
              <w:t>Assainissement</w:t>
            </w:r>
            <w:r w:rsidR="00B36EE6" w:rsidRPr="00EA05B3">
              <w:rPr>
                <w:lang w:val="fr-FR"/>
              </w:rPr>
              <w:t>:</w:t>
            </w:r>
            <w:r w:rsidRPr="00EA05B3">
              <w:rPr>
                <w:lang w:val="fr-FR"/>
              </w:rPr>
              <w:t xml:space="preserve"> toilettes et fosse </w:t>
            </w:r>
            <w:r w:rsidR="009379A7" w:rsidRPr="00EA05B3">
              <w:rPr>
                <w:lang w:val="fr-FR"/>
              </w:rPr>
              <w:t>d’</w:t>
            </w:r>
            <w:r w:rsidRPr="00EA05B3">
              <w:rPr>
                <w:lang w:val="fr-FR"/>
              </w:rPr>
              <w:t>aisance, latrine ou néant</w:t>
            </w:r>
          </w:p>
        </w:tc>
        <w:tc>
          <w:tcPr>
            <w:tcW w:w="2779" w:type="dxa"/>
            <w:tcBorders>
              <w:top w:val="nil"/>
            </w:tcBorders>
            <w:shd w:val="clear" w:color="auto" w:fill="auto"/>
          </w:tcPr>
          <w:p w:rsidR="00FF5615" w:rsidRPr="00EA05B3" w:rsidRDefault="00FF5615" w:rsidP="003C3377">
            <w:pPr>
              <w:keepNext/>
              <w:spacing w:before="40" w:after="120" w:line="220" w:lineRule="exact"/>
              <w:ind w:right="113"/>
              <w:rPr>
                <w:szCs w:val="24"/>
                <w:lang w:val="fr-FR"/>
              </w:rPr>
            </w:pPr>
            <w:r w:rsidRPr="00EA05B3">
              <w:rPr>
                <w:lang w:val="fr-FR"/>
              </w:rPr>
              <w:t>Toit</w:t>
            </w:r>
            <w:r w:rsidR="00B36EE6" w:rsidRPr="00EA05B3">
              <w:rPr>
                <w:lang w:val="fr-FR"/>
              </w:rPr>
              <w:t>:</w:t>
            </w:r>
            <w:r w:rsidRPr="00EA05B3">
              <w:rPr>
                <w:lang w:val="fr-FR"/>
              </w:rPr>
              <w:t xml:space="preserve"> feuilles de palmier, paille, feuillage, bois, toile, plastique</w:t>
            </w:r>
          </w:p>
        </w:tc>
      </w:tr>
    </w:tbl>
    <w:p w:rsidR="00FF5615" w:rsidRPr="00EA05B3" w:rsidRDefault="00FF5615" w:rsidP="00EB276C">
      <w:pPr>
        <w:pStyle w:val="SingleTxtG"/>
        <w:spacing w:before="120"/>
        <w:ind w:firstLine="170"/>
        <w:rPr>
          <w:lang w:val="fr-FR"/>
        </w:rPr>
      </w:pPr>
      <w:r w:rsidRPr="00EA05B3">
        <w:rPr>
          <w:i/>
          <w:sz w:val="18"/>
          <w:lang w:val="fr-FR"/>
        </w:rPr>
        <w:t>Source</w:t>
      </w:r>
      <w:r w:rsidR="00B36EE6" w:rsidRPr="00EA05B3">
        <w:rPr>
          <w:lang w:val="fr-FR"/>
        </w:rPr>
        <w:t>:</w:t>
      </w:r>
      <w:r w:rsidRPr="00EA05B3">
        <w:rPr>
          <w:sz w:val="18"/>
          <w:lang w:val="fr-FR"/>
        </w:rPr>
        <w:t xml:space="preserve"> INEC.</w:t>
      </w:r>
    </w:p>
    <w:p w:rsidR="00D60A11" w:rsidRPr="00EA05B3" w:rsidRDefault="0095674E" w:rsidP="0095674E">
      <w:pPr>
        <w:pStyle w:val="SingleTxtG"/>
        <w:rPr>
          <w:lang w:val="fr-FR"/>
        </w:rPr>
      </w:pPr>
      <w:r w:rsidRPr="00EA05B3">
        <w:rPr>
          <w:lang w:val="fr-FR"/>
        </w:rPr>
        <w:t>163.</w:t>
      </w:r>
      <w:r w:rsidRPr="00EA05B3">
        <w:rPr>
          <w:lang w:val="fr-FR"/>
        </w:rPr>
        <w:tab/>
      </w:r>
      <w:r w:rsidR="00D60A11" w:rsidRPr="00EA05B3">
        <w:rPr>
          <w:lang w:val="fr-FR"/>
        </w:rPr>
        <w:t xml:space="preserve">Connaissance </w:t>
      </w:r>
      <w:r w:rsidR="00B15670" w:rsidRPr="00EA05B3">
        <w:rPr>
          <w:lang w:val="fr-FR"/>
        </w:rPr>
        <w:t xml:space="preserve">– </w:t>
      </w:r>
      <w:r w:rsidR="00D60A11" w:rsidRPr="00EA05B3">
        <w:rPr>
          <w:lang w:val="fr-FR"/>
        </w:rPr>
        <w:t xml:space="preserve">Il convient par ailleurs de souligner que la politique adoptée par </w:t>
      </w:r>
      <w:r w:rsidR="009379A7" w:rsidRPr="00EA05B3">
        <w:rPr>
          <w:lang w:val="fr-FR"/>
        </w:rPr>
        <w:t>l’</w:t>
      </w:r>
      <w:r w:rsidR="00D60A11" w:rsidRPr="00EA05B3">
        <w:rPr>
          <w:lang w:val="fr-FR"/>
        </w:rPr>
        <w:t>Équateur a beaucoup investi dans la connaissance, considérant que le développement des forces productives est basé essentiellement sur la formation des ressources humaines et</w:t>
      </w:r>
      <w:r w:rsidR="000D57A5" w:rsidRPr="00EA05B3">
        <w:rPr>
          <w:lang w:val="fr-FR"/>
        </w:rPr>
        <w:t xml:space="preserve"> </w:t>
      </w:r>
      <w:r w:rsidR="009379A7" w:rsidRPr="00EA05B3">
        <w:rPr>
          <w:lang w:val="fr-FR"/>
        </w:rPr>
        <w:t>l’</w:t>
      </w:r>
      <w:r w:rsidR="00D60A11" w:rsidRPr="00EA05B3">
        <w:rPr>
          <w:lang w:val="fr-FR"/>
        </w:rPr>
        <w:t xml:space="preserve">essor de la connaissance, de </w:t>
      </w:r>
      <w:r w:rsidR="009379A7" w:rsidRPr="00EA05B3">
        <w:rPr>
          <w:lang w:val="fr-FR"/>
        </w:rPr>
        <w:t>l’</w:t>
      </w:r>
      <w:r w:rsidR="00D60A11" w:rsidRPr="00EA05B3">
        <w:rPr>
          <w:lang w:val="fr-FR"/>
        </w:rPr>
        <w:t>innovation, des nouvelles technologies, des bonnes pratiques et des nouveaux outils productifs.</w:t>
      </w:r>
    </w:p>
    <w:p w:rsidR="00D60A11" w:rsidRPr="00EA05B3" w:rsidRDefault="0095674E" w:rsidP="0095674E">
      <w:pPr>
        <w:pStyle w:val="SingleTxtG"/>
        <w:rPr>
          <w:lang w:val="fr-FR"/>
        </w:rPr>
      </w:pPr>
      <w:r w:rsidRPr="00EA05B3">
        <w:rPr>
          <w:lang w:val="fr-FR"/>
        </w:rPr>
        <w:t>164.</w:t>
      </w:r>
      <w:r w:rsidRPr="00EA05B3">
        <w:rPr>
          <w:lang w:val="fr-FR"/>
        </w:rPr>
        <w:tab/>
      </w:r>
      <w:r w:rsidR="009379A7" w:rsidRPr="00EA05B3">
        <w:rPr>
          <w:lang w:val="fr-FR"/>
        </w:rPr>
        <w:t>L’</w:t>
      </w:r>
      <w:r w:rsidR="00D60A11" w:rsidRPr="00EA05B3">
        <w:rPr>
          <w:lang w:val="fr-FR"/>
        </w:rPr>
        <w:t xml:space="preserve">investissement dans la recherche, le développement et </w:t>
      </w:r>
      <w:r w:rsidR="009379A7" w:rsidRPr="00EA05B3">
        <w:rPr>
          <w:lang w:val="fr-FR"/>
        </w:rPr>
        <w:t>l’</w:t>
      </w:r>
      <w:r w:rsidR="00D60A11" w:rsidRPr="00EA05B3">
        <w:rPr>
          <w:lang w:val="fr-FR"/>
        </w:rPr>
        <w:t>innovation</w:t>
      </w:r>
      <w:r w:rsidR="000D57A5" w:rsidRPr="00EA05B3">
        <w:rPr>
          <w:lang w:val="fr-FR"/>
        </w:rPr>
        <w:t xml:space="preserve"> </w:t>
      </w:r>
      <w:r w:rsidR="00D60A11" w:rsidRPr="00EA05B3">
        <w:rPr>
          <w:lang w:val="fr-FR"/>
        </w:rPr>
        <w:t>a été de 0,23</w:t>
      </w:r>
      <w:r w:rsidR="009379A7" w:rsidRPr="00EA05B3">
        <w:rPr>
          <w:lang w:val="fr-FR"/>
        </w:rPr>
        <w:t> %</w:t>
      </w:r>
      <w:r w:rsidR="00D60A11" w:rsidRPr="00EA05B3">
        <w:rPr>
          <w:lang w:val="fr-FR"/>
        </w:rPr>
        <w:t xml:space="preserve"> du PIB en 2007 et de 0,44</w:t>
      </w:r>
      <w:r w:rsidR="009379A7" w:rsidRPr="00EA05B3">
        <w:rPr>
          <w:lang w:val="fr-FR"/>
        </w:rPr>
        <w:t> %</w:t>
      </w:r>
      <w:r w:rsidR="00D60A11" w:rsidRPr="00EA05B3">
        <w:rPr>
          <w:rStyle w:val="FootnoteReference"/>
          <w:szCs w:val="18"/>
          <w:lang w:val="fr-FR"/>
        </w:rPr>
        <w:footnoteReference w:id="59"/>
      </w:r>
      <w:r w:rsidR="00D60A11" w:rsidRPr="00EA05B3">
        <w:rPr>
          <w:lang w:val="fr-FR"/>
        </w:rPr>
        <w:t xml:space="preserve"> en 2009, </w:t>
      </w:r>
      <w:r w:rsidR="00AE743A" w:rsidRPr="00EA05B3">
        <w:rPr>
          <w:lang w:val="fr-FR"/>
        </w:rPr>
        <w:t>soit</w:t>
      </w:r>
      <w:r w:rsidR="00D60A11" w:rsidRPr="00EA05B3">
        <w:rPr>
          <w:lang w:val="fr-FR"/>
        </w:rPr>
        <w:t xml:space="preserve"> une augmentation considérable en peu de temps.</w:t>
      </w:r>
    </w:p>
    <w:p w:rsidR="00D60A11" w:rsidRPr="00EA05B3" w:rsidRDefault="0095674E" w:rsidP="0095674E">
      <w:pPr>
        <w:pStyle w:val="SingleTxtG"/>
        <w:rPr>
          <w:lang w:val="fr-FR"/>
        </w:rPr>
      </w:pPr>
      <w:r w:rsidRPr="00EA05B3">
        <w:rPr>
          <w:lang w:val="fr-FR"/>
        </w:rPr>
        <w:t>165.</w:t>
      </w:r>
      <w:r w:rsidRPr="00EA05B3">
        <w:rPr>
          <w:lang w:val="fr-FR"/>
        </w:rPr>
        <w:tab/>
      </w:r>
      <w:r w:rsidR="0050005C" w:rsidRPr="00EA05B3">
        <w:rPr>
          <w:lang w:val="fr-FR"/>
        </w:rPr>
        <w:t>Il</w:t>
      </w:r>
      <w:r w:rsidR="00D60A11" w:rsidRPr="00EA05B3">
        <w:rPr>
          <w:lang w:val="fr-FR"/>
        </w:rPr>
        <w:t xml:space="preserve"> convient </w:t>
      </w:r>
      <w:r w:rsidR="0050005C" w:rsidRPr="00EA05B3">
        <w:rPr>
          <w:lang w:val="fr-FR"/>
        </w:rPr>
        <w:t xml:space="preserve">également </w:t>
      </w:r>
      <w:r w:rsidR="00D60A11" w:rsidRPr="00EA05B3">
        <w:rPr>
          <w:lang w:val="fr-FR"/>
        </w:rPr>
        <w:t xml:space="preserve">de signaler la création de </w:t>
      </w:r>
      <w:r w:rsidR="009379A7" w:rsidRPr="00EA05B3">
        <w:rPr>
          <w:lang w:val="fr-FR"/>
        </w:rPr>
        <w:t>l’</w:t>
      </w:r>
      <w:r w:rsidR="00D60A11" w:rsidRPr="00EA05B3">
        <w:rPr>
          <w:lang w:val="fr-FR"/>
        </w:rPr>
        <w:t xml:space="preserve">Université de recherche en technologie expérimentale (Yachay) qui a pour objectif de former des ressources sensibilisées à </w:t>
      </w:r>
      <w:r w:rsidR="009379A7" w:rsidRPr="00EA05B3">
        <w:rPr>
          <w:lang w:val="fr-FR"/>
        </w:rPr>
        <w:t>l’</w:t>
      </w:r>
      <w:r w:rsidR="00D60A11" w:rsidRPr="00EA05B3">
        <w:rPr>
          <w:lang w:val="fr-FR"/>
        </w:rPr>
        <w:t xml:space="preserve">éthique. </w:t>
      </w:r>
      <w:r w:rsidR="0050005C" w:rsidRPr="00EA05B3">
        <w:rPr>
          <w:lang w:val="fr-FR"/>
        </w:rPr>
        <w:t xml:space="preserve">Elle mène des recherches dans les </w:t>
      </w:r>
      <w:r w:rsidR="00D60A11" w:rsidRPr="00EA05B3">
        <w:rPr>
          <w:lang w:val="fr-FR"/>
        </w:rPr>
        <w:t>domaines suivants</w:t>
      </w:r>
      <w:r w:rsidR="00B36EE6" w:rsidRPr="00EA05B3">
        <w:rPr>
          <w:lang w:val="fr-FR"/>
        </w:rPr>
        <w:t>:</w:t>
      </w:r>
      <w:r w:rsidR="00D60A11" w:rsidRPr="00EA05B3">
        <w:rPr>
          <w:lang w:val="fr-FR"/>
        </w:rPr>
        <w:t xml:space="preserve"> sciences de la vie, nanotechnologies, technologies de </w:t>
      </w:r>
      <w:r w:rsidR="009379A7" w:rsidRPr="00EA05B3">
        <w:rPr>
          <w:lang w:val="fr-FR"/>
        </w:rPr>
        <w:t>l’</w:t>
      </w:r>
      <w:r w:rsidR="00D60A11" w:rsidRPr="00EA05B3">
        <w:rPr>
          <w:lang w:val="fr-FR"/>
        </w:rPr>
        <w:t>information et de la communication (TIC), énergie renouvelable et changement</w:t>
      </w:r>
      <w:r w:rsidR="00AE743A" w:rsidRPr="00EA05B3">
        <w:rPr>
          <w:lang w:val="fr-FR"/>
        </w:rPr>
        <w:t>s</w:t>
      </w:r>
      <w:r w:rsidR="00D60A11" w:rsidRPr="00EA05B3">
        <w:rPr>
          <w:lang w:val="fr-FR"/>
        </w:rPr>
        <w:t xml:space="preserve"> climatique</w:t>
      </w:r>
      <w:r w:rsidR="00AE743A" w:rsidRPr="00EA05B3">
        <w:rPr>
          <w:lang w:val="fr-FR"/>
        </w:rPr>
        <w:t>s</w:t>
      </w:r>
      <w:r w:rsidR="00D60A11" w:rsidRPr="00EA05B3">
        <w:rPr>
          <w:lang w:val="fr-FR"/>
        </w:rPr>
        <w:t xml:space="preserve"> et pétrochimie.</w:t>
      </w:r>
    </w:p>
    <w:p w:rsidR="00D60A11" w:rsidRPr="00EA05B3" w:rsidRDefault="0095674E" w:rsidP="0095674E">
      <w:pPr>
        <w:pStyle w:val="SingleTxtG"/>
        <w:rPr>
          <w:lang w:val="fr-FR"/>
        </w:rPr>
      </w:pPr>
      <w:r w:rsidRPr="00EA05B3">
        <w:rPr>
          <w:lang w:val="fr-FR"/>
        </w:rPr>
        <w:t>166.</w:t>
      </w:r>
      <w:r w:rsidRPr="00EA05B3">
        <w:rPr>
          <w:lang w:val="fr-FR"/>
        </w:rPr>
        <w:tab/>
      </w:r>
      <w:r w:rsidR="00D60A11" w:rsidRPr="00EA05B3">
        <w:rPr>
          <w:lang w:val="fr-FR"/>
        </w:rPr>
        <w:t xml:space="preserve">Il est également important de signaler la mise en œuvre </w:t>
      </w:r>
      <w:r w:rsidR="009379A7" w:rsidRPr="00EA05B3">
        <w:rPr>
          <w:lang w:val="fr-FR"/>
        </w:rPr>
        <w:t>d’</w:t>
      </w:r>
      <w:r w:rsidR="00D60A11" w:rsidRPr="00EA05B3">
        <w:rPr>
          <w:lang w:val="fr-FR"/>
        </w:rPr>
        <w:t>une politique centrée sur la durabilité environnementale et les droits de la nature. Ces droits</w:t>
      </w:r>
      <w:r w:rsidR="00D60A11" w:rsidRPr="00EA05B3">
        <w:rPr>
          <w:rStyle w:val="FootnoteReference"/>
          <w:lang w:val="fr-FR"/>
        </w:rPr>
        <w:footnoteReference w:id="60"/>
      </w:r>
      <w:r w:rsidR="00D60A11" w:rsidRPr="00EA05B3">
        <w:rPr>
          <w:lang w:val="fr-FR"/>
        </w:rPr>
        <w:t xml:space="preserve"> ont été consacrés par la Constitution, faisant de </w:t>
      </w:r>
      <w:r w:rsidR="009379A7" w:rsidRPr="00EA05B3">
        <w:rPr>
          <w:lang w:val="fr-FR"/>
        </w:rPr>
        <w:t>l’</w:t>
      </w:r>
      <w:r w:rsidR="00D60A11" w:rsidRPr="00EA05B3">
        <w:rPr>
          <w:lang w:val="fr-FR"/>
        </w:rPr>
        <w:t>Équateur une référence</w:t>
      </w:r>
      <w:r w:rsidR="0050005C" w:rsidRPr="00EA05B3">
        <w:rPr>
          <w:lang w:val="fr-FR"/>
        </w:rPr>
        <w:t xml:space="preserve">, en tant que </w:t>
      </w:r>
      <w:r w:rsidR="00D60A11" w:rsidRPr="00EA05B3">
        <w:rPr>
          <w:lang w:val="fr-FR"/>
        </w:rPr>
        <w:t>premier pays de la planète à avoir reconnu les droits de la nature dans son cadre constitutionnel.</w:t>
      </w:r>
    </w:p>
    <w:p w:rsidR="00D60A11" w:rsidRPr="00EA05B3" w:rsidRDefault="0095674E" w:rsidP="0095674E">
      <w:pPr>
        <w:pStyle w:val="SingleTxtG"/>
        <w:rPr>
          <w:lang w:val="fr-FR"/>
        </w:rPr>
      </w:pPr>
      <w:r w:rsidRPr="00EA05B3">
        <w:rPr>
          <w:lang w:val="fr-FR"/>
        </w:rPr>
        <w:t>167.</w:t>
      </w:r>
      <w:r w:rsidRPr="00EA05B3">
        <w:rPr>
          <w:lang w:val="fr-FR"/>
        </w:rPr>
        <w:tab/>
      </w:r>
      <w:r w:rsidR="009379A7" w:rsidRPr="00EA05B3">
        <w:rPr>
          <w:lang w:val="fr-FR"/>
        </w:rPr>
        <w:t>L’</w:t>
      </w:r>
      <w:r w:rsidR="00D60A11" w:rsidRPr="00EA05B3">
        <w:rPr>
          <w:lang w:val="fr-FR"/>
        </w:rPr>
        <w:t xml:space="preserve">Équateur privilégie la stratégie </w:t>
      </w:r>
      <w:r w:rsidR="009379A7" w:rsidRPr="00EA05B3">
        <w:rPr>
          <w:lang w:val="fr-FR"/>
        </w:rPr>
        <w:t>d’</w:t>
      </w:r>
      <w:r w:rsidR="00D60A11" w:rsidRPr="00EA05B3">
        <w:rPr>
          <w:lang w:val="fr-FR"/>
        </w:rPr>
        <w:t xml:space="preserve">accumulation de richesses par des activités de production durables, ce qui nécessite une transformation de </w:t>
      </w:r>
      <w:r w:rsidR="009379A7" w:rsidRPr="00EA05B3">
        <w:rPr>
          <w:lang w:val="fr-FR"/>
        </w:rPr>
        <w:t>l’</w:t>
      </w:r>
      <w:r w:rsidR="00D60A11" w:rsidRPr="00EA05B3">
        <w:rPr>
          <w:lang w:val="fr-FR"/>
        </w:rPr>
        <w:t xml:space="preserve">appareil productif qui doit </w:t>
      </w:r>
      <w:r w:rsidR="009379A7" w:rsidRPr="00EA05B3">
        <w:rPr>
          <w:lang w:val="fr-FR"/>
        </w:rPr>
        <w:t>s’</w:t>
      </w:r>
      <w:r w:rsidR="00D60A11" w:rsidRPr="00EA05B3">
        <w:rPr>
          <w:lang w:val="fr-FR"/>
        </w:rPr>
        <w:t xml:space="preserve">inscrire dans un contexte de respect des droits de la nature et de justice entre les générations. Bien que </w:t>
      </w:r>
      <w:r w:rsidR="009379A7" w:rsidRPr="00EA05B3">
        <w:rPr>
          <w:lang w:val="fr-FR"/>
        </w:rPr>
        <w:t>l’</w:t>
      </w:r>
      <w:r w:rsidR="00D60A11" w:rsidRPr="00EA05B3">
        <w:rPr>
          <w:lang w:val="fr-FR"/>
        </w:rPr>
        <w:t xml:space="preserve">accumulation de richesses dépende en premier lieu des processus </w:t>
      </w:r>
      <w:r w:rsidR="009379A7" w:rsidRPr="00EA05B3">
        <w:rPr>
          <w:lang w:val="fr-FR"/>
        </w:rPr>
        <w:t>d’</w:t>
      </w:r>
      <w:r w:rsidR="00D60A11" w:rsidRPr="00EA05B3">
        <w:rPr>
          <w:lang w:val="fr-FR"/>
        </w:rPr>
        <w:t xml:space="preserve">extraction, la stratégie élaborée par </w:t>
      </w:r>
      <w:r w:rsidR="009379A7" w:rsidRPr="00EA05B3">
        <w:rPr>
          <w:lang w:val="fr-FR"/>
        </w:rPr>
        <w:t>l’</w:t>
      </w:r>
      <w:r w:rsidR="00D60A11" w:rsidRPr="00EA05B3">
        <w:rPr>
          <w:lang w:val="fr-FR"/>
        </w:rPr>
        <w:t xml:space="preserve">Équateur vise à promouvoir de nouvelles industries non </w:t>
      </w:r>
      <w:r w:rsidR="00AE17A1" w:rsidRPr="00EA05B3">
        <w:rPr>
          <w:lang w:val="fr-FR"/>
        </w:rPr>
        <w:t xml:space="preserve">polluantes </w:t>
      </w:r>
      <w:r w:rsidR="00D60A11" w:rsidRPr="00EA05B3">
        <w:rPr>
          <w:lang w:val="fr-FR"/>
        </w:rPr>
        <w:t xml:space="preserve">et à diversifier les exportations de produits biologiques et de services écologiques afin de réduire </w:t>
      </w:r>
      <w:r w:rsidR="00AE17A1" w:rsidRPr="00EA05B3">
        <w:rPr>
          <w:lang w:val="fr-FR"/>
        </w:rPr>
        <w:t xml:space="preserve">sensiblement </w:t>
      </w:r>
      <w:r w:rsidR="00D60A11" w:rsidRPr="00EA05B3">
        <w:rPr>
          <w:lang w:val="fr-FR"/>
        </w:rPr>
        <w:t>la pression environnementale à long terme.</w:t>
      </w:r>
    </w:p>
    <w:p w:rsidR="00D60A11" w:rsidRPr="00EA05B3" w:rsidRDefault="00C9348E" w:rsidP="00C9348E">
      <w:pPr>
        <w:pStyle w:val="H1G"/>
        <w:rPr>
          <w:lang w:val="fr-FR"/>
        </w:rPr>
      </w:pPr>
      <w:r w:rsidRPr="00EA05B3">
        <w:rPr>
          <w:lang w:val="fr-FR"/>
        </w:rPr>
        <w:tab/>
        <w:t>H.</w:t>
      </w:r>
      <w:r w:rsidRPr="00EA05B3">
        <w:rPr>
          <w:lang w:val="fr-FR"/>
        </w:rPr>
        <w:tab/>
        <w:t xml:space="preserve">Objectifs pour </w:t>
      </w:r>
      <w:r w:rsidR="009379A7" w:rsidRPr="00EA05B3">
        <w:rPr>
          <w:lang w:val="fr-FR"/>
        </w:rPr>
        <w:t>l’</w:t>
      </w:r>
      <w:r w:rsidRPr="00EA05B3">
        <w:rPr>
          <w:lang w:val="fr-FR"/>
        </w:rPr>
        <w:t xml:space="preserve">avenir </w:t>
      </w:r>
    </w:p>
    <w:p w:rsidR="00D60A11" w:rsidRPr="00EA05B3" w:rsidRDefault="0095674E" w:rsidP="0095674E">
      <w:pPr>
        <w:pStyle w:val="SingleTxtG"/>
        <w:rPr>
          <w:lang w:val="fr-FR"/>
        </w:rPr>
      </w:pPr>
      <w:r w:rsidRPr="00EA05B3">
        <w:rPr>
          <w:lang w:val="fr-FR"/>
        </w:rPr>
        <w:t>168.</w:t>
      </w:r>
      <w:r w:rsidRPr="00EA05B3">
        <w:rPr>
          <w:lang w:val="fr-FR"/>
        </w:rPr>
        <w:tab/>
      </w:r>
      <w:r w:rsidR="009379A7" w:rsidRPr="00EA05B3">
        <w:rPr>
          <w:lang w:val="fr-FR"/>
        </w:rPr>
        <w:t>L’</w:t>
      </w:r>
      <w:r w:rsidR="00D60A11" w:rsidRPr="00EA05B3">
        <w:rPr>
          <w:lang w:val="fr-FR"/>
        </w:rPr>
        <w:t xml:space="preserve">Équateur </w:t>
      </w:r>
      <w:r w:rsidR="00AE17A1" w:rsidRPr="00EA05B3">
        <w:rPr>
          <w:lang w:val="fr-FR"/>
        </w:rPr>
        <w:t>s’est fixé</w:t>
      </w:r>
      <w:r w:rsidR="00D60A11" w:rsidRPr="00EA05B3">
        <w:rPr>
          <w:lang w:val="fr-FR"/>
        </w:rPr>
        <w:t xml:space="preserve"> un certain nombre </w:t>
      </w:r>
      <w:r w:rsidR="009379A7" w:rsidRPr="00EA05B3">
        <w:rPr>
          <w:lang w:val="fr-FR"/>
        </w:rPr>
        <w:t>d’</w:t>
      </w:r>
      <w:r w:rsidR="00D60A11" w:rsidRPr="00EA05B3">
        <w:rPr>
          <w:lang w:val="fr-FR"/>
        </w:rPr>
        <w:t>objectifs sociaux, tels que</w:t>
      </w:r>
      <w:r w:rsidR="00B36EE6" w:rsidRPr="00EA05B3">
        <w:rPr>
          <w:lang w:val="fr-FR"/>
        </w:rPr>
        <w:t>:</w:t>
      </w:r>
    </w:p>
    <w:p w:rsidR="00D60A11" w:rsidRPr="00EA05B3" w:rsidRDefault="00563B9D" w:rsidP="00563B9D">
      <w:pPr>
        <w:pStyle w:val="Bullet1G"/>
        <w:numPr>
          <w:ilvl w:val="0"/>
          <w:numId w:val="0"/>
        </w:numPr>
        <w:tabs>
          <w:tab w:val="left" w:pos="1701"/>
        </w:tabs>
        <w:ind w:left="1701" w:hanging="170"/>
        <w:rPr>
          <w:lang w:val="fr-FR"/>
        </w:rPr>
      </w:pPr>
      <w:r w:rsidRPr="00EA05B3">
        <w:rPr>
          <w:lang w:val="fr-FR"/>
        </w:rPr>
        <w:t>•</w:t>
      </w:r>
      <w:r w:rsidRPr="00EA05B3">
        <w:rPr>
          <w:lang w:val="fr-FR"/>
        </w:rPr>
        <w:tab/>
        <w:t xml:space="preserve">Éliminer </w:t>
      </w:r>
      <w:r w:rsidR="009379A7" w:rsidRPr="00EA05B3">
        <w:rPr>
          <w:lang w:val="fr-FR"/>
        </w:rPr>
        <w:t>l’</w:t>
      </w:r>
      <w:r w:rsidRPr="00EA05B3">
        <w:rPr>
          <w:lang w:val="fr-FR"/>
        </w:rPr>
        <w:t xml:space="preserve">extrême pauvreté et réduire </w:t>
      </w:r>
      <w:r w:rsidR="009379A7" w:rsidRPr="00EA05B3">
        <w:rPr>
          <w:lang w:val="fr-FR"/>
        </w:rPr>
        <w:t>d’</w:t>
      </w:r>
      <w:r w:rsidRPr="00EA05B3">
        <w:rPr>
          <w:lang w:val="fr-FR"/>
        </w:rPr>
        <w:t>au moins 80</w:t>
      </w:r>
      <w:r w:rsidR="009379A7" w:rsidRPr="00EA05B3">
        <w:rPr>
          <w:lang w:val="fr-FR"/>
        </w:rPr>
        <w:t> %</w:t>
      </w:r>
      <w:r w:rsidRPr="00EA05B3">
        <w:rPr>
          <w:lang w:val="fr-FR"/>
        </w:rPr>
        <w:t xml:space="preserve"> </w:t>
      </w:r>
      <w:r w:rsidR="009379A7" w:rsidRPr="00EA05B3">
        <w:rPr>
          <w:lang w:val="fr-FR"/>
        </w:rPr>
        <w:t>l’</w:t>
      </w:r>
      <w:r w:rsidRPr="00EA05B3">
        <w:rPr>
          <w:lang w:val="fr-FR"/>
        </w:rPr>
        <w:t>incidence actuelle de la pauvreté</w:t>
      </w:r>
      <w:r w:rsidR="00B15670" w:rsidRPr="00EA05B3">
        <w:rPr>
          <w:lang w:val="fr-FR"/>
        </w:rPr>
        <w:t>;</w:t>
      </w:r>
    </w:p>
    <w:p w:rsidR="00D60A11" w:rsidRPr="00EA05B3" w:rsidRDefault="00CE0CD4" w:rsidP="00563B9D">
      <w:pPr>
        <w:pStyle w:val="Bullet1G"/>
        <w:numPr>
          <w:ilvl w:val="0"/>
          <w:numId w:val="0"/>
        </w:numPr>
        <w:tabs>
          <w:tab w:val="left" w:pos="1701"/>
        </w:tabs>
        <w:ind w:left="1701" w:hanging="170"/>
        <w:rPr>
          <w:lang w:val="fr-FR"/>
        </w:rPr>
      </w:pPr>
      <w:r w:rsidRPr="00EA05B3">
        <w:rPr>
          <w:lang w:val="fr-FR"/>
        </w:rPr>
        <w:t>•</w:t>
      </w:r>
      <w:r w:rsidRPr="00EA05B3">
        <w:rPr>
          <w:lang w:val="fr-FR"/>
        </w:rPr>
        <w:tab/>
        <w:t xml:space="preserve">Réduire </w:t>
      </w:r>
      <w:r w:rsidR="00563B9D" w:rsidRPr="00EA05B3">
        <w:rPr>
          <w:lang w:val="fr-FR"/>
        </w:rPr>
        <w:t>à 4</w:t>
      </w:r>
      <w:r w:rsidR="009379A7" w:rsidRPr="00EA05B3">
        <w:rPr>
          <w:lang w:val="fr-FR"/>
        </w:rPr>
        <w:t> %</w:t>
      </w:r>
      <w:r w:rsidR="00563B9D" w:rsidRPr="00EA05B3">
        <w:rPr>
          <w:lang w:val="fr-FR"/>
        </w:rPr>
        <w:t xml:space="preserve"> </w:t>
      </w:r>
      <w:r w:rsidR="009379A7" w:rsidRPr="00EA05B3">
        <w:rPr>
          <w:lang w:val="fr-FR"/>
        </w:rPr>
        <w:t>l’</w:t>
      </w:r>
      <w:r w:rsidR="00563B9D" w:rsidRPr="00EA05B3">
        <w:rPr>
          <w:lang w:val="fr-FR"/>
        </w:rPr>
        <w:t xml:space="preserve">analphabétisme </w:t>
      </w:r>
      <w:r w:rsidR="00AE17A1" w:rsidRPr="00EA05B3">
        <w:rPr>
          <w:lang w:val="fr-FR"/>
        </w:rPr>
        <w:t xml:space="preserve">parmi les </w:t>
      </w:r>
      <w:r w:rsidR="00563B9D" w:rsidRPr="00EA05B3">
        <w:rPr>
          <w:lang w:val="fr-FR"/>
        </w:rPr>
        <w:t xml:space="preserve">autochtones et </w:t>
      </w:r>
      <w:r w:rsidR="00AE17A1" w:rsidRPr="00EA05B3">
        <w:rPr>
          <w:lang w:val="fr-FR"/>
        </w:rPr>
        <w:t xml:space="preserve">les </w:t>
      </w:r>
      <w:r w:rsidR="00B47418" w:rsidRPr="00EA05B3">
        <w:rPr>
          <w:lang w:val="fr-FR"/>
        </w:rPr>
        <w:t xml:space="preserve">Montubios </w:t>
      </w:r>
      <w:r w:rsidR="00563B9D" w:rsidRPr="00EA05B3">
        <w:rPr>
          <w:lang w:val="fr-FR"/>
        </w:rPr>
        <w:t>âgés de 15 à 49 ans</w:t>
      </w:r>
      <w:r w:rsidR="00B15670" w:rsidRPr="00EA05B3">
        <w:rPr>
          <w:lang w:val="fr-FR"/>
        </w:rPr>
        <w:t>;</w:t>
      </w:r>
    </w:p>
    <w:p w:rsidR="00D60A11" w:rsidRPr="00EA05B3" w:rsidRDefault="00563B9D" w:rsidP="00563B9D">
      <w:pPr>
        <w:pStyle w:val="Bullet1G"/>
        <w:numPr>
          <w:ilvl w:val="0"/>
          <w:numId w:val="0"/>
        </w:numPr>
        <w:tabs>
          <w:tab w:val="left" w:pos="1701"/>
        </w:tabs>
        <w:ind w:left="1701" w:hanging="170"/>
        <w:rPr>
          <w:lang w:val="fr-FR"/>
        </w:rPr>
      </w:pPr>
      <w:r w:rsidRPr="00EA05B3">
        <w:rPr>
          <w:lang w:val="fr-FR"/>
        </w:rPr>
        <w:t>•</w:t>
      </w:r>
      <w:r w:rsidRPr="00EA05B3">
        <w:rPr>
          <w:lang w:val="fr-FR"/>
        </w:rPr>
        <w:tab/>
        <w:t>Réduire de 29</w:t>
      </w:r>
      <w:r w:rsidR="009379A7" w:rsidRPr="00EA05B3">
        <w:rPr>
          <w:lang w:val="fr-FR"/>
        </w:rPr>
        <w:t> %</w:t>
      </w:r>
      <w:r w:rsidRPr="00EA05B3">
        <w:rPr>
          <w:lang w:val="fr-FR"/>
        </w:rPr>
        <w:t xml:space="preserve"> la mortalité maternelle</w:t>
      </w:r>
      <w:r w:rsidR="00B15670" w:rsidRPr="00EA05B3">
        <w:rPr>
          <w:lang w:val="fr-FR"/>
        </w:rPr>
        <w:t>;</w:t>
      </w:r>
    </w:p>
    <w:p w:rsidR="00D60A11" w:rsidRPr="00EA05B3" w:rsidRDefault="00563B9D" w:rsidP="00563B9D">
      <w:pPr>
        <w:pStyle w:val="Bullet1G"/>
        <w:numPr>
          <w:ilvl w:val="0"/>
          <w:numId w:val="0"/>
        </w:numPr>
        <w:tabs>
          <w:tab w:val="left" w:pos="1701"/>
        </w:tabs>
        <w:ind w:left="1701" w:hanging="170"/>
        <w:rPr>
          <w:lang w:val="fr-FR"/>
        </w:rPr>
      </w:pPr>
      <w:r w:rsidRPr="00EA05B3">
        <w:rPr>
          <w:lang w:val="fr-FR"/>
        </w:rPr>
        <w:t>•</w:t>
      </w:r>
      <w:r w:rsidRPr="00EA05B3">
        <w:rPr>
          <w:lang w:val="fr-FR"/>
        </w:rPr>
        <w:tab/>
        <w:t>Réduire de 41</w:t>
      </w:r>
      <w:r w:rsidR="009379A7" w:rsidRPr="00EA05B3">
        <w:rPr>
          <w:lang w:val="fr-FR"/>
        </w:rPr>
        <w:t> %</w:t>
      </w:r>
      <w:r w:rsidRPr="00EA05B3">
        <w:rPr>
          <w:lang w:val="fr-FR"/>
        </w:rPr>
        <w:t xml:space="preserve"> la mortalité infantile</w:t>
      </w:r>
      <w:r w:rsidR="00B15670" w:rsidRPr="00EA05B3">
        <w:rPr>
          <w:lang w:val="fr-FR"/>
        </w:rPr>
        <w:t>;</w:t>
      </w:r>
    </w:p>
    <w:p w:rsidR="00D60A11" w:rsidRPr="00EA05B3" w:rsidRDefault="00563B9D" w:rsidP="00563B9D">
      <w:pPr>
        <w:pStyle w:val="Bullet1G"/>
        <w:numPr>
          <w:ilvl w:val="0"/>
          <w:numId w:val="0"/>
        </w:numPr>
        <w:tabs>
          <w:tab w:val="left" w:pos="1701"/>
        </w:tabs>
        <w:ind w:left="1701" w:hanging="170"/>
        <w:rPr>
          <w:lang w:val="fr-FR"/>
        </w:rPr>
      </w:pPr>
      <w:r w:rsidRPr="00EA05B3">
        <w:rPr>
          <w:lang w:val="fr-FR"/>
        </w:rPr>
        <w:t>•</w:t>
      </w:r>
      <w:r w:rsidRPr="00EA05B3">
        <w:rPr>
          <w:lang w:val="fr-FR"/>
        </w:rPr>
        <w:tab/>
        <w:t>Mettre fin à la malnutrition chronique chez les enfants de moins de 2 ans</w:t>
      </w:r>
      <w:r w:rsidR="00B15670" w:rsidRPr="00EA05B3">
        <w:rPr>
          <w:lang w:val="fr-FR"/>
        </w:rPr>
        <w:t>;</w:t>
      </w:r>
    </w:p>
    <w:p w:rsidR="00D60A11" w:rsidRPr="00EA05B3" w:rsidRDefault="00563B9D" w:rsidP="00563B9D">
      <w:pPr>
        <w:pStyle w:val="Bullet1G"/>
        <w:numPr>
          <w:ilvl w:val="0"/>
          <w:numId w:val="0"/>
        </w:numPr>
        <w:tabs>
          <w:tab w:val="left" w:pos="1701"/>
        </w:tabs>
        <w:ind w:left="1701" w:hanging="170"/>
        <w:rPr>
          <w:lang w:val="fr-FR"/>
        </w:rPr>
      </w:pPr>
      <w:r w:rsidRPr="00EA05B3">
        <w:rPr>
          <w:lang w:val="fr-FR"/>
        </w:rPr>
        <w:t>•</w:t>
      </w:r>
      <w:r w:rsidRPr="00EA05B3">
        <w:rPr>
          <w:lang w:val="fr-FR"/>
        </w:rPr>
        <w:tab/>
        <w:t>Réduire de 40</w:t>
      </w:r>
      <w:r w:rsidR="009379A7" w:rsidRPr="00EA05B3">
        <w:rPr>
          <w:lang w:val="fr-FR"/>
        </w:rPr>
        <w:t> %</w:t>
      </w:r>
      <w:r w:rsidRPr="00EA05B3">
        <w:rPr>
          <w:lang w:val="fr-FR"/>
        </w:rPr>
        <w:t xml:space="preserve"> la prévalence de la malnutrition infantile chez les enfants de moins de 5 ans, en particulier </w:t>
      </w:r>
      <w:r w:rsidR="00AE17A1" w:rsidRPr="00EA05B3">
        <w:rPr>
          <w:lang w:val="fr-FR"/>
        </w:rPr>
        <w:t xml:space="preserve">parmi </w:t>
      </w:r>
      <w:r w:rsidRPr="00EA05B3">
        <w:rPr>
          <w:lang w:val="fr-FR"/>
        </w:rPr>
        <w:t>la population autochtone de la région montagneuse (Sierra) qui est actuellement le groupe social le plus touché. Un ensemble intégré de mesures de renforcement et de complémentation alimentaire est prévu pour réduire substantiellement cette malnutrition</w:t>
      </w:r>
      <w:r w:rsidR="00B15670" w:rsidRPr="00EA05B3">
        <w:rPr>
          <w:lang w:val="fr-FR"/>
        </w:rPr>
        <w:t>;</w:t>
      </w:r>
      <w:r w:rsidRPr="00EA05B3">
        <w:rPr>
          <w:lang w:val="fr-FR"/>
        </w:rPr>
        <w:t xml:space="preserve"> </w:t>
      </w:r>
    </w:p>
    <w:p w:rsidR="00D60A11" w:rsidRPr="00EA05B3" w:rsidRDefault="00563B9D" w:rsidP="00EB276C">
      <w:pPr>
        <w:pStyle w:val="Bullet1G"/>
        <w:numPr>
          <w:ilvl w:val="0"/>
          <w:numId w:val="0"/>
        </w:numPr>
        <w:tabs>
          <w:tab w:val="left" w:pos="1701"/>
        </w:tabs>
        <w:ind w:left="1701" w:hanging="170"/>
        <w:rPr>
          <w:lang w:val="fr-FR"/>
        </w:rPr>
      </w:pPr>
      <w:r w:rsidRPr="00EA05B3">
        <w:rPr>
          <w:lang w:val="fr-FR"/>
        </w:rPr>
        <w:t>•</w:t>
      </w:r>
      <w:r w:rsidRPr="00EA05B3">
        <w:rPr>
          <w:lang w:val="fr-FR"/>
        </w:rPr>
        <w:tab/>
        <w:t>Réduire de 20</w:t>
      </w:r>
      <w:r w:rsidR="009379A7" w:rsidRPr="00EA05B3">
        <w:rPr>
          <w:lang w:val="fr-FR"/>
        </w:rPr>
        <w:t> %</w:t>
      </w:r>
      <w:r w:rsidRPr="00EA05B3">
        <w:rPr>
          <w:lang w:val="fr-FR"/>
        </w:rPr>
        <w:t xml:space="preserve"> </w:t>
      </w:r>
      <w:r w:rsidR="009379A7" w:rsidRPr="00EA05B3">
        <w:rPr>
          <w:lang w:val="fr-FR"/>
        </w:rPr>
        <w:t>l’</w:t>
      </w:r>
      <w:r w:rsidRPr="00EA05B3">
        <w:rPr>
          <w:lang w:val="fr-FR"/>
        </w:rPr>
        <w:t>incidence de la pauvreté monétaire</w:t>
      </w:r>
      <w:r w:rsidR="00B15670" w:rsidRPr="00EA05B3">
        <w:rPr>
          <w:lang w:val="fr-FR"/>
        </w:rPr>
        <w:t>;</w:t>
      </w:r>
    </w:p>
    <w:p w:rsidR="00D60A11" w:rsidRPr="00EA05B3" w:rsidRDefault="00563B9D" w:rsidP="00563B9D">
      <w:pPr>
        <w:pStyle w:val="Bullet1G"/>
        <w:numPr>
          <w:ilvl w:val="0"/>
          <w:numId w:val="0"/>
        </w:numPr>
        <w:tabs>
          <w:tab w:val="left" w:pos="1701"/>
        </w:tabs>
        <w:ind w:left="1701" w:hanging="170"/>
        <w:rPr>
          <w:lang w:val="fr-FR"/>
        </w:rPr>
      </w:pPr>
      <w:r w:rsidRPr="00EA05B3">
        <w:rPr>
          <w:lang w:val="fr-FR"/>
        </w:rPr>
        <w:t>•</w:t>
      </w:r>
      <w:r w:rsidRPr="00EA05B3">
        <w:rPr>
          <w:lang w:val="fr-FR"/>
        </w:rPr>
        <w:tab/>
        <w:t>Réduire le coefficient de Gini, qui mesure les inégalités sociales, à une valeur inférieure ou égale à 0,36</w:t>
      </w:r>
      <w:r w:rsidR="000D57A5" w:rsidRPr="00EA05B3">
        <w:rPr>
          <w:lang w:val="fr-FR"/>
        </w:rPr>
        <w:t xml:space="preserve"> </w:t>
      </w:r>
      <w:r w:rsidRPr="00EA05B3">
        <w:rPr>
          <w:lang w:val="fr-FR"/>
        </w:rPr>
        <w:t>(ce coefficient est passé de 0,55 en 2007 à 0,48 en 2012).</w:t>
      </w:r>
    </w:p>
    <w:p w:rsidR="00D60A11" w:rsidRPr="00EA05B3" w:rsidRDefault="00563B9D" w:rsidP="00EB276C">
      <w:pPr>
        <w:pStyle w:val="Bullet1G"/>
        <w:numPr>
          <w:ilvl w:val="0"/>
          <w:numId w:val="0"/>
        </w:numPr>
        <w:tabs>
          <w:tab w:val="left" w:pos="1701"/>
        </w:tabs>
        <w:ind w:left="1701" w:hanging="170"/>
        <w:rPr>
          <w:lang w:val="fr-FR"/>
        </w:rPr>
      </w:pPr>
      <w:r w:rsidRPr="00EA05B3">
        <w:rPr>
          <w:lang w:val="fr-FR"/>
        </w:rPr>
        <w:t>•</w:t>
      </w:r>
      <w:r w:rsidRPr="00EA05B3">
        <w:rPr>
          <w:lang w:val="fr-FR"/>
        </w:rPr>
        <w:tab/>
        <w:t>Accorder une attention particulière au problème des grossesses chez les adolescentes et réduire de 15</w:t>
      </w:r>
      <w:r w:rsidR="009379A7" w:rsidRPr="00EA05B3">
        <w:rPr>
          <w:lang w:val="fr-FR"/>
        </w:rPr>
        <w:t> %</w:t>
      </w:r>
      <w:r w:rsidRPr="00EA05B3">
        <w:rPr>
          <w:lang w:val="fr-FR"/>
        </w:rPr>
        <w:t xml:space="preserve"> le taux de fécondité chez les 15-19 ans en mettant en place des programmes </w:t>
      </w:r>
      <w:r w:rsidR="009379A7" w:rsidRPr="00EA05B3">
        <w:rPr>
          <w:lang w:val="fr-FR"/>
        </w:rPr>
        <w:t>d’</w:t>
      </w:r>
      <w:r w:rsidRPr="00EA05B3">
        <w:rPr>
          <w:lang w:val="fr-FR"/>
        </w:rPr>
        <w:t>éducation sexuelle, en créant des emplois pour les adolescentes et en prenant des mesures de lutte contre la discrimination</w:t>
      </w:r>
      <w:r w:rsidR="00B15670" w:rsidRPr="00EA05B3">
        <w:rPr>
          <w:lang w:val="fr-FR"/>
        </w:rPr>
        <w:t>;</w:t>
      </w:r>
    </w:p>
    <w:p w:rsidR="00D60A11" w:rsidRPr="00EA05B3" w:rsidRDefault="00563B9D" w:rsidP="00563B9D">
      <w:pPr>
        <w:pStyle w:val="Bullet1G"/>
        <w:numPr>
          <w:ilvl w:val="0"/>
          <w:numId w:val="0"/>
        </w:numPr>
        <w:tabs>
          <w:tab w:val="left" w:pos="1701"/>
        </w:tabs>
        <w:ind w:left="1701" w:hanging="170"/>
        <w:rPr>
          <w:lang w:val="fr-FR"/>
        </w:rPr>
      </w:pPr>
      <w:r w:rsidRPr="00EA05B3">
        <w:rPr>
          <w:lang w:val="fr-FR"/>
        </w:rPr>
        <w:t>•</w:t>
      </w:r>
      <w:r w:rsidRPr="00EA05B3">
        <w:rPr>
          <w:lang w:val="fr-FR"/>
        </w:rPr>
        <w:tab/>
        <w:t xml:space="preserve">Développer le travail digne, réduire le sous-emploi structurel et augmenter progressivement le pouvoir </w:t>
      </w:r>
      <w:r w:rsidR="009379A7" w:rsidRPr="00EA05B3">
        <w:rPr>
          <w:lang w:val="fr-FR"/>
        </w:rPr>
        <w:t>d’</w:t>
      </w:r>
      <w:r w:rsidRPr="00EA05B3">
        <w:rPr>
          <w:lang w:val="fr-FR"/>
        </w:rPr>
        <w:t>achat des revenus du travail, en renforçant le système économique social et solidaire et la diversification productive</w:t>
      </w:r>
      <w:r w:rsidR="00AE17A1" w:rsidRPr="00EA05B3">
        <w:rPr>
          <w:lang w:val="fr-FR"/>
        </w:rPr>
        <w:t xml:space="preserve"> et en</w:t>
      </w:r>
      <w:r w:rsidRPr="00EA05B3">
        <w:rPr>
          <w:lang w:val="fr-FR"/>
        </w:rPr>
        <w:t xml:space="preserve"> investissant dans la connaissance et la technologie</w:t>
      </w:r>
      <w:r w:rsidR="00B15670" w:rsidRPr="00EA05B3">
        <w:rPr>
          <w:lang w:val="fr-FR"/>
        </w:rPr>
        <w:t>;</w:t>
      </w:r>
    </w:p>
    <w:p w:rsidR="00D60A11" w:rsidRPr="00EA05B3" w:rsidRDefault="00563B9D" w:rsidP="00563B9D">
      <w:pPr>
        <w:pStyle w:val="Bullet1G"/>
        <w:numPr>
          <w:ilvl w:val="0"/>
          <w:numId w:val="0"/>
        </w:numPr>
        <w:tabs>
          <w:tab w:val="left" w:pos="1701"/>
        </w:tabs>
        <w:ind w:left="1701" w:hanging="170"/>
        <w:rPr>
          <w:lang w:val="fr-FR"/>
        </w:rPr>
      </w:pPr>
      <w:r w:rsidRPr="00EA05B3">
        <w:rPr>
          <w:lang w:val="fr-FR"/>
        </w:rPr>
        <w:t>•</w:t>
      </w:r>
      <w:r w:rsidRPr="00EA05B3">
        <w:rPr>
          <w:lang w:val="fr-FR"/>
        </w:rPr>
        <w:tab/>
        <w:t>Il est également prévu de réduire de 40</w:t>
      </w:r>
      <w:r w:rsidR="009379A7" w:rsidRPr="00EA05B3">
        <w:rPr>
          <w:lang w:val="fr-FR"/>
        </w:rPr>
        <w:t> %</w:t>
      </w:r>
      <w:r w:rsidRPr="00EA05B3">
        <w:rPr>
          <w:lang w:val="fr-FR"/>
        </w:rPr>
        <w:t xml:space="preserve"> le taux de sous-emploi par rapport à son niveau actuel. Il est primordial de compléter ces mesures par une politique de renforcement des micro, petites et moyennes entreprises dans les secteurs stratégiques du point de vue de la demande </w:t>
      </w:r>
      <w:r w:rsidR="009379A7" w:rsidRPr="00EA05B3">
        <w:rPr>
          <w:lang w:val="fr-FR"/>
        </w:rPr>
        <w:t>d’</w:t>
      </w:r>
      <w:r w:rsidRPr="00EA05B3">
        <w:rPr>
          <w:lang w:val="fr-FR"/>
        </w:rPr>
        <w:t xml:space="preserve">emploi, des liens productifs et de la capacité </w:t>
      </w:r>
      <w:r w:rsidR="009379A7" w:rsidRPr="00EA05B3">
        <w:rPr>
          <w:lang w:val="fr-FR"/>
        </w:rPr>
        <w:t>d’</w:t>
      </w:r>
      <w:r w:rsidRPr="00EA05B3">
        <w:rPr>
          <w:lang w:val="fr-FR"/>
        </w:rPr>
        <w:t>innovation</w:t>
      </w:r>
      <w:r w:rsidR="00B15670" w:rsidRPr="00EA05B3">
        <w:rPr>
          <w:lang w:val="fr-FR"/>
        </w:rPr>
        <w:t>;</w:t>
      </w:r>
    </w:p>
    <w:p w:rsidR="00D60A11" w:rsidRPr="00EA05B3" w:rsidRDefault="00563B9D" w:rsidP="00563B9D">
      <w:pPr>
        <w:pStyle w:val="Bullet1G"/>
        <w:numPr>
          <w:ilvl w:val="0"/>
          <w:numId w:val="0"/>
        </w:numPr>
        <w:tabs>
          <w:tab w:val="left" w:pos="1701"/>
        </w:tabs>
        <w:ind w:left="1701" w:hanging="170"/>
        <w:rPr>
          <w:lang w:val="fr-FR"/>
        </w:rPr>
      </w:pPr>
      <w:r w:rsidRPr="00EA05B3">
        <w:rPr>
          <w:lang w:val="fr-FR"/>
        </w:rPr>
        <w:t>•</w:t>
      </w:r>
      <w:r w:rsidRPr="00EA05B3">
        <w:rPr>
          <w:lang w:val="fr-FR"/>
        </w:rPr>
        <w:tab/>
        <w:t xml:space="preserve">Dans le secteur rural, cette stratégie sera complétée par des politiques territoriales visant à développer </w:t>
      </w:r>
      <w:r w:rsidR="009379A7" w:rsidRPr="00EA05B3">
        <w:rPr>
          <w:lang w:val="fr-FR"/>
        </w:rPr>
        <w:t>l’</w:t>
      </w:r>
      <w:r w:rsidRPr="00EA05B3">
        <w:rPr>
          <w:lang w:val="fr-FR"/>
        </w:rPr>
        <w:t xml:space="preserve">accès à la terre et aux sources </w:t>
      </w:r>
      <w:r w:rsidR="009379A7" w:rsidRPr="00EA05B3">
        <w:rPr>
          <w:lang w:val="fr-FR"/>
        </w:rPr>
        <w:t>d’</w:t>
      </w:r>
      <w:r w:rsidRPr="00EA05B3">
        <w:rPr>
          <w:lang w:val="fr-FR"/>
        </w:rPr>
        <w:t xml:space="preserve">eau pour les petits et moyens producteurs, ainsi que </w:t>
      </w:r>
      <w:r w:rsidR="009379A7" w:rsidRPr="00EA05B3">
        <w:rPr>
          <w:lang w:val="fr-FR"/>
        </w:rPr>
        <w:t>l’</w:t>
      </w:r>
      <w:r w:rsidRPr="00EA05B3">
        <w:rPr>
          <w:lang w:val="fr-FR"/>
        </w:rPr>
        <w:t xml:space="preserve">accès aux alternatives technologiques durables de </w:t>
      </w:r>
      <w:r w:rsidR="009379A7" w:rsidRPr="00EA05B3">
        <w:rPr>
          <w:lang w:val="fr-FR"/>
        </w:rPr>
        <w:t>l’</w:t>
      </w:r>
      <w:r w:rsidRPr="00EA05B3">
        <w:rPr>
          <w:lang w:val="fr-FR"/>
        </w:rPr>
        <w:t xml:space="preserve">agroforesterie et de </w:t>
      </w:r>
      <w:r w:rsidR="009379A7" w:rsidRPr="00EA05B3">
        <w:rPr>
          <w:lang w:val="fr-FR"/>
        </w:rPr>
        <w:t>l’</w:t>
      </w:r>
      <w:r w:rsidR="00AE17A1" w:rsidRPr="00EA05B3">
        <w:rPr>
          <w:lang w:val="fr-FR"/>
        </w:rPr>
        <w:t>agroécologie</w:t>
      </w:r>
      <w:r w:rsidR="00B15670" w:rsidRPr="00EA05B3">
        <w:rPr>
          <w:lang w:val="fr-FR"/>
        </w:rPr>
        <w:t>;</w:t>
      </w:r>
    </w:p>
    <w:p w:rsidR="00D60A11" w:rsidRPr="00EA05B3" w:rsidRDefault="00563B9D" w:rsidP="00563B9D">
      <w:pPr>
        <w:pStyle w:val="Bullet1G"/>
        <w:numPr>
          <w:ilvl w:val="0"/>
          <w:numId w:val="0"/>
        </w:numPr>
        <w:tabs>
          <w:tab w:val="left" w:pos="1701"/>
        </w:tabs>
        <w:ind w:left="1701" w:hanging="170"/>
        <w:rPr>
          <w:lang w:val="fr-FR"/>
        </w:rPr>
      </w:pPr>
      <w:r w:rsidRPr="00EA05B3">
        <w:rPr>
          <w:lang w:val="fr-FR"/>
        </w:rPr>
        <w:t>•</w:t>
      </w:r>
      <w:r w:rsidRPr="00EA05B3">
        <w:rPr>
          <w:lang w:val="fr-FR"/>
        </w:rPr>
        <w:tab/>
        <w:t xml:space="preserve">Dans le domaine du logement, compte tenu du fort niveau de déficit qualitatif actuel en ce qui concerne </w:t>
      </w:r>
      <w:r w:rsidR="009379A7" w:rsidRPr="00EA05B3">
        <w:rPr>
          <w:lang w:val="fr-FR"/>
        </w:rPr>
        <w:t>l’</w:t>
      </w:r>
      <w:r w:rsidRPr="00EA05B3">
        <w:rPr>
          <w:lang w:val="fr-FR"/>
        </w:rPr>
        <w:t xml:space="preserve">eau potable et </w:t>
      </w:r>
      <w:r w:rsidR="009379A7" w:rsidRPr="00EA05B3">
        <w:rPr>
          <w:lang w:val="fr-FR"/>
        </w:rPr>
        <w:t>l’</w:t>
      </w:r>
      <w:r w:rsidRPr="00EA05B3">
        <w:rPr>
          <w:lang w:val="fr-FR"/>
        </w:rPr>
        <w:t xml:space="preserve">assainissement, </w:t>
      </w:r>
      <w:r w:rsidR="009379A7" w:rsidRPr="00EA05B3">
        <w:rPr>
          <w:lang w:val="fr-FR"/>
        </w:rPr>
        <w:t>l’</w:t>
      </w:r>
      <w:r w:rsidRPr="00EA05B3">
        <w:rPr>
          <w:lang w:val="fr-FR"/>
        </w:rPr>
        <w:t xml:space="preserve">objectif est </w:t>
      </w:r>
      <w:r w:rsidR="009379A7" w:rsidRPr="00EA05B3">
        <w:rPr>
          <w:lang w:val="fr-FR"/>
        </w:rPr>
        <w:t>d’</w:t>
      </w:r>
      <w:r w:rsidRPr="00EA05B3">
        <w:rPr>
          <w:lang w:val="fr-FR"/>
        </w:rPr>
        <w:t xml:space="preserve">augmenter </w:t>
      </w:r>
      <w:r w:rsidR="009379A7" w:rsidRPr="00EA05B3">
        <w:rPr>
          <w:lang w:val="fr-FR"/>
        </w:rPr>
        <w:t>d’</w:t>
      </w:r>
      <w:r w:rsidRPr="00EA05B3">
        <w:rPr>
          <w:lang w:val="fr-FR"/>
        </w:rPr>
        <w:t>au moins 40</w:t>
      </w:r>
      <w:r w:rsidR="009379A7" w:rsidRPr="00EA05B3">
        <w:rPr>
          <w:lang w:val="fr-FR"/>
        </w:rPr>
        <w:t> %</w:t>
      </w:r>
      <w:r w:rsidRPr="00EA05B3">
        <w:rPr>
          <w:lang w:val="fr-FR"/>
        </w:rPr>
        <w:t xml:space="preserve"> la couverture actuelle de ces biens et notamment </w:t>
      </w:r>
      <w:r w:rsidR="009379A7" w:rsidRPr="00EA05B3">
        <w:rPr>
          <w:lang w:val="fr-FR"/>
        </w:rPr>
        <w:t>d’</w:t>
      </w:r>
      <w:r w:rsidRPr="00EA05B3">
        <w:rPr>
          <w:lang w:val="fr-FR"/>
        </w:rPr>
        <w:t xml:space="preserve">élaborer des politiques permettant de réduire les écarts qui existent entre les zones urbaines et les zones rurales et </w:t>
      </w:r>
      <w:r w:rsidR="009379A7" w:rsidRPr="00EA05B3">
        <w:rPr>
          <w:lang w:val="fr-FR"/>
        </w:rPr>
        <w:t>d’</w:t>
      </w:r>
      <w:r w:rsidRPr="00EA05B3">
        <w:rPr>
          <w:lang w:val="fr-FR"/>
        </w:rPr>
        <w:t>améliorer la qualité et la fiabilité de ces services</w:t>
      </w:r>
      <w:r w:rsidR="00876266" w:rsidRPr="00EA05B3">
        <w:rPr>
          <w:lang w:val="fr-FR"/>
        </w:rPr>
        <w:t>;</w:t>
      </w:r>
    </w:p>
    <w:p w:rsidR="00D60A11" w:rsidRPr="00EA05B3" w:rsidRDefault="00563B9D" w:rsidP="00563B9D">
      <w:pPr>
        <w:pStyle w:val="Bullet1G"/>
        <w:numPr>
          <w:ilvl w:val="0"/>
          <w:numId w:val="0"/>
        </w:numPr>
        <w:tabs>
          <w:tab w:val="left" w:pos="1701"/>
        </w:tabs>
        <w:ind w:left="1701" w:hanging="170"/>
        <w:rPr>
          <w:lang w:val="fr-FR"/>
        </w:rPr>
      </w:pPr>
      <w:r w:rsidRPr="00EA05B3">
        <w:rPr>
          <w:lang w:val="fr-FR"/>
        </w:rPr>
        <w:t>•</w:t>
      </w:r>
      <w:r w:rsidRPr="00EA05B3">
        <w:rPr>
          <w:lang w:val="fr-FR"/>
        </w:rPr>
        <w:tab/>
      </w:r>
      <w:r w:rsidR="009379A7" w:rsidRPr="00EA05B3">
        <w:rPr>
          <w:lang w:val="fr-FR"/>
        </w:rPr>
        <w:t>L’</w:t>
      </w:r>
      <w:r w:rsidRPr="00EA05B3">
        <w:rPr>
          <w:lang w:val="fr-FR"/>
        </w:rPr>
        <w:t>indice de développement humain (IDH) est passé en Équateur de 0,59 en 1980 à 0,65 en 2000 et à 0,72 en 2012</w:t>
      </w:r>
      <w:r w:rsidRPr="00EA05B3">
        <w:rPr>
          <w:rStyle w:val="FootnoteReference"/>
          <w:lang w:val="fr-FR"/>
        </w:rPr>
        <w:footnoteReference w:id="61"/>
      </w:r>
      <w:r w:rsidRPr="00EA05B3">
        <w:rPr>
          <w:lang w:val="fr-FR"/>
        </w:rPr>
        <w:t xml:space="preserve">. </w:t>
      </w:r>
      <w:r w:rsidR="009379A7" w:rsidRPr="00EA05B3">
        <w:rPr>
          <w:lang w:val="fr-FR"/>
        </w:rPr>
        <w:t>L’</w:t>
      </w:r>
      <w:r w:rsidRPr="00EA05B3">
        <w:rPr>
          <w:lang w:val="fr-FR"/>
        </w:rPr>
        <w:t xml:space="preserve">objectif fixé pour 2030 est </w:t>
      </w:r>
      <w:r w:rsidR="009379A7" w:rsidRPr="00EA05B3">
        <w:rPr>
          <w:lang w:val="fr-FR"/>
        </w:rPr>
        <w:t>d’</w:t>
      </w:r>
      <w:r w:rsidRPr="00EA05B3">
        <w:rPr>
          <w:lang w:val="fr-FR"/>
        </w:rPr>
        <w:t>atteindre une valeur de 0,8213</w:t>
      </w:r>
      <w:r w:rsidR="00876266" w:rsidRPr="00EA05B3">
        <w:rPr>
          <w:lang w:val="fr-FR"/>
        </w:rPr>
        <w:t>;</w:t>
      </w:r>
    </w:p>
    <w:p w:rsidR="00D60A11" w:rsidRPr="00EA05B3" w:rsidRDefault="00563B9D" w:rsidP="00563B9D">
      <w:pPr>
        <w:pStyle w:val="Bullet1G"/>
        <w:numPr>
          <w:ilvl w:val="0"/>
          <w:numId w:val="0"/>
        </w:numPr>
        <w:tabs>
          <w:tab w:val="left" w:pos="1701"/>
        </w:tabs>
        <w:ind w:left="1701" w:hanging="170"/>
        <w:rPr>
          <w:lang w:val="fr-FR"/>
        </w:rPr>
      </w:pPr>
      <w:r w:rsidRPr="00EA05B3">
        <w:rPr>
          <w:lang w:val="fr-FR"/>
        </w:rPr>
        <w:t>•</w:t>
      </w:r>
      <w:r w:rsidRPr="00EA05B3">
        <w:rPr>
          <w:lang w:val="fr-FR"/>
        </w:rPr>
        <w:tab/>
        <w:t>En ce qui concerne la démographie, il serait souhaitable que le taux de croissance de la population passe de 1,35</w:t>
      </w:r>
      <w:r w:rsidR="009379A7" w:rsidRPr="00EA05B3">
        <w:rPr>
          <w:lang w:val="fr-FR"/>
        </w:rPr>
        <w:t> %</w:t>
      </w:r>
      <w:r w:rsidRPr="00EA05B3">
        <w:rPr>
          <w:lang w:val="fr-FR"/>
        </w:rPr>
        <w:t xml:space="preserve"> actuellement à</w:t>
      </w:r>
      <w:r w:rsidR="000D57A5" w:rsidRPr="00EA05B3">
        <w:rPr>
          <w:lang w:val="fr-FR"/>
        </w:rPr>
        <w:t xml:space="preserve"> </w:t>
      </w:r>
      <w:r w:rsidRPr="00EA05B3">
        <w:rPr>
          <w:lang w:val="fr-FR"/>
        </w:rPr>
        <w:t>0,76</w:t>
      </w:r>
      <w:r w:rsidR="009379A7" w:rsidRPr="00EA05B3">
        <w:rPr>
          <w:lang w:val="fr-FR"/>
        </w:rPr>
        <w:t> %</w:t>
      </w:r>
      <w:r w:rsidRPr="00EA05B3">
        <w:rPr>
          <w:lang w:val="fr-FR"/>
        </w:rPr>
        <w:t xml:space="preserve"> en 2030 et que </w:t>
      </w:r>
      <w:r w:rsidR="009379A7" w:rsidRPr="00EA05B3">
        <w:rPr>
          <w:lang w:val="fr-FR"/>
        </w:rPr>
        <w:t>l’</w:t>
      </w:r>
      <w:r w:rsidRPr="00EA05B3">
        <w:rPr>
          <w:lang w:val="fr-FR"/>
        </w:rPr>
        <w:t>on atteigne une population de 17 893 000 habitants en 2030</w:t>
      </w:r>
      <w:r w:rsidR="00876266" w:rsidRPr="00EA05B3">
        <w:rPr>
          <w:lang w:val="fr-FR"/>
        </w:rPr>
        <w:t>;</w:t>
      </w:r>
    </w:p>
    <w:p w:rsidR="00D60A11" w:rsidRPr="00EA05B3" w:rsidRDefault="00563B9D" w:rsidP="00563B9D">
      <w:pPr>
        <w:pStyle w:val="Bullet1G"/>
        <w:numPr>
          <w:ilvl w:val="0"/>
          <w:numId w:val="0"/>
        </w:numPr>
        <w:tabs>
          <w:tab w:val="left" w:pos="1701"/>
        </w:tabs>
        <w:ind w:left="1701" w:hanging="170"/>
        <w:rPr>
          <w:lang w:val="fr-FR"/>
        </w:rPr>
      </w:pPr>
      <w:r w:rsidRPr="00EA05B3">
        <w:rPr>
          <w:lang w:val="fr-FR"/>
        </w:rPr>
        <w:t>•</w:t>
      </w:r>
      <w:r w:rsidRPr="00EA05B3">
        <w:rPr>
          <w:lang w:val="fr-FR"/>
        </w:rPr>
        <w:tab/>
        <w:t xml:space="preserve">Concernant la population en âge de travailler, </w:t>
      </w:r>
      <w:r w:rsidR="009379A7" w:rsidRPr="00EA05B3">
        <w:rPr>
          <w:lang w:val="fr-FR"/>
        </w:rPr>
        <w:t>l’</w:t>
      </w:r>
      <w:r w:rsidRPr="00EA05B3">
        <w:rPr>
          <w:lang w:val="fr-FR"/>
        </w:rPr>
        <w:t>objectif est de réduire le nombre de personnes de moins de 15 ans qui travaillent.</w:t>
      </w:r>
      <w:r w:rsidR="000D57A5" w:rsidRPr="00EA05B3">
        <w:rPr>
          <w:lang w:val="fr-FR"/>
        </w:rPr>
        <w:t xml:space="preserve"> </w:t>
      </w:r>
    </w:p>
    <w:p w:rsidR="00D60A11" w:rsidRPr="00EA05B3" w:rsidRDefault="005059C0" w:rsidP="005059C0">
      <w:pPr>
        <w:pStyle w:val="HChG"/>
        <w:rPr>
          <w:lang w:val="fr-FR"/>
        </w:rPr>
      </w:pPr>
      <w:bookmarkStart w:id="22" w:name="_Toc392676785"/>
      <w:r w:rsidRPr="00EA05B3">
        <w:rPr>
          <w:lang w:val="fr-FR"/>
        </w:rPr>
        <w:tab/>
        <w:t>IV.</w:t>
      </w:r>
      <w:r w:rsidRPr="00EA05B3">
        <w:rPr>
          <w:lang w:val="fr-FR"/>
        </w:rPr>
        <w:tab/>
        <w:t xml:space="preserve">Structure constitutionnelle, politique et juridique de </w:t>
      </w:r>
      <w:r w:rsidR="009379A7" w:rsidRPr="00EA05B3">
        <w:rPr>
          <w:lang w:val="fr-FR"/>
        </w:rPr>
        <w:t>l’</w:t>
      </w:r>
      <w:r w:rsidRPr="00EA05B3">
        <w:rPr>
          <w:lang w:val="fr-FR"/>
        </w:rPr>
        <w:t>État</w:t>
      </w:r>
      <w:bookmarkEnd w:id="22"/>
    </w:p>
    <w:p w:rsidR="00D60A11" w:rsidRPr="00EA05B3" w:rsidRDefault="0095674E" w:rsidP="0095674E">
      <w:pPr>
        <w:pStyle w:val="SingleTxtG"/>
        <w:rPr>
          <w:lang w:val="fr-FR"/>
        </w:rPr>
      </w:pPr>
      <w:r w:rsidRPr="00EA05B3">
        <w:rPr>
          <w:lang w:val="fr-FR"/>
        </w:rPr>
        <w:t>169.</w:t>
      </w:r>
      <w:r w:rsidRPr="00EA05B3">
        <w:rPr>
          <w:lang w:val="fr-FR"/>
        </w:rPr>
        <w:tab/>
      </w:r>
      <w:r w:rsidR="009379A7" w:rsidRPr="00EA05B3">
        <w:rPr>
          <w:lang w:val="fr-FR"/>
        </w:rPr>
        <w:t>L’</w:t>
      </w:r>
      <w:r w:rsidR="00D60A11" w:rsidRPr="00EA05B3">
        <w:rPr>
          <w:lang w:val="fr-FR"/>
        </w:rPr>
        <w:t xml:space="preserve">article premier de la Constitution dispose que </w:t>
      </w:r>
      <w:r w:rsidR="009379A7" w:rsidRPr="00EA05B3">
        <w:rPr>
          <w:lang w:val="fr-FR"/>
        </w:rPr>
        <w:t>l’</w:t>
      </w:r>
      <w:r w:rsidR="00D60A11" w:rsidRPr="00EA05B3">
        <w:rPr>
          <w:lang w:val="fr-FR"/>
        </w:rPr>
        <w:t xml:space="preserve">Équateur est un État constitutionnel de droit et de justice, social, démocratique, souverain, indépendant, unitaire, interculturel, plurinational et laïque, organisé en république et gouverné de façon décentralisée. </w:t>
      </w:r>
    </w:p>
    <w:p w:rsidR="00D60A11" w:rsidRPr="00EA05B3" w:rsidRDefault="00A926E0" w:rsidP="00F32DF1">
      <w:pPr>
        <w:pStyle w:val="SingleTxtG"/>
        <w:rPr>
          <w:lang w:val="fr-FR"/>
        </w:rPr>
      </w:pPr>
      <w:r w:rsidRPr="00EA05B3">
        <w:rPr>
          <w:lang w:val="fr-FR"/>
        </w:rPr>
        <w:t>170.</w:t>
      </w:r>
      <w:r w:rsidRPr="00EA05B3">
        <w:rPr>
          <w:lang w:val="fr-FR"/>
        </w:rPr>
        <w:tab/>
      </w:r>
      <w:r w:rsidR="009379A7" w:rsidRPr="00EA05B3">
        <w:rPr>
          <w:lang w:val="fr-FR"/>
        </w:rPr>
        <w:t>S’</w:t>
      </w:r>
      <w:r w:rsidR="00D60A11" w:rsidRPr="00EA05B3">
        <w:rPr>
          <w:lang w:val="fr-FR"/>
        </w:rPr>
        <w:t xml:space="preserve">agissant de la primauté de la Constitution, </w:t>
      </w:r>
      <w:r w:rsidR="009379A7" w:rsidRPr="00EA05B3">
        <w:rPr>
          <w:lang w:val="fr-FR"/>
        </w:rPr>
        <w:t>l’</w:t>
      </w:r>
      <w:r w:rsidR="00D60A11" w:rsidRPr="00EA05B3">
        <w:rPr>
          <w:lang w:val="fr-FR"/>
        </w:rPr>
        <w:t xml:space="preserve">article 424 dispose que la Constitution est la norme suprême qui prévaut sur tout </w:t>
      </w:r>
      <w:r w:rsidR="009379A7" w:rsidRPr="00EA05B3">
        <w:rPr>
          <w:lang w:val="fr-FR"/>
        </w:rPr>
        <w:t>l’</w:t>
      </w:r>
      <w:r w:rsidR="00D60A11" w:rsidRPr="00EA05B3">
        <w:rPr>
          <w:lang w:val="fr-FR"/>
        </w:rPr>
        <w:t>ordre juridique interne, et que toutes les normes et tous les actes juridiques doivent être conformes à la Constitution, sous peine de nullité.</w:t>
      </w:r>
    </w:p>
    <w:p w:rsidR="00D60A11" w:rsidRPr="00EA05B3" w:rsidRDefault="00A926E0" w:rsidP="00F32DF1">
      <w:pPr>
        <w:pStyle w:val="SingleTxtG"/>
        <w:rPr>
          <w:lang w:val="fr-FR"/>
        </w:rPr>
      </w:pPr>
      <w:r w:rsidRPr="00EA05B3">
        <w:rPr>
          <w:lang w:val="fr-FR"/>
        </w:rPr>
        <w:t>171.</w:t>
      </w:r>
      <w:r w:rsidRPr="00EA05B3">
        <w:rPr>
          <w:lang w:val="fr-FR"/>
        </w:rPr>
        <w:tab/>
      </w:r>
      <w:r w:rsidR="009379A7" w:rsidRPr="00EA05B3">
        <w:rPr>
          <w:lang w:val="fr-FR"/>
        </w:rPr>
        <w:t>L’</w:t>
      </w:r>
      <w:r w:rsidR="00D60A11" w:rsidRPr="00EA05B3">
        <w:rPr>
          <w:lang w:val="fr-FR"/>
        </w:rPr>
        <w:t xml:space="preserve">interculturalité et la plurinationalité, composantes </w:t>
      </w:r>
      <w:r w:rsidR="009379A7" w:rsidRPr="00EA05B3">
        <w:rPr>
          <w:lang w:val="fr-FR"/>
        </w:rPr>
        <w:t>d’</w:t>
      </w:r>
      <w:r w:rsidR="00D60A11" w:rsidRPr="00EA05B3">
        <w:rPr>
          <w:lang w:val="fr-FR"/>
        </w:rPr>
        <w:t xml:space="preserve">un État unique et unitaire, sont consacrées par </w:t>
      </w:r>
      <w:r w:rsidR="009379A7" w:rsidRPr="00EA05B3">
        <w:rPr>
          <w:lang w:val="fr-FR"/>
        </w:rPr>
        <w:t>l’</w:t>
      </w:r>
      <w:r w:rsidR="00D60A11" w:rsidRPr="00EA05B3">
        <w:rPr>
          <w:lang w:val="fr-FR"/>
        </w:rPr>
        <w:t>incorporation dans la Constitution du principe du bien-vivre ou s</w:t>
      </w:r>
      <w:r w:rsidR="00D60A11" w:rsidRPr="00EA05B3">
        <w:rPr>
          <w:i/>
          <w:lang w:val="fr-FR"/>
        </w:rPr>
        <w:t>umak kawsay</w:t>
      </w:r>
      <w:r w:rsidR="00D60A11" w:rsidRPr="00EA05B3">
        <w:rPr>
          <w:lang w:val="fr-FR"/>
        </w:rPr>
        <w:t xml:space="preserve">, qui sert de base pour interpréter certains droits et oriente la politique de </w:t>
      </w:r>
      <w:r w:rsidR="009379A7" w:rsidRPr="00EA05B3">
        <w:rPr>
          <w:lang w:val="fr-FR"/>
        </w:rPr>
        <w:t>l’</w:t>
      </w:r>
      <w:r w:rsidR="00D60A11" w:rsidRPr="00EA05B3">
        <w:rPr>
          <w:lang w:val="fr-FR"/>
        </w:rPr>
        <w:t xml:space="preserve">État en matière </w:t>
      </w:r>
      <w:r w:rsidR="009379A7" w:rsidRPr="00EA05B3">
        <w:rPr>
          <w:lang w:val="fr-FR"/>
        </w:rPr>
        <w:t>d’</w:t>
      </w:r>
      <w:r w:rsidR="00D60A11" w:rsidRPr="00EA05B3">
        <w:rPr>
          <w:lang w:val="fr-FR"/>
        </w:rPr>
        <w:t xml:space="preserve">inclusion, </w:t>
      </w:r>
      <w:r w:rsidR="009379A7" w:rsidRPr="00EA05B3">
        <w:rPr>
          <w:lang w:val="fr-FR"/>
        </w:rPr>
        <w:t>d’</w:t>
      </w:r>
      <w:r w:rsidR="00D60A11" w:rsidRPr="00EA05B3">
        <w:rPr>
          <w:lang w:val="fr-FR"/>
        </w:rPr>
        <w:t xml:space="preserve">équité et de gestion des ressources, ainsi que par la reconnaissance du droit à </w:t>
      </w:r>
      <w:r w:rsidR="009379A7" w:rsidRPr="00EA05B3">
        <w:rPr>
          <w:lang w:val="fr-FR"/>
        </w:rPr>
        <w:t>l’</w:t>
      </w:r>
      <w:r w:rsidR="00D60A11" w:rsidRPr="00EA05B3">
        <w:rPr>
          <w:lang w:val="fr-FR"/>
        </w:rPr>
        <w:t xml:space="preserve">autodétermination des peuples, des communautés et des nationalités, et </w:t>
      </w:r>
      <w:r w:rsidR="009379A7" w:rsidRPr="00EA05B3">
        <w:rPr>
          <w:lang w:val="fr-FR"/>
        </w:rPr>
        <w:t>d’</w:t>
      </w:r>
      <w:r w:rsidR="00D60A11" w:rsidRPr="00EA05B3">
        <w:rPr>
          <w:lang w:val="fr-FR"/>
        </w:rPr>
        <w:t xml:space="preserve">autres formes </w:t>
      </w:r>
      <w:r w:rsidR="009379A7" w:rsidRPr="00EA05B3">
        <w:rPr>
          <w:lang w:val="fr-FR"/>
        </w:rPr>
        <w:t>d’</w:t>
      </w:r>
      <w:r w:rsidR="00D60A11" w:rsidRPr="00EA05B3">
        <w:rPr>
          <w:lang w:val="fr-FR"/>
        </w:rPr>
        <w:t xml:space="preserve">organisation sociale aux fins de </w:t>
      </w:r>
      <w:r w:rsidR="009379A7" w:rsidRPr="00EA05B3">
        <w:rPr>
          <w:lang w:val="fr-FR"/>
        </w:rPr>
        <w:t>l’</w:t>
      </w:r>
      <w:r w:rsidR="00D60A11" w:rsidRPr="00EA05B3">
        <w:rPr>
          <w:lang w:val="fr-FR"/>
        </w:rPr>
        <w:t>autodétermination.</w:t>
      </w:r>
    </w:p>
    <w:p w:rsidR="00D60A11" w:rsidRPr="00EA05B3" w:rsidRDefault="00A926E0" w:rsidP="00F32DF1">
      <w:pPr>
        <w:pStyle w:val="SingleTxtG"/>
        <w:rPr>
          <w:lang w:val="fr-FR"/>
        </w:rPr>
      </w:pPr>
      <w:r w:rsidRPr="00EA05B3">
        <w:rPr>
          <w:lang w:val="fr-FR"/>
        </w:rPr>
        <w:t>172.</w:t>
      </w:r>
      <w:r w:rsidRPr="00EA05B3">
        <w:rPr>
          <w:lang w:val="fr-FR"/>
        </w:rPr>
        <w:tab/>
      </w:r>
      <w:r w:rsidR="009379A7" w:rsidRPr="00EA05B3">
        <w:rPr>
          <w:lang w:val="fr-FR"/>
        </w:rPr>
        <w:t>S’</w:t>
      </w:r>
      <w:r w:rsidR="00D60A11" w:rsidRPr="00EA05B3">
        <w:rPr>
          <w:lang w:val="fr-FR"/>
        </w:rPr>
        <w:t xml:space="preserve">agissant du principe du bien-vivre ou </w:t>
      </w:r>
      <w:r w:rsidR="00D60A11" w:rsidRPr="00EA05B3">
        <w:rPr>
          <w:i/>
          <w:lang w:val="fr-FR"/>
        </w:rPr>
        <w:t>sumak kawsay,</w:t>
      </w:r>
      <w:r w:rsidR="00D60A11" w:rsidRPr="00EA05B3">
        <w:rPr>
          <w:lang w:val="fr-FR"/>
        </w:rPr>
        <w:t xml:space="preserve"> le titre II de la Constitution (Droits) comprend un chapitre sur les droits relatifs au bien-vivre, notamment le droit à </w:t>
      </w:r>
      <w:r w:rsidR="009379A7" w:rsidRPr="00EA05B3">
        <w:rPr>
          <w:lang w:val="fr-FR"/>
        </w:rPr>
        <w:t>l’</w:t>
      </w:r>
      <w:r w:rsidR="00D60A11" w:rsidRPr="00EA05B3">
        <w:rPr>
          <w:lang w:val="fr-FR"/>
        </w:rPr>
        <w:t xml:space="preserve">eau, à un environnement sain et équilibré du point de vue écologique, à la communication, à </w:t>
      </w:r>
      <w:r w:rsidR="009379A7" w:rsidRPr="00EA05B3">
        <w:rPr>
          <w:lang w:val="fr-FR"/>
        </w:rPr>
        <w:t>l’</w:t>
      </w:r>
      <w:r w:rsidR="00D60A11" w:rsidRPr="00EA05B3">
        <w:rPr>
          <w:lang w:val="fr-FR"/>
        </w:rPr>
        <w:t xml:space="preserve">information, à la culture et à la science, à </w:t>
      </w:r>
      <w:r w:rsidR="009379A7" w:rsidRPr="00EA05B3">
        <w:rPr>
          <w:lang w:val="fr-FR"/>
        </w:rPr>
        <w:t>l’</w:t>
      </w:r>
      <w:r w:rsidR="00D60A11" w:rsidRPr="00EA05B3">
        <w:rPr>
          <w:lang w:val="fr-FR"/>
        </w:rPr>
        <w:t xml:space="preserve">éducation, au logement, au travail et à la sécurité sociale. Le titre VII (Régime du bien-vivre) définit des garanties et des grandes orientations visant à promouvoir </w:t>
      </w:r>
      <w:r w:rsidR="009379A7" w:rsidRPr="00EA05B3">
        <w:rPr>
          <w:lang w:val="fr-FR"/>
        </w:rPr>
        <w:t>l’</w:t>
      </w:r>
      <w:r w:rsidR="00D60A11" w:rsidRPr="00EA05B3">
        <w:rPr>
          <w:lang w:val="fr-FR"/>
        </w:rPr>
        <w:t xml:space="preserve">inclusion et </w:t>
      </w:r>
      <w:r w:rsidR="009379A7" w:rsidRPr="00EA05B3">
        <w:rPr>
          <w:lang w:val="fr-FR"/>
        </w:rPr>
        <w:t>l’</w:t>
      </w:r>
      <w:r w:rsidR="00D60A11" w:rsidRPr="00EA05B3">
        <w:rPr>
          <w:lang w:val="fr-FR"/>
        </w:rPr>
        <w:t xml:space="preserve">équité, ainsi </w:t>
      </w:r>
      <w:r w:rsidR="009379A7" w:rsidRPr="00EA05B3">
        <w:rPr>
          <w:lang w:val="fr-FR"/>
        </w:rPr>
        <w:t>qu’</w:t>
      </w:r>
      <w:r w:rsidR="00D60A11" w:rsidRPr="00EA05B3">
        <w:rPr>
          <w:lang w:val="fr-FR"/>
        </w:rPr>
        <w:t>une utilisation des ressources naturelles durable et respectueuse des autres êtres vivants.</w:t>
      </w:r>
    </w:p>
    <w:p w:rsidR="00D60A11" w:rsidRPr="00EA05B3" w:rsidRDefault="00A926E0" w:rsidP="00F32DF1">
      <w:pPr>
        <w:pStyle w:val="SingleTxtG"/>
        <w:rPr>
          <w:lang w:val="fr-FR"/>
        </w:rPr>
      </w:pPr>
      <w:r w:rsidRPr="00EA05B3">
        <w:rPr>
          <w:lang w:val="fr-FR"/>
        </w:rPr>
        <w:t>173.</w:t>
      </w:r>
      <w:r w:rsidRPr="00EA05B3">
        <w:rPr>
          <w:lang w:val="fr-FR"/>
        </w:rPr>
        <w:tab/>
      </w:r>
      <w:r w:rsidR="00D60A11" w:rsidRPr="00EA05B3">
        <w:rPr>
          <w:lang w:val="fr-FR"/>
        </w:rPr>
        <w:t xml:space="preserve">Le chapitre 4 du titre II (Droits) reconnaît les droits des communautés, des peuples et des nationalités. </w:t>
      </w:r>
      <w:r w:rsidR="009379A7" w:rsidRPr="00EA05B3">
        <w:rPr>
          <w:lang w:val="fr-FR"/>
        </w:rPr>
        <w:t>L’</w:t>
      </w:r>
      <w:r w:rsidR="00D60A11" w:rsidRPr="00EA05B3">
        <w:rPr>
          <w:lang w:val="fr-FR"/>
        </w:rPr>
        <w:t xml:space="preserve">article 56 dispose que les communautés, peuples et nationalités autochtones, les peuples afro-équatorien et montubio et les communes font partie intégrante de </w:t>
      </w:r>
      <w:r w:rsidR="009379A7" w:rsidRPr="00EA05B3">
        <w:rPr>
          <w:lang w:val="fr-FR"/>
        </w:rPr>
        <w:t>l’</w:t>
      </w:r>
      <w:r w:rsidR="00D60A11" w:rsidRPr="00EA05B3">
        <w:rPr>
          <w:lang w:val="fr-FR"/>
        </w:rPr>
        <w:t xml:space="preserve">État. </w:t>
      </w:r>
      <w:r w:rsidR="009379A7" w:rsidRPr="00EA05B3">
        <w:rPr>
          <w:lang w:val="fr-FR"/>
        </w:rPr>
        <w:t>L’</w:t>
      </w:r>
      <w:r w:rsidR="00D60A11" w:rsidRPr="00EA05B3">
        <w:rPr>
          <w:lang w:val="fr-FR"/>
        </w:rPr>
        <w:t>article 57 consacre notamment les droits suivants</w:t>
      </w:r>
      <w:r w:rsidR="00B36EE6" w:rsidRPr="00EA05B3">
        <w:rPr>
          <w:lang w:val="fr-FR"/>
        </w:rPr>
        <w:t>:</w:t>
      </w:r>
      <w:r w:rsidR="00D60A11" w:rsidRPr="00EA05B3">
        <w:rPr>
          <w:lang w:val="fr-FR"/>
        </w:rPr>
        <w:t xml:space="preserve"> a) maintenir, développer et renforcer leur identité, leur sentiment </w:t>
      </w:r>
      <w:r w:rsidR="009379A7" w:rsidRPr="00EA05B3">
        <w:rPr>
          <w:lang w:val="fr-FR"/>
        </w:rPr>
        <w:t>d’</w:t>
      </w:r>
      <w:r w:rsidR="00D60A11" w:rsidRPr="00EA05B3">
        <w:rPr>
          <w:lang w:val="fr-FR"/>
        </w:rPr>
        <w:t xml:space="preserve">appartenance, leurs traditions ancestrales et leurs formes </w:t>
      </w:r>
      <w:r w:rsidR="009379A7" w:rsidRPr="00EA05B3">
        <w:rPr>
          <w:lang w:val="fr-FR"/>
        </w:rPr>
        <w:t>d’</w:t>
      </w:r>
      <w:r w:rsidR="00D60A11" w:rsidRPr="00EA05B3">
        <w:rPr>
          <w:lang w:val="fr-FR"/>
        </w:rPr>
        <w:t>organisation sociale</w:t>
      </w:r>
      <w:r w:rsidR="00B36EE6" w:rsidRPr="00EA05B3">
        <w:rPr>
          <w:lang w:val="fr-FR"/>
        </w:rPr>
        <w:t>;</w:t>
      </w:r>
      <w:r w:rsidR="00D60A11" w:rsidRPr="00EA05B3">
        <w:rPr>
          <w:lang w:val="fr-FR"/>
        </w:rPr>
        <w:t xml:space="preserve"> b) conserver le caractère imprescriptible, inaliénable, insaisissable et indivisible des terres communautaires</w:t>
      </w:r>
      <w:r w:rsidR="00B36EE6" w:rsidRPr="00EA05B3">
        <w:rPr>
          <w:lang w:val="fr-FR"/>
        </w:rPr>
        <w:t>;</w:t>
      </w:r>
      <w:r w:rsidR="00D60A11" w:rsidRPr="00EA05B3">
        <w:rPr>
          <w:lang w:val="fr-FR"/>
        </w:rPr>
        <w:t xml:space="preserve"> c) être consultés au préalable et donner leur consentement libre et éclairé sur les projets et programmes de prospection, </w:t>
      </w:r>
      <w:r w:rsidR="009379A7" w:rsidRPr="00EA05B3">
        <w:rPr>
          <w:lang w:val="fr-FR"/>
        </w:rPr>
        <w:t>d’</w:t>
      </w:r>
      <w:r w:rsidR="00D60A11" w:rsidRPr="00EA05B3">
        <w:rPr>
          <w:lang w:val="fr-FR"/>
        </w:rPr>
        <w:t>exploitation et de commercialisation des ressources non renouvelables qui se trouvent sur leurs terres</w:t>
      </w:r>
      <w:r w:rsidR="00B36EE6" w:rsidRPr="00EA05B3">
        <w:rPr>
          <w:lang w:val="fr-FR"/>
        </w:rPr>
        <w:t>;</w:t>
      </w:r>
      <w:r w:rsidR="00D60A11" w:rsidRPr="00EA05B3">
        <w:rPr>
          <w:lang w:val="fr-FR"/>
        </w:rPr>
        <w:t xml:space="preserve"> d) conserver et développer leurs propres formes de coexistence et </w:t>
      </w:r>
      <w:r w:rsidR="009379A7" w:rsidRPr="00EA05B3">
        <w:rPr>
          <w:lang w:val="fr-FR"/>
        </w:rPr>
        <w:t>d’</w:t>
      </w:r>
      <w:r w:rsidR="00D60A11" w:rsidRPr="00EA05B3">
        <w:rPr>
          <w:lang w:val="fr-FR"/>
        </w:rPr>
        <w:t xml:space="preserve">organisation sociale, ainsi que leur propre mode </w:t>
      </w:r>
      <w:r w:rsidR="009379A7" w:rsidRPr="00EA05B3">
        <w:rPr>
          <w:lang w:val="fr-FR"/>
        </w:rPr>
        <w:t>d’</w:t>
      </w:r>
      <w:r w:rsidR="00D60A11" w:rsidRPr="00EA05B3">
        <w:rPr>
          <w:lang w:val="fr-FR"/>
        </w:rPr>
        <w:t xml:space="preserve">exercice de </w:t>
      </w:r>
      <w:r w:rsidR="009379A7" w:rsidRPr="00EA05B3">
        <w:rPr>
          <w:lang w:val="fr-FR"/>
        </w:rPr>
        <w:t>l’</w:t>
      </w:r>
      <w:r w:rsidR="00D60A11" w:rsidRPr="00EA05B3">
        <w:rPr>
          <w:lang w:val="fr-FR"/>
        </w:rPr>
        <w:t>autorité sur leurs territoires légalement reconnus</w:t>
      </w:r>
      <w:r w:rsidR="00B36EE6" w:rsidRPr="00EA05B3">
        <w:rPr>
          <w:lang w:val="fr-FR"/>
        </w:rPr>
        <w:t>;</w:t>
      </w:r>
      <w:r w:rsidR="00D60A11" w:rsidRPr="00EA05B3">
        <w:rPr>
          <w:lang w:val="fr-FR"/>
        </w:rPr>
        <w:t xml:space="preserve"> et e) mettre en place, renforcer et développer un système éducatif bilingue interculturel.</w:t>
      </w:r>
    </w:p>
    <w:p w:rsidR="00D60A11" w:rsidRPr="00EA05B3" w:rsidRDefault="00A926E0" w:rsidP="00F32DF1">
      <w:pPr>
        <w:pStyle w:val="SingleTxtG"/>
        <w:rPr>
          <w:lang w:val="fr-FR"/>
        </w:rPr>
      </w:pPr>
      <w:r w:rsidRPr="00EA05B3">
        <w:rPr>
          <w:lang w:val="fr-FR"/>
        </w:rPr>
        <w:t>174.</w:t>
      </w:r>
      <w:r w:rsidRPr="00EA05B3">
        <w:rPr>
          <w:lang w:val="fr-FR"/>
        </w:rPr>
        <w:tab/>
      </w:r>
      <w:r w:rsidR="00D60A11" w:rsidRPr="00EA05B3">
        <w:rPr>
          <w:lang w:val="fr-FR"/>
        </w:rPr>
        <w:t xml:space="preserve">En outre, </w:t>
      </w:r>
      <w:r w:rsidR="009379A7" w:rsidRPr="00EA05B3">
        <w:rPr>
          <w:lang w:val="fr-FR"/>
        </w:rPr>
        <w:t>l’</w:t>
      </w:r>
      <w:r w:rsidR="00D60A11" w:rsidRPr="00EA05B3">
        <w:rPr>
          <w:lang w:val="fr-FR"/>
        </w:rPr>
        <w:t xml:space="preserve">article 96 de la section 2 du chapitre 1 du titre IV (Participation et organisation du pouvoir) reconnaît toutes les formes </w:t>
      </w:r>
      <w:r w:rsidR="009379A7" w:rsidRPr="00EA05B3">
        <w:rPr>
          <w:lang w:val="fr-FR"/>
        </w:rPr>
        <w:t>d’</w:t>
      </w:r>
      <w:r w:rsidR="00D60A11" w:rsidRPr="00EA05B3">
        <w:rPr>
          <w:lang w:val="fr-FR"/>
        </w:rPr>
        <w:t xml:space="preserve">organisation sociale comme des expressions de la souveraineté du peuple, permettant </w:t>
      </w:r>
      <w:r w:rsidR="009379A7" w:rsidRPr="00EA05B3">
        <w:rPr>
          <w:lang w:val="fr-FR"/>
        </w:rPr>
        <w:t>d’</w:t>
      </w:r>
      <w:r w:rsidR="00D60A11" w:rsidRPr="00EA05B3">
        <w:rPr>
          <w:lang w:val="fr-FR"/>
        </w:rPr>
        <w:t xml:space="preserve">entreprendre des initiatives </w:t>
      </w:r>
      <w:r w:rsidR="009379A7" w:rsidRPr="00EA05B3">
        <w:rPr>
          <w:lang w:val="fr-FR"/>
        </w:rPr>
        <w:t>d’</w:t>
      </w:r>
      <w:r w:rsidR="00D60A11" w:rsidRPr="00EA05B3">
        <w:rPr>
          <w:lang w:val="fr-FR"/>
        </w:rPr>
        <w:t xml:space="preserve">autodétermination et </w:t>
      </w:r>
      <w:r w:rsidR="009379A7" w:rsidRPr="00EA05B3">
        <w:rPr>
          <w:lang w:val="fr-FR"/>
        </w:rPr>
        <w:t>d’</w:t>
      </w:r>
      <w:r w:rsidR="00D60A11" w:rsidRPr="00EA05B3">
        <w:rPr>
          <w:lang w:val="fr-FR"/>
        </w:rPr>
        <w:t xml:space="preserve">influer sur les décisions, les politiques publiques et le contrôle social du Gouvernement à tous les niveaux, ainsi que des entités publiques et privées prestataires de services publics. </w:t>
      </w:r>
      <w:r w:rsidR="009379A7" w:rsidRPr="00EA05B3">
        <w:rPr>
          <w:lang w:val="fr-FR"/>
        </w:rPr>
        <w:t>L’</w:t>
      </w:r>
      <w:r w:rsidR="00D60A11" w:rsidRPr="00EA05B3">
        <w:rPr>
          <w:lang w:val="fr-FR"/>
        </w:rPr>
        <w:t xml:space="preserve">article 97 dispose que ces organisations peuvent établir </w:t>
      </w:r>
      <w:r w:rsidR="009379A7" w:rsidRPr="00EA05B3">
        <w:rPr>
          <w:lang w:val="fr-FR"/>
        </w:rPr>
        <w:t>d’</w:t>
      </w:r>
      <w:r w:rsidR="00D60A11" w:rsidRPr="00EA05B3">
        <w:rPr>
          <w:lang w:val="fr-FR"/>
        </w:rPr>
        <w:t xml:space="preserve">autres formes de médiation et de règlement des conflits, demander réparation, présenter des propositions et des revendications </w:t>
      </w:r>
      <w:r w:rsidR="009379A7" w:rsidRPr="00EA05B3">
        <w:rPr>
          <w:lang w:val="fr-FR"/>
        </w:rPr>
        <w:t>d’</w:t>
      </w:r>
      <w:r w:rsidR="00D60A11" w:rsidRPr="00EA05B3">
        <w:rPr>
          <w:lang w:val="fr-FR"/>
        </w:rPr>
        <w:t>ordre économique, politique, environnemental, social, culturel ou autre afin de contribuer au bien-vivre</w:t>
      </w:r>
      <w:r w:rsidR="00B36EE6" w:rsidRPr="00EA05B3">
        <w:rPr>
          <w:lang w:val="fr-FR"/>
        </w:rPr>
        <w:t>;</w:t>
      </w:r>
      <w:r w:rsidR="00D60A11" w:rsidRPr="00EA05B3">
        <w:rPr>
          <w:lang w:val="fr-FR"/>
        </w:rPr>
        <w:t xml:space="preserve"> exercer leur droit à la résistance et exiger la reconnaissance de nouveaux droits.</w:t>
      </w:r>
    </w:p>
    <w:p w:rsidR="00D60A11" w:rsidRPr="00EA05B3" w:rsidRDefault="00A926E0" w:rsidP="00F32DF1">
      <w:pPr>
        <w:pStyle w:val="SingleTxtG"/>
        <w:rPr>
          <w:lang w:val="fr-FR"/>
        </w:rPr>
      </w:pPr>
      <w:r w:rsidRPr="00EA05B3">
        <w:rPr>
          <w:lang w:val="fr-FR"/>
        </w:rPr>
        <w:t>175.</w:t>
      </w:r>
      <w:r w:rsidRPr="00EA05B3">
        <w:rPr>
          <w:lang w:val="fr-FR"/>
        </w:rPr>
        <w:tab/>
      </w:r>
      <w:r w:rsidR="009379A7" w:rsidRPr="00EA05B3">
        <w:rPr>
          <w:lang w:val="fr-FR"/>
        </w:rPr>
        <w:t>L’</w:t>
      </w:r>
      <w:r w:rsidR="00D60A11" w:rsidRPr="00EA05B3">
        <w:rPr>
          <w:lang w:val="fr-FR"/>
        </w:rPr>
        <w:t xml:space="preserve">organisation républicaine de </w:t>
      </w:r>
      <w:r w:rsidR="009379A7" w:rsidRPr="00EA05B3">
        <w:rPr>
          <w:lang w:val="fr-FR"/>
        </w:rPr>
        <w:t>l’</w:t>
      </w:r>
      <w:r w:rsidR="00D60A11" w:rsidRPr="00EA05B3">
        <w:rPr>
          <w:lang w:val="fr-FR"/>
        </w:rPr>
        <w:t xml:space="preserve">État est prévue par les titres IV (Participation et organisation du pouvoir) et V (Organisation territoriale de </w:t>
      </w:r>
      <w:r w:rsidR="009379A7" w:rsidRPr="00EA05B3">
        <w:rPr>
          <w:lang w:val="fr-FR"/>
        </w:rPr>
        <w:t>l’</w:t>
      </w:r>
      <w:r w:rsidR="00D60A11" w:rsidRPr="00EA05B3">
        <w:rPr>
          <w:lang w:val="fr-FR"/>
        </w:rPr>
        <w:t>État) de la Constitution.</w:t>
      </w:r>
      <w:r w:rsidR="000D57A5" w:rsidRPr="00EA05B3">
        <w:rPr>
          <w:lang w:val="fr-FR"/>
        </w:rPr>
        <w:t xml:space="preserve"> </w:t>
      </w:r>
      <w:r w:rsidR="00D60A11" w:rsidRPr="00EA05B3">
        <w:rPr>
          <w:lang w:val="fr-FR"/>
        </w:rPr>
        <w:t>Ces titres traitent notamment</w:t>
      </w:r>
      <w:r w:rsidR="00B36EE6" w:rsidRPr="00EA05B3">
        <w:rPr>
          <w:lang w:val="fr-FR"/>
        </w:rPr>
        <w:t>:</w:t>
      </w:r>
      <w:r w:rsidR="00D60A11" w:rsidRPr="00EA05B3">
        <w:rPr>
          <w:lang w:val="fr-FR"/>
        </w:rPr>
        <w:t xml:space="preserve"> a) de la façon dont </w:t>
      </w:r>
      <w:r w:rsidR="009379A7" w:rsidRPr="00EA05B3">
        <w:rPr>
          <w:lang w:val="fr-FR"/>
        </w:rPr>
        <w:t>s’</w:t>
      </w:r>
      <w:r w:rsidR="00D60A11" w:rsidRPr="00EA05B3">
        <w:rPr>
          <w:lang w:val="fr-FR"/>
        </w:rPr>
        <w:t>articule la participation à la vie de la société</w:t>
      </w:r>
      <w:r w:rsidR="00B36EE6" w:rsidRPr="00EA05B3">
        <w:rPr>
          <w:lang w:val="fr-FR"/>
        </w:rPr>
        <w:t>;</w:t>
      </w:r>
      <w:r w:rsidR="00D60A11" w:rsidRPr="00EA05B3">
        <w:rPr>
          <w:lang w:val="fr-FR"/>
        </w:rPr>
        <w:t xml:space="preserve"> b) des institutions de </w:t>
      </w:r>
      <w:r w:rsidR="009379A7" w:rsidRPr="00EA05B3">
        <w:rPr>
          <w:lang w:val="fr-FR"/>
        </w:rPr>
        <w:t>l’</w:t>
      </w:r>
      <w:r w:rsidR="00D60A11" w:rsidRPr="00EA05B3">
        <w:rPr>
          <w:lang w:val="fr-FR"/>
        </w:rPr>
        <w:t>État central</w:t>
      </w:r>
      <w:r w:rsidR="00B36EE6" w:rsidRPr="00EA05B3">
        <w:rPr>
          <w:lang w:val="fr-FR"/>
        </w:rPr>
        <w:t>;</w:t>
      </w:r>
      <w:r w:rsidR="00D60A11" w:rsidRPr="00EA05B3">
        <w:rPr>
          <w:lang w:val="fr-FR"/>
        </w:rPr>
        <w:t xml:space="preserve"> c) des gouvernements décentralisés autonomes et des régimes spéciaux</w:t>
      </w:r>
      <w:r w:rsidR="00B36EE6" w:rsidRPr="00EA05B3">
        <w:rPr>
          <w:lang w:val="fr-FR"/>
        </w:rPr>
        <w:t>;</w:t>
      </w:r>
      <w:r w:rsidR="00D60A11" w:rsidRPr="00EA05B3">
        <w:rPr>
          <w:lang w:val="fr-FR"/>
        </w:rPr>
        <w:t xml:space="preserve"> et d) du régime des compétences. </w:t>
      </w:r>
    </w:p>
    <w:p w:rsidR="00D60A11" w:rsidRPr="00EA05B3" w:rsidRDefault="00A926E0" w:rsidP="00F32DF1">
      <w:pPr>
        <w:pStyle w:val="SingleTxtG"/>
        <w:rPr>
          <w:lang w:val="fr-FR"/>
        </w:rPr>
      </w:pPr>
      <w:r w:rsidRPr="00EA05B3">
        <w:rPr>
          <w:lang w:val="fr-FR"/>
        </w:rPr>
        <w:t>176.</w:t>
      </w:r>
      <w:r w:rsidRPr="00EA05B3">
        <w:rPr>
          <w:lang w:val="fr-FR"/>
        </w:rPr>
        <w:tab/>
      </w:r>
      <w:r w:rsidR="00D60A11" w:rsidRPr="00EA05B3">
        <w:rPr>
          <w:lang w:val="fr-FR"/>
        </w:rPr>
        <w:t xml:space="preserve">Outre les droits de participation énoncés au titre II (Droits) de la Constitution, le titre IV (Participation et organisation du pouvoir) fournit des directives sur la façon dont </w:t>
      </w:r>
      <w:r w:rsidR="009379A7" w:rsidRPr="00EA05B3">
        <w:rPr>
          <w:lang w:val="fr-FR"/>
        </w:rPr>
        <w:t>s’</w:t>
      </w:r>
      <w:r w:rsidR="00D60A11" w:rsidRPr="00EA05B3">
        <w:rPr>
          <w:lang w:val="fr-FR"/>
        </w:rPr>
        <w:t xml:space="preserve">articule la participation à la vie de la société. </w:t>
      </w:r>
      <w:r w:rsidR="009379A7" w:rsidRPr="00EA05B3">
        <w:rPr>
          <w:lang w:val="fr-FR"/>
        </w:rPr>
        <w:t>L’</w:t>
      </w:r>
      <w:r w:rsidR="00D60A11" w:rsidRPr="00EA05B3">
        <w:rPr>
          <w:lang w:val="fr-FR"/>
        </w:rPr>
        <w:t xml:space="preserve">article 95 dispose que les citoyens, individuellement ou collectivement, participent activement à la prise de décisions, à la planification et à la gestion des affaires publiques, ainsi </w:t>
      </w:r>
      <w:r w:rsidR="009379A7" w:rsidRPr="00EA05B3">
        <w:rPr>
          <w:lang w:val="fr-FR"/>
        </w:rPr>
        <w:t>qu’</w:t>
      </w:r>
      <w:r w:rsidR="00D60A11" w:rsidRPr="00EA05B3">
        <w:rPr>
          <w:lang w:val="fr-FR"/>
        </w:rPr>
        <w:t xml:space="preserve">au contrôle populaire des institutions de </w:t>
      </w:r>
      <w:r w:rsidR="009379A7" w:rsidRPr="00EA05B3">
        <w:rPr>
          <w:lang w:val="fr-FR"/>
        </w:rPr>
        <w:t>l’</w:t>
      </w:r>
      <w:r w:rsidR="00D60A11" w:rsidRPr="00EA05B3">
        <w:rPr>
          <w:lang w:val="fr-FR"/>
        </w:rPr>
        <w:t xml:space="preserve">État et de leurs représentants dans le cadre </w:t>
      </w:r>
      <w:r w:rsidR="009379A7" w:rsidRPr="00EA05B3">
        <w:rPr>
          <w:lang w:val="fr-FR"/>
        </w:rPr>
        <w:t>d’</w:t>
      </w:r>
      <w:r w:rsidR="00D60A11" w:rsidRPr="00EA05B3">
        <w:rPr>
          <w:lang w:val="fr-FR"/>
        </w:rPr>
        <w:t>un processus permanent de construction du pouvoir citoyen.</w:t>
      </w:r>
    </w:p>
    <w:p w:rsidR="00D60A11" w:rsidRPr="00EA05B3" w:rsidRDefault="00A926E0" w:rsidP="00F32DF1">
      <w:pPr>
        <w:pStyle w:val="SingleTxtG"/>
        <w:rPr>
          <w:lang w:val="fr-FR"/>
        </w:rPr>
      </w:pPr>
      <w:r w:rsidRPr="00EA05B3">
        <w:rPr>
          <w:lang w:val="fr-FR"/>
        </w:rPr>
        <w:t>177.</w:t>
      </w:r>
      <w:r w:rsidRPr="00EA05B3">
        <w:rPr>
          <w:lang w:val="fr-FR"/>
        </w:rPr>
        <w:tab/>
      </w:r>
      <w:r w:rsidR="009379A7" w:rsidRPr="00EA05B3">
        <w:rPr>
          <w:lang w:val="fr-FR"/>
        </w:rPr>
        <w:t>L’</w:t>
      </w:r>
      <w:r w:rsidR="00D60A11" w:rsidRPr="00EA05B3">
        <w:rPr>
          <w:lang w:val="fr-FR"/>
        </w:rPr>
        <w:t xml:space="preserve">article 95 dispose aussi que la participation est fondée sur les principes </w:t>
      </w:r>
      <w:r w:rsidR="009379A7" w:rsidRPr="00EA05B3">
        <w:rPr>
          <w:lang w:val="fr-FR"/>
        </w:rPr>
        <w:t>d’</w:t>
      </w:r>
      <w:r w:rsidR="00D60A11" w:rsidRPr="00EA05B3">
        <w:rPr>
          <w:lang w:val="fr-FR"/>
        </w:rPr>
        <w:t xml:space="preserve">égalité, </w:t>
      </w:r>
      <w:r w:rsidR="009379A7" w:rsidRPr="00EA05B3">
        <w:rPr>
          <w:lang w:val="fr-FR"/>
        </w:rPr>
        <w:t>d’</w:t>
      </w:r>
      <w:r w:rsidR="00D60A11" w:rsidRPr="00EA05B3">
        <w:rPr>
          <w:lang w:val="fr-FR"/>
        </w:rPr>
        <w:t xml:space="preserve">autonomie, de dialogue, de respect de la différence, de contrôle populaire, de solidarité et </w:t>
      </w:r>
      <w:r w:rsidR="009379A7" w:rsidRPr="00EA05B3">
        <w:rPr>
          <w:lang w:val="fr-FR"/>
        </w:rPr>
        <w:t>d’</w:t>
      </w:r>
      <w:r w:rsidR="00D60A11" w:rsidRPr="00EA05B3">
        <w:rPr>
          <w:lang w:val="fr-FR"/>
        </w:rPr>
        <w:t>interculturalité</w:t>
      </w:r>
      <w:r w:rsidR="00B36EE6" w:rsidRPr="00EA05B3">
        <w:rPr>
          <w:lang w:val="fr-FR"/>
        </w:rPr>
        <w:t>;</w:t>
      </w:r>
      <w:r w:rsidR="00D60A11" w:rsidRPr="00EA05B3">
        <w:rPr>
          <w:lang w:val="fr-FR"/>
        </w:rPr>
        <w:t xml:space="preserve"> par ailleurs, la participation </w:t>
      </w:r>
      <w:r w:rsidR="009379A7" w:rsidRPr="00EA05B3">
        <w:rPr>
          <w:lang w:val="fr-FR"/>
        </w:rPr>
        <w:t>s’</w:t>
      </w:r>
      <w:r w:rsidR="00D60A11" w:rsidRPr="00EA05B3">
        <w:rPr>
          <w:lang w:val="fr-FR"/>
        </w:rPr>
        <w:t xml:space="preserve">exerce par le biais des mécanismes de la démocratie représentative, directe et communautaire. </w:t>
      </w:r>
    </w:p>
    <w:p w:rsidR="00D60A11" w:rsidRPr="00EA05B3" w:rsidRDefault="00A926E0" w:rsidP="00F32DF1">
      <w:pPr>
        <w:pStyle w:val="SingleTxtG"/>
        <w:rPr>
          <w:lang w:val="fr-FR"/>
        </w:rPr>
      </w:pPr>
      <w:r w:rsidRPr="00EA05B3">
        <w:rPr>
          <w:lang w:val="fr-FR"/>
        </w:rPr>
        <w:t>178.</w:t>
      </w:r>
      <w:r w:rsidRPr="00EA05B3">
        <w:rPr>
          <w:lang w:val="fr-FR"/>
        </w:rPr>
        <w:tab/>
      </w:r>
      <w:r w:rsidR="00D60A11" w:rsidRPr="00EA05B3">
        <w:rPr>
          <w:lang w:val="fr-FR"/>
        </w:rPr>
        <w:t xml:space="preserve">Le titre IV contient aussi des dispositions liées à </w:t>
      </w:r>
      <w:r w:rsidR="009379A7" w:rsidRPr="00EA05B3">
        <w:rPr>
          <w:lang w:val="fr-FR"/>
        </w:rPr>
        <w:t>l’</w:t>
      </w:r>
      <w:r w:rsidR="00D60A11" w:rsidRPr="00EA05B3">
        <w:rPr>
          <w:lang w:val="fr-FR"/>
        </w:rPr>
        <w:t xml:space="preserve">article premier de la Constitution relatif à </w:t>
      </w:r>
      <w:r w:rsidR="009379A7" w:rsidRPr="00EA05B3">
        <w:rPr>
          <w:lang w:val="fr-FR"/>
        </w:rPr>
        <w:t>l’</w:t>
      </w:r>
      <w:r w:rsidR="00D60A11" w:rsidRPr="00EA05B3">
        <w:rPr>
          <w:lang w:val="fr-FR"/>
        </w:rPr>
        <w:t xml:space="preserve">instauration </w:t>
      </w:r>
      <w:r w:rsidR="009379A7" w:rsidRPr="00EA05B3">
        <w:rPr>
          <w:lang w:val="fr-FR"/>
        </w:rPr>
        <w:t>d’</w:t>
      </w:r>
      <w:r w:rsidR="00D60A11" w:rsidRPr="00EA05B3">
        <w:rPr>
          <w:lang w:val="fr-FR"/>
        </w:rPr>
        <w:t xml:space="preserve">un État démocratique et portant sur la participation du public à </w:t>
      </w:r>
      <w:r w:rsidR="009379A7" w:rsidRPr="00EA05B3">
        <w:rPr>
          <w:lang w:val="fr-FR"/>
        </w:rPr>
        <w:t>l’</w:t>
      </w:r>
      <w:r w:rsidR="00D60A11" w:rsidRPr="00EA05B3">
        <w:rPr>
          <w:lang w:val="fr-FR"/>
        </w:rPr>
        <w:t xml:space="preserve">organisation de la République. </w:t>
      </w:r>
      <w:r w:rsidR="009379A7" w:rsidRPr="00EA05B3">
        <w:rPr>
          <w:lang w:val="fr-FR"/>
        </w:rPr>
        <w:t>L’</w:t>
      </w:r>
      <w:r w:rsidR="00D60A11" w:rsidRPr="00EA05B3">
        <w:rPr>
          <w:lang w:val="fr-FR"/>
        </w:rPr>
        <w:t xml:space="preserve">article 100 de la Constitution dispose </w:t>
      </w:r>
      <w:r w:rsidR="009379A7" w:rsidRPr="00EA05B3">
        <w:rPr>
          <w:lang w:val="fr-FR"/>
        </w:rPr>
        <w:t>qu’</w:t>
      </w:r>
      <w:r w:rsidR="00D60A11" w:rsidRPr="00EA05B3">
        <w:rPr>
          <w:lang w:val="fr-FR"/>
        </w:rPr>
        <w:t xml:space="preserve">à tous les niveaux, </w:t>
      </w:r>
      <w:r w:rsidR="009379A7" w:rsidRPr="00EA05B3">
        <w:rPr>
          <w:lang w:val="fr-FR"/>
        </w:rPr>
        <w:t>l’</w:t>
      </w:r>
      <w:r w:rsidR="00D60A11" w:rsidRPr="00EA05B3">
        <w:rPr>
          <w:lang w:val="fr-FR"/>
        </w:rPr>
        <w:t xml:space="preserve">État est fondé sur des principes démocratiques et que des instances de participation composées de représentants élus et de citoyens relevant de la juridiction territoriale de </w:t>
      </w:r>
      <w:r w:rsidR="009379A7" w:rsidRPr="00EA05B3">
        <w:rPr>
          <w:lang w:val="fr-FR"/>
        </w:rPr>
        <w:t>l’</w:t>
      </w:r>
      <w:r w:rsidR="00D60A11" w:rsidRPr="00EA05B3">
        <w:rPr>
          <w:lang w:val="fr-FR"/>
        </w:rPr>
        <w:t>instance concernée sont établies.</w:t>
      </w:r>
    </w:p>
    <w:p w:rsidR="00D60A11" w:rsidRPr="00EA05B3" w:rsidRDefault="00A926E0" w:rsidP="00F32DF1">
      <w:pPr>
        <w:pStyle w:val="SingleTxtG"/>
        <w:rPr>
          <w:lang w:val="fr-FR"/>
        </w:rPr>
      </w:pPr>
      <w:r w:rsidRPr="00EA05B3">
        <w:rPr>
          <w:lang w:val="fr-FR"/>
        </w:rPr>
        <w:t>179.</w:t>
      </w:r>
      <w:r w:rsidRPr="00EA05B3">
        <w:rPr>
          <w:lang w:val="fr-FR"/>
        </w:rPr>
        <w:tab/>
      </w:r>
      <w:r w:rsidR="00D60A11" w:rsidRPr="00EA05B3">
        <w:rPr>
          <w:lang w:val="fr-FR"/>
        </w:rPr>
        <w:t xml:space="preserve">Conformément à </w:t>
      </w:r>
      <w:r w:rsidR="009379A7" w:rsidRPr="00EA05B3">
        <w:rPr>
          <w:lang w:val="fr-FR"/>
        </w:rPr>
        <w:t>l’</w:t>
      </w:r>
      <w:r w:rsidR="00D60A11" w:rsidRPr="00EA05B3">
        <w:rPr>
          <w:lang w:val="fr-FR"/>
        </w:rPr>
        <w:t>article susmentionné, la participation aux instances gouvernementales a pour objet</w:t>
      </w:r>
      <w:r w:rsidR="00B36EE6" w:rsidRPr="00EA05B3">
        <w:rPr>
          <w:lang w:val="fr-FR"/>
        </w:rPr>
        <w:t>:</w:t>
      </w:r>
      <w:r w:rsidR="00D60A11" w:rsidRPr="00EA05B3">
        <w:rPr>
          <w:lang w:val="fr-FR"/>
        </w:rPr>
        <w:t xml:space="preserve"> a) </w:t>
      </w:r>
      <w:r w:rsidR="009379A7" w:rsidRPr="00EA05B3">
        <w:rPr>
          <w:lang w:val="fr-FR"/>
        </w:rPr>
        <w:t>d’</w:t>
      </w:r>
      <w:r w:rsidR="00D60A11" w:rsidRPr="00EA05B3">
        <w:rPr>
          <w:lang w:val="fr-FR"/>
        </w:rPr>
        <w:t>élaborer des politiques et des plans nationaux, locaux et sectoriels en concertation avec les gouvernements et les citoyens</w:t>
      </w:r>
      <w:r w:rsidR="00B36EE6" w:rsidRPr="00EA05B3">
        <w:rPr>
          <w:lang w:val="fr-FR"/>
        </w:rPr>
        <w:t>;</w:t>
      </w:r>
      <w:r w:rsidR="00D60A11" w:rsidRPr="00EA05B3">
        <w:rPr>
          <w:lang w:val="fr-FR"/>
        </w:rPr>
        <w:t xml:space="preserve"> b) </w:t>
      </w:r>
      <w:r w:rsidR="009379A7" w:rsidRPr="00EA05B3">
        <w:rPr>
          <w:lang w:val="fr-FR"/>
        </w:rPr>
        <w:t>d’</w:t>
      </w:r>
      <w:r w:rsidR="00D60A11" w:rsidRPr="00EA05B3">
        <w:rPr>
          <w:lang w:val="fr-FR"/>
        </w:rPr>
        <w:t>améliorer la qualité des investissements publics et de définir des programmes de développement</w:t>
      </w:r>
      <w:r w:rsidR="00B36EE6" w:rsidRPr="00EA05B3">
        <w:rPr>
          <w:lang w:val="fr-FR"/>
        </w:rPr>
        <w:t>;</w:t>
      </w:r>
      <w:r w:rsidR="00D60A11" w:rsidRPr="00EA05B3">
        <w:rPr>
          <w:lang w:val="fr-FR"/>
        </w:rPr>
        <w:t xml:space="preserve"> c)</w:t>
      </w:r>
      <w:r w:rsidR="00876266" w:rsidRPr="00EA05B3">
        <w:rPr>
          <w:lang w:val="fr-FR"/>
        </w:rPr>
        <w:t> </w:t>
      </w:r>
      <w:r w:rsidR="009379A7" w:rsidRPr="00EA05B3">
        <w:rPr>
          <w:lang w:val="fr-FR"/>
        </w:rPr>
        <w:t>d’</w:t>
      </w:r>
      <w:r w:rsidR="00D60A11" w:rsidRPr="00EA05B3">
        <w:rPr>
          <w:lang w:val="fr-FR"/>
        </w:rPr>
        <w:t>élaborer les budgets participatifs des gouvernements</w:t>
      </w:r>
      <w:r w:rsidR="00B36EE6" w:rsidRPr="00EA05B3">
        <w:rPr>
          <w:lang w:val="fr-FR"/>
        </w:rPr>
        <w:t>;</w:t>
      </w:r>
      <w:r w:rsidR="00D60A11" w:rsidRPr="00EA05B3">
        <w:rPr>
          <w:lang w:val="fr-FR"/>
        </w:rPr>
        <w:t xml:space="preserve"> d) de renforcer la démocratie par le biais de mécanismes permanents de transparence, </w:t>
      </w:r>
      <w:r w:rsidR="009379A7" w:rsidRPr="00EA05B3">
        <w:rPr>
          <w:lang w:val="fr-FR"/>
        </w:rPr>
        <w:t>d’</w:t>
      </w:r>
      <w:r w:rsidR="00D60A11" w:rsidRPr="00EA05B3">
        <w:rPr>
          <w:lang w:val="fr-FR"/>
        </w:rPr>
        <w:t>obligation redditionnelle et de contrôle</w:t>
      </w:r>
      <w:r w:rsidR="00B36EE6" w:rsidRPr="00EA05B3">
        <w:rPr>
          <w:lang w:val="fr-FR"/>
        </w:rPr>
        <w:t>;</w:t>
      </w:r>
      <w:r w:rsidR="00D60A11" w:rsidRPr="00EA05B3">
        <w:rPr>
          <w:lang w:val="fr-FR"/>
        </w:rPr>
        <w:t xml:space="preserve"> et e) de favoriser la participation des citoyens et de lancer des initiatives de communication.</w:t>
      </w:r>
    </w:p>
    <w:p w:rsidR="00D60A11" w:rsidRPr="00EA05B3" w:rsidRDefault="00A926E0" w:rsidP="00F32DF1">
      <w:pPr>
        <w:pStyle w:val="SingleTxtG"/>
        <w:rPr>
          <w:lang w:val="fr-FR"/>
        </w:rPr>
      </w:pPr>
      <w:r w:rsidRPr="00EA05B3">
        <w:rPr>
          <w:lang w:val="fr-FR"/>
        </w:rPr>
        <w:t>180.</w:t>
      </w:r>
      <w:r w:rsidRPr="00EA05B3">
        <w:rPr>
          <w:lang w:val="fr-FR"/>
        </w:rPr>
        <w:tab/>
      </w:r>
      <w:r w:rsidR="00CE0CD4" w:rsidRPr="00EA05B3">
        <w:rPr>
          <w:lang w:val="fr-FR"/>
        </w:rPr>
        <w:t>La section 4 du chapitre 1</w:t>
      </w:r>
      <w:r w:rsidR="00D60A11" w:rsidRPr="00EA05B3">
        <w:rPr>
          <w:lang w:val="fr-FR"/>
        </w:rPr>
        <w:t xml:space="preserve"> du titre IV traite de la démocratie directe et dispose, en son article 103, </w:t>
      </w:r>
      <w:r w:rsidR="009379A7" w:rsidRPr="00EA05B3">
        <w:rPr>
          <w:lang w:val="fr-FR"/>
        </w:rPr>
        <w:t>qu’</w:t>
      </w:r>
      <w:r w:rsidR="00D60A11" w:rsidRPr="00EA05B3">
        <w:rPr>
          <w:lang w:val="fr-FR"/>
        </w:rPr>
        <w:t xml:space="preserve">il est possible, par le biais de </w:t>
      </w:r>
      <w:r w:rsidR="009379A7" w:rsidRPr="00EA05B3">
        <w:rPr>
          <w:lang w:val="fr-FR"/>
        </w:rPr>
        <w:t>l’</w:t>
      </w:r>
      <w:r w:rsidR="00D60A11" w:rsidRPr="00EA05B3">
        <w:rPr>
          <w:lang w:val="fr-FR"/>
        </w:rPr>
        <w:t xml:space="preserve">initiative populaire, de soumettre à </w:t>
      </w:r>
      <w:r w:rsidR="009379A7" w:rsidRPr="00EA05B3">
        <w:rPr>
          <w:lang w:val="fr-FR"/>
        </w:rPr>
        <w:t>l’</w:t>
      </w:r>
      <w:r w:rsidR="00D60A11" w:rsidRPr="00EA05B3">
        <w:rPr>
          <w:lang w:val="fr-FR"/>
        </w:rPr>
        <w:t xml:space="preserve">organe législatif des propositions visant à adopter, à modifier ou à abroger une loi, y compris des propositions de réforme de la Constitution. Si la fonction législative refuse </w:t>
      </w:r>
      <w:r w:rsidR="009379A7" w:rsidRPr="00EA05B3">
        <w:rPr>
          <w:lang w:val="fr-FR"/>
        </w:rPr>
        <w:t>d’</w:t>
      </w:r>
      <w:r w:rsidR="00D60A11" w:rsidRPr="00EA05B3">
        <w:rPr>
          <w:lang w:val="fr-FR"/>
        </w:rPr>
        <w:t xml:space="preserve">y donner suite, le Conseil national électoral peut soumettre les propositions au vote populaire. En vertu de </w:t>
      </w:r>
      <w:r w:rsidR="009379A7" w:rsidRPr="00EA05B3">
        <w:rPr>
          <w:lang w:val="fr-FR"/>
        </w:rPr>
        <w:t>l’</w:t>
      </w:r>
      <w:r w:rsidR="00D60A11" w:rsidRPr="00EA05B3">
        <w:rPr>
          <w:lang w:val="fr-FR"/>
        </w:rPr>
        <w:t>article 104, le référendum peut également être convoqué par</w:t>
      </w:r>
      <w:r w:rsidR="00B36EE6" w:rsidRPr="00EA05B3">
        <w:rPr>
          <w:lang w:val="fr-FR"/>
        </w:rPr>
        <w:t>:</w:t>
      </w:r>
      <w:r w:rsidR="00D60A11" w:rsidRPr="00EA05B3">
        <w:rPr>
          <w:lang w:val="fr-FR"/>
        </w:rPr>
        <w:t xml:space="preserve"> </w:t>
      </w:r>
      <w:r w:rsidR="009379A7" w:rsidRPr="00EA05B3">
        <w:rPr>
          <w:lang w:val="fr-FR"/>
        </w:rPr>
        <w:t>l’</w:t>
      </w:r>
      <w:r w:rsidR="00D60A11" w:rsidRPr="00EA05B3">
        <w:rPr>
          <w:lang w:val="fr-FR"/>
        </w:rPr>
        <w:t>organisme électoral compétent, à la demande du Président de la République</w:t>
      </w:r>
      <w:r w:rsidR="000D57A5" w:rsidRPr="00EA05B3">
        <w:rPr>
          <w:lang w:val="fr-FR"/>
        </w:rPr>
        <w:t xml:space="preserve"> </w:t>
      </w:r>
      <w:r w:rsidR="00D60A11" w:rsidRPr="00EA05B3">
        <w:rPr>
          <w:lang w:val="fr-FR"/>
        </w:rPr>
        <w:t>pour toutes questions jugées opportunes</w:t>
      </w:r>
      <w:r w:rsidR="00B36EE6" w:rsidRPr="00EA05B3">
        <w:rPr>
          <w:lang w:val="fr-FR"/>
        </w:rPr>
        <w:t>;</w:t>
      </w:r>
      <w:r w:rsidR="00D60A11" w:rsidRPr="00EA05B3">
        <w:rPr>
          <w:lang w:val="fr-FR"/>
        </w:rPr>
        <w:t xml:space="preserve"> les gouvernements autonomes décentralisés pour toutes questions relevant de leur compétence</w:t>
      </w:r>
      <w:r w:rsidR="00B36EE6" w:rsidRPr="00EA05B3">
        <w:rPr>
          <w:lang w:val="fr-FR"/>
        </w:rPr>
        <w:t>;</w:t>
      </w:r>
      <w:r w:rsidR="00D60A11" w:rsidRPr="00EA05B3">
        <w:rPr>
          <w:lang w:val="fr-FR"/>
        </w:rPr>
        <w:t xml:space="preserve"> les citoyens pour toutes questions. Par ailleurs, conformément à </w:t>
      </w:r>
      <w:r w:rsidR="009379A7" w:rsidRPr="00EA05B3">
        <w:rPr>
          <w:lang w:val="fr-FR"/>
        </w:rPr>
        <w:t>l’</w:t>
      </w:r>
      <w:r w:rsidR="00D60A11" w:rsidRPr="00EA05B3">
        <w:rPr>
          <w:lang w:val="fr-FR"/>
        </w:rPr>
        <w:t>article 105, les citoyens jouissant de leurs droits politiques peuvent révoquer le mandat des autorités élues.</w:t>
      </w:r>
    </w:p>
    <w:p w:rsidR="00D60A11" w:rsidRPr="00EA05B3" w:rsidRDefault="00A926E0" w:rsidP="00F32DF1">
      <w:pPr>
        <w:pStyle w:val="SingleTxtG"/>
        <w:rPr>
          <w:lang w:val="fr-FR"/>
        </w:rPr>
      </w:pPr>
      <w:r w:rsidRPr="00EA05B3">
        <w:rPr>
          <w:lang w:val="fr-FR"/>
        </w:rPr>
        <w:t>181.</w:t>
      </w:r>
      <w:r w:rsidRPr="00EA05B3">
        <w:rPr>
          <w:lang w:val="fr-FR"/>
        </w:rPr>
        <w:tab/>
      </w:r>
      <w:r w:rsidR="00D60A11" w:rsidRPr="00EA05B3">
        <w:rPr>
          <w:lang w:val="fr-FR"/>
        </w:rPr>
        <w:t xml:space="preserve">La section 5 du chapitre 1 du titre IV de la Constitution traite des organisations politiques. </w:t>
      </w:r>
      <w:r w:rsidR="009379A7" w:rsidRPr="00EA05B3">
        <w:rPr>
          <w:lang w:val="fr-FR"/>
        </w:rPr>
        <w:t>L’</w:t>
      </w:r>
      <w:r w:rsidR="00D60A11" w:rsidRPr="00EA05B3">
        <w:rPr>
          <w:lang w:val="fr-FR"/>
        </w:rPr>
        <w:t xml:space="preserve">article 108 reconnaît les partis et les mouvements politiques comme des organisations publiques ne relevant pas de </w:t>
      </w:r>
      <w:r w:rsidR="009379A7" w:rsidRPr="00EA05B3">
        <w:rPr>
          <w:lang w:val="fr-FR"/>
        </w:rPr>
        <w:t>l’</w:t>
      </w:r>
      <w:r w:rsidR="00D60A11" w:rsidRPr="00EA05B3">
        <w:rPr>
          <w:lang w:val="fr-FR"/>
        </w:rPr>
        <w:t xml:space="preserve">État qui sont des expressions de la pluralité politique et représentent des conceptions philosophiques, politiques et idéologiques plurielles et non discriminatoires. </w:t>
      </w:r>
      <w:r w:rsidR="009379A7" w:rsidRPr="00EA05B3">
        <w:rPr>
          <w:lang w:val="fr-FR"/>
        </w:rPr>
        <w:t>L’</w:t>
      </w:r>
      <w:r w:rsidR="00D60A11" w:rsidRPr="00EA05B3">
        <w:rPr>
          <w:lang w:val="fr-FR"/>
        </w:rPr>
        <w:t xml:space="preserve">article dispose aussi que </w:t>
      </w:r>
      <w:r w:rsidR="009379A7" w:rsidRPr="00EA05B3">
        <w:rPr>
          <w:lang w:val="fr-FR"/>
        </w:rPr>
        <w:t>l’</w:t>
      </w:r>
      <w:r w:rsidR="00D60A11" w:rsidRPr="00EA05B3">
        <w:rPr>
          <w:lang w:val="fr-FR"/>
        </w:rPr>
        <w:t xml:space="preserve">organisation, la structure et le fonctionnement des partis politiques sont démocratiques et garantissent </w:t>
      </w:r>
      <w:r w:rsidR="009379A7" w:rsidRPr="00EA05B3">
        <w:rPr>
          <w:lang w:val="fr-FR"/>
        </w:rPr>
        <w:t>l’</w:t>
      </w:r>
      <w:r w:rsidR="00D60A11" w:rsidRPr="00EA05B3">
        <w:rPr>
          <w:lang w:val="fr-FR"/>
        </w:rPr>
        <w:t xml:space="preserve">alternance, la transparence et la parité des sexes </w:t>
      </w:r>
      <w:r w:rsidR="009379A7" w:rsidRPr="00EA05B3">
        <w:rPr>
          <w:lang w:val="fr-FR"/>
        </w:rPr>
        <w:t>s’</w:t>
      </w:r>
      <w:r w:rsidR="00D60A11" w:rsidRPr="00EA05B3">
        <w:rPr>
          <w:lang w:val="fr-FR"/>
        </w:rPr>
        <w:t xml:space="preserve">agissant de leurs conseils </w:t>
      </w:r>
      <w:r w:rsidR="009379A7" w:rsidRPr="00EA05B3">
        <w:rPr>
          <w:lang w:val="fr-FR"/>
        </w:rPr>
        <w:t>d’</w:t>
      </w:r>
      <w:r w:rsidR="00D60A11" w:rsidRPr="00EA05B3">
        <w:rPr>
          <w:lang w:val="fr-FR"/>
        </w:rPr>
        <w:t xml:space="preserve">administration. Par ailleurs, </w:t>
      </w:r>
      <w:r w:rsidR="009379A7" w:rsidRPr="00EA05B3">
        <w:rPr>
          <w:lang w:val="fr-FR"/>
        </w:rPr>
        <w:t>l’</w:t>
      </w:r>
      <w:r w:rsidR="00D60A11" w:rsidRPr="00EA05B3">
        <w:rPr>
          <w:lang w:val="fr-FR"/>
        </w:rPr>
        <w:t xml:space="preserve">article 109 dispose que les partis sont constitués au niveau national alors que des mouvements politiques peuvent être constitués dans le cadre </w:t>
      </w:r>
      <w:r w:rsidR="009379A7" w:rsidRPr="00EA05B3">
        <w:rPr>
          <w:lang w:val="fr-FR"/>
        </w:rPr>
        <w:t>d’</w:t>
      </w:r>
      <w:r w:rsidR="00D60A11" w:rsidRPr="00EA05B3">
        <w:rPr>
          <w:lang w:val="fr-FR"/>
        </w:rPr>
        <w:t xml:space="preserve">une circonscription, y compris à </w:t>
      </w:r>
      <w:r w:rsidR="009379A7" w:rsidRPr="00EA05B3">
        <w:rPr>
          <w:lang w:val="fr-FR"/>
        </w:rPr>
        <w:t>l’</w:t>
      </w:r>
      <w:r w:rsidR="00D60A11" w:rsidRPr="00EA05B3">
        <w:rPr>
          <w:lang w:val="fr-FR"/>
        </w:rPr>
        <w:t xml:space="preserve">étranger. En tout état de cause, les partis et les mouvements politiques doivent clairement indiquer leurs principes idéologiques, avoir un programme de gouvernement, disposer </w:t>
      </w:r>
      <w:r w:rsidR="009379A7" w:rsidRPr="00EA05B3">
        <w:rPr>
          <w:lang w:val="fr-FR"/>
        </w:rPr>
        <w:t>d’</w:t>
      </w:r>
      <w:r w:rsidR="00D60A11" w:rsidRPr="00EA05B3">
        <w:rPr>
          <w:lang w:val="fr-FR"/>
        </w:rPr>
        <w:t xml:space="preserve">un fichier de membres dans le cas </w:t>
      </w:r>
      <w:r w:rsidR="009379A7" w:rsidRPr="00EA05B3">
        <w:rPr>
          <w:lang w:val="fr-FR"/>
        </w:rPr>
        <w:t>d’</w:t>
      </w:r>
      <w:r w:rsidR="00D60A11" w:rsidRPr="00EA05B3">
        <w:rPr>
          <w:lang w:val="fr-FR"/>
        </w:rPr>
        <w:t xml:space="preserve">un parti et </w:t>
      </w:r>
      <w:r w:rsidR="009379A7" w:rsidRPr="00EA05B3">
        <w:rPr>
          <w:lang w:val="fr-FR"/>
        </w:rPr>
        <w:t>d’</w:t>
      </w:r>
      <w:r w:rsidR="00D60A11" w:rsidRPr="00EA05B3">
        <w:rPr>
          <w:lang w:val="fr-FR"/>
        </w:rPr>
        <w:t xml:space="preserve">adhérents dans le cas </w:t>
      </w:r>
      <w:r w:rsidR="009379A7" w:rsidRPr="00EA05B3">
        <w:rPr>
          <w:lang w:val="fr-FR"/>
        </w:rPr>
        <w:t>d’</w:t>
      </w:r>
      <w:r w:rsidR="00D60A11" w:rsidRPr="00EA05B3">
        <w:rPr>
          <w:lang w:val="fr-FR"/>
        </w:rPr>
        <w:t xml:space="preserve">un mouvement. Enfin les articles 110 et 111 disposent que les partis et les mouvements sont financés par les contributions de leurs membres ou de leurs adhérents et, </w:t>
      </w:r>
      <w:r w:rsidR="009379A7" w:rsidRPr="00EA05B3">
        <w:rPr>
          <w:lang w:val="fr-FR"/>
        </w:rPr>
        <w:t>s’</w:t>
      </w:r>
      <w:r w:rsidR="00D60A11" w:rsidRPr="00EA05B3">
        <w:rPr>
          <w:lang w:val="fr-FR"/>
        </w:rPr>
        <w:t xml:space="preserve">ils satisfont aux prescriptions en la matière, par des fonds de </w:t>
      </w:r>
      <w:r w:rsidR="009379A7" w:rsidRPr="00EA05B3">
        <w:rPr>
          <w:lang w:val="fr-FR"/>
        </w:rPr>
        <w:t>l’</w:t>
      </w:r>
      <w:r w:rsidR="00D60A11" w:rsidRPr="00EA05B3">
        <w:rPr>
          <w:lang w:val="fr-FR"/>
        </w:rPr>
        <w:t xml:space="preserve">État qui font </w:t>
      </w:r>
      <w:r w:rsidR="009379A7" w:rsidRPr="00EA05B3">
        <w:rPr>
          <w:lang w:val="fr-FR"/>
        </w:rPr>
        <w:t>l’</w:t>
      </w:r>
      <w:r w:rsidR="00D60A11" w:rsidRPr="00EA05B3">
        <w:rPr>
          <w:lang w:val="fr-FR"/>
        </w:rPr>
        <w:t xml:space="preserve">objet </w:t>
      </w:r>
      <w:r w:rsidR="009379A7" w:rsidRPr="00EA05B3">
        <w:rPr>
          <w:lang w:val="fr-FR"/>
        </w:rPr>
        <w:t>d’</w:t>
      </w:r>
      <w:r w:rsidR="00D60A11" w:rsidRPr="00EA05B3">
        <w:rPr>
          <w:lang w:val="fr-FR"/>
        </w:rPr>
        <w:t xml:space="preserve">un contrôle. Le droit à </w:t>
      </w:r>
      <w:r w:rsidR="009379A7" w:rsidRPr="00EA05B3">
        <w:rPr>
          <w:lang w:val="fr-FR"/>
        </w:rPr>
        <w:t>l’</w:t>
      </w:r>
      <w:r w:rsidR="00D60A11" w:rsidRPr="00EA05B3">
        <w:rPr>
          <w:lang w:val="fr-FR"/>
        </w:rPr>
        <w:t>opposition politique est reconnu à tous les niveaux du Gouvernement.</w:t>
      </w:r>
    </w:p>
    <w:p w:rsidR="00D60A11" w:rsidRPr="00EA05B3" w:rsidRDefault="00A926E0" w:rsidP="00F32DF1">
      <w:pPr>
        <w:pStyle w:val="SingleTxtG"/>
        <w:rPr>
          <w:lang w:val="fr-FR"/>
        </w:rPr>
      </w:pPr>
      <w:r w:rsidRPr="00EA05B3">
        <w:rPr>
          <w:lang w:val="fr-FR"/>
        </w:rPr>
        <w:t>182.</w:t>
      </w:r>
      <w:r w:rsidRPr="00EA05B3">
        <w:rPr>
          <w:lang w:val="fr-FR"/>
        </w:rPr>
        <w:tab/>
      </w:r>
      <w:r w:rsidR="009379A7" w:rsidRPr="00EA05B3">
        <w:rPr>
          <w:lang w:val="fr-FR"/>
        </w:rPr>
        <w:t>S’</w:t>
      </w:r>
      <w:r w:rsidR="00D60A11" w:rsidRPr="00EA05B3">
        <w:rPr>
          <w:lang w:val="fr-FR"/>
        </w:rPr>
        <w:t xml:space="preserve">agissant de la représentation politique, </w:t>
      </w:r>
      <w:r w:rsidR="009379A7" w:rsidRPr="00EA05B3">
        <w:rPr>
          <w:lang w:val="fr-FR"/>
        </w:rPr>
        <w:t>l’</w:t>
      </w:r>
      <w:r w:rsidR="00D60A11" w:rsidRPr="00EA05B3">
        <w:rPr>
          <w:lang w:val="fr-FR"/>
        </w:rPr>
        <w:t xml:space="preserve">article 112 de la section 6 du chapitre 1 du titre IV prévoit la possibilité pour les partis et mouvements politiques de présenter des candidats aux élections. En vertu de </w:t>
      </w:r>
      <w:r w:rsidR="009379A7" w:rsidRPr="00EA05B3">
        <w:rPr>
          <w:lang w:val="fr-FR"/>
        </w:rPr>
        <w:t>l’</w:t>
      </w:r>
      <w:r w:rsidR="00D60A11" w:rsidRPr="00EA05B3">
        <w:rPr>
          <w:lang w:val="fr-FR"/>
        </w:rPr>
        <w:t xml:space="preserve">article 113, sont inéligibles les personnes qui ont conclu un contrat avec </w:t>
      </w:r>
      <w:r w:rsidR="009379A7" w:rsidRPr="00EA05B3">
        <w:rPr>
          <w:lang w:val="fr-FR"/>
        </w:rPr>
        <w:t>l’</w:t>
      </w:r>
      <w:r w:rsidR="00D60A11" w:rsidRPr="00EA05B3">
        <w:rPr>
          <w:lang w:val="fr-FR"/>
        </w:rPr>
        <w:t xml:space="preserve">État, ont été condamnées pour enrichissement illicite ou détournement de fonds publics, ont manqué à leurs obligations alimentaires ou ont exercé des responsabilités dans des gouvernements de fait, ainsi que les membres des forces armées et de la Police nationale en service actif. En outre, </w:t>
      </w:r>
      <w:r w:rsidR="009379A7" w:rsidRPr="00EA05B3">
        <w:rPr>
          <w:lang w:val="fr-FR"/>
        </w:rPr>
        <w:t>l’</w:t>
      </w:r>
      <w:r w:rsidR="00D60A11" w:rsidRPr="00EA05B3">
        <w:rPr>
          <w:lang w:val="fr-FR"/>
        </w:rPr>
        <w:t xml:space="preserve">article 114 dispose que les élus ne peuvent se représenter </w:t>
      </w:r>
      <w:r w:rsidR="009379A7" w:rsidRPr="00EA05B3">
        <w:rPr>
          <w:lang w:val="fr-FR"/>
        </w:rPr>
        <w:t>qu’</w:t>
      </w:r>
      <w:r w:rsidR="00D60A11" w:rsidRPr="00EA05B3">
        <w:rPr>
          <w:lang w:val="fr-FR"/>
        </w:rPr>
        <w:t xml:space="preserve">une seule fois à la même charge. </w:t>
      </w:r>
      <w:r w:rsidR="009379A7" w:rsidRPr="00EA05B3">
        <w:rPr>
          <w:lang w:val="fr-FR"/>
        </w:rPr>
        <w:t>L’</w:t>
      </w:r>
      <w:r w:rsidR="00D60A11" w:rsidRPr="00EA05B3">
        <w:rPr>
          <w:lang w:val="fr-FR"/>
        </w:rPr>
        <w:t xml:space="preserve">article 115 traite de la campagne électorale, qui a pour objet </w:t>
      </w:r>
      <w:r w:rsidR="009379A7" w:rsidRPr="00EA05B3">
        <w:rPr>
          <w:lang w:val="fr-FR"/>
        </w:rPr>
        <w:t>d’</w:t>
      </w:r>
      <w:r w:rsidR="00D60A11" w:rsidRPr="00EA05B3">
        <w:rPr>
          <w:lang w:val="fr-FR"/>
        </w:rPr>
        <w:t xml:space="preserve">encourager le débat et de faire connaître les projets politiques dans des conditions </w:t>
      </w:r>
      <w:r w:rsidR="009379A7" w:rsidRPr="00EA05B3">
        <w:rPr>
          <w:lang w:val="fr-FR"/>
        </w:rPr>
        <w:t>d’</w:t>
      </w:r>
      <w:r w:rsidR="00D60A11" w:rsidRPr="00EA05B3">
        <w:rPr>
          <w:lang w:val="fr-FR"/>
        </w:rPr>
        <w:t xml:space="preserve">égalité et </w:t>
      </w:r>
      <w:r w:rsidR="009379A7" w:rsidRPr="00EA05B3">
        <w:rPr>
          <w:lang w:val="fr-FR"/>
        </w:rPr>
        <w:t>d’</w:t>
      </w:r>
      <w:r w:rsidR="00D60A11" w:rsidRPr="00EA05B3">
        <w:rPr>
          <w:lang w:val="fr-FR"/>
        </w:rPr>
        <w:t xml:space="preserve">impartialité. </w:t>
      </w:r>
      <w:r w:rsidR="009379A7" w:rsidRPr="00EA05B3">
        <w:rPr>
          <w:lang w:val="fr-FR"/>
        </w:rPr>
        <w:t>L’</w:t>
      </w:r>
      <w:r w:rsidR="00D60A11" w:rsidRPr="00EA05B3">
        <w:rPr>
          <w:lang w:val="fr-FR"/>
        </w:rPr>
        <w:t xml:space="preserve">article 116 prévoit la mise en place </w:t>
      </w:r>
      <w:r w:rsidR="009379A7" w:rsidRPr="00EA05B3">
        <w:rPr>
          <w:lang w:val="fr-FR"/>
        </w:rPr>
        <w:t>d’</w:t>
      </w:r>
      <w:r w:rsidR="00D60A11" w:rsidRPr="00EA05B3">
        <w:rPr>
          <w:lang w:val="fr-FR"/>
        </w:rPr>
        <w:t xml:space="preserve">un système </w:t>
      </w:r>
      <w:r w:rsidR="009379A7" w:rsidRPr="00EA05B3">
        <w:rPr>
          <w:lang w:val="fr-FR"/>
        </w:rPr>
        <w:t>d’</w:t>
      </w:r>
      <w:r w:rsidR="00D60A11" w:rsidRPr="00EA05B3">
        <w:rPr>
          <w:lang w:val="fr-FR"/>
        </w:rPr>
        <w:t xml:space="preserve">élections pluripersonnelles fondé sur les principes de proportionnalité, </w:t>
      </w:r>
      <w:r w:rsidR="009379A7" w:rsidRPr="00EA05B3">
        <w:rPr>
          <w:lang w:val="fr-FR"/>
        </w:rPr>
        <w:t>d’</w:t>
      </w:r>
      <w:r w:rsidR="00D60A11" w:rsidRPr="00EA05B3">
        <w:rPr>
          <w:lang w:val="fr-FR"/>
        </w:rPr>
        <w:t xml:space="preserve">égalité entre les électeurs, </w:t>
      </w:r>
      <w:r w:rsidR="009379A7" w:rsidRPr="00EA05B3">
        <w:rPr>
          <w:lang w:val="fr-FR"/>
        </w:rPr>
        <w:t>d’</w:t>
      </w:r>
      <w:r w:rsidR="00D60A11" w:rsidRPr="00EA05B3">
        <w:rPr>
          <w:lang w:val="fr-FR"/>
        </w:rPr>
        <w:t xml:space="preserve">équité, de parité et </w:t>
      </w:r>
      <w:r w:rsidR="009379A7" w:rsidRPr="00EA05B3">
        <w:rPr>
          <w:lang w:val="fr-FR"/>
        </w:rPr>
        <w:t>d’</w:t>
      </w:r>
      <w:r w:rsidR="00D60A11" w:rsidRPr="00EA05B3">
        <w:rPr>
          <w:lang w:val="fr-FR"/>
        </w:rPr>
        <w:t xml:space="preserve">alternance entre hommes et femmes. Enfin, </w:t>
      </w:r>
      <w:r w:rsidR="009379A7" w:rsidRPr="00EA05B3">
        <w:rPr>
          <w:lang w:val="fr-FR"/>
        </w:rPr>
        <w:t>l’</w:t>
      </w:r>
      <w:r w:rsidR="00D60A11" w:rsidRPr="00EA05B3">
        <w:rPr>
          <w:lang w:val="fr-FR"/>
        </w:rPr>
        <w:t xml:space="preserve">article 117 interdit de modifier la loi électorale durant </w:t>
      </w:r>
      <w:r w:rsidR="009379A7" w:rsidRPr="00EA05B3">
        <w:rPr>
          <w:lang w:val="fr-FR"/>
        </w:rPr>
        <w:t>l’</w:t>
      </w:r>
      <w:r w:rsidR="00D60A11" w:rsidRPr="00EA05B3">
        <w:rPr>
          <w:lang w:val="fr-FR"/>
        </w:rPr>
        <w:t>année qui précède les élections.</w:t>
      </w:r>
    </w:p>
    <w:p w:rsidR="00D60A11" w:rsidRPr="00EA05B3" w:rsidRDefault="00A926E0" w:rsidP="00F32DF1">
      <w:pPr>
        <w:pStyle w:val="SingleTxtG"/>
        <w:rPr>
          <w:lang w:val="fr-FR"/>
        </w:rPr>
      </w:pPr>
      <w:r w:rsidRPr="00EA05B3">
        <w:rPr>
          <w:lang w:val="fr-FR"/>
        </w:rPr>
        <w:t>183.</w:t>
      </w:r>
      <w:r w:rsidRPr="00EA05B3">
        <w:rPr>
          <w:lang w:val="fr-FR"/>
        </w:rPr>
        <w:tab/>
      </w:r>
      <w:r w:rsidR="00D60A11" w:rsidRPr="00EA05B3">
        <w:rPr>
          <w:lang w:val="fr-FR"/>
        </w:rPr>
        <w:t xml:space="preserve">En ce qui concerne les institutions de </w:t>
      </w:r>
      <w:r w:rsidR="009379A7" w:rsidRPr="00EA05B3">
        <w:rPr>
          <w:lang w:val="fr-FR"/>
        </w:rPr>
        <w:t>l’</w:t>
      </w:r>
      <w:r w:rsidR="00D60A11" w:rsidRPr="00EA05B3">
        <w:rPr>
          <w:lang w:val="fr-FR"/>
        </w:rPr>
        <w:t xml:space="preserve">État, les chapitres 2 à 6 du titre IV de la Constitution traitent des cinq principales fonctions de </w:t>
      </w:r>
      <w:r w:rsidR="009379A7" w:rsidRPr="00EA05B3">
        <w:rPr>
          <w:lang w:val="fr-FR"/>
        </w:rPr>
        <w:t>l’</w:t>
      </w:r>
      <w:r w:rsidR="00D60A11" w:rsidRPr="00EA05B3">
        <w:rPr>
          <w:lang w:val="fr-FR"/>
        </w:rPr>
        <w:t xml:space="preserve">État, le chapitre 2 du titre V porte sur </w:t>
      </w:r>
      <w:r w:rsidR="009379A7" w:rsidRPr="00EA05B3">
        <w:rPr>
          <w:lang w:val="fr-FR"/>
        </w:rPr>
        <w:t>l’</w:t>
      </w:r>
      <w:r w:rsidR="00D60A11" w:rsidRPr="00EA05B3">
        <w:rPr>
          <w:lang w:val="fr-FR"/>
        </w:rPr>
        <w:t xml:space="preserve">organisation territoriale de </w:t>
      </w:r>
      <w:r w:rsidR="009379A7" w:rsidRPr="00EA05B3">
        <w:rPr>
          <w:lang w:val="fr-FR"/>
        </w:rPr>
        <w:t>l’</w:t>
      </w:r>
      <w:r w:rsidR="00D60A11" w:rsidRPr="00EA05B3">
        <w:rPr>
          <w:lang w:val="fr-FR"/>
        </w:rPr>
        <w:t xml:space="preserve">État et le chapitre 3 sur les gouvernements autonomes décentralisés. Le tableau 25 de </w:t>
      </w:r>
      <w:r w:rsidR="009379A7" w:rsidRPr="00EA05B3">
        <w:rPr>
          <w:lang w:val="fr-FR"/>
        </w:rPr>
        <w:t>l’</w:t>
      </w:r>
      <w:r w:rsidR="00D60A11" w:rsidRPr="00EA05B3">
        <w:rPr>
          <w:lang w:val="fr-FR"/>
        </w:rPr>
        <w:t xml:space="preserve">annexe présente les cinq principales fonctions de </w:t>
      </w:r>
      <w:r w:rsidR="009379A7" w:rsidRPr="00EA05B3">
        <w:rPr>
          <w:lang w:val="fr-FR"/>
        </w:rPr>
        <w:t>l’</w:t>
      </w:r>
      <w:r w:rsidR="00D60A11" w:rsidRPr="00EA05B3">
        <w:rPr>
          <w:lang w:val="fr-FR"/>
        </w:rPr>
        <w:t>État, à savoir</w:t>
      </w:r>
      <w:r w:rsidR="00B36EE6" w:rsidRPr="00EA05B3">
        <w:rPr>
          <w:lang w:val="fr-FR"/>
        </w:rPr>
        <w:t>:</w:t>
      </w:r>
      <w:r w:rsidR="00D60A11" w:rsidRPr="00EA05B3">
        <w:rPr>
          <w:lang w:val="fr-FR"/>
        </w:rPr>
        <w:t xml:space="preserve"> 1) la fonction législative</w:t>
      </w:r>
      <w:r w:rsidR="00B36EE6" w:rsidRPr="00EA05B3">
        <w:rPr>
          <w:lang w:val="fr-FR"/>
        </w:rPr>
        <w:t>;</w:t>
      </w:r>
      <w:r w:rsidR="00D60A11" w:rsidRPr="00EA05B3">
        <w:rPr>
          <w:lang w:val="fr-FR"/>
        </w:rPr>
        <w:t xml:space="preserve"> 2) la fonction exécutive</w:t>
      </w:r>
      <w:r w:rsidR="00B36EE6" w:rsidRPr="00EA05B3">
        <w:rPr>
          <w:lang w:val="fr-FR"/>
        </w:rPr>
        <w:t>;</w:t>
      </w:r>
      <w:r w:rsidR="00D60A11" w:rsidRPr="00EA05B3">
        <w:rPr>
          <w:lang w:val="fr-FR"/>
        </w:rPr>
        <w:t xml:space="preserve"> 3) la fonction judiciaire et la justice autochtone</w:t>
      </w:r>
      <w:r w:rsidR="00B36EE6" w:rsidRPr="00EA05B3">
        <w:rPr>
          <w:lang w:val="fr-FR"/>
        </w:rPr>
        <w:t>;</w:t>
      </w:r>
      <w:r w:rsidR="00D60A11" w:rsidRPr="00EA05B3">
        <w:rPr>
          <w:lang w:val="fr-FR"/>
        </w:rPr>
        <w:t xml:space="preserve"> 4) la fonction de transparence et de contrôle social</w:t>
      </w:r>
      <w:r w:rsidR="00B36EE6" w:rsidRPr="00EA05B3">
        <w:rPr>
          <w:lang w:val="fr-FR"/>
        </w:rPr>
        <w:t>;</w:t>
      </w:r>
      <w:r w:rsidR="00D60A11" w:rsidRPr="00EA05B3">
        <w:rPr>
          <w:lang w:val="fr-FR"/>
        </w:rPr>
        <w:t xml:space="preserve"> et 5) la fonction électorale.</w:t>
      </w:r>
    </w:p>
    <w:p w:rsidR="00D60A11" w:rsidRPr="00EA05B3" w:rsidRDefault="00A926E0" w:rsidP="00F32DF1">
      <w:pPr>
        <w:pStyle w:val="SingleTxtG"/>
        <w:rPr>
          <w:lang w:val="fr-FR"/>
        </w:rPr>
      </w:pPr>
      <w:r w:rsidRPr="00EA05B3">
        <w:rPr>
          <w:lang w:val="fr-FR"/>
        </w:rPr>
        <w:t>184.</w:t>
      </w:r>
      <w:r w:rsidRPr="00EA05B3">
        <w:rPr>
          <w:lang w:val="fr-FR"/>
        </w:rPr>
        <w:tab/>
      </w:r>
      <w:r w:rsidR="00D60A11" w:rsidRPr="00EA05B3">
        <w:rPr>
          <w:lang w:val="fr-FR"/>
        </w:rPr>
        <w:t xml:space="preserve">Le chapitre 2 est consacré à </w:t>
      </w:r>
      <w:r w:rsidR="009379A7" w:rsidRPr="00EA05B3">
        <w:rPr>
          <w:lang w:val="fr-FR"/>
        </w:rPr>
        <w:t>l’</w:t>
      </w:r>
      <w:r w:rsidR="00D60A11" w:rsidRPr="00EA05B3">
        <w:rPr>
          <w:lang w:val="fr-FR"/>
        </w:rPr>
        <w:t xml:space="preserve">Assemblée nationale. </w:t>
      </w:r>
      <w:r w:rsidR="009379A7" w:rsidRPr="00EA05B3">
        <w:rPr>
          <w:lang w:val="fr-FR"/>
        </w:rPr>
        <w:t>L’</w:t>
      </w:r>
      <w:r w:rsidR="00D60A11" w:rsidRPr="00EA05B3">
        <w:rPr>
          <w:lang w:val="fr-FR"/>
        </w:rPr>
        <w:t xml:space="preserve">article 119 dispose que les membres de </w:t>
      </w:r>
      <w:r w:rsidR="009379A7" w:rsidRPr="00EA05B3">
        <w:rPr>
          <w:lang w:val="fr-FR"/>
        </w:rPr>
        <w:t>l’</w:t>
      </w:r>
      <w:r w:rsidR="00D60A11" w:rsidRPr="00EA05B3">
        <w:rPr>
          <w:lang w:val="fr-FR"/>
        </w:rPr>
        <w:t xml:space="preserve">Assemblée doivent avoir la nationalité équatorienne, être majeurs et jouir de leurs droits politiques. </w:t>
      </w:r>
      <w:r w:rsidR="009379A7" w:rsidRPr="00EA05B3">
        <w:rPr>
          <w:lang w:val="fr-FR"/>
        </w:rPr>
        <w:t>L’</w:t>
      </w:r>
      <w:r w:rsidR="00D60A11" w:rsidRPr="00EA05B3">
        <w:rPr>
          <w:lang w:val="fr-FR"/>
        </w:rPr>
        <w:t xml:space="preserve">article 118 établit une assemblée monocamérale, dont le siège est à Quito et dont les membres sont élus pour un mandat de quatre ans. Elle est composée de 15 membres élus au niveau national, de deux députés par province, plus un pour chaque tranche de 200 000 habitants ou toute tranche excédant 150 000 habitants, conformément au dernier recensement de la population. En vertu de </w:t>
      </w:r>
      <w:r w:rsidR="009379A7" w:rsidRPr="00EA05B3">
        <w:rPr>
          <w:lang w:val="fr-FR"/>
        </w:rPr>
        <w:t>l’</w:t>
      </w:r>
      <w:r w:rsidR="00D60A11" w:rsidRPr="00EA05B3">
        <w:rPr>
          <w:lang w:val="fr-FR"/>
        </w:rPr>
        <w:t xml:space="preserve">article 123, </w:t>
      </w:r>
      <w:r w:rsidR="009379A7" w:rsidRPr="00EA05B3">
        <w:rPr>
          <w:lang w:val="fr-FR"/>
        </w:rPr>
        <w:t>l’</w:t>
      </w:r>
      <w:r w:rsidR="00D60A11" w:rsidRPr="00EA05B3">
        <w:rPr>
          <w:lang w:val="fr-FR"/>
        </w:rPr>
        <w:t xml:space="preserve">Assemblée se réunit, sans avoir besoin </w:t>
      </w:r>
      <w:r w:rsidR="009379A7" w:rsidRPr="00EA05B3">
        <w:rPr>
          <w:lang w:val="fr-FR"/>
        </w:rPr>
        <w:t>d’</w:t>
      </w:r>
      <w:r w:rsidR="00D60A11" w:rsidRPr="00EA05B3">
        <w:rPr>
          <w:lang w:val="fr-FR"/>
        </w:rPr>
        <w:t xml:space="preserve">être convoquée, le 14 mai de </w:t>
      </w:r>
      <w:r w:rsidR="009379A7" w:rsidRPr="00EA05B3">
        <w:rPr>
          <w:lang w:val="fr-FR"/>
        </w:rPr>
        <w:t>l’</w:t>
      </w:r>
      <w:r w:rsidR="00D60A11" w:rsidRPr="00EA05B3">
        <w:rPr>
          <w:lang w:val="fr-FR"/>
        </w:rPr>
        <w:t xml:space="preserve">année de </w:t>
      </w:r>
      <w:r w:rsidR="009379A7" w:rsidRPr="00EA05B3">
        <w:rPr>
          <w:lang w:val="fr-FR"/>
        </w:rPr>
        <w:t>l’</w:t>
      </w:r>
      <w:r w:rsidR="00D60A11" w:rsidRPr="00EA05B3">
        <w:rPr>
          <w:lang w:val="fr-FR"/>
        </w:rPr>
        <w:t xml:space="preserve">élection de ses membres, et siège en session ordinaire tout au long de </w:t>
      </w:r>
      <w:r w:rsidR="009379A7" w:rsidRPr="00EA05B3">
        <w:rPr>
          <w:lang w:val="fr-FR"/>
        </w:rPr>
        <w:t>l’</w:t>
      </w:r>
      <w:r w:rsidR="00D60A11" w:rsidRPr="00EA05B3">
        <w:rPr>
          <w:lang w:val="fr-FR"/>
        </w:rPr>
        <w:t xml:space="preserve">année, avec deux périodes </w:t>
      </w:r>
      <w:r w:rsidR="009379A7" w:rsidRPr="00EA05B3">
        <w:rPr>
          <w:lang w:val="fr-FR"/>
        </w:rPr>
        <w:t>d’</w:t>
      </w:r>
      <w:r w:rsidR="00D60A11" w:rsidRPr="00EA05B3">
        <w:rPr>
          <w:lang w:val="fr-FR"/>
        </w:rPr>
        <w:t xml:space="preserve">interruption de quinze jours par an, durant lesquelles elle peut se réunir en session extraordinaire. Les sessions de </w:t>
      </w:r>
      <w:r w:rsidR="009379A7" w:rsidRPr="00EA05B3">
        <w:rPr>
          <w:lang w:val="fr-FR"/>
        </w:rPr>
        <w:t>l’</w:t>
      </w:r>
      <w:r w:rsidR="00D60A11" w:rsidRPr="00EA05B3">
        <w:rPr>
          <w:lang w:val="fr-FR"/>
        </w:rPr>
        <w:t>Assemblée sont publiques, sauf si la loi en dispose autrement.</w:t>
      </w:r>
    </w:p>
    <w:p w:rsidR="00D60A11" w:rsidRPr="00EA05B3" w:rsidRDefault="00A926E0" w:rsidP="00F32DF1">
      <w:pPr>
        <w:pStyle w:val="SingleTxtG"/>
        <w:rPr>
          <w:lang w:val="fr-FR"/>
        </w:rPr>
      </w:pPr>
      <w:r w:rsidRPr="00EA05B3">
        <w:rPr>
          <w:lang w:val="fr-FR"/>
        </w:rPr>
        <w:t>185.</w:t>
      </w:r>
      <w:r w:rsidRPr="00EA05B3">
        <w:rPr>
          <w:lang w:val="fr-FR"/>
        </w:rPr>
        <w:tab/>
      </w:r>
      <w:r w:rsidR="009379A7" w:rsidRPr="00EA05B3">
        <w:rPr>
          <w:lang w:val="fr-FR"/>
        </w:rPr>
        <w:t>L’</w:t>
      </w:r>
      <w:r w:rsidR="00D60A11" w:rsidRPr="00EA05B3">
        <w:rPr>
          <w:lang w:val="fr-FR"/>
        </w:rPr>
        <w:t xml:space="preserve">article 120 définit les fonctions de </w:t>
      </w:r>
      <w:r w:rsidR="009379A7" w:rsidRPr="00EA05B3">
        <w:rPr>
          <w:lang w:val="fr-FR"/>
        </w:rPr>
        <w:t>l’</w:t>
      </w:r>
      <w:r w:rsidR="00D60A11" w:rsidRPr="00EA05B3">
        <w:rPr>
          <w:lang w:val="fr-FR"/>
        </w:rPr>
        <w:t>Assemblée, dont les plus importantes sont</w:t>
      </w:r>
      <w:r w:rsidR="00B36EE6" w:rsidRPr="00EA05B3">
        <w:rPr>
          <w:lang w:val="fr-FR"/>
        </w:rPr>
        <w:t>:</w:t>
      </w:r>
      <w:r w:rsidR="00D60A11" w:rsidRPr="00EA05B3">
        <w:rPr>
          <w:lang w:val="fr-FR"/>
        </w:rPr>
        <w:t xml:space="preserve"> a)</w:t>
      </w:r>
      <w:r w:rsidR="00876266" w:rsidRPr="00EA05B3">
        <w:rPr>
          <w:lang w:val="fr-FR"/>
        </w:rPr>
        <w:t> </w:t>
      </w:r>
      <w:r w:rsidR="00D60A11" w:rsidRPr="00EA05B3">
        <w:rPr>
          <w:lang w:val="fr-FR"/>
        </w:rPr>
        <w:t xml:space="preserve">faire prêter serment au Président et au </w:t>
      </w:r>
      <w:r w:rsidR="00822B6B" w:rsidRPr="00EA05B3">
        <w:rPr>
          <w:lang w:val="fr-FR"/>
        </w:rPr>
        <w:t>Vice-</w:t>
      </w:r>
      <w:r w:rsidR="009C0A83" w:rsidRPr="00EA05B3">
        <w:rPr>
          <w:lang w:val="fr-FR"/>
        </w:rPr>
        <w:t xml:space="preserve">Président </w:t>
      </w:r>
      <w:r w:rsidR="00D60A11" w:rsidRPr="00EA05B3">
        <w:rPr>
          <w:lang w:val="fr-FR"/>
        </w:rPr>
        <w:t>de la République élus par les citoyens</w:t>
      </w:r>
      <w:r w:rsidR="00B36EE6" w:rsidRPr="00EA05B3">
        <w:rPr>
          <w:lang w:val="fr-FR"/>
        </w:rPr>
        <w:t>;</w:t>
      </w:r>
      <w:r w:rsidR="00D60A11" w:rsidRPr="00EA05B3">
        <w:rPr>
          <w:lang w:val="fr-FR"/>
        </w:rPr>
        <w:t xml:space="preserve"> b) démettre le Président de la République de ses fonctions pour incapacité physique ou mentale</w:t>
      </w:r>
      <w:r w:rsidR="00B36EE6" w:rsidRPr="00EA05B3">
        <w:rPr>
          <w:lang w:val="fr-FR"/>
        </w:rPr>
        <w:t>;</w:t>
      </w:r>
      <w:r w:rsidR="00D60A11" w:rsidRPr="00EA05B3">
        <w:rPr>
          <w:lang w:val="fr-FR"/>
        </w:rPr>
        <w:t xml:space="preserve"> c) examiner les rapports annuels du Président et se prononcer à leur sujet</w:t>
      </w:r>
      <w:r w:rsidR="00B36EE6" w:rsidRPr="00EA05B3">
        <w:rPr>
          <w:lang w:val="fr-FR"/>
        </w:rPr>
        <w:t>;</w:t>
      </w:r>
      <w:r w:rsidR="00D60A11" w:rsidRPr="00EA05B3">
        <w:rPr>
          <w:lang w:val="fr-FR"/>
        </w:rPr>
        <w:t xml:space="preserve"> d) participer au processus de réforme constitutionnelle</w:t>
      </w:r>
      <w:r w:rsidR="00B36EE6" w:rsidRPr="00EA05B3">
        <w:rPr>
          <w:lang w:val="fr-FR"/>
        </w:rPr>
        <w:t>;</w:t>
      </w:r>
      <w:r w:rsidR="00D60A11" w:rsidRPr="00EA05B3">
        <w:rPr>
          <w:lang w:val="fr-FR"/>
        </w:rPr>
        <w:t xml:space="preserve"> e) voter, codifier, réviser et abroger les lois et en donner des interprétations généralement contraignantes</w:t>
      </w:r>
      <w:r w:rsidR="00B36EE6" w:rsidRPr="00EA05B3">
        <w:rPr>
          <w:lang w:val="fr-FR"/>
        </w:rPr>
        <w:t>;</w:t>
      </w:r>
      <w:r w:rsidR="00D60A11" w:rsidRPr="00EA05B3">
        <w:rPr>
          <w:lang w:val="fr-FR"/>
        </w:rPr>
        <w:t xml:space="preserve"> f) adopter, modifier ou abolir des impôts par </w:t>
      </w:r>
      <w:r w:rsidR="009379A7" w:rsidRPr="00EA05B3">
        <w:rPr>
          <w:lang w:val="fr-FR"/>
        </w:rPr>
        <w:t>l’</w:t>
      </w:r>
      <w:r w:rsidR="00D60A11" w:rsidRPr="00EA05B3">
        <w:rPr>
          <w:lang w:val="fr-FR"/>
        </w:rPr>
        <w:t xml:space="preserve">adoption </w:t>
      </w:r>
      <w:r w:rsidR="009379A7" w:rsidRPr="00EA05B3">
        <w:rPr>
          <w:lang w:val="fr-FR"/>
        </w:rPr>
        <w:t>d’</w:t>
      </w:r>
      <w:r w:rsidR="00D60A11" w:rsidRPr="00EA05B3">
        <w:rPr>
          <w:lang w:val="fr-FR"/>
        </w:rPr>
        <w:t>une loi</w:t>
      </w:r>
      <w:r w:rsidR="00B36EE6" w:rsidRPr="00EA05B3">
        <w:rPr>
          <w:lang w:val="fr-FR"/>
        </w:rPr>
        <w:t>;</w:t>
      </w:r>
      <w:r w:rsidR="00D60A11" w:rsidRPr="00EA05B3">
        <w:rPr>
          <w:lang w:val="fr-FR"/>
        </w:rPr>
        <w:t xml:space="preserve"> g) approuver ou rejeter des instruments internationaux, selon </w:t>
      </w:r>
      <w:r w:rsidR="009379A7" w:rsidRPr="00EA05B3">
        <w:rPr>
          <w:lang w:val="fr-FR"/>
        </w:rPr>
        <w:t>qu’</w:t>
      </w:r>
      <w:r w:rsidR="00D60A11" w:rsidRPr="00EA05B3">
        <w:rPr>
          <w:lang w:val="fr-FR"/>
        </w:rPr>
        <w:t>il convient</w:t>
      </w:r>
      <w:r w:rsidR="00B36EE6" w:rsidRPr="00EA05B3">
        <w:rPr>
          <w:lang w:val="fr-FR"/>
        </w:rPr>
        <w:t>;</w:t>
      </w:r>
      <w:r w:rsidR="00D60A11" w:rsidRPr="00EA05B3">
        <w:rPr>
          <w:lang w:val="fr-FR"/>
        </w:rPr>
        <w:t xml:space="preserve"> h) superviser les actes de la fonction exécutive, de la fonction électorale et de la fonction transparence et contrôle social, ainsi que ceux </w:t>
      </w:r>
      <w:r w:rsidR="009379A7" w:rsidRPr="00EA05B3">
        <w:rPr>
          <w:lang w:val="fr-FR"/>
        </w:rPr>
        <w:t>d’</w:t>
      </w:r>
      <w:r w:rsidR="00D60A11" w:rsidRPr="00EA05B3">
        <w:rPr>
          <w:lang w:val="fr-FR"/>
        </w:rPr>
        <w:t>autres organes du pouvoir</w:t>
      </w:r>
      <w:r w:rsidR="00B36EE6" w:rsidRPr="00EA05B3">
        <w:rPr>
          <w:lang w:val="fr-FR"/>
        </w:rPr>
        <w:t>;</w:t>
      </w:r>
      <w:r w:rsidR="00D60A11" w:rsidRPr="00EA05B3">
        <w:rPr>
          <w:lang w:val="fr-FR"/>
        </w:rPr>
        <w:t xml:space="preserve"> i) adopter le budget général de </w:t>
      </w:r>
      <w:r w:rsidR="009379A7" w:rsidRPr="00EA05B3">
        <w:rPr>
          <w:lang w:val="fr-FR"/>
        </w:rPr>
        <w:t>l’</w:t>
      </w:r>
      <w:r w:rsidR="00D60A11" w:rsidRPr="00EA05B3">
        <w:rPr>
          <w:lang w:val="fr-FR"/>
        </w:rPr>
        <w:t xml:space="preserve">État, fixer la limite de la dette publique et superviser </w:t>
      </w:r>
      <w:r w:rsidR="009379A7" w:rsidRPr="00EA05B3">
        <w:rPr>
          <w:lang w:val="fr-FR"/>
        </w:rPr>
        <w:t>l’</w:t>
      </w:r>
      <w:r w:rsidR="00D60A11" w:rsidRPr="00EA05B3">
        <w:rPr>
          <w:lang w:val="fr-FR"/>
        </w:rPr>
        <w:t>exécution du budget</w:t>
      </w:r>
      <w:r w:rsidR="00B36EE6" w:rsidRPr="00EA05B3">
        <w:rPr>
          <w:lang w:val="fr-FR"/>
        </w:rPr>
        <w:t>;</w:t>
      </w:r>
      <w:r w:rsidR="00D60A11" w:rsidRPr="00EA05B3">
        <w:rPr>
          <w:lang w:val="fr-FR"/>
        </w:rPr>
        <w:t xml:space="preserve"> j) accorder des amnisties pour des infractions politiques et des grâces pour des motifs humanitaires.</w:t>
      </w:r>
    </w:p>
    <w:p w:rsidR="00D60A11" w:rsidRPr="00EA05B3" w:rsidRDefault="00A926E0" w:rsidP="00F32DF1">
      <w:pPr>
        <w:pStyle w:val="SingleTxtG"/>
        <w:rPr>
          <w:lang w:val="fr-FR"/>
        </w:rPr>
      </w:pPr>
      <w:r w:rsidRPr="00EA05B3">
        <w:rPr>
          <w:lang w:val="fr-FR"/>
        </w:rPr>
        <w:t>186.</w:t>
      </w:r>
      <w:r w:rsidRPr="00EA05B3">
        <w:rPr>
          <w:lang w:val="fr-FR"/>
        </w:rPr>
        <w:tab/>
      </w:r>
      <w:r w:rsidR="00D60A11" w:rsidRPr="00EA05B3">
        <w:rPr>
          <w:lang w:val="fr-FR"/>
        </w:rPr>
        <w:t xml:space="preserve">Conformément à </w:t>
      </w:r>
      <w:r w:rsidR="009379A7" w:rsidRPr="00EA05B3">
        <w:rPr>
          <w:lang w:val="fr-FR"/>
        </w:rPr>
        <w:t>l’</w:t>
      </w:r>
      <w:r w:rsidR="00D60A11" w:rsidRPr="00EA05B3">
        <w:rPr>
          <w:lang w:val="fr-FR"/>
        </w:rPr>
        <w:t xml:space="preserve">article 122, </w:t>
      </w:r>
      <w:r w:rsidR="009379A7" w:rsidRPr="00EA05B3">
        <w:rPr>
          <w:lang w:val="fr-FR"/>
        </w:rPr>
        <w:t>l’</w:t>
      </w:r>
      <w:r w:rsidR="00D60A11" w:rsidRPr="00EA05B3">
        <w:rPr>
          <w:lang w:val="fr-FR"/>
        </w:rPr>
        <w:t xml:space="preserve">organe suprême de la fonction législative est composé du Président et de deux </w:t>
      </w:r>
      <w:r w:rsidR="00822B6B" w:rsidRPr="00EA05B3">
        <w:rPr>
          <w:lang w:val="fr-FR"/>
        </w:rPr>
        <w:t>Vice-</w:t>
      </w:r>
      <w:r w:rsidR="009C0A83" w:rsidRPr="00EA05B3">
        <w:rPr>
          <w:lang w:val="fr-FR"/>
        </w:rPr>
        <w:t xml:space="preserve">Présidents </w:t>
      </w:r>
      <w:r w:rsidR="00D60A11" w:rsidRPr="00EA05B3">
        <w:rPr>
          <w:lang w:val="fr-FR"/>
        </w:rPr>
        <w:t xml:space="preserve">de </w:t>
      </w:r>
      <w:r w:rsidR="009379A7" w:rsidRPr="00EA05B3">
        <w:rPr>
          <w:lang w:val="fr-FR"/>
        </w:rPr>
        <w:t>l’</w:t>
      </w:r>
      <w:r w:rsidR="00D60A11" w:rsidRPr="00EA05B3">
        <w:rPr>
          <w:lang w:val="fr-FR"/>
        </w:rPr>
        <w:t xml:space="preserve">Assemblée, ainsi que de quatre membres élus par </w:t>
      </w:r>
      <w:r w:rsidR="009379A7" w:rsidRPr="00EA05B3">
        <w:rPr>
          <w:lang w:val="fr-FR"/>
        </w:rPr>
        <w:t>l’</w:t>
      </w:r>
      <w:r w:rsidR="00D60A11" w:rsidRPr="00EA05B3">
        <w:rPr>
          <w:lang w:val="fr-FR"/>
        </w:rPr>
        <w:t xml:space="preserve">Assemblée en session plénière. </w:t>
      </w:r>
      <w:r w:rsidR="009379A7" w:rsidRPr="00EA05B3">
        <w:rPr>
          <w:lang w:val="fr-FR"/>
        </w:rPr>
        <w:t>L’</w:t>
      </w:r>
      <w:r w:rsidR="00D60A11" w:rsidRPr="00EA05B3">
        <w:rPr>
          <w:lang w:val="fr-FR"/>
        </w:rPr>
        <w:t xml:space="preserve">article 124 dispose </w:t>
      </w:r>
      <w:r w:rsidR="009379A7" w:rsidRPr="00EA05B3">
        <w:rPr>
          <w:lang w:val="fr-FR"/>
        </w:rPr>
        <w:t>qu’</w:t>
      </w:r>
      <w:r w:rsidR="00D60A11" w:rsidRPr="00EA05B3">
        <w:rPr>
          <w:lang w:val="fr-FR"/>
        </w:rPr>
        <w:t>un parti ou un mouvement représentant 10</w:t>
      </w:r>
      <w:r w:rsidR="009379A7" w:rsidRPr="00EA05B3">
        <w:rPr>
          <w:lang w:val="fr-FR"/>
        </w:rPr>
        <w:t> %</w:t>
      </w:r>
      <w:r w:rsidR="00D60A11" w:rsidRPr="00EA05B3">
        <w:rPr>
          <w:lang w:val="fr-FR"/>
        </w:rPr>
        <w:t xml:space="preserve"> des députés peut former un groupe parlementaire. Des partis et des mouvements peuvent également </w:t>
      </w:r>
      <w:r w:rsidR="009379A7" w:rsidRPr="00EA05B3">
        <w:rPr>
          <w:lang w:val="fr-FR"/>
        </w:rPr>
        <w:t>s’</w:t>
      </w:r>
      <w:r w:rsidR="00D60A11" w:rsidRPr="00EA05B3">
        <w:rPr>
          <w:lang w:val="fr-FR"/>
        </w:rPr>
        <w:t xml:space="preserve">unir pour former un groupe. </w:t>
      </w:r>
      <w:r w:rsidR="009379A7" w:rsidRPr="00EA05B3">
        <w:rPr>
          <w:lang w:val="fr-FR"/>
        </w:rPr>
        <w:t>L’</w:t>
      </w:r>
      <w:r w:rsidR="00D60A11" w:rsidRPr="00EA05B3">
        <w:rPr>
          <w:lang w:val="fr-FR"/>
        </w:rPr>
        <w:t xml:space="preserve">article 126 prévoit </w:t>
      </w:r>
      <w:r w:rsidR="009379A7" w:rsidRPr="00EA05B3">
        <w:rPr>
          <w:lang w:val="fr-FR"/>
        </w:rPr>
        <w:t>l’</w:t>
      </w:r>
      <w:r w:rsidR="00D60A11" w:rsidRPr="00EA05B3">
        <w:rPr>
          <w:lang w:val="fr-FR"/>
        </w:rPr>
        <w:t xml:space="preserve">établissement de commissions spécialisées permanentes pour permettre à </w:t>
      </w:r>
      <w:r w:rsidR="009379A7" w:rsidRPr="00EA05B3">
        <w:rPr>
          <w:lang w:val="fr-FR"/>
        </w:rPr>
        <w:t>l’</w:t>
      </w:r>
      <w:r w:rsidR="00D60A11" w:rsidRPr="00EA05B3">
        <w:rPr>
          <w:lang w:val="fr-FR"/>
        </w:rPr>
        <w:t xml:space="preserve">Assemblée </w:t>
      </w:r>
      <w:r w:rsidR="009379A7" w:rsidRPr="00EA05B3">
        <w:rPr>
          <w:lang w:val="fr-FR"/>
        </w:rPr>
        <w:t>d’</w:t>
      </w:r>
      <w:r w:rsidR="00D60A11" w:rsidRPr="00EA05B3">
        <w:rPr>
          <w:lang w:val="fr-FR"/>
        </w:rPr>
        <w:t>exercer ses fonctions</w:t>
      </w:r>
      <w:r w:rsidR="00B36EE6" w:rsidRPr="00EA05B3">
        <w:rPr>
          <w:lang w:val="fr-FR"/>
        </w:rPr>
        <w:t>;</w:t>
      </w:r>
      <w:r w:rsidR="00D60A11" w:rsidRPr="00EA05B3">
        <w:rPr>
          <w:lang w:val="fr-FR"/>
        </w:rPr>
        <w:t xml:space="preserve"> leur nombre, leur composition et leurs fonctions sont régis par la loi. </w:t>
      </w:r>
    </w:p>
    <w:p w:rsidR="00D60A11" w:rsidRPr="00EA05B3" w:rsidRDefault="00A926E0" w:rsidP="00F32DF1">
      <w:pPr>
        <w:pStyle w:val="SingleTxtG"/>
        <w:rPr>
          <w:lang w:val="fr-FR"/>
        </w:rPr>
      </w:pPr>
      <w:r w:rsidRPr="00EA05B3">
        <w:rPr>
          <w:lang w:val="fr-FR"/>
        </w:rPr>
        <w:t>187.</w:t>
      </w:r>
      <w:r w:rsidRPr="00EA05B3">
        <w:rPr>
          <w:lang w:val="fr-FR"/>
        </w:rPr>
        <w:tab/>
      </w:r>
      <w:r w:rsidR="009379A7" w:rsidRPr="00EA05B3">
        <w:rPr>
          <w:lang w:val="fr-FR"/>
        </w:rPr>
        <w:t>L’</w:t>
      </w:r>
      <w:r w:rsidR="00D60A11" w:rsidRPr="00EA05B3">
        <w:rPr>
          <w:lang w:val="fr-FR"/>
        </w:rPr>
        <w:t xml:space="preserve">article 127 énonce les interdictions qui </w:t>
      </w:r>
      <w:r w:rsidR="009379A7" w:rsidRPr="00EA05B3">
        <w:rPr>
          <w:lang w:val="fr-FR"/>
        </w:rPr>
        <w:t>s’</w:t>
      </w:r>
      <w:r w:rsidR="00D60A11" w:rsidRPr="00EA05B3">
        <w:rPr>
          <w:lang w:val="fr-FR"/>
        </w:rPr>
        <w:t xml:space="preserve">appliquent aux membres de </w:t>
      </w:r>
      <w:r w:rsidR="009379A7" w:rsidRPr="00EA05B3">
        <w:rPr>
          <w:lang w:val="fr-FR"/>
        </w:rPr>
        <w:t>l’</w:t>
      </w:r>
      <w:r w:rsidR="00D60A11" w:rsidRPr="00EA05B3">
        <w:rPr>
          <w:lang w:val="fr-FR"/>
        </w:rPr>
        <w:t xml:space="preserve">Assemblée dans </w:t>
      </w:r>
      <w:r w:rsidR="009379A7" w:rsidRPr="00EA05B3">
        <w:rPr>
          <w:lang w:val="fr-FR"/>
        </w:rPr>
        <w:t>l’</w:t>
      </w:r>
      <w:r w:rsidR="00D60A11" w:rsidRPr="00EA05B3">
        <w:rPr>
          <w:lang w:val="fr-FR"/>
        </w:rPr>
        <w:t xml:space="preserve">exercice de leurs fonctions. En vertu de </w:t>
      </w:r>
      <w:r w:rsidR="009379A7" w:rsidRPr="00EA05B3">
        <w:rPr>
          <w:lang w:val="fr-FR"/>
        </w:rPr>
        <w:t>l’</w:t>
      </w:r>
      <w:r w:rsidR="00D60A11" w:rsidRPr="00EA05B3">
        <w:rPr>
          <w:lang w:val="fr-FR"/>
        </w:rPr>
        <w:t xml:space="preserve">article 128, les membres de </w:t>
      </w:r>
      <w:r w:rsidR="009379A7" w:rsidRPr="00EA05B3">
        <w:rPr>
          <w:lang w:val="fr-FR"/>
        </w:rPr>
        <w:t>l’</w:t>
      </w:r>
      <w:r w:rsidR="00D60A11" w:rsidRPr="00EA05B3">
        <w:rPr>
          <w:lang w:val="fr-FR"/>
        </w:rPr>
        <w:t xml:space="preserve">Assemblée relèvent de la compétence de la Cour nationale de justice et ne peuvent être tenus civilement ou pénalement responsables des opinions </w:t>
      </w:r>
      <w:r w:rsidR="009379A7" w:rsidRPr="00EA05B3">
        <w:rPr>
          <w:lang w:val="fr-FR"/>
        </w:rPr>
        <w:t>qu’</w:t>
      </w:r>
      <w:r w:rsidR="00D60A11" w:rsidRPr="00EA05B3">
        <w:rPr>
          <w:lang w:val="fr-FR"/>
        </w:rPr>
        <w:t xml:space="preserve">ils émettent et des décisions ou des actes </w:t>
      </w:r>
      <w:r w:rsidR="009379A7" w:rsidRPr="00EA05B3">
        <w:rPr>
          <w:lang w:val="fr-FR"/>
        </w:rPr>
        <w:t>qu’</w:t>
      </w:r>
      <w:r w:rsidR="00D60A11" w:rsidRPr="00EA05B3">
        <w:rPr>
          <w:lang w:val="fr-FR"/>
        </w:rPr>
        <w:t xml:space="preserve">ils prennent dans </w:t>
      </w:r>
      <w:r w:rsidR="009379A7" w:rsidRPr="00EA05B3">
        <w:rPr>
          <w:lang w:val="fr-FR"/>
        </w:rPr>
        <w:t>l’</w:t>
      </w:r>
      <w:r w:rsidR="00D60A11" w:rsidRPr="00EA05B3">
        <w:rPr>
          <w:lang w:val="fr-FR"/>
        </w:rPr>
        <w:t xml:space="preserve">exercice de leurs fonctions au sein de </w:t>
      </w:r>
      <w:r w:rsidR="009379A7" w:rsidRPr="00EA05B3">
        <w:rPr>
          <w:lang w:val="fr-FR"/>
        </w:rPr>
        <w:t>l’</w:t>
      </w:r>
      <w:r w:rsidR="00D60A11" w:rsidRPr="00EA05B3">
        <w:rPr>
          <w:lang w:val="fr-FR"/>
        </w:rPr>
        <w:t xml:space="preserve">Assemblée nationale ou à </w:t>
      </w:r>
      <w:r w:rsidR="009379A7" w:rsidRPr="00EA05B3">
        <w:rPr>
          <w:lang w:val="fr-FR"/>
        </w:rPr>
        <w:t>l’</w:t>
      </w:r>
      <w:r w:rsidR="00D60A11" w:rsidRPr="00EA05B3">
        <w:rPr>
          <w:lang w:val="fr-FR"/>
        </w:rPr>
        <w:t xml:space="preserve">extérieur. </w:t>
      </w:r>
      <w:r w:rsidR="009379A7" w:rsidRPr="00EA05B3">
        <w:rPr>
          <w:lang w:val="fr-FR"/>
        </w:rPr>
        <w:t>L’</w:t>
      </w:r>
      <w:r w:rsidR="00D60A11" w:rsidRPr="00EA05B3">
        <w:rPr>
          <w:lang w:val="fr-FR"/>
        </w:rPr>
        <w:t xml:space="preserve">article dispose aussi que pour engager une procédure pénale contre un député, </w:t>
      </w:r>
      <w:r w:rsidR="009379A7" w:rsidRPr="00EA05B3">
        <w:rPr>
          <w:lang w:val="fr-FR"/>
        </w:rPr>
        <w:t>l’</w:t>
      </w:r>
      <w:r w:rsidR="00D60A11" w:rsidRPr="00EA05B3">
        <w:rPr>
          <w:lang w:val="fr-FR"/>
        </w:rPr>
        <w:t xml:space="preserve">autorisation préalable de </w:t>
      </w:r>
      <w:r w:rsidR="009379A7" w:rsidRPr="00EA05B3">
        <w:rPr>
          <w:lang w:val="fr-FR"/>
        </w:rPr>
        <w:t>l’</w:t>
      </w:r>
      <w:r w:rsidR="00D60A11" w:rsidRPr="00EA05B3">
        <w:rPr>
          <w:lang w:val="fr-FR"/>
        </w:rPr>
        <w:t xml:space="preserve">Assemblée nationale est requise, sauf dans les cas où les faits reprochés </w:t>
      </w:r>
      <w:r w:rsidR="009379A7" w:rsidRPr="00EA05B3">
        <w:rPr>
          <w:lang w:val="fr-FR"/>
        </w:rPr>
        <w:t>n’</w:t>
      </w:r>
      <w:r w:rsidR="00D60A11" w:rsidRPr="00EA05B3">
        <w:rPr>
          <w:lang w:val="fr-FR"/>
        </w:rPr>
        <w:t xml:space="preserve">ont pas été commis par le député dans </w:t>
      </w:r>
      <w:r w:rsidR="009379A7" w:rsidRPr="00EA05B3">
        <w:rPr>
          <w:lang w:val="fr-FR"/>
        </w:rPr>
        <w:t>l’</w:t>
      </w:r>
      <w:r w:rsidR="00D60A11" w:rsidRPr="00EA05B3">
        <w:rPr>
          <w:lang w:val="fr-FR"/>
        </w:rPr>
        <w:t>exercice de ses fonctions.</w:t>
      </w:r>
    </w:p>
    <w:p w:rsidR="00D60A11" w:rsidRPr="00EA05B3" w:rsidRDefault="00A926E0" w:rsidP="00F32DF1">
      <w:pPr>
        <w:pStyle w:val="SingleTxtG"/>
        <w:rPr>
          <w:lang w:val="fr-FR"/>
        </w:rPr>
      </w:pPr>
      <w:r w:rsidRPr="00EA05B3">
        <w:rPr>
          <w:lang w:val="fr-FR"/>
        </w:rPr>
        <w:t>188.</w:t>
      </w:r>
      <w:r w:rsidRPr="00EA05B3">
        <w:rPr>
          <w:lang w:val="fr-FR"/>
        </w:rPr>
        <w:tab/>
      </w:r>
      <w:r w:rsidR="009379A7" w:rsidRPr="00EA05B3">
        <w:rPr>
          <w:lang w:val="fr-FR"/>
        </w:rPr>
        <w:t>L’</w:t>
      </w:r>
      <w:r w:rsidR="00D60A11" w:rsidRPr="00EA05B3">
        <w:rPr>
          <w:lang w:val="fr-FR"/>
        </w:rPr>
        <w:t xml:space="preserve">article 129 dispose que </w:t>
      </w:r>
      <w:r w:rsidR="009379A7" w:rsidRPr="00EA05B3">
        <w:rPr>
          <w:lang w:val="fr-FR"/>
        </w:rPr>
        <w:t>l’</w:t>
      </w:r>
      <w:r w:rsidR="00D60A11" w:rsidRPr="00EA05B3">
        <w:rPr>
          <w:lang w:val="fr-FR"/>
        </w:rPr>
        <w:t xml:space="preserve">Assemblée nationale peut intenter une action en justice contre le Président ou le </w:t>
      </w:r>
      <w:r w:rsidR="00822B6B" w:rsidRPr="00EA05B3">
        <w:rPr>
          <w:lang w:val="fr-FR"/>
        </w:rPr>
        <w:t>Vice-</w:t>
      </w:r>
      <w:r w:rsidR="00ED2C90" w:rsidRPr="00EA05B3">
        <w:rPr>
          <w:lang w:val="fr-FR"/>
        </w:rPr>
        <w:t xml:space="preserve">Président </w:t>
      </w:r>
      <w:r w:rsidR="00D60A11" w:rsidRPr="00EA05B3">
        <w:rPr>
          <w:lang w:val="fr-FR"/>
        </w:rPr>
        <w:t xml:space="preserve">de la République, mais seulement dans des affaires </w:t>
      </w:r>
      <w:r w:rsidR="009379A7" w:rsidRPr="00EA05B3">
        <w:rPr>
          <w:lang w:val="fr-FR"/>
        </w:rPr>
        <w:t>d’</w:t>
      </w:r>
      <w:r w:rsidR="00D60A11" w:rsidRPr="00EA05B3">
        <w:rPr>
          <w:lang w:val="fr-FR"/>
        </w:rPr>
        <w:t xml:space="preserve">atteinte à la sûreté de </w:t>
      </w:r>
      <w:r w:rsidR="009379A7" w:rsidRPr="00EA05B3">
        <w:rPr>
          <w:lang w:val="fr-FR"/>
        </w:rPr>
        <w:t>l’</w:t>
      </w:r>
      <w:r w:rsidR="00D60A11" w:rsidRPr="00EA05B3">
        <w:rPr>
          <w:lang w:val="fr-FR"/>
        </w:rPr>
        <w:t xml:space="preserve">État, concussion, corruption, détournement de fonds publics, enrichissement illégal ou de génocide, torture, disparition forcée, enlèvement ou homicide pour des motifs politiques ou </w:t>
      </w:r>
      <w:r w:rsidR="009379A7" w:rsidRPr="00EA05B3">
        <w:rPr>
          <w:lang w:val="fr-FR"/>
        </w:rPr>
        <w:t>d’</w:t>
      </w:r>
      <w:r w:rsidR="00D60A11" w:rsidRPr="00EA05B3">
        <w:rPr>
          <w:lang w:val="fr-FR"/>
        </w:rPr>
        <w:t xml:space="preserve">opinion. </w:t>
      </w:r>
      <w:r w:rsidR="009379A7" w:rsidRPr="00EA05B3">
        <w:rPr>
          <w:lang w:val="fr-FR"/>
        </w:rPr>
        <w:t>L’</w:t>
      </w:r>
      <w:r w:rsidR="00D60A11" w:rsidRPr="00EA05B3">
        <w:rPr>
          <w:lang w:val="fr-FR"/>
        </w:rPr>
        <w:t xml:space="preserve">article 130 prévoit la possibilité pour </w:t>
      </w:r>
      <w:r w:rsidR="009379A7" w:rsidRPr="00EA05B3">
        <w:rPr>
          <w:lang w:val="fr-FR"/>
        </w:rPr>
        <w:t>l’</w:t>
      </w:r>
      <w:r w:rsidR="00D60A11" w:rsidRPr="00EA05B3">
        <w:rPr>
          <w:lang w:val="fr-FR"/>
        </w:rPr>
        <w:t xml:space="preserve">Assemblée de destituer le Président de ses fonctions </w:t>
      </w:r>
      <w:r w:rsidR="009379A7" w:rsidRPr="00EA05B3">
        <w:rPr>
          <w:lang w:val="fr-FR"/>
        </w:rPr>
        <w:t>s’</w:t>
      </w:r>
      <w:r w:rsidR="00D60A11" w:rsidRPr="00EA05B3">
        <w:rPr>
          <w:lang w:val="fr-FR"/>
        </w:rPr>
        <w:t xml:space="preserve">il </w:t>
      </w:r>
      <w:r w:rsidR="009379A7" w:rsidRPr="00EA05B3">
        <w:rPr>
          <w:lang w:val="fr-FR"/>
        </w:rPr>
        <w:t>s’</w:t>
      </w:r>
      <w:r w:rsidR="00D60A11" w:rsidRPr="00EA05B3">
        <w:rPr>
          <w:lang w:val="fr-FR"/>
        </w:rPr>
        <w:t>est arrogé des pouvoirs que la Constitution ne lui confère pas, après avis de la Cour constitutionnelle, ou en cas de grave crise politique et de troubles internes.</w:t>
      </w:r>
    </w:p>
    <w:p w:rsidR="00D60A11" w:rsidRPr="00EA05B3" w:rsidRDefault="00A926E0" w:rsidP="00F32DF1">
      <w:pPr>
        <w:pStyle w:val="SingleTxtG"/>
        <w:rPr>
          <w:lang w:val="fr-FR"/>
        </w:rPr>
      </w:pPr>
      <w:r w:rsidRPr="00EA05B3">
        <w:rPr>
          <w:lang w:val="fr-FR"/>
        </w:rPr>
        <w:t>189.</w:t>
      </w:r>
      <w:r w:rsidRPr="00EA05B3">
        <w:rPr>
          <w:lang w:val="fr-FR"/>
        </w:rPr>
        <w:tab/>
      </w:r>
      <w:r w:rsidR="009379A7" w:rsidRPr="00EA05B3">
        <w:rPr>
          <w:lang w:val="fr-FR"/>
        </w:rPr>
        <w:t>S’</w:t>
      </w:r>
      <w:r w:rsidR="00D60A11" w:rsidRPr="00EA05B3">
        <w:rPr>
          <w:lang w:val="fr-FR"/>
        </w:rPr>
        <w:t xml:space="preserve">agissant de la procédure législative, </w:t>
      </w:r>
      <w:r w:rsidR="009379A7" w:rsidRPr="00EA05B3">
        <w:rPr>
          <w:lang w:val="fr-FR"/>
        </w:rPr>
        <w:t>l’</w:t>
      </w:r>
      <w:r w:rsidR="00D60A11" w:rsidRPr="00EA05B3">
        <w:rPr>
          <w:lang w:val="fr-FR"/>
        </w:rPr>
        <w:t xml:space="preserve">article 132 dispose que </w:t>
      </w:r>
      <w:r w:rsidR="009379A7" w:rsidRPr="00EA05B3">
        <w:rPr>
          <w:lang w:val="fr-FR"/>
        </w:rPr>
        <w:t>l’</w:t>
      </w:r>
      <w:r w:rsidR="00D60A11" w:rsidRPr="00EA05B3">
        <w:rPr>
          <w:lang w:val="fr-FR"/>
        </w:rPr>
        <w:t xml:space="preserve">Assemblée adopte des règles générales </w:t>
      </w:r>
      <w:r w:rsidR="009379A7" w:rsidRPr="00EA05B3">
        <w:rPr>
          <w:lang w:val="fr-FR"/>
        </w:rPr>
        <w:t>d’</w:t>
      </w:r>
      <w:r w:rsidR="00D60A11" w:rsidRPr="00EA05B3">
        <w:rPr>
          <w:lang w:val="fr-FR"/>
        </w:rPr>
        <w:t>intérêt commun en tant que lois, en particulier pour</w:t>
      </w:r>
      <w:r w:rsidR="00B36EE6" w:rsidRPr="00EA05B3">
        <w:rPr>
          <w:lang w:val="fr-FR"/>
        </w:rPr>
        <w:t>:</w:t>
      </w:r>
      <w:r w:rsidR="00D60A11" w:rsidRPr="00EA05B3">
        <w:rPr>
          <w:lang w:val="fr-FR"/>
        </w:rPr>
        <w:t xml:space="preserve"> a) réglementer </w:t>
      </w:r>
      <w:r w:rsidR="009379A7" w:rsidRPr="00EA05B3">
        <w:rPr>
          <w:lang w:val="fr-FR"/>
        </w:rPr>
        <w:t>l’</w:t>
      </w:r>
      <w:r w:rsidR="00D60A11" w:rsidRPr="00EA05B3">
        <w:rPr>
          <w:lang w:val="fr-FR"/>
        </w:rPr>
        <w:t>exercice des garanties et des droits constitutionnels</w:t>
      </w:r>
      <w:r w:rsidR="00B36EE6" w:rsidRPr="00EA05B3">
        <w:rPr>
          <w:lang w:val="fr-FR"/>
        </w:rPr>
        <w:t>;</w:t>
      </w:r>
      <w:r w:rsidR="00D60A11" w:rsidRPr="00EA05B3">
        <w:rPr>
          <w:lang w:val="fr-FR"/>
        </w:rPr>
        <w:t xml:space="preserve"> b) définir les infractions et établir les peines correspondantes</w:t>
      </w:r>
      <w:r w:rsidR="00B36EE6" w:rsidRPr="00EA05B3">
        <w:rPr>
          <w:lang w:val="fr-FR"/>
        </w:rPr>
        <w:t>;</w:t>
      </w:r>
      <w:r w:rsidR="00D60A11" w:rsidRPr="00EA05B3">
        <w:rPr>
          <w:lang w:val="fr-FR"/>
        </w:rPr>
        <w:t xml:space="preserve"> c) créer, modifier ou supprimer des impôts</w:t>
      </w:r>
      <w:r w:rsidR="00B36EE6" w:rsidRPr="00EA05B3">
        <w:rPr>
          <w:lang w:val="fr-FR"/>
        </w:rPr>
        <w:t>;</w:t>
      </w:r>
      <w:r w:rsidR="00D60A11" w:rsidRPr="00EA05B3">
        <w:rPr>
          <w:lang w:val="fr-FR"/>
        </w:rPr>
        <w:t xml:space="preserve"> d) conférer des devoirs, des responsabilités et des compétences aux gouvernements autonomes décentralisés</w:t>
      </w:r>
      <w:r w:rsidR="00B36EE6" w:rsidRPr="00EA05B3">
        <w:rPr>
          <w:lang w:val="fr-FR"/>
        </w:rPr>
        <w:t>;</w:t>
      </w:r>
      <w:r w:rsidR="00D60A11" w:rsidRPr="00EA05B3">
        <w:rPr>
          <w:lang w:val="fr-FR"/>
        </w:rPr>
        <w:t xml:space="preserve"> e) modifier la structure politique et administrative du pays, sauf au niveau des paroisses</w:t>
      </w:r>
      <w:r w:rsidR="00B36EE6" w:rsidRPr="00EA05B3">
        <w:rPr>
          <w:lang w:val="fr-FR"/>
        </w:rPr>
        <w:t>;</w:t>
      </w:r>
      <w:r w:rsidR="00D60A11" w:rsidRPr="00EA05B3">
        <w:rPr>
          <w:lang w:val="fr-FR"/>
        </w:rPr>
        <w:t xml:space="preserve"> et f) conférer aux organismes publics de contrôle et de réglementation le pouvoir </w:t>
      </w:r>
      <w:r w:rsidR="009379A7" w:rsidRPr="00EA05B3">
        <w:rPr>
          <w:lang w:val="fr-FR"/>
        </w:rPr>
        <w:t>d’</w:t>
      </w:r>
      <w:r w:rsidR="00D60A11" w:rsidRPr="00EA05B3">
        <w:rPr>
          <w:lang w:val="fr-FR"/>
        </w:rPr>
        <w:t xml:space="preserve">adopter des règles à caractère général dans les domaines relevant de leur compétence. En vertu de </w:t>
      </w:r>
      <w:r w:rsidR="009379A7" w:rsidRPr="00EA05B3">
        <w:rPr>
          <w:lang w:val="fr-FR"/>
        </w:rPr>
        <w:t>l’</w:t>
      </w:r>
      <w:r w:rsidR="00D60A11" w:rsidRPr="00EA05B3">
        <w:rPr>
          <w:lang w:val="fr-FR"/>
        </w:rPr>
        <w:t>article 133, les lois sont organiques ou ordinaires, les lois organiques étant celles qui</w:t>
      </w:r>
      <w:r w:rsidR="00B36EE6" w:rsidRPr="00EA05B3">
        <w:rPr>
          <w:lang w:val="fr-FR"/>
        </w:rPr>
        <w:t>:</w:t>
      </w:r>
      <w:r w:rsidR="00D60A11" w:rsidRPr="00EA05B3">
        <w:rPr>
          <w:lang w:val="fr-FR"/>
        </w:rPr>
        <w:t xml:space="preserve"> a) régissent </w:t>
      </w:r>
      <w:r w:rsidR="009379A7" w:rsidRPr="00EA05B3">
        <w:rPr>
          <w:lang w:val="fr-FR"/>
        </w:rPr>
        <w:t>l’</w:t>
      </w:r>
      <w:r w:rsidR="00D60A11" w:rsidRPr="00EA05B3">
        <w:rPr>
          <w:lang w:val="fr-FR"/>
        </w:rPr>
        <w:t>organisation et le fonctionnement des institutions créées en vertu de la Constitution</w:t>
      </w:r>
      <w:r w:rsidR="00B36EE6" w:rsidRPr="00EA05B3">
        <w:rPr>
          <w:lang w:val="fr-FR"/>
        </w:rPr>
        <w:t>;</w:t>
      </w:r>
      <w:r w:rsidR="00D60A11" w:rsidRPr="00EA05B3">
        <w:rPr>
          <w:lang w:val="fr-FR"/>
        </w:rPr>
        <w:t xml:space="preserve"> b) régissent </w:t>
      </w:r>
      <w:r w:rsidR="009379A7" w:rsidRPr="00EA05B3">
        <w:rPr>
          <w:lang w:val="fr-FR"/>
        </w:rPr>
        <w:t>l’</w:t>
      </w:r>
      <w:r w:rsidR="00D60A11" w:rsidRPr="00EA05B3">
        <w:rPr>
          <w:lang w:val="fr-FR"/>
        </w:rPr>
        <w:t>exercice des garanties et des droits constitutionnels</w:t>
      </w:r>
      <w:r w:rsidR="00B36EE6" w:rsidRPr="00EA05B3">
        <w:rPr>
          <w:lang w:val="fr-FR"/>
        </w:rPr>
        <w:t>;</w:t>
      </w:r>
      <w:r w:rsidR="00D60A11" w:rsidRPr="00EA05B3">
        <w:rPr>
          <w:lang w:val="fr-FR"/>
        </w:rPr>
        <w:t xml:space="preserve"> c) régissent </w:t>
      </w:r>
      <w:r w:rsidR="009379A7" w:rsidRPr="00EA05B3">
        <w:rPr>
          <w:lang w:val="fr-FR"/>
        </w:rPr>
        <w:t>l’</w:t>
      </w:r>
      <w:r w:rsidR="00D60A11" w:rsidRPr="00EA05B3">
        <w:rPr>
          <w:lang w:val="fr-FR"/>
        </w:rPr>
        <w:t>organisation, les compétences, les pouvoirs et le fonctionnement des gouvernements autonomes décentralisés</w:t>
      </w:r>
      <w:r w:rsidR="00B36EE6" w:rsidRPr="00EA05B3">
        <w:rPr>
          <w:lang w:val="fr-FR"/>
        </w:rPr>
        <w:t>;</w:t>
      </w:r>
      <w:r w:rsidR="00D60A11" w:rsidRPr="00EA05B3">
        <w:rPr>
          <w:lang w:val="fr-FR"/>
        </w:rPr>
        <w:t xml:space="preserve"> et d) ont trait au régime des partis politiques et au système électoral. Toutes les autres lois sont ordinaires et ne peuvent primer les lois organiques.</w:t>
      </w:r>
    </w:p>
    <w:p w:rsidR="00D60A11" w:rsidRPr="00EA05B3" w:rsidRDefault="00A926E0" w:rsidP="00F32DF1">
      <w:pPr>
        <w:pStyle w:val="SingleTxtG"/>
        <w:rPr>
          <w:lang w:val="fr-FR"/>
        </w:rPr>
      </w:pPr>
      <w:r w:rsidRPr="00EA05B3">
        <w:rPr>
          <w:lang w:val="fr-FR"/>
        </w:rPr>
        <w:t>190.</w:t>
      </w:r>
      <w:r w:rsidRPr="00EA05B3">
        <w:rPr>
          <w:lang w:val="fr-FR"/>
        </w:rPr>
        <w:tab/>
      </w:r>
      <w:r w:rsidR="00D60A11" w:rsidRPr="00EA05B3">
        <w:rPr>
          <w:lang w:val="fr-FR"/>
        </w:rPr>
        <w:t xml:space="preserve">En vertu de </w:t>
      </w:r>
      <w:r w:rsidR="009379A7" w:rsidRPr="00EA05B3">
        <w:rPr>
          <w:lang w:val="fr-FR"/>
        </w:rPr>
        <w:t>l’</w:t>
      </w:r>
      <w:r w:rsidR="00D60A11" w:rsidRPr="00EA05B3">
        <w:rPr>
          <w:lang w:val="fr-FR"/>
        </w:rPr>
        <w:t xml:space="preserve">article 134, </w:t>
      </w:r>
      <w:r w:rsidR="009379A7" w:rsidRPr="00EA05B3">
        <w:rPr>
          <w:lang w:val="fr-FR"/>
        </w:rPr>
        <w:t>l’</w:t>
      </w:r>
      <w:r w:rsidR="00D60A11" w:rsidRPr="00EA05B3">
        <w:rPr>
          <w:lang w:val="fr-FR"/>
        </w:rPr>
        <w:t>initiative des lois appartient</w:t>
      </w:r>
      <w:r w:rsidR="00B36EE6" w:rsidRPr="00EA05B3">
        <w:rPr>
          <w:lang w:val="fr-FR"/>
        </w:rPr>
        <w:t>:</w:t>
      </w:r>
      <w:r w:rsidR="00D60A11" w:rsidRPr="00EA05B3">
        <w:rPr>
          <w:lang w:val="fr-FR"/>
        </w:rPr>
        <w:t xml:space="preserve"> a) aux députés qui ont le soutien de 5</w:t>
      </w:r>
      <w:r w:rsidR="009379A7" w:rsidRPr="00EA05B3">
        <w:rPr>
          <w:lang w:val="fr-FR"/>
        </w:rPr>
        <w:t> %</w:t>
      </w:r>
      <w:r w:rsidR="00D60A11" w:rsidRPr="00EA05B3">
        <w:rPr>
          <w:lang w:val="fr-FR"/>
        </w:rPr>
        <w:t xml:space="preserve"> des membres de </w:t>
      </w:r>
      <w:r w:rsidR="009379A7" w:rsidRPr="00EA05B3">
        <w:rPr>
          <w:lang w:val="fr-FR"/>
        </w:rPr>
        <w:t>l’</w:t>
      </w:r>
      <w:r w:rsidR="00D60A11" w:rsidRPr="00EA05B3">
        <w:rPr>
          <w:lang w:val="fr-FR"/>
        </w:rPr>
        <w:t xml:space="preserve">Assemblée ou </w:t>
      </w:r>
      <w:r w:rsidR="009379A7" w:rsidRPr="00EA05B3">
        <w:rPr>
          <w:lang w:val="fr-FR"/>
        </w:rPr>
        <w:t>d’</w:t>
      </w:r>
      <w:r w:rsidR="00D60A11" w:rsidRPr="00EA05B3">
        <w:rPr>
          <w:lang w:val="fr-FR"/>
        </w:rPr>
        <w:t>un groupe législatif</w:t>
      </w:r>
      <w:r w:rsidR="00B36EE6" w:rsidRPr="00EA05B3">
        <w:rPr>
          <w:lang w:val="fr-FR"/>
        </w:rPr>
        <w:t>;</w:t>
      </w:r>
      <w:r w:rsidR="00D60A11" w:rsidRPr="00EA05B3">
        <w:rPr>
          <w:lang w:val="fr-FR"/>
        </w:rPr>
        <w:t xml:space="preserve"> b) au Président de la République</w:t>
      </w:r>
      <w:r w:rsidR="00B36EE6" w:rsidRPr="00EA05B3">
        <w:rPr>
          <w:lang w:val="fr-FR"/>
        </w:rPr>
        <w:t>;</w:t>
      </w:r>
      <w:r w:rsidR="00D60A11" w:rsidRPr="00EA05B3">
        <w:rPr>
          <w:lang w:val="fr-FR"/>
        </w:rPr>
        <w:t xml:space="preserve"> c) aux autres fonctions dans les domaines relevant de leurs compétences</w:t>
      </w:r>
      <w:r w:rsidR="00B36EE6" w:rsidRPr="00EA05B3">
        <w:rPr>
          <w:lang w:val="fr-FR"/>
        </w:rPr>
        <w:t>;</w:t>
      </w:r>
      <w:r w:rsidR="00D60A11" w:rsidRPr="00EA05B3">
        <w:rPr>
          <w:lang w:val="fr-FR"/>
        </w:rPr>
        <w:t xml:space="preserve"> d) à la Cour constitutionnelle, à la </w:t>
      </w:r>
      <w:r w:rsidR="00D60A11" w:rsidRPr="00EA05B3">
        <w:rPr>
          <w:i/>
          <w:lang w:val="fr-FR"/>
        </w:rPr>
        <w:t>Procuraduría General del Estado</w:t>
      </w:r>
      <w:r w:rsidR="008D00D7" w:rsidRPr="00EA05B3">
        <w:rPr>
          <w:lang w:val="fr-FR"/>
        </w:rPr>
        <w:t xml:space="preserve">, au </w:t>
      </w:r>
      <w:r w:rsidR="00D60A11" w:rsidRPr="00EA05B3">
        <w:rPr>
          <w:lang w:val="fr-FR"/>
        </w:rPr>
        <w:t xml:space="preserve">Bureau du Procureur général de </w:t>
      </w:r>
      <w:r w:rsidR="008D00D7" w:rsidRPr="00EA05B3">
        <w:rPr>
          <w:lang w:val="fr-FR"/>
        </w:rPr>
        <w:t xml:space="preserve">la </w:t>
      </w:r>
      <w:r w:rsidR="009C0A83" w:rsidRPr="00EA05B3">
        <w:rPr>
          <w:lang w:val="fr-FR"/>
        </w:rPr>
        <w:t>nation</w:t>
      </w:r>
      <w:r w:rsidR="00D60A11" w:rsidRPr="00EA05B3">
        <w:rPr>
          <w:lang w:val="fr-FR"/>
        </w:rPr>
        <w:t>, au Bureau du Défenseur du peuple et au Service de la défense publique dans les domaines relevant de leurs compétences</w:t>
      </w:r>
      <w:r w:rsidR="00B36EE6" w:rsidRPr="00EA05B3">
        <w:rPr>
          <w:lang w:val="fr-FR"/>
        </w:rPr>
        <w:t>;</w:t>
      </w:r>
      <w:r w:rsidR="00D60A11" w:rsidRPr="00EA05B3">
        <w:rPr>
          <w:lang w:val="fr-FR"/>
        </w:rPr>
        <w:t xml:space="preserve"> et e) aux citoyens exerçant leurs droits politiques, ainsi </w:t>
      </w:r>
      <w:r w:rsidR="009379A7" w:rsidRPr="00EA05B3">
        <w:rPr>
          <w:lang w:val="fr-FR"/>
        </w:rPr>
        <w:t>qu’</w:t>
      </w:r>
      <w:r w:rsidR="00D60A11" w:rsidRPr="00EA05B3">
        <w:rPr>
          <w:lang w:val="fr-FR"/>
        </w:rPr>
        <w:t>aux organisations sociales ayant le soutien de 0,25</w:t>
      </w:r>
      <w:r w:rsidR="009379A7" w:rsidRPr="00EA05B3">
        <w:rPr>
          <w:lang w:val="fr-FR"/>
        </w:rPr>
        <w:t> %</w:t>
      </w:r>
      <w:r w:rsidR="00D60A11" w:rsidRPr="00EA05B3">
        <w:rPr>
          <w:lang w:val="fr-FR"/>
        </w:rPr>
        <w:t xml:space="preserve"> des électeurs inscrits. Conformément aux articles 137 à 139, les projets de loi font </w:t>
      </w:r>
      <w:r w:rsidR="009379A7" w:rsidRPr="00EA05B3">
        <w:rPr>
          <w:lang w:val="fr-FR"/>
        </w:rPr>
        <w:t>l’</w:t>
      </w:r>
      <w:r w:rsidR="00D60A11" w:rsidRPr="00EA05B3">
        <w:rPr>
          <w:lang w:val="fr-FR"/>
        </w:rPr>
        <w:t xml:space="preserve">objet de deux débats et </w:t>
      </w:r>
      <w:r w:rsidR="009379A7" w:rsidRPr="00EA05B3">
        <w:rPr>
          <w:lang w:val="fr-FR"/>
        </w:rPr>
        <w:t>d’</w:t>
      </w:r>
      <w:r w:rsidR="00D60A11" w:rsidRPr="00EA05B3">
        <w:rPr>
          <w:lang w:val="fr-FR"/>
        </w:rPr>
        <w:t xml:space="preserve">une diffusion aussi vaste que possible pour permettre à toutes les personnes concernées </w:t>
      </w:r>
      <w:r w:rsidR="009379A7" w:rsidRPr="00EA05B3">
        <w:rPr>
          <w:lang w:val="fr-FR"/>
        </w:rPr>
        <w:t>d’</w:t>
      </w:r>
      <w:r w:rsidR="00D60A11" w:rsidRPr="00EA05B3">
        <w:rPr>
          <w:lang w:val="fr-FR"/>
        </w:rPr>
        <w:t xml:space="preserve">exprimer leurs points de vue et leurs arguments devant </w:t>
      </w:r>
      <w:r w:rsidR="009379A7" w:rsidRPr="00EA05B3">
        <w:rPr>
          <w:lang w:val="fr-FR"/>
        </w:rPr>
        <w:t>l’</w:t>
      </w:r>
      <w:r w:rsidR="00D60A11" w:rsidRPr="00EA05B3">
        <w:rPr>
          <w:lang w:val="fr-FR"/>
        </w:rPr>
        <w:t xml:space="preserve">Assemblée. Une fois adopté, le projet est transmis au Président pour signature ou veto. </w:t>
      </w:r>
      <w:r w:rsidR="009379A7" w:rsidRPr="00EA05B3">
        <w:rPr>
          <w:lang w:val="fr-FR"/>
        </w:rPr>
        <w:t>S’</w:t>
      </w:r>
      <w:r w:rsidR="00D60A11" w:rsidRPr="00EA05B3">
        <w:rPr>
          <w:lang w:val="fr-FR"/>
        </w:rPr>
        <w:t xml:space="preserve">il </w:t>
      </w:r>
      <w:r w:rsidR="009379A7" w:rsidRPr="00EA05B3">
        <w:rPr>
          <w:lang w:val="fr-FR"/>
        </w:rPr>
        <w:t>s’</w:t>
      </w:r>
      <w:r w:rsidR="00D60A11" w:rsidRPr="00EA05B3">
        <w:rPr>
          <w:lang w:val="fr-FR"/>
        </w:rPr>
        <w:t xml:space="preserve">agit </w:t>
      </w:r>
      <w:r w:rsidR="009379A7" w:rsidRPr="00EA05B3">
        <w:rPr>
          <w:lang w:val="fr-FR"/>
        </w:rPr>
        <w:t>d’</w:t>
      </w:r>
      <w:r w:rsidR="00D60A11" w:rsidRPr="00EA05B3">
        <w:rPr>
          <w:lang w:val="fr-FR"/>
        </w:rPr>
        <w:t>un veto total, le projet ne peut être réexaminé avant un an</w:t>
      </w:r>
      <w:r w:rsidR="00B36EE6" w:rsidRPr="00EA05B3">
        <w:rPr>
          <w:lang w:val="fr-FR"/>
        </w:rPr>
        <w:t>;</w:t>
      </w:r>
      <w:r w:rsidR="00D60A11" w:rsidRPr="00EA05B3">
        <w:rPr>
          <w:lang w:val="fr-FR"/>
        </w:rPr>
        <w:t xml:space="preserve"> </w:t>
      </w:r>
      <w:r w:rsidR="009379A7" w:rsidRPr="00EA05B3">
        <w:rPr>
          <w:lang w:val="fr-FR"/>
        </w:rPr>
        <w:t>s’</w:t>
      </w:r>
      <w:r w:rsidR="00D60A11" w:rsidRPr="00EA05B3">
        <w:rPr>
          <w:lang w:val="fr-FR"/>
        </w:rPr>
        <w:t xml:space="preserve">il </w:t>
      </w:r>
      <w:r w:rsidR="009379A7" w:rsidRPr="00EA05B3">
        <w:rPr>
          <w:lang w:val="fr-FR"/>
        </w:rPr>
        <w:t>s’</w:t>
      </w:r>
      <w:r w:rsidR="00D60A11" w:rsidRPr="00EA05B3">
        <w:rPr>
          <w:lang w:val="fr-FR"/>
        </w:rPr>
        <w:t xml:space="preserve">agit </w:t>
      </w:r>
      <w:r w:rsidR="009379A7" w:rsidRPr="00EA05B3">
        <w:rPr>
          <w:lang w:val="fr-FR"/>
        </w:rPr>
        <w:t>d’</w:t>
      </w:r>
      <w:r w:rsidR="00D60A11" w:rsidRPr="00EA05B3">
        <w:rPr>
          <w:lang w:val="fr-FR"/>
        </w:rPr>
        <w:t xml:space="preserve">un veto partiel, le Président soumet un autre projet à </w:t>
      </w:r>
      <w:r w:rsidR="009379A7" w:rsidRPr="00EA05B3">
        <w:rPr>
          <w:lang w:val="fr-FR"/>
        </w:rPr>
        <w:t>l’</w:t>
      </w:r>
      <w:r w:rsidR="00D60A11" w:rsidRPr="00EA05B3">
        <w:rPr>
          <w:lang w:val="fr-FR"/>
        </w:rPr>
        <w:t xml:space="preserve">Assemblée, pour approbation, ou peut ratifier le projet initial, après avis de la Cour constitutionnelle si le veto porte sur une question </w:t>
      </w:r>
      <w:r w:rsidR="009379A7" w:rsidRPr="00EA05B3">
        <w:rPr>
          <w:lang w:val="fr-FR"/>
        </w:rPr>
        <w:t>d’</w:t>
      </w:r>
      <w:r w:rsidR="00D60A11" w:rsidRPr="00EA05B3">
        <w:rPr>
          <w:lang w:val="fr-FR"/>
        </w:rPr>
        <w:t>inconstitutionnalité.</w:t>
      </w:r>
    </w:p>
    <w:p w:rsidR="00D60A11" w:rsidRPr="00EA05B3" w:rsidRDefault="00A926E0" w:rsidP="00F32DF1">
      <w:pPr>
        <w:pStyle w:val="SingleTxtG"/>
        <w:rPr>
          <w:lang w:val="fr-FR"/>
        </w:rPr>
      </w:pPr>
      <w:r w:rsidRPr="00EA05B3">
        <w:rPr>
          <w:lang w:val="fr-FR"/>
        </w:rPr>
        <w:t>191.</w:t>
      </w:r>
      <w:r w:rsidRPr="00EA05B3">
        <w:rPr>
          <w:lang w:val="fr-FR"/>
        </w:rPr>
        <w:tab/>
      </w:r>
      <w:r w:rsidR="00D60A11" w:rsidRPr="00EA05B3">
        <w:rPr>
          <w:lang w:val="fr-FR"/>
        </w:rPr>
        <w:t xml:space="preserve">Enfin, </w:t>
      </w:r>
      <w:r w:rsidR="009379A7" w:rsidRPr="00EA05B3">
        <w:rPr>
          <w:lang w:val="fr-FR"/>
        </w:rPr>
        <w:t>l’</w:t>
      </w:r>
      <w:r w:rsidR="00D60A11" w:rsidRPr="00EA05B3">
        <w:rPr>
          <w:lang w:val="fr-FR"/>
        </w:rPr>
        <w:t xml:space="preserve">article 140 prévoit la possibilité pour le Président de la République de soumettre à </w:t>
      </w:r>
      <w:r w:rsidR="009379A7" w:rsidRPr="00EA05B3">
        <w:rPr>
          <w:lang w:val="fr-FR"/>
        </w:rPr>
        <w:t>l’</w:t>
      </w:r>
      <w:r w:rsidR="00D60A11" w:rsidRPr="00EA05B3">
        <w:rPr>
          <w:lang w:val="fr-FR"/>
        </w:rPr>
        <w:t xml:space="preserve">Assemblée nationale des projets de loi </w:t>
      </w:r>
      <w:r w:rsidR="009379A7" w:rsidRPr="00EA05B3">
        <w:rPr>
          <w:lang w:val="fr-FR"/>
        </w:rPr>
        <w:t>d’</w:t>
      </w:r>
      <w:r w:rsidR="00D60A11" w:rsidRPr="00EA05B3">
        <w:rPr>
          <w:lang w:val="fr-FR"/>
        </w:rPr>
        <w:t xml:space="preserve">urgence sur des questions économiques. </w:t>
      </w:r>
      <w:r w:rsidR="009379A7" w:rsidRPr="00EA05B3">
        <w:rPr>
          <w:lang w:val="fr-FR"/>
        </w:rPr>
        <w:t>L’</w:t>
      </w:r>
      <w:r w:rsidR="00D60A11" w:rsidRPr="00EA05B3">
        <w:rPr>
          <w:lang w:val="fr-FR"/>
        </w:rPr>
        <w:t>examen de ces projets suit la procédure ordinaire, quoique en mode accéléré puis</w:t>
      </w:r>
      <w:r w:rsidR="009379A7" w:rsidRPr="00EA05B3">
        <w:rPr>
          <w:lang w:val="fr-FR"/>
        </w:rPr>
        <w:t>qu’</w:t>
      </w:r>
      <w:r w:rsidR="00D60A11" w:rsidRPr="00EA05B3">
        <w:rPr>
          <w:lang w:val="fr-FR"/>
        </w:rPr>
        <w:t>ils doivent être approuvés, modifiés ou rejetés dans un délai maximal de trente jours à compter de leur réception.</w:t>
      </w:r>
    </w:p>
    <w:p w:rsidR="00D60A11" w:rsidRPr="00EA05B3" w:rsidRDefault="00A926E0" w:rsidP="00F32DF1">
      <w:pPr>
        <w:pStyle w:val="SingleTxtG"/>
        <w:rPr>
          <w:lang w:val="fr-FR"/>
        </w:rPr>
      </w:pPr>
      <w:r w:rsidRPr="00EA05B3">
        <w:rPr>
          <w:lang w:val="fr-FR"/>
        </w:rPr>
        <w:t>192.</w:t>
      </w:r>
      <w:r w:rsidRPr="00EA05B3">
        <w:rPr>
          <w:lang w:val="fr-FR"/>
        </w:rPr>
        <w:tab/>
      </w:r>
      <w:r w:rsidR="009379A7" w:rsidRPr="00EA05B3">
        <w:rPr>
          <w:lang w:val="fr-FR"/>
        </w:rPr>
        <w:t>S’</w:t>
      </w:r>
      <w:r w:rsidR="00D60A11" w:rsidRPr="00EA05B3">
        <w:rPr>
          <w:lang w:val="fr-FR"/>
        </w:rPr>
        <w:t xml:space="preserve">agissant de la fonction exécutive, </w:t>
      </w:r>
      <w:r w:rsidR="009379A7" w:rsidRPr="00EA05B3">
        <w:rPr>
          <w:lang w:val="fr-FR"/>
        </w:rPr>
        <w:t>l’</w:t>
      </w:r>
      <w:r w:rsidR="00D60A11" w:rsidRPr="00EA05B3">
        <w:rPr>
          <w:lang w:val="fr-FR"/>
        </w:rPr>
        <w:t xml:space="preserve">article 141 du chapitre 3 dispose que le Président de la République est le chef de </w:t>
      </w:r>
      <w:r w:rsidR="009379A7" w:rsidRPr="00EA05B3">
        <w:rPr>
          <w:lang w:val="fr-FR"/>
        </w:rPr>
        <w:t>l’</w:t>
      </w:r>
      <w:r w:rsidR="00D60A11" w:rsidRPr="00EA05B3">
        <w:rPr>
          <w:lang w:val="fr-FR"/>
        </w:rPr>
        <w:t xml:space="preserve">État et du Gouvernement, et est donc responsable de </w:t>
      </w:r>
      <w:r w:rsidR="009379A7" w:rsidRPr="00EA05B3">
        <w:rPr>
          <w:lang w:val="fr-FR"/>
        </w:rPr>
        <w:t>l’</w:t>
      </w:r>
      <w:r w:rsidR="00D60A11" w:rsidRPr="00EA05B3">
        <w:rPr>
          <w:lang w:val="fr-FR"/>
        </w:rPr>
        <w:t xml:space="preserve">administration publique. La fonction exécutive est composée de la présidence de la République, de la vice-présidence de la République, des ministères </w:t>
      </w:r>
      <w:r w:rsidR="009379A7" w:rsidRPr="00EA05B3">
        <w:rPr>
          <w:lang w:val="fr-FR"/>
        </w:rPr>
        <w:t>d’</w:t>
      </w:r>
      <w:r w:rsidR="00D60A11" w:rsidRPr="00EA05B3">
        <w:rPr>
          <w:lang w:val="fr-FR"/>
        </w:rPr>
        <w:t xml:space="preserve">État et des autres organismes et institutions nécessaires pour exercer des fonctions </w:t>
      </w:r>
      <w:r w:rsidR="009379A7" w:rsidRPr="00EA05B3">
        <w:rPr>
          <w:lang w:val="fr-FR"/>
        </w:rPr>
        <w:t>d’</w:t>
      </w:r>
      <w:r w:rsidR="00D60A11" w:rsidRPr="00EA05B3">
        <w:rPr>
          <w:lang w:val="fr-FR"/>
        </w:rPr>
        <w:t xml:space="preserve">orientation, de planification, </w:t>
      </w:r>
      <w:r w:rsidR="009379A7" w:rsidRPr="00EA05B3">
        <w:rPr>
          <w:lang w:val="fr-FR"/>
        </w:rPr>
        <w:t>d’</w:t>
      </w:r>
      <w:r w:rsidR="00D60A11" w:rsidRPr="00EA05B3">
        <w:rPr>
          <w:lang w:val="fr-FR"/>
        </w:rPr>
        <w:t xml:space="preserve">exécution et </w:t>
      </w:r>
      <w:r w:rsidR="009379A7" w:rsidRPr="00EA05B3">
        <w:rPr>
          <w:lang w:val="fr-FR"/>
        </w:rPr>
        <w:t>d’</w:t>
      </w:r>
      <w:r w:rsidR="00D60A11" w:rsidRPr="00EA05B3">
        <w:rPr>
          <w:lang w:val="fr-FR"/>
        </w:rPr>
        <w:t>évaluation des politiques publiques nationales.</w:t>
      </w:r>
    </w:p>
    <w:p w:rsidR="00D60A11" w:rsidRPr="00EA05B3" w:rsidRDefault="00A926E0" w:rsidP="00F32DF1">
      <w:pPr>
        <w:pStyle w:val="SingleTxtG"/>
        <w:rPr>
          <w:lang w:val="fr-FR"/>
        </w:rPr>
      </w:pPr>
      <w:r w:rsidRPr="00EA05B3">
        <w:rPr>
          <w:lang w:val="fr-FR"/>
        </w:rPr>
        <w:t>193.</w:t>
      </w:r>
      <w:r w:rsidRPr="00EA05B3">
        <w:rPr>
          <w:lang w:val="fr-FR"/>
        </w:rPr>
        <w:tab/>
      </w:r>
      <w:r w:rsidR="00D60A11" w:rsidRPr="00EA05B3">
        <w:rPr>
          <w:lang w:val="fr-FR"/>
        </w:rPr>
        <w:t xml:space="preserve">En vertu de </w:t>
      </w:r>
      <w:r w:rsidR="009379A7" w:rsidRPr="00EA05B3">
        <w:rPr>
          <w:lang w:val="fr-FR"/>
        </w:rPr>
        <w:t>l’</w:t>
      </w:r>
      <w:r w:rsidR="00D60A11" w:rsidRPr="00EA05B3">
        <w:rPr>
          <w:lang w:val="fr-FR"/>
        </w:rPr>
        <w:t xml:space="preserve">article 144, le Président entre en fonctions dans les dix jours qui suivent </w:t>
      </w:r>
      <w:r w:rsidR="009379A7" w:rsidRPr="00EA05B3">
        <w:rPr>
          <w:lang w:val="fr-FR"/>
        </w:rPr>
        <w:t>l’</w:t>
      </w:r>
      <w:r w:rsidR="00D60A11" w:rsidRPr="00EA05B3">
        <w:rPr>
          <w:lang w:val="fr-FR"/>
        </w:rPr>
        <w:t xml:space="preserve">installation de </w:t>
      </w:r>
      <w:r w:rsidR="009379A7" w:rsidRPr="00EA05B3">
        <w:rPr>
          <w:lang w:val="fr-FR"/>
        </w:rPr>
        <w:t>l’</w:t>
      </w:r>
      <w:r w:rsidR="00D60A11" w:rsidRPr="00EA05B3">
        <w:rPr>
          <w:lang w:val="fr-FR"/>
        </w:rPr>
        <w:t xml:space="preserve">Assemblée nationale. Le Président prête serment devant </w:t>
      </w:r>
      <w:r w:rsidR="009379A7" w:rsidRPr="00EA05B3">
        <w:rPr>
          <w:lang w:val="fr-FR"/>
        </w:rPr>
        <w:t>l’</w:t>
      </w:r>
      <w:r w:rsidR="00D60A11" w:rsidRPr="00EA05B3">
        <w:rPr>
          <w:lang w:val="fr-FR"/>
        </w:rPr>
        <w:t xml:space="preserve">Assemblée pour un mandat de quatre ans, renouvelable une seule fois. </w:t>
      </w:r>
      <w:r w:rsidR="009379A7" w:rsidRPr="00EA05B3">
        <w:rPr>
          <w:lang w:val="fr-FR"/>
        </w:rPr>
        <w:t>L’</w:t>
      </w:r>
      <w:r w:rsidR="00D60A11" w:rsidRPr="00EA05B3">
        <w:rPr>
          <w:lang w:val="fr-FR"/>
        </w:rPr>
        <w:t xml:space="preserve">article 145 définit les motifs pour lesquels le Président cesse </w:t>
      </w:r>
      <w:r w:rsidR="009379A7" w:rsidRPr="00EA05B3">
        <w:rPr>
          <w:lang w:val="fr-FR"/>
        </w:rPr>
        <w:t>d’</w:t>
      </w:r>
      <w:r w:rsidR="00D60A11" w:rsidRPr="00EA05B3">
        <w:rPr>
          <w:lang w:val="fr-FR"/>
        </w:rPr>
        <w:t>exercer ses fonctions, parmi lesquels</w:t>
      </w:r>
      <w:r w:rsidR="00B36EE6" w:rsidRPr="00EA05B3">
        <w:rPr>
          <w:lang w:val="fr-FR"/>
        </w:rPr>
        <w:t>:</w:t>
      </w:r>
      <w:r w:rsidR="00D60A11" w:rsidRPr="00EA05B3">
        <w:rPr>
          <w:lang w:val="fr-FR"/>
        </w:rPr>
        <w:t xml:space="preserve"> a)</w:t>
      </w:r>
      <w:r w:rsidR="00876266" w:rsidRPr="00EA05B3">
        <w:rPr>
          <w:lang w:val="fr-FR"/>
        </w:rPr>
        <w:t> </w:t>
      </w:r>
      <w:r w:rsidR="00D60A11" w:rsidRPr="00EA05B3">
        <w:rPr>
          <w:lang w:val="fr-FR"/>
        </w:rPr>
        <w:t>fin de mandat</w:t>
      </w:r>
      <w:r w:rsidR="00B36EE6" w:rsidRPr="00EA05B3">
        <w:rPr>
          <w:lang w:val="fr-FR"/>
        </w:rPr>
        <w:t>;</w:t>
      </w:r>
      <w:r w:rsidR="00D60A11" w:rsidRPr="00EA05B3">
        <w:rPr>
          <w:lang w:val="fr-FR"/>
        </w:rPr>
        <w:t xml:space="preserve"> b) démission</w:t>
      </w:r>
      <w:r w:rsidR="00B36EE6" w:rsidRPr="00EA05B3">
        <w:rPr>
          <w:lang w:val="fr-FR"/>
        </w:rPr>
        <w:t>;</w:t>
      </w:r>
      <w:r w:rsidR="00D60A11" w:rsidRPr="00EA05B3">
        <w:rPr>
          <w:lang w:val="fr-FR"/>
        </w:rPr>
        <w:t xml:space="preserve"> c) destitution dans les conditions prévues par la Constitution</w:t>
      </w:r>
      <w:r w:rsidR="00B36EE6" w:rsidRPr="00EA05B3">
        <w:rPr>
          <w:lang w:val="fr-FR"/>
        </w:rPr>
        <w:t>;</w:t>
      </w:r>
      <w:r w:rsidR="00D60A11" w:rsidRPr="00EA05B3">
        <w:rPr>
          <w:lang w:val="fr-FR"/>
        </w:rPr>
        <w:t xml:space="preserve"> d) incapacité physique ou mentale</w:t>
      </w:r>
      <w:r w:rsidR="00B36EE6" w:rsidRPr="00EA05B3">
        <w:rPr>
          <w:lang w:val="fr-FR"/>
        </w:rPr>
        <w:t>;</w:t>
      </w:r>
      <w:r w:rsidR="00D60A11" w:rsidRPr="00EA05B3">
        <w:rPr>
          <w:lang w:val="fr-FR"/>
        </w:rPr>
        <w:t xml:space="preserve"> e) abandon de poste, lequel doit être confirmé par la Cour constitutionnelle</w:t>
      </w:r>
      <w:r w:rsidR="00B36EE6" w:rsidRPr="00EA05B3">
        <w:rPr>
          <w:lang w:val="fr-FR"/>
        </w:rPr>
        <w:t>;</w:t>
      </w:r>
      <w:r w:rsidR="00D60A11" w:rsidRPr="00EA05B3">
        <w:rPr>
          <w:lang w:val="fr-FR"/>
        </w:rPr>
        <w:t xml:space="preserve"> et f) révocation de mandat.</w:t>
      </w:r>
    </w:p>
    <w:p w:rsidR="00D60A11" w:rsidRPr="00EA05B3" w:rsidRDefault="00A926E0" w:rsidP="00F32DF1">
      <w:pPr>
        <w:pStyle w:val="SingleTxtG"/>
        <w:rPr>
          <w:lang w:val="fr-FR"/>
        </w:rPr>
      </w:pPr>
      <w:r w:rsidRPr="00EA05B3">
        <w:rPr>
          <w:lang w:val="fr-FR"/>
        </w:rPr>
        <w:t>194.</w:t>
      </w:r>
      <w:r w:rsidRPr="00EA05B3">
        <w:rPr>
          <w:lang w:val="fr-FR"/>
        </w:rPr>
        <w:tab/>
      </w:r>
      <w:r w:rsidR="009379A7" w:rsidRPr="00EA05B3">
        <w:rPr>
          <w:lang w:val="fr-FR"/>
        </w:rPr>
        <w:t>L’</w:t>
      </w:r>
      <w:r w:rsidR="00D60A11" w:rsidRPr="00EA05B3">
        <w:rPr>
          <w:lang w:val="fr-FR"/>
        </w:rPr>
        <w:t>article 147 définit les fonctions du Président, parmi lesquelles</w:t>
      </w:r>
      <w:r w:rsidR="00B36EE6" w:rsidRPr="00EA05B3">
        <w:rPr>
          <w:lang w:val="fr-FR"/>
        </w:rPr>
        <w:t>:</w:t>
      </w:r>
      <w:r w:rsidR="00D60A11" w:rsidRPr="00EA05B3">
        <w:rPr>
          <w:lang w:val="fr-FR"/>
        </w:rPr>
        <w:t xml:space="preserve"> </w:t>
      </w:r>
    </w:p>
    <w:p w:rsidR="00D60A11" w:rsidRPr="00EA05B3" w:rsidRDefault="00563B9D" w:rsidP="00460AF1">
      <w:pPr>
        <w:pStyle w:val="SingleTxtG"/>
        <w:ind w:firstLine="567"/>
        <w:rPr>
          <w:lang w:val="fr-FR"/>
        </w:rPr>
      </w:pPr>
      <w:r w:rsidRPr="00EA05B3">
        <w:rPr>
          <w:lang w:val="fr-FR"/>
        </w:rPr>
        <w:t>a</w:t>
      </w:r>
      <w:r w:rsidR="00876266" w:rsidRPr="00EA05B3">
        <w:rPr>
          <w:lang w:val="fr-FR"/>
        </w:rPr>
        <w:t>)</w:t>
      </w:r>
      <w:r w:rsidR="00876266" w:rsidRPr="00EA05B3">
        <w:rPr>
          <w:lang w:val="fr-FR"/>
        </w:rPr>
        <w:tab/>
      </w:r>
      <w:r w:rsidRPr="00EA05B3">
        <w:rPr>
          <w:lang w:val="fr-FR"/>
        </w:rPr>
        <w:t>Respecter et faire respecter la Constitution, les traités internationaux, les lois et autres textes relevant de ses domaines de compétence</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b</w:t>
      </w:r>
      <w:r w:rsidR="00876266" w:rsidRPr="00EA05B3">
        <w:rPr>
          <w:lang w:val="fr-FR"/>
        </w:rPr>
        <w:t>)</w:t>
      </w:r>
      <w:r w:rsidR="00876266" w:rsidRPr="00EA05B3">
        <w:rPr>
          <w:lang w:val="fr-FR"/>
        </w:rPr>
        <w:tab/>
      </w:r>
      <w:r w:rsidRPr="00EA05B3">
        <w:rPr>
          <w:lang w:val="fr-FR"/>
        </w:rPr>
        <w:t xml:space="preserve">Présenter, à son entrée en fonctions, les grandes lignes de la politique </w:t>
      </w:r>
      <w:r w:rsidR="009379A7" w:rsidRPr="00EA05B3">
        <w:rPr>
          <w:lang w:val="fr-FR"/>
        </w:rPr>
        <w:t>qu’</w:t>
      </w:r>
      <w:r w:rsidRPr="00EA05B3">
        <w:rPr>
          <w:lang w:val="fr-FR"/>
        </w:rPr>
        <w:t>il entend mener</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c</w:t>
      </w:r>
      <w:r w:rsidR="00876266" w:rsidRPr="00EA05B3">
        <w:rPr>
          <w:lang w:val="fr-FR"/>
        </w:rPr>
        <w:t>)</w:t>
      </w:r>
      <w:r w:rsidR="00876266" w:rsidRPr="00EA05B3">
        <w:rPr>
          <w:lang w:val="fr-FR"/>
        </w:rPr>
        <w:tab/>
      </w:r>
      <w:r w:rsidRPr="00EA05B3">
        <w:rPr>
          <w:lang w:val="fr-FR"/>
        </w:rPr>
        <w:t>Définir et diriger les politiques publiques de la fonction exécutive</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d</w:t>
      </w:r>
      <w:r w:rsidR="00876266" w:rsidRPr="00EA05B3">
        <w:rPr>
          <w:lang w:val="fr-FR"/>
        </w:rPr>
        <w:t>)</w:t>
      </w:r>
      <w:r w:rsidR="00876266" w:rsidRPr="00EA05B3">
        <w:rPr>
          <w:lang w:val="fr-FR"/>
        </w:rPr>
        <w:tab/>
      </w:r>
      <w:r w:rsidRPr="00EA05B3">
        <w:rPr>
          <w:lang w:val="fr-FR"/>
        </w:rPr>
        <w:t>Présenter au Conseil national de planification le projet de Plan national de développement, pour adoption</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e</w:t>
      </w:r>
      <w:r w:rsidR="00876266" w:rsidRPr="00EA05B3">
        <w:rPr>
          <w:lang w:val="fr-FR"/>
        </w:rPr>
        <w:t>)</w:t>
      </w:r>
      <w:r w:rsidR="00876266" w:rsidRPr="00EA05B3">
        <w:rPr>
          <w:lang w:val="fr-FR"/>
        </w:rPr>
        <w:tab/>
      </w:r>
      <w:r w:rsidRPr="00EA05B3">
        <w:rPr>
          <w:lang w:val="fr-FR"/>
        </w:rPr>
        <w:t xml:space="preserve">Diriger </w:t>
      </w:r>
      <w:r w:rsidR="009379A7" w:rsidRPr="00EA05B3">
        <w:rPr>
          <w:lang w:val="fr-FR"/>
        </w:rPr>
        <w:t>l’</w:t>
      </w:r>
      <w:r w:rsidRPr="00EA05B3">
        <w:rPr>
          <w:lang w:val="fr-FR"/>
        </w:rPr>
        <w:t xml:space="preserve">administration publique de façon décentralisée et promulguer les décrets relatifs à la composition, à </w:t>
      </w:r>
      <w:r w:rsidR="009379A7" w:rsidRPr="00EA05B3">
        <w:rPr>
          <w:lang w:val="fr-FR"/>
        </w:rPr>
        <w:t>l’</w:t>
      </w:r>
      <w:r w:rsidRPr="00EA05B3">
        <w:rPr>
          <w:lang w:val="fr-FR"/>
        </w:rPr>
        <w:t xml:space="preserve">organisation, à la réglementation et au contrôle de </w:t>
      </w:r>
      <w:r w:rsidR="009379A7" w:rsidRPr="00EA05B3">
        <w:rPr>
          <w:lang w:val="fr-FR"/>
        </w:rPr>
        <w:t>l’</w:t>
      </w:r>
      <w:r w:rsidRPr="00EA05B3">
        <w:rPr>
          <w:lang w:val="fr-FR"/>
        </w:rPr>
        <w:t>administration publique</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f</w:t>
      </w:r>
      <w:r w:rsidR="00876266" w:rsidRPr="00EA05B3">
        <w:rPr>
          <w:lang w:val="fr-FR"/>
        </w:rPr>
        <w:t>)</w:t>
      </w:r>
      <w:r w:rsidR="00876266" w:rsidRPr="00EA05B3">
        <w:rPr>
          <w:lang w:val="fr-FR"/>
        </w:rPr>
        <w:tab/>
      </w:r>
      <w:r w:rsidRPr="00EA05B3">
        <w:rPr>
          <w:lang w:val="fr-FR"/>
        </w:rPr>
        <w:t>Créer, modifier et supprimer des ministères, des entités et des instances de coordination</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g</w:t>
      </w:r>
      <w:r w:rsidR="00876266" w:rsidRPr="00EA05B3">
        <w:rPr>
          <w:lang w:val="fr-FR"/>
        </w:rPr>
        <w:t>)</w:t>
      </w:r>
      <w:r w:rsidR="00876266" w:rsidRPr="00EA05B3">
        <w:rPr>
          <w:lang w:val="fr-FR"/>
        </w:rPr>
        <w:tab/>
      </w:r>
      <w:r w:rsidRPr="00EA05B3">
        <w:rPr>
          <w:lang w:val="fr-FR"/>
        </w:rPr>
        <w:t xml:space="preserve">Présenter chaque année à </w:t>
      </w:r>
      <w:r w:rsidR="009379A7" w:rsidRPr="00EA05B3">
        <w:rPr>
          <w:lang w:val="fr-FR"/>
        </w:rPr>
        <w:t>l’</w:t>
      </w:r>
      <w:r w:rsidRPr="00EA05B3">
        <w:rPr>
          <w:lang w:val="fr-FR"/>
        </w:rPr>
        <w:t xml:space="preserve">Assemblée nationale le rapport sur la mise en œuvre du Plan national de développement et les objectifs proposés pour </w:t>
      </w:r>
      <w:r w:rsidR="009379A7" w:rsidRPr="00EA05B3">
        <w:rPr>
          <w:lang w:val="fr-FR"/>
        </w:rPr>
        <w:t>l’</w:t>
      </w:r>
      <w:r w:rsidRPr="00EA05B3">
        <w:rPr>
          <w:lang w:val="fr-FR"/>
        </w:rPr>
        <w:t>année suivante</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h</w:t>
      </w:r>
      <w:r w:rsidR="00876266" w:rsidRPr="00EA05B3">
        <w:rPr>
          <w:lang w:val="fr-FR"/>
        </w:rPr>
        <w:t>)</w:t>
      </w:r>
      <w:r w:rsidR="00876266" w:rsidRPr="00EA05B3">
        <w:rPr>
          <w:lang w:val="fr-FR"/>
        </w:rPr>
        <w:tab/>
      </w:r>
      <w:r w:rsidRPr="00EA05B3">
        <w:rPr>
          <w:lang w:val="fr-FR"/>
        </w:rPr>
        <w:t xml:space="preserve">Adresser à </w:t>
      </w:r>
      <w:r w:rsidR="009379A7" w:rsidRPr="00EA05B3">
        <w:rPr>
          <w:lang w:val="fr-FR"/>
        </w:rPr>
        <w:t>l’</w:t>
      </w:r>
      <w:r w:rsidRPr="00EA05B3">
        <w:rPr>
          <w:lang w:val="fr-FR"/>
        </w:rPr>
        <w:t xml:space="preserve">Assemblée nationale le projet de budget général de </w:t>
      </w:r>
      <w:r w:rsidR="009379A7" w:rsidRPr="00EA05B3">
        <w:rPr>
          <w:lang w:val="fr-FR"/>
        </w:rPr>
        <w:t>l’</w:t>
      </w:r>
      <w:r w:rsidRPr="00EA05B3">
        <w:rPr>
          <w:lang w:val="fr-FR"/>
        </w:rPr>
        <w:t>État, pour approbation</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i</w:t>
      </w:r>
      <w:r w:rsidR="00876266" w:rsidRPr="00EA05B3">
        <w:rPr>
          <w:lang w:val="fr-FR"/>
        </w:rPr>
        <w:t>)</w:t>
      </w:r>
      <w:r w:rsidR="00876266" w:rsidRPr="00EA05B3">
        <w:rPr>
          <w:lang w:val="fr-FR"/>
        </w:rPr>
        <w:tab/>
      </w:r>
      <w:r w:rsidRPr="00EA05B3">
        <w:rPr>
          <w:lang w:val="fr-FR"/>
        </w:rPr>
        <w:t xml:space="preserve">Nommer les ministres </w:t>
      </w:r>
      <w:r w:rsidR="009379A7" w:rsidRPr="00EA05B3">
        <w:rPr>
          <w:lang w:val="fr-FR"/>
        </w:rPr>
        <w:t>d’</w:t>
      </w:r>
      <w:r w:rsidRPr="00EA05B3">
        <w:rPr>
          <w:lang w:val="fr-FR"/>
        </w:rPr>
        <w:t>État et autres hauts fonctionnaires dont la nomination lui incombe et les démettre de leurs fonctions</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j</w:t>
      </w:r>
      <w:r w:rsidR="00876266" w:rsidRPr="00EA05B3">
        <w:rPr>
          <w:lang w:val="fr-FR"/>
        </w:rPr>
        <w:t>)</w:t>
      </w:r>
      <w:r w:rsidR="00876266" w:rsidRPr="00EA05B3">
        <w:rPr>
          <w:lang w:val="fr-FR"/>
        </w:rPr>
        <w:tab/>
      </w:r>
      <w:r w:rsidRPr="00EA05B3">
        <w:rPr>
          <w:lang w:val="fr-FR"/>
        </w:rPr>
        <w:t xml:space="preserve">Définir la politique extérieure, signer et ratifier les </w:t>
      </w:r>
      <w:r w:rsidR="00E27B39" w:rsidRPr="00EA05B3">
        <w:rPr>
          <w:lang w:val="fr-FR"/>
        </w:rPr>
        <w:t xml:space="preserve">instruments </w:t>
      </w:r>
      <w:r w:rsidRPr="00EA05B3">
        <w:rPr>
          <w:lang w:val="fr-FR"/>
        </w:rPr>
        <w:t>internationaux, et nommer les ambassadeurs et les chefs de mission et les démettre de leurs fonctions</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k</w:t>
      </w:r>
      <w:r w:rsidR="00876266" w:rsidRPr="00EA05B3">
        <w:rPr>
          <w:lang w:val="fr-FR"/>
        </w:rPr>
        <w:t>)</w:t>
      </w:r>
      <w:r w:rsidR="00876266" w:rsidRPr="00EA05B3">
        <w:rPr>
          <w:lang w:val="fr-FR"/>
        </w:rPr>
        <w:tab/>
      </w:r>
      <w:r w:rsidRPr="00EA05B3">
        <w:rPr>
          <w:lang w:val="fr-FR"/>
        </w:rPr>
        <w:t xml:space="preserve">Participer à </w:t>
      </w:r>
      <w:r w:rsidR="009379A7" w:rsidRPr="00EA05B3">
        <w:rPr>
          <w:lang w:val="fr-FR"/>
        </w:rPr>
        <w:t>l’</w:t>
      </w:r>
      <w:r w:rsidRPr="00EA05B3">
        <w:rPr>
          <w:lang w:val="fr-FR"/>
        </w:rPr>
        <w:t xml:space="preserve">élaboration des lois, sachant </w:t>
      </w:r>
      <w:r w:rsidR="009379A7" w:rsidRPr="00EA05B3">
        <w:rPr>
          <w:lang w:val="fr-FR"/>
        </w:rPr>
        <w:t>qu’</w:t>
      </w:r>
      <w:r w:rsidRPr="00EA05B3">
        <w:rPr>
          <w:lang w:val="fr-FR"/>
        </w:rPr>
        <w:t xml:space="preserve">il a </w:t>
      </w:r>
      <w:r w:rsidR="009379A7" w:rsidRPr="00EA05B3">
        <w:rPr>
          <w:lang w:val="fr-FR"/>
        </w:rPr>
        <w:t>l’</w:t>
      </w:r>
      <w:r w:rsidRPr="00EA05B3">
        <w:rPr>
          <w:lang w:val="fr-FR"/>
        </w:rPr>
        <w:t>initiative des lois</w:t>
      </w:r>
      <w:r w:rsidR="00B36EE6" w:rsidRPr="00EA05B3">
        <w:rPr>
          <w:lang w:val="fr-FR"/>
        </w:rPr>
        <w:t>;</w:t>
      </w:r>
      <w:r w:rsidRPr="00EA05B3">
        <w:rPr>
          <w:lang w:val="fr-FR"/>
        </w:rPr>
        <w:t xml:space="preserve"> promulguer les règlements </w:t>
      </w:r>
      <w:r w:rsidR="009379A7" w:rsidRPr="00EA05B3">
        <w:rPr>
          <w:lang w:val="fr-FR"/>
        </w:rPr>
        <w:t>d’</w:t>
      </w:r>
      <w:r w:rsidRPr="00EA05B3">
        <w:rPr>
          <w:lang w:val="fr-FR"/>
        </w:rPr>
        <w:t>application des lois</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l</w:t>
      </w:r>
      <w:r w:rsidR="00876266" w:rsidRPr="00EA05B3">
        <w:rPr>
          <w:lang w:val="fr-FR"/>
        </w:rPr>
        <w:t>)</w:t>
      </w:r>
      <w:r w:rsidR="00876266" w:rsidRPr="00EA05B3">
        <w:rPr>
          <w:lang w:val="fr-FR"/>
        </w:rPr>
        <w:tab/>
      </w:r>
      <w:r w:rsidRPr="00EA05B3">
        <w:rPr>
          <w:lang w:val="fr-FR"/>
        </w:rPr>
        <w:t>Convoquer les référendums dans les conditions prévues par la Constitution</w:t>
      </w:r>
      <w:r w:rsidR="00B36EE6" w:rsidRPr="00EA05B3">
        <w:rPr>
          <w:lang w:val="fr-FR"/>
        </w:rPr>
        <w:t>;</w:t>
      </w:r>
      <w:r w:rsidRPr="00EA05B3">
        <w:rPr>
          <w:lang w:val="fr-FR"/>
        </w:rPr>
        <w:t xml:space="preserve"> </w:t>
      </w:r>
    </w:p>
    <w:p w:rsidR="00D60A11" w:rsidRPr="00EA05B3" w:rsidRDefault="00563B9D" w:rsidP="00460AF1">
      <w:pPr>
        <w:pStyle w:val="SingleTxtG"/>
        <w:ind w:firstLine="567"/>
        <w:rPr>
          <w:lang w:val="fr-FR"/>
        </w:rPr>
      </w:pPr>
      <w:r w:rsidRPr="00EA05B3">
        <w:rPr>
          <w:lang w:val="fr-FR"/>
        </w:rPr>
        <w:t>m</w:t>
      </w:r>
      <w:r w:rsidR="00876266" w:rsidRPr="00EA05B3">
        <w:rPr>
          <w:lang w:val="fr-FR"/>
        </w:rPr>
        <w:t>)</w:t>
      </w:r>
      <w:r w:rsidR="00876266" w:rsidRPr="00EA05B3">
        <w:rPr>
          <w:lang w:val="fr-FR"/>
        </w:rPr>
        <w:tab/>
      </w:r>
      <w:r w:rsidRPr="00EA05B3">
        <w:rPr>
          <w:lang w:val="fr-FR"/>
        </w:rPr>
        <w:t xml:space="preserve">Convoquer </w:t>
      </w:r>
      <w:r w:rsidR="009379A7" w:rsidRPr="00EA05B3">
        <w:rPr>
          <w:lang w:val="fr-FR"/>
        </w:rPr>
        <w:t>l’</w:t>
      </w:r>
      <w:r w:rsidRPr="00EA05B3">
        <w:rPr>
          <w:lang w:val="fr-FR"/>
        </w:rPr>
        <w:t>Assemblée nationale en session extraordinaire</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n</w:t>
      </w:r>
      <w:r w:rsidR="00876266" w:rsidRPr="00EA05B3">
        <w:rPr>
          <w:lang w:val="fr-FR"/>
        </w:rPr>
        <w:t>)</w:t>
      </w:r>
      <w:r w:rsidR="00876266" w:rsidRPr="00EA05B3">
        <w:rPr>
          <w:lang w:val="fr-FR"/>
        </w:rPr>
        <w:tab/>
      </w:r>
      <w:r w:rsidRPr="00EA05B3">
        <w:rPr>
          <w:lang w:val="fr-FR"/>
        </w:rPr>
        <w:t>Exercer le commandement suprême des forces armées et de la Police nationale et nommer leurs plus hauts responsables.</w:t>
      </w:r>
    </w:p>
    <w:p w:rsidR="00D60A11" w:rsidRPr="00EA05B3" w:rsidRDefault="00A926E0" w:rsidP="00F32DF1">
      <w:pPr>
        <w:pStyle w:val="SingleTxtG"/>
        <w:rPr>
          <w:lang w:val="fr-FR"/>
        </w:rPr>
      </w:pPr>
      <w:r w:rsidRPr="00EA05B3">
        <w:rPr>
          <w:lang w:val="fr-FR"/>
        </w:rPr>
        <w:t>195.</w:t>
      </w:r>
      <w:r w:rsidRPr="00EA05B3">
        <w:rPr>
          <w:lang w:val="fr-FR"/>
        </w:rPr>
        <w:tab/>
      </w:r>
      <w:r w:rsidR="009379A7" w:rsidRPr="00EA05B3">
        <w:rPr>
          <w:lang w:val="fr-FR"/>
        </w:rPr>
        <w:t>L’</w:t>
      </w:r>
      <w:r w:rsidR="00D60A11" w:rsidRPr="00EA05B3">
        <w:rPr>
          <w:lang w:val="fr-FR"/>
        </w:rPr>
        <w:t xml:space="preserve">article 148 prévoit la possibilité pour le Président de la République de dissoudre, une seule fois au cours des trois premières années de son mandat, </w:t>
      </w:r>
      <w:r w:rsidR="009379A7" w:rsidRPr="00EA05B3">
        <w:rPr>
          <w:lang w:val="fr-FR"/>
        </w:rPr>
        <w:t>l’</w:t>
      </w:r>
      <w:r w:rsidR="00D60A11" w:rsidRPr="00EA05B3">
        <w:rPr>
          <w:lang w:val="fr-FR"/>
        </w:rPr>
        <w:t xml:space="preserve">Assemblée nationale si celle-ci </w:t>
      </w:r>
      <w:r w:rsidR="009379A7" w:rsidRPr="00EA05B3">
        <w:rPr>
          <w:lang w:val="fr-FR"/>
        </w:rPr>
        <w:t>s’</w:t>
      </w:r>
      <w:r w:rsidR="00D60A11" w:rsidRPr="00EA05B3">
        <w:rPr>
          <w:lang w:val="fr-FR"/>
        </w:rPr>
        <w:t xml:space="preserve">est arrogé des fonctions que la Constitution ne lui confère pas, après avis de la Cour constitutionnelle. </w:t>
      </w:r>
    </w:p>
    <w:p w:rsidR="00D60A11" w:rsidRPr="00EA05B3" w:rsidRDefault="00A926E0" w:rsidP="00F32DF1">
      <w:pPr>
        <w:pStyle w:val="SingleTxtG"/>
        <w:rPr>
          <w:lang w:val="fr-FR"/>
        </w:rPr>
      </w:pPr>
      <w:r w:rsidRPr="00EA05B3">
        <w:rPr>
          <w:lang w:val="fr-FR"/>
        </w:rPr>
        <w:t>196.</w:t>
      </w:r>
      <w:r w:rsidRPr="00EA05B3">
        <w:rPr>
          <w:lang w:val="fr-FR"/>
        </w:rPr>
        <w:tab/>
      </w:r>
      <w:r w:rsidR="009379A7" w:rsidRPr="00EA05B3">
        <w:rPr>
          <w:lang w:val="fr-FR"/>
        </w:rPr>
        <w:t>S’</w:t>
      </w:r>
      <w:r w:rsidR="00D60A11" w:rsidRPr="00EA05B3">
        <w:rPr>
          <w:lang w:val="fr-FR"/>
        </w:rPr>
        <w:t xml:space="preserve">agissant des ministres, </w:t>
      </w:r>
      <w:r w:rsidR="009379A7" w:rsidRPr="00EA05B3">
        <w:rPr>
          <w:lang w:val="fr-FR"/>
        </w:rPr>
        <w:t>l’</w:t>
      </w:r>
      <w:r w:rsidR="00D60A11" w:rsidRPr="00EA05B3">
        <w:rPr>
          <w:lang w:val="fr-FR"/>
        </w:rPr>
        <w:t xml:space="preserve">article 151 dispose </w:t>
      </w:r>
      <w:r w:rsidR="009379A7" w:rsidRPr="00EA05B3">
        <w:rPr>
          <w:lang w:val="fr-FR"/>
        </w:rPr>
        <w:t>qu’</w:t>
      </w:r>
      <w:r w:rsidR="00D60A11" w:rsidRPr="00EA05B3">
        <w:rPr>
          <w:lang w:val="fr-FR"/>
        </w:rPr>
        <w:t xml:space="preserve">ils sont politiquement, civilement et pénalement responsables des actes et des contrats réalisés dans </w:t>
      </w:r>
      <w:r w:rsidR="009379A7" w:rsidRPr="00EA05B3">
        <w:rPr>
          <w:lang w:val="fr-FR"/>
        </w:rPr>
        <w:t>l’</w:t>
      </w:r>
      <w:r w:rsidR="00D60A11" w:rsidRPr="00EA05B3">
        <w:rPr>
          <w:lang w:val="fr-FR"/>
        </w:rPr>
        <w:t xml:space="preserve">exercice de leurs fonctions, indépendamment de toute responsabilité indirecte de </w:t>
      </w:r>
      <w:r w:rsidR="009379A7" w:rsidRPr="00EA05B3">
        <w:rPr>
          <w:lang w:val="fr-FR"/>
        </w:rPr>
        <w:t>l’</w:t>
      </w:r>
      <w:r w:rsidR="00D60A11" w:rsidRPr="00EA05B3">
        <w:rPr>
          <w:lang w:val="fr-FR"/>
        </w:rPr>
        <w:t xml:space="preserve">État. </w:t>
      </w:r>
      <w:r w:rsidR="009379A7" w:rsidRPr="00EA05B3">
        <w:rPr>
          <w:lang w:val="fr-FR"/>
        </w:rPr>
        <w:t>L’</w:t>
      </w:r>
      <w:r w:rsidR="00D60A11" w:rsidRPr="00EA05B3">
        <w:rPr>
          <w:lang w:val="fr-FR"/>
        </w:rPr>
        <w:t xml:space="preserve">article 152 énumère les cas dans lesquels la fonction de ministre ne peut être exercée, parmi lesquels </w:t>
      </w:r>
      <w:r w:rsidR="009379A7" w:rsidRPr="00EA05B3">
        <w:rPr>
          <w:lang w:val="fr-FR"/>
        </w:rPr>
        <w:t>l’</w:t>
      </w:r>
      <w:r w:rsidR="00D60A11" w:rsidRPr="00EA05B3">
        <w:rPr>
          <w:lang w:val="fr-FR"/>
        </w:rPr>
        <w:t xml:space="preserve">existence de liens de parenté avec le Président ou le </w:t>
      </w:r>
      <w:r w:rsidR="00822B6B" w:rsidRPr="00EA05B3">
        <w:rPr>
          <w:lang w:val="fr-FR"/>
        </w:rPr>
        <w:t>Vice-</w:t>
      </w:r>
      <w:r w:rsidR="001673B6" w:rsidRPr="00EA05B3">
        <w:rPr>
          <w:lang w:val="fr-FR"/>
        </w:rPr>
        <w:t>Président</w:t>
      </w:r>
      <w:r w:rsidR="00D60A11" w:rsidRPr="00EA05B3">
        <w:rPr>
          <w:lang w:val="fr-FR"/>
        </w:rPr>
        <w:t xml:space="preserve">, le fait </w:t>
      </w:r>
      <w:r w:rsidR="009379A7" w:rsidRPr="00EA05B3">
        <w:rPr>
          <w:lang w:val="fr-FR"/>
        </w:rPr>
        <w:t>d’</w:t>
      </w:r>
      <w:r w:rsidR="00D60A11" w:rsidRPr="00EA05B3">
        <w:rPr>
          <w:lang w:val="fr-FR"/>
        </w:rPr>
        <w:t xml:space="preserve">avoir conclu un contrat avec </w:t>
      </w:r>
      <w:r w:rsidR="009379A7" w:rsidRPr="00EA05B3">
        <w:rPr>
          <w:lang w:val="fr-FR"/>
        </w:rPr>
        <w:t>l’</w:t>
      </w:r>
      <w:r w:rsidR="00D60A11" w:rsidRPr="00EA05B3">
        <w:rPr>
          <w:lang w:val="fr-FR"/>
        </w:rPr>
        <w:t xml:space="preserve">État ou le fait de servir dans les forces de sécurité. </w:t>
      </w:r>
      <w:r w:rsidR="009379A7" w:rsidRPr="00EA05B3">
        <w:rPr>
          <w:lang w:val="fr-FR"/>
        </w:rPr>
        <w:t>L’</w:t>
      </w:r>
      <w:r w:rsidR="00D60A11" w:rsidRPr="00EA05B3">
        <w:rPr>
          <w:lang w:val="fr-FR"/>
        </w:rPr>
        <w:t xml:space="preserve">article 154 confère deux responsabilités aux ministres </w:t>
      </w:r>
      <w:r w:rsidR="009379A7" w:rsidRPr="00EA05B3">
        <w:rPr>
          <w:lang w:val="fr-FR"/>
        </w:rPr>
        <w:t>d’</w:t>
      </w:r>
      <w:r w:rsidR="00D60A11" w:rsidRPr="00EA05B3">
        <w:rPr>
          <w:lang w:val="fr-FR"/>
        </w:rPr>
        <w:t>État, outre celles définies par la loi, à savoir</w:t>
      </w:r>
      <w:r w:rsidR="00B36EE6" w:rsidRPr="00EA05B3">
        <w:rPr>
          <w:lang w:val="fr-FR"/>
        </w:rPr>
        <w:t>:</w:t>
      </w:r>
      <w:r w:rsidR="00D60A11" w:rsidRPr="00EA05B3">
        <w:rPr>
          <w:lang w:val="fr-FR"/>
        </w:rPr>
        <w:t xml:space="preserve"> a) diriger les politiques publiques dans les domaines relevant de leur compétence</w:t>
      </w:r>
      <w:r w:rsidR="00B36EE6" w:rsidRPr="00EA05B3">
        <w:rPr>
          <w:lang w:val="fr-FR"/>
        </w:rPr>
        <w:t>;</w:t>
      </w:r>
      <w:r w:rsidR="00D60A11" w:rsidRPr="00EA05B3">
        <w:rPr>
          <w:lang w:val="fr-FR"/>
        </w:rPr>
        <w:t xml:space="preserve"> et b) présenter à </w:t>
      </w:r>
      <w:r w:rsidR="009379A7" w:rsidRPr="00EA05B3">
        <w:rPr>
          <w:lang w:val="fr-FR"/>
        </w:rPr>
        <w:t>l’</w:t>
      </w:r>
      <w:r w:rsidR="00D60A11" w:rsidRPr="00EA05B3">
        <w:rPr>
          <w:lang w:val="fr-FR"/>
        </w:rPr>
        <w:t>Assemblée nationale les rapports concernant les domaines relevant de leur compétence.</w:t>
      </w:r>
    </w:p>
    <w:p w:rsidR="00D60A11" w:rsidRPr="00EA05B3" w:rsidRDefault="00A926E0" w:rsidP="00F32DF1">
      <w:pPr>
        <w:pStyle w:val="SingleTxtG"/>
        <w:rPr>
          <w:lang w:val="fr-FR"/>
        </w:rPr>
      </w:pPr>
      <w:r w:rsidRPr="00EA05B3">
        <w:rPr>
          <w:lang w:val="fr-FR"/>
        </w:rPr>
        <w:t>197.</w:t>
      </w:r>
      <w:r w:rsidRPr="00EA05B3">
        <w:rPr>
          <w:lang w:val="fr-FR"/>
        </w:rPr>
        <w:tab/>
      </w:r>
      <w:r w:rsidR="009379A7" w:rsidRPr="00EA05B3">
        <w:rPr>
          <w:lang w:val="fr-FR"/>
        </w:rPr>
        <w:t>L’</w:t>
      </w:r>
      <w:r w:rsidR="00D60A11" w:rsidRPr="00EA05B3">
        <w:rPr>
          <w:lang w:val="fr-FR"/>
        </w:rPr>
        <w:t xml:space="preserve">article 156 de la Constitution prévoit que les conseils nationaux de </w:t>
      </w:r>
      <w:r w:rsidR="009379A7" w:rsidRPr="00EA05B3">
        <w:rPr>
          <w:lang w:val="fr-FR"/>
        </w:rPr>
        <w:t>l’</w:t>
      </w:r>
      <w:r w:rsidR="00D60A11" w:rsidRPr="00EA05B3">
        <w:rPr>
          <w:lang w:val="fr-FR"/>
        </w:rPr>
        <w:t xml:space="preserve">égalité sont chargés de garantir le plein exercice et le respect des droits consacrés par la Constitution et les instruments internationaux relatifs aux droits de </w:t>
      </w:r>
      <w:r w:rsidR="009379A7" w:rsidRPr="00EA05B3">
        <w:rPr>
          <w:lang w:val="fr-FR"/>
        </w:rPr>
        <w:t>l’</w:t>
      </w:r>
      <w:r w:rsidR="00D60A11" w:rsidRPr="00EA05B3">
        <w:rPr>
          <w:lang w:val="fr-FR"/>
        </w:rPr>
        <w:t xml:space="preserve">homme et, à cet effet, </w:t>
      </w:r>
      <w:r w:rsidR="009379A7" w:rsidRPr="00EA05B3">
        <w:rPr>
          <w:lang w:val="fr-FR"/>
        </w:rPr>
        <w:t>d’</w:t>
      </w:r>
      <w:r w:rsidR="00D60A11" w:rsidRPr="00EA05B3">
        <w:rPr>
          <w:lang w:val="fr-FR"/>
        </w:rPr>
        <w:t xml:space="preserve">élaborer, de coordonner, de suivre et </w:t>
      </w:r>
      <w:r w:rsidR="009379A7" w:rsidRPr="00EA05B3">
        <w:rPr>
          <w:lang w:val="fr-FR"/>
        </w:rPr>
        <w:t>d’</w:t>
      </w:r>
      <w:r w:rsidR="00D60A11" w:rsidRPr="00EA05B3">
        <w:rPr>
          <w:lang w:val="fr-FR"/>
        </w:rPr>
        <w:t xml:space="preserve">évaluer les politiques publiques qui touchent aux questions </w:t>
      </w:r>
      <w:r w:rsidR="009379A7" w:rsidRPr="00EA05B3">
        <w:rPr>
          <w:lang w:val="fr-FR"/>
        </w:rPr>
        <w:t>d’</w:t>
      </w:r>
      <w:r w:rsidR="00D60A11" w:rsidRPr="00EA05B3">
        <w:rPr>
          <w:lang w:val="fr-FR"/>
        </w:rPr>
        <w:t xml:space="preserve">égalité entre les sexes, aux questions ethniques, générationnelles et interculturelles, au handicap et aux migrations, conformément à la loi et en coordination avec les organismes de supervision et </w:t>
      </w:r>
      <w:r w:rsidR="009379A7" w:rsidRPr="00EA05B3">
        <w:rPr>
          <w:lang w:val="fr-FR"/>
        </w:rPr>
        <w:t>d’</w:t>
      </w:r>
      <w:r w:rsidR="00D60A11" w:rsidRPr="00EA05B3">
        <w:rPr>
          <w:lang w:val="fr-FR"/>
        </w:rPr>
        <w:t xml:space="preserve">application, ainsi que les organismes chargés de protéger les droits de </w:t>
      </w:r>
      <w:r w:rsidR="009379A7" w:rsidRPr="00EA05B3">
        <w:rPr>
          <w:lang w:val="fr-FR"/>
        </w:rPr>
        <w:t>l’</w:t>
      </w:r>
      <w:r w:rsidR="00D60A11" w:rsidRPr="00EA05B3">
        <w:rPr>
          <w:lang w:val="fr-FR"/>
        </w:rPr>
        <w:t xml:space="preserve">homme à tous les niveaux. En vertu de </w:t>
      </w:r>
      <w:r w:rsidR="009379A7" w:rsidRPr="00EA05B3">
        <w:rPr>
          <w:lang w:val="fr-FR"/>
        </w:rPr>
        <w:t>l’</w:t>
      </w:r>
      <w:r w:rsidR="00D60A11" w:rsidRPr="00EA05B3">
        <w:rPr>
          <w:lang w:val="fr-FR"/>
        </w:rPr>
        <w:t xml:space="preserve">article 157, les conseils sont composés </w:t>
      </w:r>
      <w:r w:rsidR="009379A7" w:rsidRPr="00EA05B3">
        <w:rPr>
          <w:lang w:val="fr-FR"/>
        </w:rPr>
        <w:t>d’</w:t>
      </w:r>
      <w:r w:rsidR="00D60A11" w:rsidRPr="00EA05B3">
        <w:rPr>
          <w:lang w:val="fr-FR"/>
        </w:rPr>
        <w:t xml:space="preserve">un nombre égal de représentants de la société civile et de </w:t>
      </w:r>
      <w:r w:rsidR="009379A7" w:rsidRPr="00EA05B3">
        <w:rPr>
          <w:lang w:val="fr-FR"/>
        </w:rPr>
        <w:t>l’</w:t>
      </w:r>
      <w:r w:rsidR="00D60A11" w:rsidRPr="00EA05B3">
        <w:rPr>
          <w:lang w:val="fr-FR"/>
        </w:rPr>
        <w:t xml:space="preserve">État, et sont présidés par le Président de la République. Il est important de préciser </w:t>
      </w:r>
      <w:r w:rsidR="009379A7" w:rsidRPr="00EA05B3">
        <w:rPr>
          <w:lang w:val="fr-FR"/>
        </w:rPr>
        <w:t>qu’</w:t>
      </w:r>
      <w:r w:rsidR="00D60A11" w:rsidRPr="00EA05B3">
        <w:rPr>
          <w:lang w:val="fr-FR"/>
        </w:rPr>
        <w:t xml:space="preserve">à ce jour les conseils nationaux de </w:t>
      </w:r>
      <w:r w:rsidR="009379A7" w:rsidRPr="00EA05B3">
        <w:rPr>
          <w:lang w:val="fr-FR"/>
        </w:rPr>
        <w:t>l’</w:t>
      </w:r>
      <w:r w:rsidR="00D60A11" w:rsidRPr="00EA05B3">
        <w:rPr>
          <w:lang w:val="fr-FR"/>
        </w:rPr>
        <w:t xml:space="preserve">égalité </w:t>
      </w:r>
      <w:r w:rsidR="009379A7" w:rsidRPr="00EA05B3">
        <w:rPr>
          <w:lang w:val="fr-FR"/>
        </w:rPr>
        <w:t>n’</w:t>
      </w:r>
      <w:r w:rsidR="00D60A11" w:rsidRPr="00EA05B3">
        <w:rPr>
          <w:lang w:val="fr-FR"/>
        </w:rPr>
        <w:t>ont pas été constitués.</w:t>
      </w:r>
      <w:r w:rsidR="000D57A5" w:rsidRPr="00EA05B3">
        <w:rPr>
          <w:lang w:val="fr-FR"/>
        </w:rPr>
        <w:t xml:space="preserve"> </w:t>
      </w:r>
      <w:r w:rsidR="009379A7" w:rsidRPr="00EA05B3">
        <w:rPr>
          <w:lang w:val="fr-FR"/>
        </w:rPr>
        <w:t>L’</w:t>
      </w:r>
      <w:r w:rsidR="00D60A11" w:rsidRPr="00EA05B3">
        <w:rPr>
          <w:lang w:val="fr-FR"/>
        </w:rPr>
        <w:t xml:space="preserve">avant-projet de loi est actuellement examiné par </w:t>
      </w:r>
      <w:r w:rsidR="009379A7" w:rsidRPr="00EA05B3">
        <w:rPr>
          <w:lang w:val="fr-FR"/>
        </w:rPr>
        <w:t>l’</w:t>
      </w:r>
      <w:r w:rsidR="00D60A11" w:rsidRPr="00EA05B3">
        <w:rPr>
          <w:lang w:val="fr-FR"/>
        </w:rPr>
        <w:t>Assemblée nationale.</w:t>
      </w:r>
    </w:p>
    <w:p w:rsidR="00D60A11" w:rsidRPr="00EA05B3" w:rsidRDefault="00A926E0" w:rsidP="00F32DF1">
      <w:pPr>
        <w:pStyle w:val="SingleTxtG"/>
        <w:rPr>
          <w:lang w:val="fr-FR"/>
        </w:rPr>
      </w:pPr>
      <w:r w:rsidRPr="00EA05B3">
        <w:rPr>
          <w:lang w:val="fr-FR"/>
        </w:rPr>
        <w:t>198.</w:t>
      </w:r>
      <w:r w:rsidRPr="00EA05B3">
        <w:rPr>
          <w:lang w:val="fr-FR"/>
        </w:rPr>
        <w:tab/>
      </w:r>
      <w:r w:rsidR="00D60A11" w:rsidRPr="00EA05B3">
        <w:rPr>
          <w:lang w:val="fr-FR"/>
        </w:rPr>
        <w:t xml:space="preserve">Le chapitre 4 du titre IV traite de la fonction judiciaire et de la justice autochtone. Les articles 167 à 170 ont trait aux principes de </w:t>
      </w:r>
      <w:r w:rsidR="009379A7" w:rsidRPr="00EA05B3">
        <w:rPr>
          <w:lang w:val="fr-FR"/>
        </w:rPr>
        <w:t>l’</w:t>
      </w:r>
      <w:r w:rsidR="00D60A11" w:rsidRPr="00EA05B3">
        <w:rPr>
          <w:lang w:val="fr-FR"/>
        </w:rPr>
        <w:t>administration de la justice, parmi lesquels</w:t>
      </w:r>
      <w:r w:rsidR="00B36EE6" w:rsidRPr="00EA05B3">
        <w:rPr>
          <w:lang w:val="fr-FR"/>
        </w:rPr>
        <w:t>:</w:t>
      </w:r>
      <w:r w:rsidR="00D60A11" w:rsidRPr="00EA05B3">
        <w:rPr>
          <w:lang w:val="fr-FR"/>
        </w:rPr>
        <w:t xml:space="preserve"> </w:t>
      </w:r>
    </w:p>
    <w:p w:rsidR="00D60A11" w:rsidRPr="00EA05B3" w:rsidRDefault="00563B9D" w:rsidP="00460AF1">
      <w:pPr>
        <w:pStyle w:val="SingleTxtG"/>
        <w:ind w:firstLine="567"/>
        <w:rPr>
          <w:lang w:val="fr-FR"/>
        </w:rPr>
      </w:pPr>
      <w:r w:rsidRPr="00EA05B3">
        <w:rPr>
          <w:lang w:val="fr-FR"/>
        </w:rPr>
        <w:t>a</w:t>
      </w:r>
      <w:r w:rsidR="00876266" w:rsidRPr="00EA05B3">
        <w:rPr>
          <w:lang w:val="fr-FR"/>
        </w:rPr>
        <w:t>)</w:t>
      </w:r>
      <w:r w:rsidR="00876266" w:rsidRPr="00EA05B3">
        <w:rPr>
          <w:lang w:val="fr-FR"/>
        </w:rPr>
        <w:tab/>
      </w:r>
      <w:r w:rsidRPr="00EA05B3">
        <w:rPr>
          <w:lang w:val="fr-FR"/>
        </w:rPr>
        <w:t>Indépendance interne et externe</w:t>
      </w:r>
      <w:r w:rsidR="00B36EE6" w:rsidRPr="00EA05B3">
        <w:rPr>
          <w:lang w:val="fr-FR"/>
        </w:rPr>
        <w:t>;</w:t>
      </w:r>
      <w:r w:rsidRPr="00EA05B3">
        <w:rPr>
          <w:lang w:val="fr-FR"/>
        </w:rPr>
        <w:t xml:space="preserve"> </w:t>
      </w:r>
    </w:p>
    <w:p w:rsidR="00D60A11" w:rsidRPr="00EA05B3" w:rsidRDefault="00563B9D" w:rsidP="00460AF1">
      <w:pPr>
        <w:pStyle w:val="SingleTxtG"/>
        <w:ind w:firstLine="567"/>
        <w:rPr>
          <w:lang w:val="fr-FR"/>
        </w:rPr>
      </w:pPr>
      <w:r w:rsidRPr="00EA05B3">
        <w:rPr>
          <w:lang w:val="fr-FR"/>
        </w:rPr>
        <w:t>b</w:t>
      </w:r>
      <w:r w:rsidR="00876266" w:rsidRPr="00EA05B3">
        <w:rPr>
          <w:lang w:val="fr-FR"/>
        </w:rPr>
        <w:t>)</w:t>
      </w:r>
      <w:r w:rsidR="00876266" w:rsidRPr="00EA05B3">
        <w:rPr>
          <w:lang w:val="fr-FR"/>
        </w:rPr>
        <w:tab/>
      </w:r>
      <w:r w:rsidRPr="00EA05B3">
        <w:rPr>
          <w:lang w:val="fr-FR"/>
        </w:rPr>
        <w:t>Autonomie administrative, économique et financière de la fonction judiciaire</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c</w:t>
      </w:r>
      <w:r w:rsidR="00876266" w:rsidRPr="00EA05B3">
        <w:rPr>
          <w:lang w:val="fr-FR"/>
        </w:rPr>
        <w:t>)</w:t>
      </w:r>
      <w:r w:rsidR="00876266" w:rsidRPr="00EA05B3">
        <w:rPr>
          <w:lang w:val="fr-FR"/>
        </w:rPr>
        <w:tab/>
      </w:r>
      <w:r w:rsidRPr="00EA05B3">
        <w:rPr>
          <w:lang w:val="fr-FR"/>
        </w:rPr>
        <w:t>Unité juridictionnelle</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d</w:t>
      </w:r>
      <w:r w:rsidR="00876266" w:rsidRPr="00EA05B3">
        <w:rPr>
          <w:lang w:val="fr-FR"/>
        </w:rPr>
        <w:t>)</w:t>
      </w:r>
      <w:r w:rsidR="00876266" w:rsidRPr="00EA05B3">
        <w:rPr>
          <w:lang w:val="fr-FR"/>
        </w:rPr>
        <w:tab/>
      </w:r>
      <w:r w:rsidRPr="00EA05B3">
        <w:rPr>
          <w:lang w:val="fr-FR"/>
        </w:rPr>
        <w:t xml:space="preserve">Gratuité de </w:t>
      </w:r>
      <w:r w:rsidR="009379A7" w:rsidRPr="00EA05B3">
        <w:rPr>
          <w:lang w:val="fr-FR"/>
        </w:rPr>
        <w:t>l’</w:t>
      </w:r>
      <w:r w:rsidRPr="00EA05B3">
        <w:rPr>
          <w:lang w:val="fr-FR"/>
        </w:rPr>
        <w:t>accès à la justice</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e</w:t>
      </w:r>
      <w:r w:rsidR="00876266" w:rsidRPr="00EA05B3">
        <w:rPr>
          <w:lang w:val="fr-FR"/>
        </w:rPr>
        <w:t>)</w:t>
      </w:r>
      <w:r w:rsidR="00876266" w:rsidRPr="00EA05B3">
        <w:rPr>
          <w:lang w:val="fr-FR"/>
        </w:rPr>
        <w:tab/>
      </w:r>
      <w:r w:rsidRPr="00EA05B3">
        <w:rPr>
          <w:lang w:val="fr-FR"/>
        </w:rPr>
        <w:t>Publicité de la procédure</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f</w:t>
      </w:r>
      <w:r w:rsidR="00876266" w:rsidRPr="00EA05B3">
        <w:rPr>
          <w:lang w:val="fr-FR"/>
        </w:rPr>
        <w:t>)</w:t>
      </w:r>
      <w:r w:rsidR="00876266" w:rsidRPr="00EA05B3">
        <w:rPr>
          <w:lang w:val="fr-FR"/>
        </w:rPr>
        <w:tab/>
      </w:r>
      <w:r w:rsidRPr="00EA05B3">
        <w:rPr>
          <w:lang w:val="fr-FR"/>
        </w:rPr>
        <w:t xml:space="preserve">Oralité des débats, concentration, procédure </w:t>
      </w:r>
      <w:r w:rsidR="009379A7" w:rsidRPr="00EA05B3">
        <w:rPr>
          <w:lang w:val="fr-FR"/>
        </w:rPr>
        <w:t>d’</w:t>
      </w:r>
      <w:r w:rsidRPr="00EA05B3">
        <w:rPr>
          <w:lang w:val="fr-FR"/>
        </w:rPr>
        <w:t>opposition et procédure contradictoire</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g) Simplification, uniformité, efficacité, immédiateté, célérité et économie de procédure</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h</w:t>
      </w:r>
      <w:r w:rsidR="00876266" w:rsidRPr="00EA05B3">
        <w:rPr>
          <w:lang w:val="fr-FR"/>
        </w:rPr>
        <w:t>)</w:t>
      </w:r>
      <w:r w:rsidR="00876266" w:rsidRPr="00EA05B3">
        <w:rPr>
          <w:lang w:val="fr-FR"/>
        </w:rPr>
        <w:tab/>
      </w:r>
      <w:r w:rsidRPr="00EA05B3">
        <w:rPr>
          <w:lang w:val="fr-FR"/>
        </w:rPr>
        <w:t>Droit à une procédure régulière</w:t>
      </w:r>
      <w:r w:rsidR="00B36EE6" w:rsidRPr="00EA05B3">
        <w:rPr>
          <w:lang w:val="fr-FR"/>
        </w:rPr>
        <w:t>;</w:t>
      </w:r>
      <w:r w:rsidRPr="00EA05B3">
        <w:rPr>
          <w:lang w:val="fr-FR"/>
        </w:rPr>
        <w:t xml:space="preserve"> </w:t>
      </w:r>
    </w:p>
    <w:p w:rsidR="00D60A11" w:rsidRPr="00EA05B3" w:rsidRDefault="00563B9D" w:rsidP="00460AF1">
      <w:pPr>
        <w:pStyle w:val="SingleTxtG"/>
        <w:ind w:firstLine="567"/>
        <w:rPr>
          <w:lang w:val="fr-FR"/>
        </w:rPr>
      </w:pPr>
      <w:r w:rsidRPr="00EA05B3">
        <w:rPr>
          <w:lang w:val="fr-FR"/>
        </w:rPr>
        <w:t>i</w:t>
      </w:r>
      <w:r w:rsidR="00876266" w:rsidRPr="00EA05B3">
        <w:rPr>
          <w:lang w:val="fr-FR"/>
        </w:rPr>
        <w:t>)</w:t>
      </w:r>
      <w:r w:rsidR="00876266" w:rsidRPr="00EA05B3">
        <w:rPr>
          <w:lang w:val="fr-FR"/>
        </w:rPr>
        <w:tab/>
      </w:r>
      <w:r w:rsidRPr="00EA05B3">
        <w:rPr>
          <w:lang w:val="fr-FR"/>
        </w:rPr>
        <w:t xml:space="preserve">Nomination des magistrats reposant sur les principes </w:t>
      </w:r>
      <w:r w:rsidR="009379A7" w:rsidRPr="00EA05B3">
        <w:rPr>
          <w:lang w:val="fr-FR"/>
        </w:rPr>
        <w:t>d’</w:t>
      </w:r>
      <w:r w:rsidRPr="00EA05B3">
        <w:rPr>
          <w:lang w:val="fr-FR"/>
        </w:rPr>
        <w:t xml:space="preserve">égalité, </w:t>
      </w:r>
      <w:r w:rsidR="009379A7" w:rsidRPr="00EA05B3">
        <w:rPr>
          <w:lang w:val="fr-FR"/>
        </w:rPr>
        <w:t>d’</w:t>
      </w:r>
      <w:r w:rsidRPr="00EA05B3">
        <w:rPr>
          <w:lang w:val="fr-FR"/>
        </w:rPr>
        <w:t xml:space="preserve">équité, </w:t>
      </w:r>
      <w:r w:rsidR="009379A7" w:rsidRPr="00EA05B3">
        <w:rPr>
          <w:lang w:val="fr-FR"/>
        </w:rPr>
        <w:t>d’</w:t>
      </w:r>
      <w:r w:rsidRPr="00EA05B3">
        <w:rPr>
          <w:lang w:val="fr-FR"/>
        </w:rPr>
        <w:t>intégrité, de transparence, de sélection par le biais de concours fondés sur des critères objectifs, du droit de contestation et de participation citoyenne.</w:t>
      </w:r>
    </w:p>
    <w:p w:rsidR="00D60A11" w:rsidRPr="00EA05B3" w:rsidRDefault="00A926E0" w:rsidP="00F32DF1">
      <w:pPr>
        <w:pStyle w:val="SingleTxtG"/>
        <w:rPr>
          <w:lang w:val="fr-FR"/>
        </w:rPr>
      </w:pPr>
      <w:r w:rsidRPr="00EA05B3">
        <w:rPr>
          <w:lang w:val="fr-FR"/>
        </w:rPr>
        <w:t>199.</w:t>
      </w:r>
      <w:r w:rsidRPr="00EA05B3">
        <w:rPr>
          <w:lang w:val="fr-FR"/>
        </w:rPr>
        <w:tab/>
      </w:r>
      <w:r w:rsidR="009379A7" w:rsidRPr="00EA05B3">
        <w:rPr>
          <w:lang w:val="fr-FR"/>
        </w:rPr>
        <w:t>L’</w:t>
      </w:r>
      <w:r w:rsidR="00D60A11" w:rsidRPr="00EA05B3">
        <w:rPr>
          <w:lang w:val="fr-FR"/>
        </w:rPr>
        <w:t>article 171 traite de la justice autochtone et</w:t>
      </w:r>
      <w:r w:rsidR="00CE0CD4" w:rsidRPr="00EA05B3">
        <w:rPr>
          <w:lang w:val="fr-FR"/>
        </w:rPr>
        <w:t xml:space="preserve"> dispose que les autorités des </w:t>
      </w:r>
      <w:r w:rsidR="00D60A11" w:rsidRPr="00EA05B3">
        <w:rPr>
          <w:lang w:val="fr-FR"/>
        </w:rPr>
        <w:t xml:space="preserve">communautés, peuples et nationalités autochtones exercent des fonctions juridictionnelles sur leur propre territoire en se fondant sur leurs traditions ancestrales et leurs propres règles de droit et garantissent la participation des femmes à la prise de décisions. Il dispose aussi que les autorités autochtones appliquent leurs propres règles et procédures pour résoudre leurs différends internes, à condition que celles-ci ne soient pas contraires à la Constitution ni aux droits de </w:t>
      </w:r>
      <w:r w:rsidR="009379A7" w:rsidRPr="00EA05B3">
        <w:rPr>
          <w:lang w:val="fr-FR"/>
        </w:rPr>
        <w:t>l’</w:t>
      </w:r>
      <w:r w:rsidR="00D60A11" w:rsidRPr="00EA05B3">
        <w:rPr>
          <w:lang w:val="fr-FR"/>
        </w:rPr>
        <w:t xml:space="preserve">homme consacrés par les instruments internationaux. Il prévoit enfin que </w:t>
      </w:r>
      <w:r w:rsidR="009379A7" w:rsidRPr="00EA05B3">
        <w:rPr>
          <w:lang w:val="fr-FR"/>
        </w:rPr>
        <w:t>l’</w:t>
      </w:r>
      <w:r w:rsidR="00D60A11" w:rsidRPr="00EA05B3">
        <w:rPr>
          <w:lang w:val="fr-FR"/>
        </w:rPr>
        <w:t xml:space="preserve">État veille à ce que les décisions des juridictions autochtones soient respectées par les institutions et les autorités publiques, mais que ces décisions doivent faire </w:t>
      </w:r>
      <w:r w:rsidR="009379A7" w:rsidRPr="00EA05B3">
        <w:rPr>
          <w:lang w:val="fr-FR"/>
        </w:rPr>
        <w:t>l’</w:t>
      </w:r>
      <w:r w:rsidR="00D60A11" w:rsidRPr="00EA05B3">
        <w:rPr>
          <w:lang w:val="fr-FR"/>
        </w:rPr>
        <w:t xml:space="preserve">objet </w:t>
      </w:r>
      <w:r w:rsidR="009379A7" w:rsidRPr="00EA05B3">
        <w:rPr>
          <w:lang w:val="fr-FR"/>
        </w:rPr>
        <w:t>d’</w:t>
      </w:r>
      <w:r w:rsidR="00D60A11" w:rsidRPr="00EA05B3">
        <w:rPr>
          <w:lang w:val="fr-FR"/>
        </w:rPr>
        <w:t>un contrôle de constitutionnalité.</w:t>
      </w:r>
    </w:p>
    <w:p w:rsidR="00D60A11" w:rsidRPr="00EA05B3" w:rsidRDefault="00A926E0" w:rsidP="00F32DF1">
      <w:pPr>
        <w:pStyle w:val="SingleTxtG"/>
        <w:rPr>
          <w:lang w:val="fr-FR"/>
        </w:rPr>
      </w:pPr>
      <w:r w:rsidRPr="00EA05B3">
        <w:rPr>
          <w:lang w:val="fr-FR"/>
        </w:rPr>
        <w:t>200.</w:t>
      </w:r>
      <w:r w:rsidRPr="00EA05B3">
        <w:rPr>
          <w:lang w:val="fr-FR"/>
        </w:rPr>
        <w:tab/>
      </w:r>
      <w:r w:rsidR="00D60A11" w:rsidRPr="00EA05B3">
        <w:rPr>
          <w:lang w:val="fr-FR"/>
        </w:rPr>
        <w:t>Les articles 172 à 176 énoncent les principes applicables à la fonction judiciaire, parmi lesquels</w:t>
      </w:r>
      <w:r w:rsidR="00B36EE6" w:rsidRPr="00EA05B3">
        <w:rPr>
          <w:lang w:val="fr-FR"/>
        </w:rPr>
        <w:t>:</w:t>
      </w:r>
      <w:r w:rsidR="00D60A11" w:rsidRPr="00EA05B3">
        <w:rPr>
          <w:lang w:val="fr-FR"/>
        </w:rPr>
        <w:t xml:space="preserve"> </w:t>
      </w:r>
    </w:p>
    <w:p w:rsidR="00D60A11" w:rsidRPr="00EA05B3" w:rsidRDefault="00563B9D" w:rsidP="00460AF1">
      <w:pPr>
        <w:pStyle w:val="SingleTxtG"/>
        <w:ind w:firstLine="567"/>
        <w:rPr>
          <w:lang w:val="fr-FR"/>
        </w:rPr>
      </w:pPr>
      <w:r w:rsidRPr="00EA05B3">
        <w:rPr>
          <w:lang w:val="fr-FR"/>
        </w:rPr>
        <w:t>a</w:t>
      </w:r>
      <w:r w:rsidR="00876266" w:rsidRPr="00EA05B3">
        <w:rPr>
          <w:lang w:val="fr-FR"/>
        </w:rPr>
        <w:t>)</w:t>
      </w:r>
      <w:r w:rsidR="00876266" w:rsidRPr="00EA05B3">
        <w:rPr>
          <w:lang w:val="fr-FR"/>
        </w:rPr>
        <w:tab/>
      </w:r>
      <w:r w:rsidRPr="00EA05B3">
        <w:rPr>
          <w:lang w:val="fr-FR"/>
        </w:rPr>
        <w:t xml:space="preserve">Administration de la justice conformément à la Constitution, aux instruments internationaux relatifs aux droits de </w:t>
      </w:r>
      <w:r w:rsidR="009379A7" w:rsidRPr="00EA05B3">
        <w:rPr>
          <w:lang w:val="fr-FR"/>
        </w:rPr>
        <w:t>l’</w:t>
      </w:r>
      <w:r w:rsidRPr="00EA05B3">
        <w:rPr>
          <w:lang w:val="fr-FR"/>
        </w:rPr>
        <w:t>homme et à la loi</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b</w:t>
      </w:r>
      <w:r w:rsidR="00876266" w:rsidRPr="00EA05B3">
        <w:rPr>
          <w:lang w:val="fr-FR"/>
        </w:rPr>
        <w:t>)</w:t>
      </w:r>
      <w:r w:rsidR="00876266" w:rsidRPr="00EA05B3">
        <w:rPr>
          <w:lang w:val="fr-FR"/>
        </w:rPr>
        <w:tab/>
      </w:r>
      <w:r w:rsidRPr="00EA05B3">
        <w:rPr>
          <w:lang w:val="fr-FR"/>
        </w:rPr>
        <w:t>Devoir de diligence</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c</w:t>
      </w:r>
      <w:r w:rsidR="00876266" w:rsidRPr="00EA05B3">
        <w:rPr>
          <w:lang w:val="fr-FR"/>
        </w:rPr>
        <w:t>)</w:t>
      </w:r>
      <w:r w:rsidR="00876266" w:rsidRPr="00EA05B3">
        <w:rPr>
          <w:lang w:val="fr-FR"/>
        </w:rPr>
        <w:tab/>
      </w:r>
      <w:r w:rsidRPr="00EA05B3">
        <w:rPr>
          <w:lang w:val="fr-FR"/>
        </w:rPr>
        <w:t>Responsabilité des juges en cas de retard, de négligence, de déni de justice ou de violation de la loi</w:t>
      </w:r>
      <w:r w:rsidR="00B36EE6" w:rsidRPr="00EA05B3">
        <w:rPr>
          <w:lang w:val="fr-FR"/>
        </w:rPr>
        <w:t>;</w:t>
      </w:r>
      <w:r w:rsidRPr="00EA05B3">
        <w:rPr>
          <w:lang w:val="fr-FR"/>
        </w:rPr>
        <w:t xml:space="preserve"> </w:t>
      </w:r>
    </w:p>
    <w:p w:rsidR="00D60A11" w:rsidRPr="00EA05B3" w:rsidRDefault="00563B9D" w:rsidP="00460AF1">
      <w:pPr>
        <w:pStyle w:val="SingleTxtG"/>
        <w:ind w:firstLine="567"/>
        <w:rPr>
          <w:lang w:val="fr-FR"/>
        </w:rPr>
      </w:pPr>
      <w:r w:rsidRPr="00EA05B3">
        <w:rPr>
          <w:lang w:val="fr-FR"/>
        </w:rPr>
        <w:t>d</w:t>
      </w:r>
      <w:r w:rsidR="00876266" w:rsidRPr="00EA05B3">
        <w:rPr>
          <w:lang w:val="fr-FR"/>
        </w:rPr>
        <w:t>)</w:t>
      </w:r>
      <w:r w:rsidR="00876266" w:rsidRPr="00EA05B3">
        <w:rPr>
          <w:lang w:val="fr-FR"/>
        </w:rPr>
        <w:tab/>
      </w:r>
      <w:r w:rsidRPr="00EA05B3">
        <w:rPr>
          <w:lang w:val="fr-FR"/>
        </w:rPr>
        <w:t>Possibilité de contestation des actes administratifs</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e</w:t>
      </w:r>
      <w:r w:rsidR="00876266" w:rsidRPr="00EA05B3">
        <w:rPr>
          <w:lang w:val="fr-FR"/>
        </w:rPr>
        <w:t>)</w:t>
      </w:r>
      <w:r w:rsidR="00876266" w:rsidRPr="00EA05B3">
        <w:rPr>
          <w:lang w:val="fr-FR"/>
        </w:rPr>
        <w:tab/>
      </w:r>
      <w:r w:rsidRPr="00EA05B3">
        <w:rPr>
          <w:lang w:val="fr-FR"/>
        </w:rPr>
        <w:t xml:space="preserve">Impossibilité pour les membres de </w:t>
      </w:r>
      <w:r w:rsidR="009379A7" w:rsidRPr="00EA05B3">
        <w:rPr>
          <w:lang w:val="fr-FR"/>
        </w:rPr>
        <w:t>l’</w:t>
      </w:r>
      <w:r w:rsidRPr="00EA05B3">
        <w:rPr>
          <w:lang w:val="fr-FR"/>
        </w:rPr>
        <w:t>appareil judiciaire de pratiquer le droit à titre privé</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f</w:t>
      </w:r>
      <w:r w:rsidR="00876266" w:rsidRPr="00EA05B3">
        <w:rPr>
          <w:lang w:val="fr-FR"/>
        </w:rPr>
        <w:t>)</w:t>
      </w:r>
      <w:r w:rsidR="00876266" w:rsidRPr="00EA05B3">
        <w:rPr>
          <w:lang w:val="fr-FR"/>
        </w:rPr>
        <w:tab/>
      </w:r>
      <w:r w:rsidRPr="00EA05B3">
        <w:rPr>
          <w:lang w:val="fr-FR"/>
        </w:rPr>
        <w:t>Administration de la justice spécialisée pour les enfants et les adolescents</w:t>
      </w:r>
      <w:r w:rsidR="00B36EE6" w:rsidRPr="00EA05B3">
        <w:rPr>
          <w:lang w:val="fr-FR"/>
        </w:rPr>
        <w:t>;</w:t>
      </w:r>
      <w:r w:rsidRPr="00EA05B3">
        <w:rPr>
          <w:lang w:val="fr-FR"/>
        </w:rPr>
        <w:t xml:space="preserve"> </w:t>
      </w:r>
    </w:p>
    <w:p w:rsidR="00D60A11" w:rsidRPr="00EA05B3" w:rsidRDefault="00563B9D" w:rsidP="00460AF1">
      <w:pPr>
        <w:pStyle w:val="SingleTxtG"/>
        <w:ind w:firstLine="567"/>
        <w:rPr>
          <w:lang w:val="fr-FR"/>
        </w:rPr>
      </w:pPr>
      <w:r w:rsidRPr="00EA05B3">
        <w:rPr>
          <w:lang w:val="fr-FR"/>
        </w:rPr>
        <w:t>g</w:t>
      </w:r>
      <w:r w:rsidR="00876266" w:rsidRPr="00EA05B3">
        <w:rPr>
          <w:lang w:val="fr-FR"/>
        </w:rPr>
        <w:t>)</w:t>
      </w:r>
      <w:r w:rsidR="00876266" w:rsidRPr="00EA05B3">
        <w:rPr>
          <w:lang w:val="fr-FR"/>
        </w:rPr>
        <w:tab/>
      </w:r>
      <w:r w:rsidRPr="00EA05B3">
        <w:rPr>
          <w:lang w:val="fr-FR"/>
        </w:rPr>
        <w:t xml:space="preserve">Sélection et nomination des membres de </w:t>
      </w:r>
      <w:r w:rsidR="009379A7" w:rsidRPr="00EA05B3">
        <w:rPr>
          <w:lang w:val="fr-FR"/>
        </w:rPr>
        <w:t>l’</w:t>
      </w:r>
      <w:r w:rsidRPr="00EA05B3">
        <w:rPr>
          <w:lang w:val="fr-FR"/>
        </w:rPr>
        <w:t>appareil judiciaire selon des critères objectifs.</w:t>
      </w:r>
    </w:p>
    <w:p w:rsidR="00D60A11" w:rsidRPr="00EA05B3" w:rsidRDefault="00A926E0" w:rsidP="00F32DF1">
      <w:pPr>
        <w:pStyle w:val="SingleTxtG"/>
        <w:rPr>
          <w:lang w:val="fr-FR"/>
        </w:rPr>
      </w:pPr>
      <w:r w:rsidRPr="00EA05B3">
        <w:rPr>
          <w:lang w:val="fr-FR"/>
        </w:rPr>
        <w:t>201.</w:t>
      </w:r>
      <w:r w:rsidRPr="00EA05B3">
        <w:rPr>
          <w:lang w:val="fr-FR"/>
        </w:rPr>
        <w:tab/>
      </w:r>
      <w:r w:rsidR="009379A7" w:rsidRPr="00EA05B3">
        <w:rPr>
          <w:lang w:val="fr-FR"/>
        </w:rPr>
        <w:t>L’</w:t>
      </w:r>
      <w:r w:rsidR="00D60A11" w:rsidRPr="00EA05B3">
        <w:rPr>
          <w:lang w:val="fr-FR"/>
        </w:rPr>
        <w:t xml:space="preserve">article 177 dispose que la fonction judiciaire est composée </w:t>
      </w:r>
      <w:r w:rsidR="009379A7" w:rsidRPr="00EA05B3">
        <w:rPr>
          <w:lang w:val="fr-FR"/>
        </w:rPr>
        <w:t>d’</w:t>
      </w:r>
      <w:r w:rsidR="00D60A11" w:rsidRPr="00EA05B3">
        <w:rPr>
          <w:lang w:val="fr-FR"/>
        </w:rPr>
        <w:t xml:space="preserve">organes juridictionnels, administratifs, auxiliaires et autonomes. En vertu de </w:t>
      </w:r>
      <w:r w:rsidR="009379A7" w:rsidRPr="00EA05B3">
        <w:rPr>
          <w:lang w:val="fr-FR"/>
        </w:rPr>
        <w:t>l’</w:t>
      </w:r>
      <w:r w:rsidR="00D60A11" w:rsidRPr="00EA05B3">
        <w:rPr>
          <w:lang w:val="fr-FR"/>
        </w:rPr>
        <w:t>article 178, les organes juridictionnels sont</w:t>
      </w:r>
      <w:r w:rsidR="00B36EE6" w:rsidRPr="00EA05B3">
        <w:rPr>
          <w:lang w:val="fr-FR"/>
        </w:rPr>
        <w:t>:</w:t>
      </w:r>
      <w:r w:rsidR="00D60A11" w:rsidRPr="00EA05B3">
        <w:rPr>
          <w:lang w:val="fr-FR"/>
        </w:rPr>
        <w:t xml:space="preserve"> a) la Cour nationale de justice</w:t>
      </w:r>
      <w:r w:rsidR="00B36EE6" w:rsidRPr="00EA05B3">
        <w:rPr>
          <w:lang w:val="fr-FR"/>
        </w:rPr>
        <w:t>;</w:t>
      </w:r>
      <w:r w:rsidR="00D60A11" w:rsidRPr="00EA05B3">
        <w:rPr>
          <w:lang w:val="fr-FR"/>
        </w:rPr>
        <w:t xml:space="preserve"> b) les cours provinciales</w:t>
      </w:r>
      <w:r w:rsidR="00B36EE6" w:rsidRPr="00EA05B3">
        <w:rPr>
          <w:lang w:val="fr-FR"/>
        </w:rPr>
        <w:t>;</w:t>
      </w:r>
      <w:r w:rsidR="00D60A11" w:rsidRPr="00EA05B3">
        <w:rPr>
          <w:lang w:val="fr-FR"/>
        </w:rPr>
        <w:t xml:space="preserve"> c) les tribunaux de première instance créés en vertu de la loi</w:t>
      </w:r>
      <w:r w:rsidR="00B36EE6" w:rsidRPr="00EA05B3">
        <w:rPr>
          <w:lang w:val="fr-FR"/>
        </w:rPr>
        <w:t>;</w:t>
      </w:r>
      <w:r w:rsidR="00D60A11" w:rsidRPr="00EA05B3">
        <w:rPr>
          <w:lang w:val="fr-FR"/>
        </w:rPr>
        <w:t xml:space="preserve"> et d) les juges de paix. Le Conseil de la magistrature est </w:t>
      </w:r>
      <w:r w:rsidR="009379A7" w:rsidRPr="00EA05B3">
        <w:rPr>
          <w:lang w:val="fr-FR"/>
        </w:rPr>
        <w:t>l’</w:t>
      </w:r>
      <w:r w:rsidR="00D60A11" w:rsidRPr="00EA05B3">
        <w:rPr>
          <w:lang w:val="fr-FR"/>
        </w:rPr>
        <w:t>organe administratif qui est chargé du contrôle, de la supervision et de la discipline</w:t>
      </w:r>
      <w:r w:rsidR="00B36EE6" w:rsidRPr="00EA05B3">
        <w:rPr>
          <w:lang w:val="fr-FR"/>
        </w:rPr>
        <w:t>;</w:t>
      </w:r>
      <w:r w:rsidR="00D60A11" w:rsidRPr="00EA05B3">
        <w:rPr>
          <w:lang w:val="fr-FR"/>
        </w:rPr>
        <w:t xml:space="preserve"> le service notarial, les commissaires-priseurs et les séquestres sont des organes auxiliaires</w:t>
      </w:r>
      <w:r w:rsidR="00B36EE6" w:rsidRPr="00EA05B3">
        <w:rPr>
          <w:lang w:val="fr-FR"/>
        </w:rPr>
        <w:t>;</w:t>
      </w:r>
      <w:r w:rsidR="00D60A11" w:rsidRPr="00EA05B3">
        <w:rPr>
          <w:lang w:val="fr-FR"/>
        </w:rPr>
        <w:t xml:space="preserve"> le Service de la défense publique et l</w:t>
      </w:r>
      <w:r w:rsidR="008D00D7" w:rsidRPr="00EA05B3">
        <w:rPr>
          <w:lang w:val="fr-FR"/>
        </w:rPr>
        <w:t xml:space="preserve">e Bureau du Procureur général de la </w:t>
      </w:r>
      <w:r w:rsidR="009C0A83" w:rsidRPr="00EA05B3">
        <w:rPr>
          <w:lang w:val="fr-FR"/>
        </w:rPr>
        <w:t xml:space="preserve">nation </w:t>
      </w:r>
      <w:r w:rsidR="00D60A11" w:rsidRPr="00EA05B3">
        <w:rPr>
          <w:lang w:val="fr-FR"/>
        </w:rPr>
        <w:t>sont des organes autonomes.</w:t>
      </w:r>
    </w:p>
    <w:p w:rsidR="00D60A11" w:rsidRPr="00EA05B3" w:rsidRDefault="00A926E0" w:rsidP="00F32DF1">
      <w:pPr>
        <w:pStyle w:val="SingleTxtG"/>
        <w:rPr>
          <w:lang w:val="fr-FR"/>
        </w:rPr>
      </w:pPr>
      <w:r w:rsidRPr="00EA05B3">
        <w:rPr>
          <w:lang w:val="fr-FR"/>
        </w:rPr>
        <w:t>202.</w:t>
      </w:r>
      <w:r w:rsidRPr="00EA05B3">
        <w:rPr>
          <w:lang w:val="fr-FR"/>
        </w:rPr>
        <w:tab/>
      </w:r>
      <w:r w:rsidR="00D60A11" w:rsidRPr="00EA05B3">
        <w:rPr>
          <w:lang w:val="fr-FR"/>
        </w:rPr>
        <w:t xml:space="preserve">Selon </w:t>
      </w:r>
      <w:r w:rsidR="009379A7" w:rsidRPr="00EA05B3">
        <w:rPr>
          <w:lang w:val="fr-FR"/>
        </w:rPr>
        <w:t>l’</w:t>
      </w:r>
      <w:r w:rsidR="00D60A11" w:rsidRPr="00EA05B3">
        <w:rPr>
          <w:lang w:val="fr-FR"/>
        </w:rPr>
        <w:t>article 181, les fonctions du Conseil de la magistrature sont les suivantes</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a</w:t>
      </w:r>
      <w:r w:rsidR="00876266" w:rsidRPr="00EA05B3">
        <w:rPr>
          <w:lang w:val="fr-FR"/>
        </w:rPr>
        <w:t>)</w:t>
      </w:r>
      <w:r w:rsidR="00876266" w:rsidRPr="00EA05B3">
        <w:rPr>
          <w:lang w:val="fr-FR"/>
        </w:rPr>
        <w:tab/>
      </w:r>
      <w:r w:rsidRPr="00EA05B3">
        <w:rPr>
          <w:lang w:val="fr-FR"/>
        </w:rPr>
        <w:t>Définir et mettre en œuvre des politiques pour améliorer et moderniser le système judiciaire</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b</w:t>
      </w:r>
      <w:r w:rsidR="00876266" w:rsidRPr="00EA05B3">
        <w:rPr>
          <w:lang w:val="fr-FR"/>
        </w:rPr>
        <w:t>)</w:t>
      </w:r>
      <w:r w:rsidR="00876266" w:rsidRPr="00EA05B3">
        <w:rPr>
          <w:lang w:val="fr-FR"/>
        </w:rPr>
        <w:tab/>
      </w:r>
      <w:r w:rsidRPr="00EA05B3">
        <w:rPr>
          <w:lang w:val="fr-FR"/>
        </w:rPr>
        <w:t>Examiner et approuver le projet de budget concernant la fonction judiciaire</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c</w:t>
      </w:r>
      <w:r w:rsidR="00876266" w:rsidRPr="00EA05B3">
        <w:rPr>
          <w:lang w:val="fr-FR"/>
        </w:rPr>
        <w:t>)</w:t>
      </w:r>
      <w:r w:rsidR="00876266" w:rsidRPr="00EA05B3">
        <w:rPr>
          <w:lang w:val="fr-FR"/>
        </w:rPr>
        <w:tab/>
      </w:r>
      <w:r w:rsidRPr="00EA05B3">
        <w:rPr>
          <w:lang w:val="fr-FR"/>
        </w:rPr>
        <w:t xml:space="preserve">Diriger la procédure de sélection des juges et des autres membres de </w:t>
      </w:r>
      <w:r w:rsidR="009379A7" w:rsidRPr="00EA05B3">
        <w:rPr>
          <w:lang w:val="fr-FR"/>
        </w:rPr>
        <w:t>l’</w:t>
      </w:r>
      <w:r w:rsidRPr="00EA05B3">
        <w:rPr>
          <w:lang w:val="fr-FR"/>
        </w:rPr>
        <w:t xml:space="preserve">appareil judiciaire, ainsi que </w:t>
      </w:r>
      <w:r w:rsidR="009379A7" w:rsidRPr="00EA05B3">
        <w:rPr>
          <w:lang w:val="fr-FR"/>
        </w:rPr>
        <w:t>s’</w:t>
      </w:r>
      <w:r w:rsidRPr="00EA05B3">
        <w:rPr>
          <w:lang w:val="fr-FR"/>
        </w:rPr>
        <w:t xml:space="preserve">occuper de </w:t>
      </w:r>
      <w:r w:rsidR="009379A7" w:rsidRPr="00EA05B3">
        <w:rPr>
          <w:lang w:val="fr-FR"/>
        </w:rPr>
        <w:t>l’</w:t>
      </w:r>
      <w:r w:rsidRPr="00EA05B3">
        <w:rPr>
          <w:lang w:val="fr-FR"/>
        </w:rPr>
        <w:t>évaluation, du déroulement de carrière et des sanctions disciplinaires du personnel par le biais de procédures publiques et de décisions motivées</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 xml:space="preserve">d) Gérer le déroulement de carrière et promouvoir la professionnalisation de </w:t>
      </w:r>
      <w:r w:rsidR="009379A7" w:rsidRPr="00EA05B3">
        <w:rPr>
          <w:lang w:val="fr-FR"/>
        </w:rPr>
        <w:t>l’</w:t>
      </w:r>
      <w:r w:rsidRPr="00EA05B3">
        <w:rPr>
          <w:lang w:val="fr-FR"/>
        </w:rPr>
        <w:t>appareil judiciaire en créant et en gérant des écoles de formation et de perfectionnement des compétences</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e</w:t>
      </w:r>
      <w:r w:rsidR="00876266" w:rsidRPr="00EA05B3">
        <w:rPr>
          <w:lang w:val="fr-FR"/>
        </w:rPr>
        <w:t>)</w:t>
      </w:r>
      <w:r w:rsidR="00876266" w:rsidRPr="00EA05B3">
        <w:rPr>
          <w:lang w:val="fr-FR"/>
        </w:rPr>
        <w:tab/>
      </w:r>
      <w:r w:rsidRPr="00EA05B3">
        <w:rPr>
          <w:lang w:val="fr-FR"/>
        </w:rPr>
        <w:t xml:space="preserve">Garantir la transparence et </w:t>
      </w:r>
      <w:r w:rsidR="009379A7" w:rsidRPr="00EA05B3">
        <w:rPr>
          <w:lang w:val="fr-FR"/>
        </w:rPr>
        <w:t>l’</w:t>
      </w:r>
      <w:r w:rsidRPr="00EA05B3">
        <w:rPr>
          <w:lang w:val="fr-FR"/>
        </w:rPr>
        <w:t>efficacité de la fonction judiciaire.</w:t>
      </w:r>
    </w:p>
    <w:p w:rsidR="00D60A11" w:rsidRPr="00EA05B3" w:rsidRDefault="00793C91" w:rsidP="00F32DF1">
      <w:pPr>
        <w:pStyle w:val="SingleTxtG"/>
        <w:rPr>
          <w:lang w:val="fr-FR"/>
        </w:rPr>
      </w:pPr>
      <w:r w:rsidRPr="00EA05B3">
        <w:rPr>
          <w:lang w:val="fr-FR"/>
        </w:rPr>
        <w:t>203.</w:t>
      </w:r>
      <w:r w:rsidRPr="00EA05B3">
        <w:rPr>
          <w:lang w:val="fr-FR"/>
        </w:rPr>
        <w:tab/>
      </w:r>
      <w:r w:rsidR="009379A7" w:rsidRPr="00EA05B3">
        <w:rPr>
          <w:lang w:val="fr-FR"/>
        </w:rPr>
        <w:t>L’</w:t>
      </w:r>
      <w:r w:rsidR="00D60A11" w:rsidRPr="00EA05B3">
        <w:rPr>
          <w:lang w:val="fr-FR"/>
        </w:rPr>
        <w:t xml:space="preserve">article 182 dispose que la Cour nationale de justice exerce sa compétence sur </w:t>
      </w:r>
      <w:r w:rsidR="009379A7" w:rsidRPr="00EA05B3">
        <w:rPr>
          <w:lang w:val="fr-FR"/>
        </w:rPr>
        <w:t>l’</w:t>
      </w:r>
      <w:r w:rsidR="00D60A11" w:rsidRPr="00EA05B3">
        <w:rPr>
          <w:lang w:val="fr-FR"/>
        </w:rPr>
        <w:t>ensemble du territoire national et établit son siège à Quito. Divisée en chambres spécialisées, elle est composée de 21 juges exerçant un mandat non renouvelable de neuf ans et est renouvelée par tiers tous les trois ans.</w:t>
      </w:r>
      <w:r w:rsidR="000D57A5" w:rsidRPr="00EA05B3">
        <w:rPr>
          <w:lang w:val="fr-FR"/>
        </w:rPr>
        <w:t xml:space="preserve"> </w:t>
      </w:r>
      <w:r w:rsidR="00D60A11" w:rsidRPr="00EA05B3">
        <w:rPr>
          <w:lang w:val="fr-FR"/>
        </w:rPr>
        <w:t>Le Président de la Cour, qui représente la fonction judiciaire, est élu parmi les juges de la Cour nationale de justice pour un mandat de trois ans.</w:t>
      </w:r>
      <w:r w:rsidR="000D57A5" w:rsidRPr="00EA05B3">
        <w:rPr>
          <w:lang w:val="fr-FR"/>
        </w:rPr>
        <w:t xml:space="preserve"> </w:t>
      </w:r>
      <w:r w:rsidR="00D60A11" w:rsidRPr="00EA05B3">
        <w:rPr>
          <w:lang w:val="fr-FR"/>
        </w:rPr>
        <w:t>Ce même article prévoit aussi des juges suppléants qui sont soumis au même régime que les juges de plein droit.</w:t>
      </w:r>
    </w:p>
    <w:p w:rsidR="00D60A11" w:rsidRPr="00EA05B3" w:rsidRDefault="00793C91" w:rsidP="00F32DF1">
      <w:pPr>
        <w:pStyle w:val="SingleTxtG"/>
        <w:rPr>
          <w:lang w:val="fr-FR"/>
        </w:rPr>
      </w:pPr>
      <w:r w:rsidRPr="00EA05B3">
        <w:rPr>
          <w:lang w:val="fr-FR"/>
        </w:rPr>
        <w:t>204.</w:t>
      </w:r>
      <w:r w:rsidRPr="00EA05B3">
        <w:rPr>
          <w:lang w:val="fr-FR"/>
        </w:rPr>
        <w:tab/>
      </w:r>
      <w:r w:rsidR="00D60A11" w:rsidRPr="00EA05B3">
        <w:rPr>
          <w:lang w:val="fr-FR"/>
        </w:rPr>
        <w:t xml:space="preserve">En vertu de </w:t>
      </w:r>
      <w:r w:rsidR="009379A7" w:rsidRPr="00EA05B3">
        <w:rPr>
          <w:lang w:val="fr-FR"/>
        </w:rPr>
        <w:t>l’</w:t>
      </w:r>
      <w:r w:rsidR="00D60A11" w:rsidRPr="00EA05B3">
        <w:rPr>
          <w:lang w:val="fr-FR"/>
        </w:rPr>
        <w:t xml:space="preserve">article 183, pour exercer la fonction de juge de la Cour nationale de justice, il faut avoir la nationalité équatorienne, jouir de ses droits politiques, être titulaire </w:t>
      </w:r>
      <w:r w:rsidR="009379A7" w:rsidRPr="00EA05B3">
        <w:rPr>
          <w:lang w:val="fr-FR"/>
        </w:rPr>
        <w:t>d’</w:t>
      </w:r>
      <w:r w:rsidR="00D60A11" w:rsidRPr="00EA05B3">
        <w:rPr>
          <w:lang w:val="fr-FR"/>
        </w:rPr>
        <w:t xml:space="preserve">un diplôme de droit de troisième cycle légalement reconnu dans le pays, avoir exercé pendant au moins dix ans la fonction </w:t>
      </w:r>
      <w:r w:rsidR="009379A7" w:rsidRPr="00EA05B3">
        <w:rPr>
          <w:lang w:val="fr-FR"/>
        </w:rPr>
        <w:t>d’</w:t>
      </w:r>
      <w:r w:rsidR="00D60A11" w:rsidRPr="00EA05B3">
        <w:rPr>
          <w:lang w:val="fr-FR"/>
        </w:rPr>
        <w:t xml:space="preserve">avocat, de juge ou de professeur de droit et jouir </w:t>
      </w:r>
      <w:r w:rsidR="009379A7" w:rsidRPr="00EA05B3">
        <w:rPr>
          <w:lang w:val="fr-FR"/>
        </w:rPr>
        <w:t>d’</w:t>
      </w:r>
      <w:r w:rsidR="00D60A11" w:rsidRPr="00EA05B3">
        <w:rPr>
          <w:lang w:val="fr-FR"/>
        </w:rPr>
        <w:t xml:space="preserve">une réputation </w:t>
      </w:r>
      <w:r w:rsidR="009379A7" w:rsidRPr="00EA05B3">
        <w:rPr>
          <w:lang w:val="fr-FR"/>
        </w:rPr>
        <w:t>d’</w:t>
      </w:r>
      <w:r w:rsidR="00D60A11" w:rsidRPr="00EA05B3">
        <w:rPr>
          <w:lang w:val="fr-FR"/>
        </w:rPr>
        <w:t xml:space="preserve">excellence et </w:t>
      </w:r>
      <w:r w:rsidR="009379A7" w:rsidRPr="00EA05B3">
        <w:rPr>
          <w:lang w:val="fr-FR"/>
        </w:rPr>
        <w:t>d’</w:t>
      </w:r>
      <w:r w:rsidR="00D60A11" w:rsidRPr="00EA05B3">
        <w:rPr>
          <w:lang w:val="fr-FR"/>
        </w:rPr>
        <w:t xml:space="preserve">intégrité. Le Conseil de la magistrature nomme les juges à </w:t>
      </w:r>
      <w:r w:rsidR="009379A7" w:rsidRPr="00EA05B3">
        <w:rPr>
          <w:lang w:val="fr-FR"/>
        </w:rPr>
        <w:t>l’</w:t>
      </w:r>
      <w:r w:rsidR="00D60A11" w:rsidRPr="00EA05B3">
        <w:rPr>
          <w:lang w:val="fr-FR"/>
        </w:rPr>
        <w:t xml:space="preserve">issue </w:t>
      </w:r>
      <w:r w:rsidR="009379A7" w:rsidRPr="00EA05B3">
        <w:rPr>
          <w:lang w:val="fr-FR"/>
        </w:rPr>
        <w:t>d’</w:t>
      </w:r>
      <w:r w:rsidR="00D60A11" w:rsidRPr="00EA05B3">
        <w:rPr>
          <w:lang w:val="fr-FR"/>
        </w:rPr>
        <w:t>un concours fondé sur des critères objectifs, le droit de contestation et la participation citoyenne, en veillant à garantir la parité entre hommes et femmes.</w:t>
      </w:r>
    </w:p>
    <w:p w:rsidR="00D60A11" w:rsidRPr="00EA05B3" w:rsidRDefault="00793C91" w:rsidP="00F32DF1">
      <w:pPr>
        <w:pStyle w:val="SingleTxtG"/>
        <w:rPr>
          <w:lang w:val="fr-FR"/>
        </w:rPr>
      </w:pPr>
      <w:r w:rsidRPr="00EA05B3">
        <w:rPr>
          <w:lang w:val="fr-FR"/>
        </w:rPr>
        <w:t>205.</w:t>
      </w:r>
      <w:r w:rsidRPr="00EA05B3">
        <w:rPr>
          <w:lang w:val="fr-FR"/>
        </w:rPr>
        <w:tab/>
      </w:r>
      <w:r w:rsidR="00D60A11" w:rsidRPr="00EA05B3">
        <w:rPr>
          <w:lang w:val="fr-FR"/>
        </w:rPr>
        <w:t xml:space="preserve">En vertu de </w:t>
      </w:r>
      <w:r w:rsidR="009379A7" w:rsidRPr="00EA05B3">
        <w:rPr>
          <w:lang w:val="fr-FR"/>
        </w:rPr>
        <w:t>l’</w:t>
      </w:r>
      <w:r w:rsidR="00D60A11" w:rsidRPr="00EA05B3">
        <w:rPr>
          <w:lang w:val="fr-FR"/>
        </w:rPr>
        <w:t>article 184, les fonctions de la Cour nationale de justice sont les suivantes, indépendamment de celles que la loi lui confère</w:t>
      </w:r>
      <w:r w:rsidR="00B36EE6" w:rsidRPr="00EA05B3">
        <w:rPr>
          <w:lang w:val="fr-FR"/>
        </w:rPr>
        <w:t>:</w:t>
      </w:r>
      <w:r w:rsidR="00D60A11" w:rsidRPr="00EA05B3">
        <w:rPr>
          <w:lang w:val="fr-FR"/>
        </w:rPr>
        <w:t xml:space="preserve"> a) connaître des pourvois en cassation, recours en révision et autres recours prévus par la loi</w:t>
      </w:r>
      <w:r w:rsidR="00B36EE6" w:rsidRPr="00EA05B3">
        <w:rPr>
          <w:lang w:val="fr-FR"/>
        </w:rPr>
        <w:t>;</w:t>
      </w:r>
      <w:r w:rsidR="00D60A11" w:rsidRPr="00EA05B3">
        <w:rPr>
          <w:lang w:val="fr-FR"/>
        </w:rPr>
        <w:t xml:space="preserve"> b) développer le système de précédents jurisprudentiels qui ont été confirmés à tous les degrés de juridiction</w:t>
      </w:r>
      <w:r w:rsidR="00B36EE6" w:rsidRPr="00EA05B3">
        <w:rPr>
          <w:lang w:val="fr-FR"/>
        </w:rPr>
        <w:t>;</w:t>
      </w:r>
      <w:r w:rsidR="00D60A11" w:rsidRPr="00EA05B3">
        <w:rPr>
          <w:lang w:val="fr-FR"/>
        </w:rPr>
        <w:t xml:space="preserve"> c) connaître des actions intentées contre des membres de la fonction publique qui jouissent de </w:t>
      </w:r>
      <w:r w:rsidR="009379A7" w:rsidRPr="00EA05B3">
        <w:rPr>
          <w:lang w:val="fr-FR"/>
        </w:rPr>
        <w:t>l’</w:t>
      </w:r>
      <w:r w:rsidR="00D60A11" w:rsidRPr="00EA05B3">
        <w:rPr>
          <w:lang w:val="fr-FR"/>
        </w:rPr>
        <w:t>immunité</w:t>
      </w:r>
      <w:r w:rsidR="00B36EE6" w:rsidRPr="00EA05B3">
        <w:rPr>
          <w:lang w:val="fr-FR"/>
        </w:rPr>
        <w:t>;</w:t>
      </w:r>
      <w:r w:rsidR="00D60A11" w:rsidRPr="00EA05B3">
        <w:rPr>
          <w:lang w:val="fr-FR"/>
        </w:rPr>
        <w:t xml:space="preserve"> et d) présenter des projets de loi relatifs au système </w:t>
      </w:r>
      <w:r w:rsidR="009379A7" w:rsidRPr="00EA05B3">
        <w:rPr>
          <w:lang w:val="fr-FR"/>
        </w:rPr>
        <w:t>d’</w:t>
      </w:r>
      <w:r w:rsidR="00D60A11" w:rsidRPr="00EA05B3">
        <w:rPr>
          <w:lang w:val="fr-FR"/>
        </w:rPr>
        <w:t xml:space="preserve">administration de la justice. </w:t>
      </w:r>
      <w:r w:rsidR="009379A7" w:rsidRPr="00EA05B3">
        <w:rPr>
          <w:lang w:val="fr-FR"/>
        </w:rPr>
        <w:t>S’</w:t>
      </w:r>
      <w:r w:rsidR="00D60A11" w:rsidRPr="00EA05B3">
        <w:rPr>
          <w:lang w:val="fr-FR"/>
        </w:rPr>
        <w:t xml:space="preserve">agissant de </w:t>
      </w:r>
      <w:r w:rsidR="009379A7" w:rsidRPr="00EA05B3">
        <w:rPr>
          <w:lang w:val="fr-FR"/>
        </w:rPr>
        <w:t>l’</w:t>
      </w:r>
      <w:r w:rsidR="00D60A11" w:rsidRPr="00EA05B3">
        <w:rPr>
          <w:lang w:val="fr-FR"/>
        </w:rPr>
        <w:t xml:space="preserve">alinéa </w:t>
      </w:r>
      <w:r w:rsidR="00D60A11" w:rsidRPr="006A764B">
        <w:rPr>
          <w:iCs/>
          <w:lang w:val="fr-FR"/>
        </w:rPr>
        <w:t>b</w:t>
      </w:r>
      <w:r w:rsidR="006A764B">
        <w:rPr>
          <w:lang w:val="fr-FR"/>
        </w:rPr>
        <w:t>)</w:t>
      </w:r>
      <w:r w:rsidR="00D60A11" w:rsidRPr="00EA05B3">
        <w:rPr>
          <w:lang w:val="fr-FR"/>
        </w:rPr>
        <w:t xml:space="preserve">, </w:t>
      </w:r>
      <w:r w:rsidR="009379A7" w:rsidRPr="00EA05B3">
        <w:rPr>
          <w:lang w:val="fr-FR"/>
        </w:rPr>
        <w:t>l’</w:t>
      </w:r>
      <w:r w:rsidR="00D60A11" w:rsidRPr="00EA05B3">
        <w:rPr>
          <w:lang w:val="fr-FR"/>
        </w:rPr>
        <w:t xml:space="preserve">article 185 dispose que les arrêts des chambres spécialisées qui prononcent à trois reprises le même avis sur une même question sont transmis à la Cour en chambre plénière, laquelle les examine et rend un arrêt dans un délai maximal de soixante jours. Si le jugement est confirmé, </w:t>
      </w:r>
      <w:r w:rsidR="009379A7" w:rsidRPr="00EA05B3">
        <w:rPr>
          <w:lang w:val="fr-FR"/>
        </w:rPr>
        <w:t>l’</w:t>
      </w:r>
      <w:r w:rsidR="00D60A11" w:rsidRPr="00EA05B3">
        <w:rPr>
          <w:lang w:val="fr-FR"/>
        </w:rPr>
        <w:t>avis constitue un précédent contraignant.</w:t>
      </w:r>
    </w:p>
    <w:p w:rsidR="00D60A11" w:rsidRPr="00EA05B3" w:rsidRDefault="00793C91" w:rsidP="00F32DF1">
      <w:pPr>
        <w:pStyle w:val="SingleTxtG"/>
        <w:rPr>
          <w:lang w:val="fr-FR"/>
        </w:rPr>
      </w:pPr>
      <w:r w:rsidRPr="00EA05B3">
        <w:rPr>
          <w:lang w:val="fr-FR"/>
        </w:rPr>
        <w:t>206.</w:t>
      </w:r>
      <w:r w:rsidRPr="00EA05B3">
        <w:rPr>
          <w:lang w:val="fr-FR"/>
        </w:rPr>
        <w:tab/>
      </w:r>
      <w:r w:rsidR="009379A7" w:rsidRPr="00EA05B3">
        <w:rPr>
          <w:lang w:val="fr-FR"/>
        </w:rPr>
        <w:t>L’</w:t>
      </w:r>
      <w:r w:rsidR="00D60A11" w:rsidRPr="00EA05B3">
        <w:rPr>
          <w:lang w:val="fr-FR"/>
        </w:rPr>
        <w:t xml:space="preserve">article 186 dispose que des cours sont établies dans chaque province et </w:t>
      </w:r>
      <w:r w:rsidR="009379A7" w:rsidRPr="00EA05B3">
        <w:rPr>
          <w:lang w:val="fr-FR"/>
        </w:rPr>
        <w:t>qu’</w:t>
      </w:r>
      <w:r w:rsidR="00D60A11" w:rsidRPr="00EA05B3">
        <w:rPr>
          <w:lang w:val="fr-FR"/>
        </w:rPr>
        <w:t xml:space="preserve">elles sont composées du nombre de juges nécessaires pour traiter les affaires. Les juges, issus de la carrière judiciaire, avocats indépendants ou professeurs de droit, sont répartis en chambres spécialisées qui correspondent à celles de la Cour nationale de justice. En vertu du même article, le Conseil de la magistrature détermine le nombre de tribunaux de première instance nécessaires pour répondre aux besoins de la population, sachant que chaque canton doit disposer </w:t>
      </w:r>
      <w:r w:rsidR="009379A7" w:rsidRPr="00EA05B3">
        <w:rPr>
          <w:lang w:val="fr-FR"/>
        </w:rPr>
        <w:t>d’</w:t>
      </w:r>
      <w:r w:rsidR="00D60A11" w:rsidRPr="00EA05B3">
        <w:rPr>
          <w:lang w:val="fr-FR"/>
        </w:rPr>
        <w:t xml:space="preserve">au moins un juge spécialisé dans les affaires familiales et la justice pour mineurs, selon les besoins de la population, et que les localités où il existe un centre de réadaptation sociale doivent disposer </w:t>
      </w:r>
      <w:r w:rsidR="009379A7" w:rsidRPr="00EA05B3">
        <w:rPr>
          <w:lang w:val="fr-FR"/>
        </w:rPr>
        <w:t>d’</w:t>
      </w:r>
      <w:r w:rsidR="00D60A11" w:rsidRPr="00EA05B3">
        <w:rPr>
          <w:lang w:val="fr-FR"/>
        </w:rPr>
        <w:t>au moins un tribunal pour défendre les droits des détenus.</w:t>
      </w:r>
    </w:p>
    <w:p w:rsidR="00D60A11" w:rsidRPr="00EA05B3" w:rsidRDefault="00793C91" w:rsidP="00F32DF1">
      <w:pPr>
        <w:pStyle w:val="SingleTxtG"/>
        <w:rPr>
          <w:lang w:val="fr-FR"/>
        </w:rPr>
      </w:pPr>
      <w:r w:rsidRPr="00EA05B3">
        <w:rPr>
          <w:lang w:val="fr-FR"/>
        </w:rPr>
        <w:t>207.</w:t>
      </w:r>
      <w:r w:rsidRPr="00EA05B3">
        <w:rPr>
          <w:lang w:val="fr-FR"/>
        </w:rPr>
        <w:tab/>
      </w:r>
      <w:r w:rsidR="00D60A11" w:rsidRPr="00EA05B3">
        <w:rPr>
          <w:lang w:val="fr-FR"/>
        </w:rPr>
        <w:t xml:space="preserve">Le principe de </w:t>
      </w:r>
      <w:r w:rsidR="009379A7" w:rsidRPr="00EA05B3">
        <w:rPr>
          <w:lang w:val="fr-FR"/>
        </w:rPr>
        <w:t>l’</w:t>
      </w:r>
      <w:r w:rsidR="00D60A11" w:rsidRPr="00EA05B3">
        <w:rPr>
          <w:lang w:val="fr-FR"/>
        </w:rPr>
        <w:t xml:space="preserve">unité de juridiction est garanti, en vertu de </w:t>
      </w:r>
      <w:r w:rsidR="009379A7" w:rsidRPr="00EA05B3">
        <w:rPr>
          <w:lang w:val="fr-FR"/>
        </w:rPr>
        <w:t>l’</w:t>
      </w:r>
      <w:r w:rsidR="00D60A11" w:rsidRPr="00EA05B3">
        <w:rPr>
          <w:lang w:val="fr-FR"/>
        </w:rPr>
        <w:t xml:space="preserve">article 188 qui dispose que les membres des forces armées et de la police nationale sont jugés par la justice ordinaire, que les fautes </w:t>
      </w:r>
      <w:r w:rsidR="009379A7" w:rsidRPr="00EA05B3">
        <w:rPr>
          <w:lang w:val="fr-FR"/>
        </w:rPr>
        <w:t>d’</w:t>
      </w:r>
      <w:r w:rsidR="00D60A11" w:rsidRPr="00EA05B3">
        <w:rPr>
          <w:lang w:val="fr-FR"/>
        </w:rPr>
        <w:t>ordre disciplinaire sont soumises à leurs propres règles de procédure et que la loi régit la question du for, selon la hiérarchie et la responsabilité administrative.</w:t>
      </w:r>
    </w:p>
    <w:p w:rsidR="00D60A11" w:rsidRPr="00EA05B3" w:rsidRDefault="00793C91" w:rsidP="00F32DF1">
      <w:pPr>
        <w:pStyle w:val="SingleTxtG"/>
        <w:rPr>
          <w:lang w:val="fr-FR"/>
        </w:rPr>
      </w:pPr>
      <w:r w:rsidRPr="00EA05B3">
        <w:rPr>
          <w:lang w:val="fr-FR"/>
        </w:rPr>
        <w:t>208.</w:t>
      </w:r>
      <w:r w:rsidRPr="00EA05B3">
        <w:rPr>
          <w:lang w:val="fr-FR"/>
        </w:rPr>
        <w:tab/>
      </w:r>
      <w:r w:rsidR="00D60A11" w:rsidRPr="00EA05B3">
        <w:rPr>
          <w:lang w:val="fr-FR"/>
        </w:rPr>
        <w:t xml:space="preserve">Les articles 191 à 193 se rapportent au Service de la défense publique. Ils disposent que le Service de la défense publique a pour objet de garantir un accès plein et égal à la justice aux personnes qui, en raison de leur manque de protection ou de leur situation économique, sociale ou culturelle, ne peuvent </w:t>
      </w:r>
      <w:r w:rsidR="009379A7" w:rsidRPr="00EA05B3">
        <w:rPr>
          <w:lang w:val="fr-FR"/>
        </w:rPr>
        <w:t>s’</w:t>
      </w:r>
      <w:r w:rsidR="00D60A11" w:rsidRPr="00EA05B3">
        <w:rPr>
          <w:lang w:val="fr-FR"/>
        </w:rPr>
        <w:t xml:space="preserve">assurer les services </w:t>
      </w:r>
      <w:r w:rsidR="009379A7" w:rsidRPr="00EA05B3">
        <w:rPr>
          <w:lang w:val="fr-FR"/>
        </w:rPr>
        <w:t>d’</w:t>
      </w:r>
      <w:r w:rsidR="00D60A11" w:rsidRPr="00EA05B3">
        <w:rPr>
          <w:lang w:val="fr-FR"/>
        </w:rPr>
        <w:t xml:space="preserve">un avocat pour défendre leurs droits. Le Service de la défense publique offre des services juridiques, techniques, ponctuels, efficaces, efficients et gratuits pour la représentation en justice des droits des personnes, en toutes matières et devant toutes les instances. À cette fin, il jouit </w:t>
      </w:r>
      <w:r w:rsidR="009379A7" w:rsidRPr="00EA05B3">
        <w:rPr>
          <w:lang w:val="fr-FR"/>
        </w:rPr>
        <w:t>d’</w:t>
      </w:r>
      <w:r w:rsidR="00D60A11" w:rsidRPr="00EA05B3">
        <w:rPr>
          <w:lang w:val="fr-FR"/>
        </w:rPr>
        <w:t xml:space="preserve">une autonomie administrative, financière et économique et doit pouvoir compter sur des ressources humaines, des équipements et des conditions de travail équivalents à ceux </w:t>
      </w:r>
      <w:r w:rsidR="008D00D7" w:rsidRPr="00EA05B3">
        <w:rPr>
          <w:lang w:val="fr-FR"/>
        </w:rPr>
        <w:t xml:space="preserve">du Bureau du Procureur général de la </w:t>
      </w:r>
      <w:r w:rsidR="001673B6" w:rsidRPr="00EA05B3">
        <w:rPr>
          <w:lang w:val="fr-FR"/>
        </w:rPr>
        <w:t>nation</w:t>
      </w:r>
      <w:r w:rsidR="00D60A11" w:rsidRPr="00EA05B3">
        <w:rPr>
          <w:lang w:val="fr-FR"/>
        </w:rPr>
        <w:t xml:space="preserve">. Ces articles disposent en outre que les facultés de droit, de jurisprudence ou de sciences juridiques organisent et fournissent des services de conseil et de défense gratuits aux indigents et aux groupes </w:t>
      </w:r>
      <w:r w:rsidR="009379A7" w:rsidRPr="00EA05B3">
        <w:rPr>
          <w:lang w:val="fr-FR"/>
        </w:rPr>
        <w:t>d’</w:t>
      </w:r>
      <w:r w:rsidR="00D60A11" w:rsidRPr="00EA05B3">
        <w:rPr>
          <w:lang w:val="fr-FR"/>
        </w:rPr>
        <w:t>attention prioritaire.</w:t>
      </w:r>
    </w:p>
    <w:p w:rsidR="00D60A11" w:rsidRPr="00EA05B3" w:rsidRDefault="00793C91" w:rsidP="00F32DF1">
      <w:pPr>
        <w:pStyle w:val="SingleTxtG"/>
        <w:rPr>
          <w:lang w:val="fr-FR"/>
        </w:rPr>
      </w:pPr>
      <w:r w:rsidRPr="00EA05B3">
        <w:rPr>
          <w:lang w:val="fr-FR"/>
        </w:rPr>
        <w:t>209.</w:t>
      </w:r>
      <w:r w:rsidRPr="00EA05B3">
        <w:rPr>
          <w:lang w:val="fr-FR"/>
        </w:rPr>
        <w:tab/>
      </w:r>
      <w:r w:rsidR="008D00D7" w:rsidRPr="00EA05B3">
        <w:rPr>
          <w:lang w:val="fr-FR"/>
        </w:rPr>
        <w:t>Conformément à l’article 194, le</w:t>
      </w:r>
      <w:r w:rsidR="00D60A11" w:rsidRPr="00EA05B3">
        <w:rPr>
          <w:lang w:val="fr-FR"/>
        </w:rPr>
        <w:t xml:space="preserve"> </w:t>
      </w:r>
      <w:r w:rsidR="008D00D7" w:rsidRPr="00EA05B3">
        <w:rPr>
          <w:lang w:val="fr-FR"/>
        </w:rPr>
        <w:t xml:space="preserve">Bureau du Procureur général de la </w:t>
      </w:r>
      <w:r w:rsidR="001673B6" w:rsidRPr="00EA05B3">
        <w:rPr>
          <w:lang w:val="fr-FR"/>
        </w:rPr>
        <w:t xml:space="preserve">nation </w:t>
      </w:r>
      <w:r w:rsidR="008D00D7" w:rsidRPr="00EA05B3">
        <w:rPr>
          <w:lang w:val="fr-FR"/>
        </w:rPr>
        <w:t xml:space="preserve">est </w:t>
      </w:r>
      <w:r w:rsidR="00D60A11" w:rsidRPr="00EA05B3">
        <w:rPr>
          <w:lang w:val="fr-FR"/>
        </w:rPr>
        <w:t xml:space="preserve">un organe décentralisé jouissant </w:t>
      </w:r>
      <w:r w:rsidR="009379A7" w:rsidRPr="00EA05B3">
        <w:rPr>
          <w:lang w:val="fr-FR"/>
        </w:rPr>
        <w:t>d’</w:t>
      </w:r>
      <w:r w:rsidR="00D60A11" w:rsidRPr="00EA05B3">
        <w:rPr>
          <w:lang w:val="fr-FR"/>
        </w:rPr>
        <w:t xml:space="preserve">une autonomie administrative, économique et financière. Le </w:t>
      </w:r>
      <w:r w:rsidR="008D00D7" w:rsidRPr="00EA05B3">
        <w:rPr>
          <w:lang w:val="fr-FR"/>
        </w:rPr>
        <w:t xml:space="preserve">Procureur général de la </w:t>
      </w:r>
      <w:r w:rsidR="001673B6" w:rsidRPr="00EA05B3">
        <w:rPr>
          <w:lang w:val="fr-FR"/>
        </w:rPr>
        <w:t xml:space="preserve">nation </w:t>
      </w:r>
      <w:r w:rsidR="00D60A11" w:rsidRPr="00EA05B3">
        <w:rPr>
          <w:lang w:val="fr-FR"/>
        </w:rPr>
        <w:t xml:space="preserve">est </w:t>
      </w:r>
      <w:r w:rsidR="008D00D7" w:rsidRPr="00EA05B3">
        <w:rPr>
          <w:lang w:val="fr-FR"/>
        </w:rPr>
        <w:t xml:space="preserve">la </w:t>
      </w:r>
      <w:r w:rsidR="00D60A11" w:rsidRPr="00EA05B3">
        <w:rPr>
          <w:lang w:val="fr-FR"/>
        </w:rPr>
        <w:t xml:space="preserve">plus haute autorité et </w:t>
      </w:r>
      <w:r w:rsidR="008D00D7" w:rsidRPr="00EA05B3">
        <w:rPr>
          <w:lang w:val="fr-FR"/>
        </w:rPr>
        <w:t xml:space="preserve">le </w:t>
      </w:r>
      <w:r w:rsidR="00D60A11" w:rsidRPr="00EA05B3">
        <w:rPr>
          <w:lang w:val="fr-FR"/>
        </w:rPr>
        <w:t>représentant légal</w:t>
      </w:r>
      <w:r w:rsidR="008D00D7" w:rsidRPr="00EA05B3">
        <w:rPr>
          <w:lang w:val="fr-FR"/>
        </w:rPr>
        <w:t xml:space="preserve"> de cette institution qui, conformément aux dispositions de l’</w:t>
      </w:r>
      <w:r w:rsidR="00D60A11" w:rsidRPr="00EA05B3">
        <w:rPr>
          <w:lang w:val="fr-FR"/>
        </w:rPr>
        <w:t>article 195</w:t>
      </w:r>
      <w:r w:rsidR="008D00D7" w:rsidRPr="00EA05B3">
        <w:rPr>
          <w:lang w:val="fr-FR"/>
        </w:rPr>
        <w:t xml:space="preserve">, </w:t>
      </w:r>
      <w:r w:rsidR="00D60A11" w:rsidRPr="00EA05B3">
        <w:rPr>
          <w:lang w:val="fr-FR"/>
        </w:rPr>
        <w:t xml:space="preserve">dirige, </w:t>
      </w:r>
      <w:r w:rsidR="009379A7" w:rsidRPr="00EA05B3">
        <w:rPr>
          <w:lang w:val="fr-FR"/>
        </w:rPr>
        <w:t>d’</w:t>
      </w:r>
      <w:r w:rsidR="00D60A11" w:rsidRPr="00EA05B3">
        <w:rPr>
          <w:lang w:val="fr-FR"/>
        </w:rPr>
        <w:t xml:space="preserve">office ou à la demande </w:t>
      </w:r>
      <w:r w:rsidR="009379A7" w:rsidRPr="00EA05B3">
        <w:rPr>
          <w:lang w:val="fr-FR"/>
        </w:rPr>
        <w:t>d’</w:t>
      </w:r>
      <w:r w:rsidR="00D60A11" w:rsidRPr="00EA05B3">
        <w:rPr>
          <w:lang w:val="fr-FR"/>
        </w:rPr>
        <w:t xml:space="preserve">une des parties, </w:t>
      </w:r>
      <w:r w:rsidR="009379A7" w:rsidRPr="00EA05B3">
        <w:rPr>
          <w:lang w:val="fr-FR"/>
        </w:rPr>
        <w:t>l’</w:t>
      </w:r>
      <w:r w:rsidR="00D60A11" w:rsidRPr="00EA05B3">
        <w:rPr>
          <w:lang w:val="fr-FR"/>
        </w:rPr>
        <w:t xml:space="preserve">enquête préalable et </w:t>
      </w:r>
      <w:r w:rsidR="009379A7" w:rsidRPr="00EA05B3">
        <w:rPr>
          <w:lang w:val="fr-FR"/>
        </w:rPr>
        <w:t>l’</w:t>
      </w:r>
      <w:r w:rsidR="00D60A11" w:rsidRPr="00EA05B3">
        <w:rPr>
          <w:lang w:val="fr-FR"/>
        </w:rPr>
        <w:t xml:space="preserve">instruction proprement dite, en exerçant </w:t>
      </w:r>
      <w:r w:rsidR="009379A7" w:rsidRPr="00EA05B3">
        <w:rPr>
          <w:lang w:val="fr-FR"/>
        </w:rPr>
        <w:t>l’</w:t>
      </w:r>
      <w:r w:rsidR="00D60A11" w:rsidRPr="00EA05B3">
        <w:rPr>
          <w:lang w:val="fr-FR"/>
        </w:rPr>
        <w:t xml:space="preserve">action publique dans le respect des principes de </w:t>
      </w:r>
      <w:r w:rsidR="009379A7" w:rsidRPr="00EA05B3">
        <w:rPr>
          <w:lang w:val="fr-FR"/>
        </w:rPr>
        <w:t>l’</w:t>
      </w:r>
      <w:r w:rsidR="00D60A11" w:rsidRPr="00EA05B3">
        <w:rPr>
          <w:lang w:val="fr-FR"/>
        </w:rPr>
        <w:t xml:space="preserve">opportunité des poursuites et de </w:t>
      </w:r>
      <w:r w:rsidR="009379A7" w:rsidRPr="00EA05B3">
        <w:rPr>
          <w:lang w:val="fr-FR"/>
        </w:rPr>
        <w:t>l’</w:t>
      </w:r>
      <w:r w:rsidR="00D60A11" w:rsidRPr="00EA05B3">
        <w:rPr>
          <w:lang w:val="fr-FR"/>
        </w:rPr>
        <w:t xml:space="preserve">intervention minimale, et en prêtant particulièrement attention à </w:t>
      </w:r>
      <w:r w:rsidR="009379A7" w:rsidRPr="00EA05B3">
        <w:rPr>
          <w:lang w:val="fr-FR"/>
        </w:rPr>
        <w:t>l’</w:t>
      </w:r>
      <w:r w:rsidR="00D60A11" w:rsidRPr="00EA05B3">
        <w:rPr>
          <w:lang w:val="fr-FR"/>
        </w:rPr>
        <w:t>intérêt public et aux droits des victimes. S</w:t>
      </w:r>
      <w:r w:rsidR="008D00D7" w:rsidRPr="00EA05B3">
        <w:rPr>
          <w:lang w:val="fr-FR"/>
        </w:rPr>
        <w:t>’il</w:t>
      </w:r>
      <w:r w:rsidR="00D60A11" w:rsidRPr="00EA05B3">
        <w:rPr>
          <w:lang w:val="fr-FR"/>
        </w:rPr>
        <w:t xml:space="preserve"> dispose </w:t>
      </w:r>
      <w:r w:rsidR="009379A7" w:rsidRPr="00EA05B3">
        <w:rPr>
          <w:lang w:val="fr-FR"/>
        </w:rPr>
        <w:t>d’</w:t>
      </w:r>
      <w:r w:rsidR="00D60A11" w:rsidRPr="00EA05B3">
        <w:rPr>
          <w:lang w:val="fr-FR"/>
        </w:rPr>
        <w:t>éléments de preuve</w:t>
      </w:r>
      <w:r w:rsidR="008D00D7" w:rsidRPr="00EA05B3">
        <w:rPr>
          <w:lang w:val="fr-FR"/>
        </w:rPr>
        <w:t xml:space="preserve"> suffisants</w:t>
      </w:r>
      <w:r w:rsidR="00D60A11" w:rsidRPr="00EA05B3">
        <w:rPr>
          <w:lang w:val="fr-FR"/>
        </w:rPr>
        <w:t xml:space="preserve">, </w:t>
      </w:r>
      <w:r w:rsidR="008D00D7" w:rsidRPr="00EA05B3">
        <w:rPr>
          <w:lang w:val="fr-FR"/>
        </w:rPr>
        <w:t xml:space="preserve">le Bureau du Procureur général de la </w:t>
      </w:r>
      <w:r w:rsidR="009C0A83" w:rsidRPr="00EA05B3">
        <w:rPr>
          <w:lang w:val="fr-FR"/>
        </w:rPr>
        <w:t xml:space="preserve">nation </w:t>
      </w:r>
      <w:r w:rsidR="00D60A11" w:rsidRPr="00EA05B3">
        <w:rPr>
          <w:lang w:val="fr-FR"/>
        </w:rPr>
        <w:t xml:space="preserve">saisit le juge compétent pour intenter des poursuites contre </w:t>
      </w:r>
      <w:r w:rsidR="009379A7" w:rsidRPr="00EA05B3">
        <w:rPr>
          <w:lang w:val="fr-FR"/>
        </w:rPr>
        <w:t>l’</w:t>
      </w:r>
      <w:r w:rsidR="00D60A11" w:rsidRPr="00EA05B3">
        <w:rPr>
          <w:lang w:val="fr-FR"/>
        </w:rPr>
        <w:t xml:space="preserve">auteur présumé </w:t>
      </w:r>
      <w:r w:rsidR="009379A7" w:rsidRPr="00EA05B3">
        <w:rPr>
          <w:lang w:val="fr-FR"/>
        </w:rPr>
        <w:t>d’</w:t>
      </w:r>
      <w:r w:rsidR="00D60A11" w:rsidRPr="00EA05B3">
        <w:rPr>
          <w:lang w:val="fr-FR"/>
        </w:rPr>
        <w:t xml:space="preserve">une infraction et conduit la procédure pénale. </w:t>
      </w:r>
    </w:p>
    <w:p w:rsidR="00D60A11" w:rsidRPr="00EA05B3" w:rsidRDefault="00793C91" w:rsidP="00F32DF1">
      <w:pPr>
        <w:pStyle w:val="SingleTxtG"/>
        <w:rPr>
          <w:lang w:val="fr-FR"/>
        </w:rPr>
      </w:pPr>
      <w:r w:rsidRPr="00EA05B3">
        <w:rPr>
          <w:lang w:val="fr-FR"/>
        </w:rPr>
        <w:t>210.</w:t>
      </w:r>
      <w:r w:rsidRPr="00EA05B3">
        <w:rPr>
          <w:lang w:val="fr-FR"/>
        </w:rPr>
        <w:tab/>
      </w:r>
      <w:r w:rsidR="009379A7" w:rsidRPr="00EA05B3">
        <w:rPr>
          <w:lang w:val="fr-FR"/>
        </w:rPr>
        <w:t>L’</w:t>
      </w:r>
      <w:r w:rsidR="00D60A11" w:rsidRPr="00EA05B3">
        <w:rPr>
          <w:lang w:val="fr-FR"/>
        </w:rPr>
        <w:t xml:space="preserve">article 195 dispose </w:t>
      </w:r>
      <w:r w:rsidR="009379A7" w:rsidRPr="00EA05B3">
        <w:rPr>
          <w:lang w:val="fr-FR"/>
        </w:rPr>
        <w:t>qu’</w:t>
      </w:r>
      <w:r w:rsidR="00D60A11" w:rsidRPr="00EA05B3">
        <w:rPr>
          <w:lang w:val="fr-FR"/>
        </w:rPr>
        <w:t xml:space="preserve">à cette fin </w:t>
      </w:r>
      <w:r w:rsidR="008D00D7" w:rsidRPr="00EA05B3">
        <w:rPr>
          <w:lang w:val="fr-FR"/>
        </w:rPr>
        <w:t xml:space="preserve">le Bureau du Procureur général de la </w:t>
      </w:r>
      <w:r w:rsidR="001673B6" w:rsidRPr="00EA05B3">
        <w:rPr>
          <w:lang w:val="fr-FR"/>
        </w:rPr>
        <w:t>nation</w:t>
      </w:r>
      <w:r w:rsidR="001673B6" w:rsidRPr="00EA05B3">
        <w:rPr>
          <w:i/>
          <w:lang w:val="fr-FR"/>
        </w:rPr>
        <w:t xml:space="preserve"> </w:t>
      </w:r>
      <w:r w:rsidR="00D60A11" w:rsidRPr="00EA05B3">
        <w:rPr>
          <w:lang w:val="fr-FR"/>
        </w:rPr>
        <w:t xml:space="preserve">organise et dirige tout un système associant enquêtes et expertises médico-légales, composé de civils et de policiers spécialisés, ainsi </w:t>
      </w:r>
      <w:r w:rsidR="009379A7" w:rsidRPr="00EA05B3">
        <w:rPr>
          <w:lang w:val="fr-FR"/>
        </w:rPr>
        <w:t>qu’</w:t>
      </w:r>
      <w:r w:rsidR="00D60A11" w:rsidRPr="00EA05B3">
        <w:rPr>
          <w:lang w:val="fr-FR"/>
        </w:rPr>
        <w:t xml:space="preserve">un système de protection et </w:t>
      </w:r>
      <w:r w:rsidR="009379A7" w:rsidRPr="00EA05B3">
        <w:rPr>
          <w:lang w:val="fr-FR"/>
        </w:rPr>
        <w:t>d’</w:t>
      </w:r>
      <w:r w:rsidR="00D60A11" w:rsidRPr="00EA05B3">
        <w:rPr>
          <w:lang w:val="fr-FR"/>
        </w:rPr>
        <w:t xml:space="preserve">assistance aux victimes et aux témoins. </w:t>
      </w:r>
      <w:r w:rsidR="008D00D7" w:rsidRPr="00EA05B3">
        <w:rPr>
          <w:lang w:val="fr-FR"/>
        </w:rPr>
        <w:t xml:space="preserve">Il </w:t>
      </w:r>
      <w:r w:rsidR="009379A7" w:rsidRPr="00EA05B3">
        <w:rPr>
          <w:lang w:val="fr-FR"/>
        </w:rPr>
        <w:t>s’</w:t>
      </w:r>
      <w:r w:rsidR="00D60A11" w:rsidRPr="00EA05B3">
        <w:rPr>
          <w:lang w:val="fr-FR"/>
        </w:rPr>
        <w:t xml:space="preserve">acquitte aussi des autres fonctions prévues par la loi. </w:t>
      </w:r>
      <w:r w:rsidR="009379A7" w:rsidRPr="00EA05B3">
        <w:rPr>
          <w:lang w:val="fr-FR"/>
        </w:rPr>
        <w:t>S’</w:t>
      </w:r>
      <w:r w:rsidR="00D60A11" w:rsidRPr="00EA05B3">
        <w:rPr>
          <w:lang w:val="fr-FR"/>
        </w:rPr>
        <w:t xml:space="preserve">agissant du système de protection des victimes et des témoins, </w:t>
      </w:r>
      <w:r w:rsidR="008D00D7" w:rsidRPr="00EA05B3">
        <w:rPr>
          <w:lang w:val="fr-FR"/>
        </w:rPr>
        <w:t xml:space="preserve">conformément aux dispositions de </w:t>
      </w:r>
      <w:r w:rsidR="009379A7" w:rsidRPr="00EA05B3">
        <w:rPr>
          <w:lang w:val="fr-FR"/>
        </w:rPr>
        <w:t>l’</w:t>
      </w:r>
      <w:r w:rsidR="00D60A11" w:rsidRPr="00EA05B3">
        <w:rPr>
          <w:lang w:val="fr-FR"/>
        </w:rPr>
        <w:t>article 198 de la Constitution</w:t>
      </w:r>
      <w:r w:rsidR="008D00D7" w:rsidRPr="00EA05B3">
        <w:rPr>
          <w:lang w:val="fr-FR"/>
        </w:rPr>
        <w:t>,</w:t>
      </w:r>
      <w:r w:rsidR="00D60A11" w:rsidRPr="00EA05B3">
        <w:rPr>
          <w:lang w:val="fr-FR"/>
        </w:rPr>
        <w:t xml:space="preserve"> </w:t>
      </w:r>
      <w:r w:rsidR="008D00D7" w:rsidRPr="00EA05B3">
        <w:rPr>
          <w:lang w:val="fr-FR"/>
        </w:rPr>
        <w:t xml:space="preserve">le Bureau du Procureur général de la </w:t>
      </w:r>
      <w:r w:rsidR="001673B6" w:rsidRPr="00EA05B3">
        <w:rPr>
          <w:lang w:val="fr-FR"/>
        </w:rPr>
        <w:t>nation</w:t>
      </w:r>
      <w:r w:rsidR="001673B6" w:rsidRPr="00EA05B3">
        <w:rPr>
          <w:i/>
          <w:lang w:val="fr-FR"/>
        </w:rPr>
        <w:t xml:space="preserve"> </w:t>
      </w:r>
      <w:r w:rsidR="00D60A11" w:rsidRPr="00EA05B3">
        <w:rPr>
          <w:lang w:val="fr-FR"/>
        </w:rPr>
        <w:t>doit travailler en coordination avec les autres organismes publics char</w:t>
      </w:r>
      <w:r w:rsidR="00CE0CD4" w:rsidRPr="00EA05B3">
        <w:rPr>
          <w:lang w:val="fr-FR"/>
        </w:rPr>
        <w:t>gés de défendre les intérêts et</w:t>
      </w:r>
      <w:r w:rsidR="00D60A11" w:rsidRPr="00EA05B3">
        <w:rPr>
          <w:lang w:val="fr-FR"/>
        </w:rPr>
        <w:t xml:space="preserve"> les objectifs du système et</w:t>
      </w:r>
      <w:r w:rsidR="00271519" w:rsidRPr="00EA05B3">
        <w:rPr>
          <w:lang w:val="fr-FR"/>
        </w:rPr>
        <w:t xml:space="preserve"> de</w:t>
      </w:r>
      <w:r w:rsidR="00D60A11" w:rsidRPr="00EA05B3">
        <w:rPr>
          <w:lang w:val="fr-FR"/>
        </w:rPr>
        <w:t xml:space="preserve"> favoriser la participation des organisations de la société civile. </w:t>
      </w:r>
      <w:r w:rsidR="008D00D7" w:rsidRPr="00EA05B3">
        <w:rPr>
          <w:lang w:val="fr-FR"/>
        </w:rPr>
        <w:t xml:space="preserve">Ce </w:t>
      </w:r>
      <w:r w:rsidR="00D60A11" w:rsidRPr="00EA05B3">
        <w:rPr>
          <w:lang w:val="fr-FR"/>
        </w:rPr>
        <w:t xml:space="preserve">même article </w:t>
      </w:r>
      <w:r w:rsidR="008D00D7" w:rsidRPr="00EA05B3">
        <w:rPr>
          <w:lang w:val="fr-FR"/>
        </w:rPr>
        <w:t xml:space="preserve">prévoit </w:t>
      </w:r>
      <w:r w:rsidR="00D60A11" w:rsidRPr="00EA05B3">
        <w:rPr>
          <w:lang w:val="fr-FR"/>
        </w:rPr>
        <w:t xml:space="preserve">en outre que le système repose sur les principes </w:t>
      </w:r>
      <w:r w:rsidR="009379A7" w:rsidRPr="00EA05B3">
        <w:rPr>
          <w:lang w:val="fr-FR"/>
        </w:rPr>
        <w:t>d’</w:t>
      </w:r>
      <w:r w:rsidR="00D60A11" w:rsidRPr="00EA05B3">
        <w:rPr>
          <w:lang w:val="fr-FR"/>
        </w:rPr>
        <w:t xml:space="preserve">accessibilité, de responsabilité, de complémentarité, </w:t>
      </w:r>
      <w:r w:rsidR="009379A7" w:rsidRPr="00EA05B3">
        <w:rPr>
          <w:lang w:val="fr-FR"/>
        </w:rPr>
        <w:t>d’</w:t>
      </w:r>
      <w:r w:rsidR="00D60A11" w:rsidRPr="00EA05B3">
        <w:rPr>
          <w:lang w:val="fr-FR"/>
        </w:rPr>
        <w:t xml:space="preserve">opportunité, </w:t>
      </w:r>
      <w:r w:rsidR="009379A7" w:rsidRPr="00EA05B3">
        <w:rPr>
          <w:lang w:val="fr-FR"/>
        </w:rPr>
        <w:t>d’</w:t>
      </w:r>
      <w:r w:rsidR="00D60A11" w:rsidRPr="00EA05B3">
        <w:rPr>
          <w:lang w:val="fr-FR"/>
        </w:rPr>
        <w:t xml:space="preserve">efficacité et </w:t>
      </w:r>
      <w:r w:rsidR="009379A7" w:rsidRPr="00EA05B3">
        <w:rPr>
          <w:lang w:val="fr-FR"/>
        </w:rPr>
        <w:t>d’</w:t>
      </w:r>
      <w:r w:rsidR="00D60A11" w:rsidRPr="00EA05B3">
        <w:rPr>
          <w:lang w:val="fr-FR"/>
        </w:rPr>
        <w:t>efficience.</w:t>
      </w:r>
    </w:p>
    <w:p w:rsidR="00D60A11" w:rsidRPr="00EA05B3" w:rsidRDefault="00793C91" w:rsidP="00F32DF1">
      <w:pPr>
        <w:pStyle w:val="SingleTxtG"/>
        <w:rPr>
          <w:lang w:val="fr-FR"/>
        </w:rPr>
      </w:pPr>
      <w:r w:rsidRPr="00EA05B3">
        <w:rPr>
          <w:lang w:val="fr-FR"/>
        </w:rPr>
        <w:t>211.</w:t>
      </w:r>
      <w:r w:rsidRPr="00EA05B3">
        <w:rPr>
          <w:lang w:val="fr-FR"/>
        </w:rPr>
        <w:tab/>
      </w:r>
      <w:r w:rsidR="00D60A11" w:rsidRPr="00EA05B3">
        <w:rPr>
          <w:lang w:val="fr-FR"/>
        </w:rPr>
        <w:t xml:space="preserve">Le chapitre 5 du titre IV de la Constitution est consacré à la fonction de transparence et de contrôle social. Selon </w:t>
      </w:r>
      <w:r w:rsidR="009379A7" w:rsidRPr="00EA05B3">
        <w:rPr>
          <w:lang w:val="fr-FR"/>
        </w:rPr>
        <w:t>l’</w:t>
      </w:r>
      <w:r w:rsidR="00D60A11" w:rsidRPr="00EA05B3">
        <w:rPr>
          <w:lang w:val="fr-FR"/>
        </w:rPr>
        <w:t xml:space="preserve">article 204, la fonction de transparence et de contrôle social vise à promouvoir et à favoriser le contrôle des entités et organismes du secteur public et des personnes physiques ou morales du secteur privé qui fournissent des services ou se livrent à des activités </w:t>
      </w:r>
      <w:r w:rsidR="009379A7" w:rsidRPr="00EA05B3">
        <w:rPr>
          <w:lang w:val="fr-FR"/>
        </w:rPr>
        <w:t>d’</w:t>
      </w:r>
      <w:r w:rsidR="00D60A11" w:rsidRPr="00EA05B3">
        <w:rPr>
          <w:lang w:val="fr-FR"/>
        </w:rPr>
        <w:t xml:space="preserve">intérêt public afin de </w:t>
      </w:r>
      <w:r w:rsidR="009379A7" w:rsidRPr="00EA05B3">
        <w:rPr>
          <w:lang w:val="fr-FR"/>
        </w:rPr>
        <w:t>s’</w:t>
      </w:r>
      <w:r w:rsidR="00D60A11" w:rsidRPr="00EA05B3">
        <w:rPr>
          <w:lang w:val="fr-FR"/>
        </w:rPr>
        <w:t xml:space="preserve">assurer </w:t>
      </w:r>
      <w:r w:rsidR="009379A7" w:rsidRPr="00EA05B3">
        <w:rPr>
          <w:lang w:val="fr-FR"/>
        </w:rPr>
        <w:t>qu’</w:t>
      </w:r>
      <w:r w:rsidR="00D60A11" w:rsidRPr="00EA05B3">
        <w:rPr>
          <w:lang w:val="fr-FR"/>
        </w:rPr>
        <w:t xml:space="preserve">ils </w:t>
      </w:r>
      <w:r w:rsidR="009379A7" w:rsidRPr="00EA05B3">
        <w:rPr>
          <w:lang w:val="fr-FR"/>
        </w:rPr>
        <w:t>s’</w:t>
      </w:r>
      <w:r w:rsidR="00D60A11" w:rsidRPr="00EA05B3">
        <w:rPr>
          <w:lang w:val="fr-FR"/>
        </w:rPr>
        <w:t xml:space="preserve">acquittent de leurs fonctions de façon responsable, transparente et équitable. À cet effet, la fonction de transparence et de contrôle social vise à favoriser la participation des citoyens, à protéger </w:t>
      </w:r>
      <w:r w:rsidR="009379A7" w:rsidRPr="00EA05B3">
        <w:rPr>
          <w:lang w:val="fr-FR"/>
        </w:rPr>
        <w:t>l’</w:t>
      </w:r>
      <w:r w:rsidR="00D60A11" w:rsidRPr="00EA05B3">
        <w:rPr>
          <w:lang w:val="fr-FR"/>
        </w:rPr>
        <w:t xml:space="preserve">exercice et le respect des droits, ainsi </w:t>
      </w:r>
      <w:r w:rsidR="009379A7" w:rsidRPr="00EA05B3">
        <w:rPr>
          <w:lang w:val="fr-FR"/>
        </w:rPr>
        <w:t>qu’</w:t>
      </w:r>
      <w:r w:rsidR="00D60A11" w:rsidRPr="00EA05B3">
        <w:rPr>
          <w:lang w:val="fr-FR"/>
        </w:rPr>
        <w:t xml:space="preserve">à prévenir et à combattre la corruption. Cette fonction est confiée au Conseil de la participation citoyenne et du contrôle social, au Bureau du Défenseur du peuple, à la </w:t>
      </w:r>
      <w:r w:rsidR="00822B6B" w:rsidRPr="00EA05B3">
        <w:rPr>
          <w:i/>
          <w:lang w:val="fr-FR"/>
        </w:rPr>
        <w:t>Contraloría General del Estado</w:t>
      </w:r>
      <w:r w:rsidR="00822B6B" w:rsidRPr="00EA05B3">
        <w:rPr>
          <w:lang w:val="fr-FR"/>
        </w:rPr>
        <w:t xml:space="preserve"> </w:t>
      </w:r>
      <w:r w:rsidR="00D60A11" w:rsidRPr="00EA05B3">
        <w:rPr>
          <w:lang w:val="fr-FR"/>
        </w:rPr>
        <w:t xml:space="preserve">et aux organes de surveillance, toutes entités dotées de la personnalité juridique et </w:t>
      </w:r>
      <w:r w:rsidR="009379A7" w:rsidRPr="00EA05B3">
        <w:rPr>
          <w:lang w:val="fr-FR"/>
        </w:rPr>
        <w:t>d’</w:t>
      </w:r>
      <w:r w:rsidR="00D60A11" w:rsidRPr="00EA05B3">
        <w:rPr>
          <w:lang w:val="fr-FR"/>
        </w:rPr>
        <w:t>une autonomie administrative, financière et budgétaire.</w:t>
      </w:r>
    </w:p>
    <w:p w:rsidR="00D60A11" w:rsidRPr="00EA05B3" w:rsidRDefault="00793C91" w:rsidP="00F32DF1">
      <w:pPr>
        <w:pStyle w:val="SingleTxtG"/>
        <w:rPr>
          <w:lang w:val="fr-FR"/>
        </w:rPr>
      </w:pPr>
      <w:r w:rsidRPr="00EA05B3">
        <w:rPr>
          <w:lang w:val="fr-FR"/>
        </w:rPr>
        <w:t>212.</w:t>
      </w:r>
      <w:r w:rsidRPr="00EA05B3">
        <w:rPr>
          <w:lang w:val="fr-FR"/>
        </w:rPr>
        <w:tab/>
      </w:r>
      <w:r w:rsidR="009379A7" w:rsidRPr="00EA05B3">
        <w:rPr>
          <w:lang w:val="fr-FR"/>
        </w:rPr>
        <w:t>L’</w:t>
      </w:r>
      <w:r w:rsidR="00D60A11" w:rsidRPr="00EA05B3">
        <w:rPr>
          <w:lang w:val="fr-FR"/>
        </w:rPr>
        <w:t xml:space="preserve">article 205 dispose que les représentants des organismes chargés </w:t>
      </w:r>
      <w:r w:rsidR="009379A7" w:rsidRPr="00EA05B3">
        <w:rPr>
          <w:lang w:val="fr-FR"/>
        </w:rPr>
        <w:t>d’</w:t>
      </w:r>
      <w:r w:rsidR="00D60A11" w:rsidRPr="00EA05B3">
        <w:rPr>
          <w:lang w:val="fr-FR"/>
        </w:rPr>
        <w:t xml:space="preserve">exercer la fonction de transparence et de contrôle social ont un mandat de cinq ans, relèvent de la compétence de la Cour nationale de justice et peuvent être mis en accusation par </w:t>
      </w:r>
      <w:r w:rsidR="009379A7" w:rsidRPr="00EA05B3">
        <w:rPr>
          <w:lang w:val="fr-FR"/>
        </w:rPr>
        <w:t>l’</w:t>
      </w:r>
      <w:r w:rsidR="00D60A11" w:rsidRPr="00EA05B3">
        <w:rPr>
          <w:lang w:val="fr-FR"/>
        </w:rPr>
        <w:t>Assemblée nationale. Les hauts responsables doivent avoir la nationalité équatorienne et jouir de leurs droits politiques, et sont sélectionnés par voie de concours public fondé sur des critères objectifs, soumis au contrôle des citoyens et assorti de possibilités de recours.</w:t>
      </w:r>
    </w:p>
    <w:p w:rsidR="00D60A11" w:rsidRPr="00EA05B3" w:rsidRDefault="00793C91" w:rsidP="00F32DF1">
      <w:pPr>
        <w:pStyle w:val="SingleTxtG"/>
        <w:rPr>
          <w:lang w:val="fr-FR"/>
        </w:rPr>
      </w:pPr>
      <w:r w:rsidRPr="00EA05B3">
        <w:rPr>
          <w:lang w:val="fr-FR"/>
        </w:rPr>
        <w:t>213.</w:t>
      </w:r>
      <w:r w:rsidRPr="00EA05B3">
        <w:rPr>
          <w:lang w:val="fr-FR"/>
        </w:rPr>
        <w:tab/>
      </w:r>
      <w:r w:rsidR="009379A7" w:rsidRPr="00EA05B3">
        <w:rPr>
          <w:lang w:val="fr-FR"/>
        </w:rPr>
        <w:t>L’</w:t>
      </w:r>
      <w:r w:rsidR="00D60A11" w:rsidRPr="00EA05B3">
        <w:rPr>
          <w:lang w:val="fr-FR"/>
        </w:rPr>
        <w:t>article 206 prévoit que les membres des entités chargées de la fonction de transparence et de contrôle social constituent une instance de coordination qui élit chaque année son président. Les fonctions de cette instance de coordination sont les suivantes</w:t>
      </w:r>
      <w:r w:rsidR="00B36EE6" w:rsidRPr="00EA05B3">
        <w:rPr>
          <w:lang w:val="fr-FR"/>
        </w:rPr>
        <w:t>:</w:t>
      </w:r>
      <w:r w:rsidR="00D60A11" w:rsidRPr="00EA05B3">
        <w:rPr>
          <w:lang w:val="fr-FR"/>
        </w:rPr>
        <w:t xml:space="preserve"> </w:t>
      </w:r>
    </w:p>
    <w:p w:rsidR="00D60A11" w:rsidRPr="00EA05B3" w:rsidRDefault="00563B9D" w:rsidP="00460AF1">
      <w:pPr>
        <w:pStyle w:val="SingleTxtG"/>
        <w:ind w:firstLine="567"/>
        <w:rPr>
          <w:lang w:val="fr-FR"/>
        </w:rPr>
      </w:pPr>
      <w:r w:rsidRPr="00EA05B3">
        <w:rPr>
          <w:lang w:val="fr-FR"/>
        </w:rPr>
        <w:t>a</w:t>
      </w:r>
      <w:r w:rsidR="00876266" w:rsidRPr="00EA05B3">
        <w:rPr>
          <w:lang w:val="fr-FR"/>
        </w:rPr>
        <w:t>)</w:t>
      </w:r>
      <w:r w:rsidR="00876266" w:rsidRPr="00EA05B3">
        <w:rPr>
          <w:lang w:val="fr-FR"/>
        </w:rPr>
        <w:tab/>
      </w:r>
      <w:r w:rsidRPr="00EA05B3">
        <w:rPr>
          <w:lang w:val="fr-FR"/>
        </w:rPr>
        <w:t xml:space="preserve">Formuler des politiques publiques relatives à la transparence, au contrôle, à </w:t>
      </w:r>
      <w:r w:rsidR="009379A7" w:rsidRPr="00EA05B3">
        <w:rPr>
          <w:lang w:val="fr-FR"/>
        </w:rPr>
        <w:t>l’</w:t>
      </w:r>
      <w:r w:rsidRPr="00EA05B3">
        <w:rPr>
          <w:lang w:val="fr-FR"/>
        </w:rPr>
        <w:t xml:space="preserve">obligation redditionnelle, à la promotion de la participation citoyenne, ainsi </w:t>
      </w:r>
      <w:r w:rsidR="009379A7" w:rsidRPr="00EA05B3">
        <w:rPr>
          <w:lang w:val="fr-FR"/>
        </w:rPr>
        <w:t>qu’</w:t>
      </w:r>
      <w:r w:rsidRPr="00EA05B3">
        <w:rPr>
          <w:lang w:val="fr-FR"/>
        </w:rPr>
        <w:t>à la prévention et la répression de la corruption</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b</w:t>
      </w:r>
      <w:r w:rsidR="00876266" w:rsidRPr="00EA05B3">
        <w:rPr>
          <w:lang w:val="fr-FR"/>
        </w:rPr>
        <w:t>)</w:t>
      </w:r>
      <w:r w:rsidR="00876266" w:rsidRPr="00EA05B3">
        <w:rPr>
          <w:lang w:val="fr-FR"/>
        </w:rPr>
        <w:tab/>
      </w:r>
      <w:r w:rsidRPr="00EA05B3">
        <w:rPr>
          <w:lang w:val="fr-FR"/>
        </w:rPr>
        <w:t xml:space="preserve">Coordonner le plan </w:t>
      </w:r>
      <w:r w:rsidR="009379A7" w:rsidRPr="00EA05B3">
        <w:rPr>
          <w:lang w:val="fr-FR"/>
        </w:rPr>
        <w:t>d’</w:t>
      </w:r>
      <w:r w:rsidRPr="00EA05B3">
        <w:rPr>
          <w:lang w:val="fr-FR"/>
        </w:rPr>
        <w:t>action des organismes chargés de la fonction de transparence, sans compromettre leur autonomie</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c</w:t>
      </w:r>
      <w:r w:rsidR="00876266" w:rsidRPr="00EA05B3">
        <w:rPr>
          <w:lang w:val="fr-FR"/>
        </w:rPr>
        <w:t>)</w:t>
      </w:r>
      <w:r w:rsidR="00876266" w:rsidRPr="00EA05B3">
        <w:rPr>
          <w:lang w:val="fr-FR"/>
        </w:rPr>
        <w:tab/>
      </w:r>
      <w:r w:rsidRPr="00EA05B3">
        <w:rPr>
          <w:lang w:val="fr-FR"/>
        </w:rPr>
        <w:t xml:space="preserve">Coordonner </w:t>
      </w:r>
      <w:r w:rsidR="009379A7" w:rsidRPr="00EA05B3">
        <w:rPr>
          <w:lang w:val="fr-FR"/>
        </w:rPr>
        <w:t>l’</w:t>
      </w:r>
      <w:r w:rsidRPr="00EA05B3">
        <w:rPr>
          <w:lang w:val="fr-FR"/>
        </w:rPr>
        <w:t>élaboration du Plan national de lutte contre la corruption</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d</w:t>
      </w:r>
      <w:r w:rsidR="00876266" w:rsidRPr="00EA05B3">
        <w:rPr>
          <w:lang w:val="fr-FR"/>
        </w:rPr>
        <w:t>)</w:t>
      </w:r>
      <w:r w:rsidR="00876266" w:rsidRPr="00EA05B3">
        <w:rPr>
          <w:lang w:val="fr-FR"/>
        </w:rPr>
        <w:tab/>
      </w:r>
      <w:r w:rsidRPr="00EA05B3">
        <w:rPr>
          <w:lang w:val="fr-FR"/>
        </w:rPr>
        <w:t xml:space="preserve">Présenter à </w:t>
      </w:r>
      <w:r w:rsidR="009379A7" w:rsidRPr="00EA05B3">
        <w:rPr>
          <w:lang w:val="fr-FR"/>
        </w:rPr>
        <w:t>l’</w:t>
      </w:r>
      <w:r w:rsidRPr="00EA05B3">
        <w:rPr>
          <w:lang w:val="fr-FR"/>
        </w:rPr>
        <w:t>Assemblée nationale des propositions de réforme de la législation dans le domaine relevant de sa compétence</w:t>
      </w:r>
      <w:r w:rsidR="00B36EE6" w:rsidRPr="00EA05B3">
        <w:rPr>
          <w:lang w:val="fr-FR"/>
        </w:rPr>
        <w:t>;</w:t>
      </w:r>
      <w:r w:rsidRPr="00EA05B3">
        <w:rPr>
          <w:lang w:val="fr-FR"/>
        </w:rPr>
        <w:t xml:space="preserve"> </w:t>
      </w:r>
    </w:p>
    <w:p w:rsidR="00D60A11" w:rsidRPr="00EA05B3" w:rsidRDefault="00563B9D" w:rsidP="00460AF1">
      <w:pPr>
        <w:pStyle w:val="SingleTxtG"/>
        <w:ind w:firstLine="567"/>
        <w:rPr>
          <w:lang w:val="fr-FR"/>
        </w:rPr>
      </w:pPr>
      <w:r w:rsidRPr="00EA05B3">
        <w:rPr>
          <w:lang w:val="fr-FR"/>
        </w:rPr>
        <w:t>e</w:t>
      </w:r>
      <w:r w:rsidR="00876266" w:rsidRPr="00EA05B3">
        <w:rPr>
          <w:lang w:val="fr-FR"/>
        </w:rPr>
        <w:t>)</w:t>
      </w:r>
      <w:r w:rsidR="00876266" w:rsidRPr="00EA05B3">
        <w:rPr>
          <w:lang w:val="fr-FR"/>
        </w:rPr>
        <w:tab/>
      </w:r>
      <w:r w:rsidRPr="00EA05B3">
        <w:rPr>
          <w:lang w:val="fr-FR"/>
        </w:rPr>
        <w:t xml:space="preserve">Présenter chaque année un rapport à </w:t>
      </w:r>
      <w:r w:rsidR="009379A7" w:rsidRPr="00EA05B3">
        <w:rPr>
          <w:lang w:val="fr-FR"/>
        </w:rPr>
        <w:t>l’</w:t>
      </w:r>
      <w:r w:rsidRPr="00EA05B3">
        <w:rPr>
          <w:lang w:val="fr-FR"/>
        </w:rPr>
        <w:t xml:space="preserve">Assemblée nationale sur les activités menées pour </w:t>
      </w:r>
      <w:r w:rsidR="009379A7" w:rsidRPr="00EA05B3">
        <w:rPr>
          <w:lang w:val="fr-FR"/>
        </w:rPr>
        <w:t>s’</w:t>
      </w:r>
      <w:r w:rsidRPr="00EA05B3">
        <w:rPr>
          <w:lang w:val="fr-FR"/>
        </w:rPr>
        <w:t>acquitter de ses fonctions.</w:t>
      </w:r>
    </w:p>
    <w:p w:rsidR="00D60A11" w:rsidRPr="00EA05B3" w:rsidRDefault="00793C91" w:rsidP="00F32DF1">
      <w:pPr>
        <w:pStyle w:val="SingleTxtG"/>
        <w:rPr>
          <w:lang w:val="fr-FR"/>
        </w:rPr>
      </w:pPr>
      <w:r w:rsidRPr="00EA05B3">
        <w:rPr>
          <w:lang w:val="fr-FR"/>
        </w:rPr>
        <w:t>214.</w:t>
      </w:r>
      <w:r w:rsidRPr="00EA05B3">
        <w:rPr>
          <w:lang w:val="fr-FR"/>
        </w:rPr>
        <w:tab/>
      </w:r>
      <w:r w:rsidR="00D60A11" w:rsidRPr="00EA05B3">
        <w:rPr>
          <w:lang w:val="fr-FR"/>
        </w:rPr>
        <w:t xml:space="preserve">En vertu de </w:t>
      </w:r>
      <w:r w:rsidR="009379A7" w:rsidRPr="00EA05B3">
        <w:rPr>
          <w:lang w:val="fr-FR"/>
        </w:rPr>
        <w:t>l’</w:t>
      </w:r>
      <w:r w:rsidR="00D60A11" w:rsidRPr="00EA05B3">
        <w:rPr>
          <w:lang w:val="fr-FR"/>
        </w:rPr>
        <w:t xml:space="preserve">article 207, le Conseil de la participation citoyenne et du contrôle social est chargé de promouvoir et de favoriser </w:t>
      </w:r>
      <w:r w:rsidR="009379A7" w:rsidRPr="00EA05B3">
        <w:rPr>
          <w:lang w:val="fr-FR"/>
        </w:rPr>
        <w:t>l’</w:t>
      </w:r>
      <w:r w:rsidR="00D60A11" w:rsidRPr="00EA05B3">
        <w:rPr>
          <w:lang w:val="fr-FR"/>
        </w:rPr>
        <w:t xml:space="preserve">exercice des droits de participation, en concevant et en mettant en place des mécanismes de contrôle social dans des domaines </w:t>
      </w:r>
      <w:r w:rsidR="009379A7" w:rsidRPr="00EA05B3">
        <w:rPr>
          <w:lang w:val="fr-FR"/>
        </w:rPr>
        <w:t>d’</w:t>
      </w:r>
      <w:r w:rsidR="00D60A11" w:rsidRPr="00EA05B3">
        <w:rPr>
          <w:lang w:val="fr-FR"/>
        </w:rPr>
        <w:t xml:space="preserve">intérêt public et en nommant les responsables de ces mécanismes conformément à la Constitution et à la loi. Le Conseil est composé de sept membres de plein droit et de sept membres suppléants, qui élisent parmi eux un président, lequel exerce la fonction de représentant légal pendant deux ans et demi. Toujours selon cet article, les membres du Conseil sont élus parmi des candidats proposés par les organisations sociales et les associations de citoyens, recrutés à </w:t>
      </w:r>
      <w:r w:rsidR="009379A7" w:rsidRPr="00EA05B3">
        <w:rPr>
          <w:lang w:val="fr-FR"/>
        </w:rPr>
        <w:t>l’</w:t>
      </w:r>
      <w:r w:rsidR="00D60A11" w:rsidRPr="00EA05B3">
        <w:rPr>
          <w:lang w:val="fr-FR"/>
        </w:rPr>
        <w:t xml:space="preserve">issue </w:t>
      </w:r>
      <w:r w:rsidR="009379A7" w:rsidRPr="00EA05B3">
        <w:rPr>
          <w:lang w:val="fr-FR"/>
        </w:rPr>
        <w:t>d’</w:t>
      </w:r>
      <w:r w:rsidR="00D60A11" w:rsidRPr="00EA05B3">
        <w:rPr>
          <w:lang w:val="fr-FR"/>
        </w:rPr>
        <w:t>un concours public organisé par le Conseil national électoral, fondé sur des critères objectifs, soumis au contrôle des citoyens et assorti de possibilités de recours. Il convient de préciser que le Conseil de la participation citoyenne et du contrôle social est constitué de sept conseillers sélectionnés sur une liste établie par ordre de priorité et que leur suppléance est également assurée sur la base de cette liste.</w:t>
      </w:r>
    </w:p>
    <w:p w:rsidR="00D60A11" w:rsidRPr="00EA05B3" w:rsidRDefault="00793C91" w:rsidP="00F32DF1">
      <w:pPr>
        <w:pStyle w:val="SingleTxtG"/>
        <w:rPr>
          <w:lang w:val="fr-FR"/>
        </w:rPr>
      </w:pPr>
      <w:r w:rsidRPr="00EA05B3">
        <w:rPr>
          <w:lang w:val="fr-FR"/>
        </w:rPr>
        <w:t>215.</w:t>
      </w:r>
      <w:r w:rsidRPr="00EA05B3">
        <w:rPr>
          <w:lang w:val="fr-FR"/>
        </w:rPr>
        <w:tab/>
      </w:r>
      <w:r w:rsidR="00D60A11" w:rsidRPr="00EA05B3">
        <w:rPr>
          <w:lang w:val="fr-FR"/>
        </w:rPr>
        <w:t xml:space="preserve">Conformément à </w:t>
      </w:r>
      <w:r w:rsidR="009379A7" w:rsidRPr="00EA05B3">
        <w:rPr>
          <w:lang w:val="fr-FR"/>
        </w:rPr>
        <w:t>l’</w:t>
      </w:r>
      <w:r w:rsidR="00D60A11" w:rsidRPr="00EA05B3">
        <w:rPr>
          <w:lang w:val="fr-FR"/>
        </w:rPr>
        <w:t>article 208, les devoirs et fonctions du Conseil sont notamment les suivants</w:t>
      </w:r>
      <w:r w:rsidR="00B36EE6" w:rsidRPr="00EA05B3">
        <w:rPr>
          <w:lang w:val="fr-FR"/>
        </w:rPr>
        <w:t>:</w:t>
      </w:r>
      <w:r w:rsidR="00D60A11" w:rsidRPr="00EA05B3">
        <w:rPr>
          <w:lang w:val="fr-FR"/>
        </w:rPr>
        <w:t xml:space="preserve"> </w:t>
      </w:r>
    </w:p>
    <w:p w:rsidR="00D60A11" w:rsidRPr="00EA05B3" w:rsidRDefault="00563B9D" w:rsidP="00460AF1">
      <w:pPr>
        <w:pStyle w:val="SingleTxtG"/>
        <w:ind w:firstLine="567"/>
        <w:rPr>
          <w:lang w:val="fr-FR"/>
        </w:rPr>
      </w:pPr>
      <w:r w:rsidRPr="00EA05B3">
        <w:rPr>
          <w:lang w:val="fr-FR"/>
        </w:rPr>
        <w:t>a</w:t>
      </w:r>
      <w:r w:rsidR="00876266" w:rsidRPr="00EA05B3">
        <w:rPr>
          <w:lang w:val="fr-FR"/>
        </w:rPr>
        <w:t>)</w:t>
      </w:r>
      <w:r w:rsidR="00876266" w:rsidRPr="00EA05B3">
        <w:rPr>
          <w:lang w:val="fr-FR"/>
        </w:rPr>
        <w:tab/>
      </w:r>
      <w:r w:rsidRPr="00EA05B3">
        <w:rPr>
          <w:lang w:val="fr-FR"/>
        </w:rPr>
        <w:t xml:space="preserve">Encourager la participation des citoyens et les consultations publiques, et favoriser les activités de formation en vue de promouvoir </w:t>
      </w:r>
      <w:r w:rsidR="009379A7" w:rsidRPr="00EA05B3">
        <w:rPr>
          <w:lang w:val="fr-FR"/>
        </w:rPr>
        <w:t>l’</w:t>
      </w:r>
      <w:r w:rsidRPr="00EA05B3">
        <w:rPr>
          <w:lang w:val="fr-FR"/>
        </w:rPr>
        <w:t>esprit civique, le respect des valeurs, la transparence et la lutte contre la corruption</w:t>
      </w:r>
      <w:r w:rsidR="00B36EE6" w:rsidRPr="00EA05B3">
        <w:rPr>
          <w:lang w:val="fr-FR"/>
        </w:rPr>
        <w:t>;</w:t>
      </w:r>
      <w:r w:rsidRPr="00EA05B3">
        <w:rPr>
          <w:lang w:val="fr-FR"/>
        </w:rPr>
        <w:t xml:space="preserve"> </w:t>
      </w:r>
    </w:p>
    <w:p w:rsidR="00D60A11" w:rsidRPr="00EA05B3" w:rsidRDefault="00563B9D" w:rsidP="00460AF1">
      <w:pPr>
        <w:pStyle w:val="SingleTxtG"/>
        <w:ind w:firstLine="567"/>
        <w:rPr>
          <w:lang w:val="fr-FR"/>
        </w:rPr>
      </w:pPr>
      <w:r w:rsidRPr="00EA05B3">
        <w:rPr>
          <w:lang w:val="fr-FR"/>
        </w:rPr>
        <w:t>b</w:t>
      </w:r>
      <w:r w:rsidR="00876266" w:rsidRPr="00EA05B3">
        <w:rPr>
          <w:lang w:val="fr-FR"/>
        </w:rPr>
        <w:t>)</w:t>
      </w:r>
      <w:r w:rsidR="00876266" w:rsidRPr="00EA05B3">
        <w:rPr>
          <w:lang w:val="fr-FR"/>
        </w:rPr>
        <w:tab/>
      </w:r>
      <w:r w:rsidRPr="00EA05B3">
        <w:rPr>
          <w:lang w:val="fr-FR"/>
        </w:rPr>
        <w:t xml:space="preserve">Établir des mécanismes </w:t>
      </w:r>
      <w:r w:rsidR="009379A7" w:rsidRPr="00EA05B3">
        <w:rPr>
          <w:lang w:val="fr-FR"/>
        </w:rPr>
        <w:t>d’</w:t>
      </w:r>
      <w:r w:rsidRPr="00EA05B3">
        <w:rPr>
          <w:lang w:val="fr-FR"/>
        </w:rPr>
        <w:t>obligation redditionnelle pour les institutions et entités du secteur public</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c</w:t>
      </w:r>
      <w:r w:rsidR="00876266" w:rsidRPr="00EA05B3">
        <w:rPr>
          <w:lang w:val="fr-FR"/>
        </w:rPr>
        <w:t>)</w:t>
      </w:r>
      <w:r w:rsidR="00876266" w:rsidRPr="00EA05B3">
        <w:rPr>
          <w:lang w:val="fr-FR"/>
        </w:rPr>
        <w:tab/>
      </w:r>
      <w:r w:rsidRPr="00EA05B3">
        <w:rPr>
          <w:lang w:val="fr-FR"/>
        </w:rPr>
        <w:t>Enquêter sur les plaintes relatives à des actes ou omissions qui nuisent à la participation des citoyens ou favorisent la corruption</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d</w:t>
      </w:r>
      <w:r w:rsidR="00876266" w:rsidRPr="00EA05B3">
        <w:rPr>
          <w:lang w:val="fr-FR"/>
        </w:rPr>
        <w:t>)</w:t>
      </w:r>
      <w:r w:rsidR="00876266" w:rsidRPr="00EA05B3">
        <w:rPr>
          <w:lang w:val="fr-FR"/>
        </w:rPr>
        <w:tab/>
      </w:r>
      <w:r w:rsidRPr="00EA05B3">
        <w:rPr>
          <w:lang w:val="fr-FR"/>
        </w:rPr>
        <w:t>Établir des rapports qui mettent en évidence les responsabilités, formuler les recommandations nécessaires et engager les poursuites correspondantes</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e</w:t>
      </w:r>
      <w:r w:rsidR="00876266" w:rsidRPr="00EA05B3">
        <w:rPr>
          <w:lang w:val="fr-FR"/>
        </w:rPr>
        <w:t>)</w:t>
      </w:r>
      <w:r w:rsidR="00876266" w:rsidRPr="00EA05B3">
        <w:rPr>
          <w:lang w:val="fr-FR"/>
        </w:rPr>
        <w:tab/>
      </w:r>
      <w:r w:rsidRPr="00EA05B3">
        <w:rPr>
          <w:lang w:val="fr-FR"/>
        </w:rPr>
        <w:t xml:space="preserve">Intervenir comme partie civile dans les procès instruits à </w:t>
      </w:r>
      <w:r w:rsidR="009379A7" w:rsidRPr="00EA05B3">
        <w:rPr>
          <w:lang w:val="fr-FR"/>
        </w:rPr>
        <w:t>l’</w:t>
      </w:r>
      <w:r w:rsidRPr="00EA05B3">
        <w:rPr>
          <w:lang w:val="fr-FR"/>
        </w:rPr>
        <w:t>issue des enquêtes menées par lui</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f</w:t>
      </w:r>
      <w:r w:rsidR="00876266" w:rsidRPr="00EA05B3">
        <w:rPr>
          <w:lang w:val="fr-FR"/>
        </w:rPr>
        <w:t>)</w:t>
      </w:r>
      <w:r w:rsidR="00876266" w:rsidRPr="00EA05B3">
        <w:rPr>
          <w:lang w:val="fr-FR"/>
        </w:rPr>
        <w:tab/>
      </w:r>
      <w:r w:rsidRPr="00EA05B3">
        <w:rPr>
          <w:lang w:val="fr-FR"/>
        </w:rPr>
        <w:t xml:space="preserve">Demander aux organes </w:t>
      </w:r>
      <w:r w:rsidR="009379A7" w:rsidRPr="00EA05B3">
        <w:rPr>
          <w:lang w:val="fr-FR"/>
        </w:rPr>
        <w:t>d’</w:t>
      </w:r>
      <w:r w:rsidRPr="00EA05B3">
        <w:rPr>
          <w:lang w:val="fr-FR"/>
        </w:rPr>
        <w:t xml:space="preserve">État ou aux fonctionnaires concernés les renseignements nécessaires aux fins de </w:t>
      </w:r>
      <w:r w:rsidR="009379A7" w:rsidRPr="00EA05B3">
        <w:rPr>
          <w:lang w:val="fr-FR"/>
        </w:rPr>
        <w:t>l’</w:t>
      </w:r>
      <w:r w:rsidRPr="00EA05B3">
        <w:rPr>
          <w:lang w:val="fr-FR"/>
        </w:rPr>
        <w:t>enquête ou de la tenue de procès</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g</w:t>
      </w:r>
      <w:r w:rsidR="00876266" w:rsidRPr="00EA05B3">
        <w:rPr>
          <w:lang w:val="fr-FR"/>
        </w:rPr>
        <w:t>)</w:t>
      </w:r>
      <w:r w:rsidR="00876266" w:rsidRPr="00EA05B3">
        <w:rPr>
          <w:lang w:val="fr-FR"/>
        </w:rPr>
        <w:tab/>
      </w:r>
      <w:r w:rsidRPr="00EA05B3">
        <w:rPr>
          <w:lang w:val="fr-FR"/>
        </w:rPr>
        <w:t xml:space="preserve">Désigner les responsables de la </w:t>
      </w:r>
      <w:r w:rsidRPr="00EA05B3">
        <w:rPr>
          <w:i/>
          <w:lang w:val="fr-FR"/>
        </w:rPr>
        <w:t>Procuraduría General del Estado</w:t>
      </w:r>
      <w:r w:rsidRPr="00EA05B3">
        <w:rPr>
          <w:lang w:val="fr-FR"/>
        </w:rPr>
        <w:t xml:space="preserve"> et des organes de surveillance à partir </w:t>
      </w:r>
      <w:r w:rsidR="009379A7" w:rsidRPr="00EA05B3">
        <w:rPr>
          <w:lang w:val="fr-FR"/>
        </w:rPr>
        <w:t>d’</w:t>
      </w:r>
      <w:r w:rsidRPr="00EA05B3">
        <w:rPr>
          <w:lang w:val="fr-FR"/>
        </w:rPr>
        <w:t>une liste de candidats proposée par le Président de la République</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h</w:t>
      </w:r>
      <w:r w:rsidR="00876266" w:rsidRPr="00EA05B3">
        <w:rPr>
          <w:lang w:val="fr-FR"/>
        </w:rPr>
        <w:t>)</w:t>
      </w:r>
      <w:r w:rsidR="00876266" w:rsidRPr="00EA05B3">
        <w:rPr>
          <w:lang w:val="fr-FR"/>
        </w:rPr>
        <w:tab/>
      </w:r>
      <w:r w:rsidRPr="00EA05B3">
        <w:rPr>
          <w:lang w:val="fr-FR"/>
        </w:rPr>
        <w:t xml:space="preserve">Désigner les responsables du Bureau du Défenseur du peuple, du Service de la défense publique, </w:t>
      </w:r>
      <w:r w:rsidR="008D00D7" w:rsidRPr="00EA05B3">
        <w:rPr>
          <w:lang w:val="fr-FR"/>
        </w:rPr>
        <w:t xml:space="preserve">du Bureau du Procureur général de la </w:t>
      </w:r>
      <w:r w:rsidR="004E7E80" w:rsidRPr="00EA05B3">
        <w:rPr>
          <w:lang w:val="fr-FR"/>
        </w:rPr>
        <w:t>nation</w:t>
      </w:r>
      <w:r w:rsidR="004E7E80" w:rsidRPr="00EA05B3">
        <w:rPr>
          <w:i/>
          <w:lang w:val="fr-FR"/>
        </w:rPr>
        <w:t xml:space="preserve"> </w:t>
      </w:r>
      <w:r w:rsidRPr="00EA05B3">
        <w:rPr>
          <w:lang w:val="fr-FR"/>
        </w:rPr>
        <w:t xml:space="preserve">et de la </w:t>
      </w:r>
      <w:r w:rsidR="00CE0CD4" w:rsidRPr="00EA05B3">
        <w:rPr>
          <w:i/>
          <w:lang w:val="fr-FR"/>
        </w:rPr>
        <w:t>Contraloría General del Estado</w:t>
      </w:r>
      <w:r w:rsidRPr="00EA05B3">
        <w:rPr>
          <w:lang w:val="fr-FR"/>
        </w:rPr>
        <w:t>, une fois achevé le processus de vérification et de contestation</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i</w:t>
      </w:r>
      <w:r w:rsidR="00876266" w:rsidRPr="00EA05B3">
        <w:rPr>
          <w:lang w:val="fr-FR"/>
        </w:rPr>
        <w:t>)</w:t>
      </w:r>
      <w:r w:rsidR="00876266" w:rsidRPr="00EA05B3">
        <w:rPr>
          <w:lang w:val="fr-FR"/>
        </w:rPr>
        <w:tab/>
      </w:r>
      <w:r w:rsidRPr="00EA05B3">
        <w:rPr>
          <w:lang w:val="fr-FR"/>
        </w:rPr>
        <w:t>Désigner les membres du Conseil national électoral, du Tribunal électoral et du Conseil de la magistrature, une fois achevée la procédure de sélection correspondante.</w:t>
      </w:r>
    </w:p>
    <w:p w:rsidR="00D60A11" w:rsidRPr="00EA05B3" w:rsidRDefault="00793C91" w:rsidP="00F32DF1">
      <w:pPr>
        <w:pStyle w:val="SingleTxtG"/>
        <w:rPr>
          <w:lang w:val="fr-FR"/>
        </w:rPr>
      </w:pPr>
      <w:r w:rsidRPr="00EA05B3">
        <w:rPr>
          <w:lang w:val="fr-FR"/>
        </w:rPr>
        <w:t>216.</w:t>
      </w:r>
      <w:r w:rsidRPr="00EA05B3">
        <w:rPr>
          <w:lang w:val="fr-FR"/>
        </w:rPr>
        <w:tab/>
      </w:r>
      <w:r w:rsidR="00D60A11" w:rsidRPr="00EA05B3">
        <w:rPr>
          <w:lang w:val="fr-FR"/>
        </w:rPr>
        <w:t xml:space="preserve">En vertu de </w:t>
      </w:r>
      <w:r w:rsidR="009379A7" w:rsidRPr="00EA05B3">
        <w:rPr>
          <w:lang w:val="fr-FR"/>
        </w:rPr>
        <w:t>l’</w:t>
      </w:r>
      <w:r w:rsidR="00D60A11" w:rsidRPr="00EA05B3">
        <w:rPr>
          <w:lang w:val="fr-FR"/>
        </w:rPr>
        <w:t xml:space="preserve">article 211, la </w:t>
      </w:r>
      <w:r w:rsidR="008D00D7" w:rsidRPr="00EA05B3">
        <w:rPr>
          <w:i/>
          <w:lang w:val="fr-FR"/>
        </w:rPr>
        <w:t xml:space="preserve">Contraloría General del Estado </w:t>
      </w:r>
      <w:r w:rsidR="00D60A11" w:rsidRPr="00EA05B3">
        <w:rPr>
          <w:lang w:val="fr-FR"/>
        </w:rPr>
        <w:t xml:space="preserve">est un organisme technique chargé de contrôler </w:t>
      </w:r>
      <w:r w:rsidR="009379A7" w:rsidRPr="00EA05B3">
        <w:rPr>
          <w:lang w:val="fr-FR"/>
        </w:rPr>
        <w:t>l’</w:t>
      </w:r>
      <w:r w:rsidR="00D60A11" w:rsidRPr="00EA05B3">
        <w:rPr>
          <w:lang w:val="fr-FR"/>
        </w:rPr>
        <w:t xml:space="preserve">utilisation des ressources publiques et de superviser </w:t>
      </w:r>
      <w:r w:rsidR="009379A7" w:rsidRPr="00EA05B3">
        <w:rPr>
          <w:lang w:val="fr-FR"/>
        </w:rPr>
        <w:t>l’</w:t>
      </w:r>
      <w:r w:rsidR="00D60A11" w:rsidRPr="00EA05B3">
        <w:rPr>
          <w:lang w:val="fr-FR"/>
        </w:rPr>
        <w:t xml:space="preserve">action des institutions de </w:t>
      </w:r>
      <w:r w:rsidR="009379A7" w:rsidRPr="00EA05B3">
        <w:rPr>
          <w:lang w:val="fr-FR"/>
        </w:rPr>
        <w:t>l’</w:t>
      </w:r>
      <w:r w:rsidR="00D60A11" w:rsidRPr="00EA05B3">
        <w:rPr>
          <w:lang w:val="fr-FR"/>
        </w:rPr>
        <w:t xml:space="preserve">État et des personnes juridiques de droit privé qui bénéficient de fonds publics. Ses fonctions, définies à </w:t>
      </w:r>
      <w:r w:rsidR="009379A7" w:rsidRPr="00EA05B3">
        <w:rPr>
          <w:lang w:val="fr-FR"/>
        </w:rPr>
        <w:t>l’</w:t>
      </w:r>
      <w:r w:rsidR="00D60A11" w:rsidRPr="00EA05B3">
        <w:rPr>
          <w:lang w:val="fr-FR"/>
        </w:rPr>
        <w:t>article 212, sont les suivantes</w:t>
      </w:r>
      <w:r w:rsidR="00B36EE6" w:rsidRPr="00EA05B3">
        <w:rPr>
          <w:lang w:val="fr-FR"/>
        </w:rPr>
        <w:t>:</w:t>
      </w:r>
      <w:r w:rsidR="00D60A11" w:rsidRPr="00EA05B3">
        <w:rPr>
          <w:lang w:val="fr-FR"/>
        </w:rPr>
        <w:t xml:space="preserve"> a) diriger le système de contrôle administratif composé par les services </w:t>
      </w:r>
      <w:r w:rsidR="009379A7" w:rsidRPr="00EA05B3">
        <w:rPr>
          <w:lang w:val="fr-FR"/>
        </w:rPr>
        <w:t>d’</w:t>
      </w:r>
      <w:r w:rsidR="00D60A11" w:rsidRPr="00EA05B3">
        <w:rPr>
          <w:lang w:val="fr-FR"/>
        </w:rPr>
        <w:t>audit interne et externe et de contrôle interne des entités du secteur public ou des entités privées bénéficiant de fonds publics</w:t>
      </w:r>
      <w:r w:rsidR="00B36EE6" w:rsidRPr="00EA05B3">
        <w:rPr>
          <w:lang w:val="fr-FR"/>
        </w:rPr>
        <w:t>;</w:t>
      </w:r>
      <w:r w:rsidR="00D60A11" w:rsidRPr="00EA05B3">
        <w:rPr>
          <w:lang w:val="fr-FR"/>
        </w:rPr>
        <w:t xml:space="preserve"> b) déterminer si des responsabilités administratives, civiles et pénales sont engagées en ce qui concerne les activités et les domaines soumis à son contrôle</w:t>
      </w:r>
      <w:r w:rsidR="00B36EE6" w:rsidRPr="00EA05B3">
        <w:rPr>
          <w:lang w:val="fr-FR"/>
        </w:rPr>
        <w:t>;</w:t>
      </w:r>
      <w:r w:rsidR="00D60A11" w:rsidRPr="00EA05B3">
        <w:rPr>
          <w:lang w:val="fr-FR"/>
        </w:rPr>
        <w:t xml:space="preserve"> c) définir les règles relatives à </w:t>
      </w:r>
      <w:r w:rsidR="009379A7" w:rsidRPr="00EA05B3">
        <w:rPr>
          <w:lang w:val="fr-FR"/>
        </w:rPr>
        <w:t>l’</w:t>
      </w:r>
      <w:r w:rsidR="00D60A11" w:rsidRPr="00EA05B3">
        <w:rPr>
          <w:lang w:val="fr-FR"/>
        </w:rPr>
        <w:t>accomplissement de ses fonctions</w:t>
      </w:r>
      <w:r w:rsidR="00B36EE6" w:rsidRPr="00EA05B3">
        <w:rPr>
          <w:lang w:val="fr-FR"/>
        </w:rPr>
        <w:t>;</w:t>
      </w:r>
      <w:r w:rsidR="00D60A11" w:rsidRPr="00EA05B3">
        <w:rPr>
          <w:lang w:val="fr-FR"/>
        </w:rPr>
        <w:t xml:space="preserve"> et d) conseiller les organes et les entités de </w:t>
      </w:r>
      <w:r w:rsidR="009379A7" w:rsidRPr="00EA05B3">
        <w:rPr>
          <w:lang w:val="fr-FR"/>
        </w:rPr>
        <w:t>l’</w:t>
      </w:r>
      <w:r w:rsidR="00D60A11" w:rsidRPr="00EA05B3">
        <w:rPr>
          <w:lang w:val="fr-FR"/>
        </w:rPr>
        <w:t>État quand ils en font la demande.</w:t>
      </w:r>
    </w:p>
    <w:p w:rsidR="00D60A11" w:rsidRPr="00EA05B3" w:rsidRDefault="00793C91" w:rsidP="00F32DF1">
      <w:pPr>
        <w:pStyle w:val="SingleTxtG"/>
        <w:rPr>
          <w:lang w:val="fr-FR"/>
        </w:rPr>
      </w:pPr>
      <w:r w:rsidRPr="00EA05B3">
        <w:rPr>
          <w:lang w:val="fr-FR"/>
        </w:rPr>
        <w:t>217.</w:t>
      </w:r>
      <w:r w:rsidRPr="00EA05B3">
        <w:rPr>
          <w:lang w:val="fr-FR"/>
        </w:rPr>
        <w:tab/>
      </w:r>
      <w:r w:rsidR="00D60A11" w:rsidRPr="00EA05B3">
        <w:rPr>
          <w:lang w:val="fr-FR"/>
        </w:rPr>
        <w:t xml:space="preserve">En vertu de </w:t>
      </w:r>
      <w:r w:rsidR="009379A7" w:rsidRPr="00EA05B3">
        <w:rPr>
          <w:lang w:val="fr-FR"/>
        </w:rPr>
        <w:t>l’</w:t>
      </w:r>
      <w:r w:rsidR="00D60A11" w:rsidRPr="00EA05B3">
        <w:rPr>
          <w:lang w:val="fr-FR"/>
        </w:rPr>
        <w:t xml:space="preserve">article 213, les organes de surveillance sont des organismes techniques de surveillance, </w:t>
      </w:r>
      <w:r w:rsidR="009379A7" w:rsidRPr="00EA05B3">
        <w:rPr>
          <w:lang w:val="fr-FR"/>
        </w:rPr>
        <w:t>d’</w:t>
      </w:r>
      <w:r w:rsidR="00D60A11" w:rsidRPr="00EA05B3">
        <w:rPr>
          <w:lang w:val="fr-FR"/>
        </w:rPr>
        <w:t xml:space="preserve">audit et de contrôle des activités économiques, sociales et environnementales, ainsi que des services fournis par des entités publiques et privées, chargés de veiller à ce que ces activités et services soient conformes à la loi et servent </w:t>
      </w:r>
      <w:r w:rsidR="009379A7" w:rsidRPr="00EA05B3">
        <w:rPr>
          <w:lang w:val="fr-FR"/>
        </w:rPr>
        <w:t>l’</w:t>
      </w:r>
      <w:r w:rsidR="00D60A11" w:rsidRPr="00EA05B3">
        <w:rPr>
          <w:lang w:val="fr-FR"/>
        </w:rPr>
        <w:t xml:space="preserve">intérêt général. Ils peuvent intervenir </w:t>
      </w:r>
      <w:r w:rsidR="009379A7" w:rsidRPr="00EA05B3">
        <w:rPr>
          <w:lang w:val="fr-FR"/>
        </w:rPr>
        <w:t>d’</w:t>
      </w:r>
      <w:r w:rsidR="00D60A11" w:rsidRPr="00EA05B3">
        <w:rPr>
          <w:lang w:val="fr-FR"/>
        </w:rPr>
        <w:t>office ou à la demande des citoyens.</w:t>
      </w:r>
    </w:p>
    <w:p w:rsidR="00D60A11" w:rsidRPr="00EA05B3" w:rsidRDefault="00793C91" w:rsidP="00F32DF1">
      <w:pPr>
        <w:pStyle w:val="SingleTxtG"/>
        <w:rPr>
          <w:lang w:val="fr-FR"/>
        </w:rPr>
      </w:pPr>
      <w:r w:rsidRPr="00EA05B3">
        <w:rPr>
          <w:lang w:val="fr-FR"/>
        </w:rPr>
        <w:t>218.</w:t>
      </w:r>
      <w:r w:rsidRPr="00EA05B3">
        <w:rPr>
          <w:lang w:val="fr-FR"/>
        </w:rPr>
        <w:tab/>
      </w:r>
      <w:r w:rsidR="00D60A11" w:rsidRPr="00EA05B3">
        <w:rPr>
          <w:lang w:val="fr-FR"/>
        </w:rPr>
        <w:t xml:space="preserve">Les articles 214 à 216 ont trait au Bureau du Défenseur du peuple. Le Bureau du Défenseur du peuple est une entité de droit public exerçant sa compétence sur </w:t>
      </w:r>
      <w:r w:rsidR="009379A7" w:rsidRPr="00EA05B3">
        <w:rPr>
          <w:lang w:val="fr-FR"/>
        </w:rPr>
        <w:t>l’</w:t>
      </w:r>
      <w:r w:rsidR="00D60A11" w:rsidRPr="00EA05B3">
        <w:rPr>
          <w:lang w:val="fr-FR"/>
        </w:rPr>
        <w:t xml:space="preserve">ensemble du territoire national, dotée de la personnalité juridique et jouissant </w:t>
      </w:r>
      <w:r w:rsidR="009379A7" w:rsidRPr="00EA05B3">
        <w:rPr>
          <w:lang w:val="fr-FR"/>
        </w:rPr>
        <w:t>d’</w:t>
      </w:r>
      <w:r w:rsidR="00D60A11" w:rsidRPr="00EA05B3">
        <w:rPr>
          <w:lang w:val="fr-FR"/>
        </w:rPr>
        <w:t xml:space="preserve">une autonomie administrative et financière. Il </w:t>
      </w:r>
      <w:r w:rsidR="009379A7" w:rsidRPr="00EA05B3">
        <w:rPr>
          <w:lang w:val="fr-FR"/>
        </w:rPr>
        <w:t>s’</w:t>
      </w:r>
      <w:r w:rsidR="00D60A11" w:rsidRPr="00EA05B3">
        <w:rPr>
          <w:lang w:val="fr-FR"/>
        </w:rPr>
        <w:t xml:space="preserve">agit </w:t>
      </w:r>
      <w:r w:rsidR="009379A7" w:rsidRPr="00EA05B3">
        <w:rPr>
          <w:lang w:val="fr-FR"/>
        </w:rPr>
        <w:t>d’</w:t>
      </w:r>
      <w:r w:rsidR="00D60A11" w:rsidRPr="00EA05B3">
        <w:rPr>
          <w:lang w:val="fr-FR"/>
        </w:rPr>
        <w:t xml:space="preserve">un organe décentralisé, qui a des représentants dans chaque province, ainsi </w:t>
      </w:r>
      <w:r w:rsidR="009379A7" w:rsidRPr="00EA05B3">
        <w:rPr>
          <w:lang w:val="fr-FR"/>
        </w:rPr>
        <w:t>qu’</w:t>
      </w:r>
      <w:r w:rsidR="00D60A11" w:rsidRPr="00EA05B3">
        <w:rPr>
          <w:lang w:val="fr-FR"/>
        </w:rPr>
        <w:t xml:space="preserve">à </w:t>
      </w:r>
      <w:r w:rsidR="009379A7" w:rsidRPr="00EA05B3">
        <w:rPr>
          <w:lang w:val="fr-FR"/>
        </w:rPr>
        <w:t>l’</w:t>
      </w:r>
      <w:r w:rsidR="00D60A11" w:rsidRPr="00EA05B3">
        <w:rPr>
          <w:lang w:val="fr-FR"/>
        </w:rPr>
        <w:t xml:space="preserve">étranger. Il est chargé de protéger et de défendre les droits des habitants de </w:t>
      </w:r>
      <w:r w:rsidR="009379A7" w:rsidRPr="00EA05B3">
        <w:rPr>
          <w:lang w:val="fr-FR"/>
        </w:rPr>
        <w:t>l’</w:t>
      </w:r>
      <w:r w:rsidR="00D60A11" w:rsidRPr="00EA05B3">
        <w:rPr>
          <w:lang w:val="fr-FR"/>
        </w:rPr>
        <w:t xml:space="preserve">Équateur et ceux des Équatoriens à </w:t>
      </w:r>
      <w:r w:rsidR="009379A7" w:rsidRPr="00EA05B3">
        <w:rPr>
          <w:lang w:val="fr-FR"/>
        </w:rPr>
        <w:t>l’</w:t>
      </w:r>
      <w:r w:rsidR="00D60A11" w:rsidRPr="00EA05B3">
        <w:rPr>
          <w:lang w:val="fr-FR"/>
        </w:rPr>
        <w:t xml:space="preserve">étranger. </w:t>
      </w:r>
    </w:p>
    <w:p w:rsidR="00D60A11" w:rsidRPr="00EA05B3" w:rsidRDefault="00793C91" w:rsidP="00F32DF1">
      <w:pPr>
        <w:pStyle w:val="SingleTxtG"/>
        <w:rPr>
          <w:lang w:val="fr-FR"/>
        </w:rPr>
      </w:pPr>
      <w:r w:rsidRPr="00EA05B3">
        <w:rPr>
          <w:lang w:val="fr-FR"/>
        </w:rPr>
        <w:t>219.</w:t>
      </w:r>
      <w:r w:rsidRPr="00EA05B3">
        <w:rPr>
          <w:lang w:val="fr-FR"/>
        </w:rPr>
        <w:tab/>
      </w:r>
      <w:r w:rsidR="00D60A11" w:rsidRPr="00EA05B3">
        <w:rPr>
          <w:lang w:val="fr-FR"/>
        </w:rPr>
        <w:t>Ses fonctions sont les suivantes</w:t>
      </w:r>
      <w:r w:rsidR="00B36EE6" w:rsidRPr="00EA05B3">
        <w:rPr>
          <w:lang w:val="fr-FR"/>
        </w:rPr>
        <w:t>:</w:t>
      </w:r>
      <w:r w:rsidR="00D60A11" w:rsidRPr="00EA05B3">
        <w:rPr>
          <w:lang w:val="fr-FR"/>
        </w:rPr>
        <w:t xml:space="preserve"> </w:t>
      </w:r>
    </w:p>
    <w:p w:rsidR="00D60A11" w:rsidRPr="00EA05B3" w:rsidRDefault="00563B9D" w:rsidP="00460AF1">
      <w:pPr>
        <w:pStyle w:val="SingleTxtG"/>
        <w:ind w:firstLine="567"/>
        <w:rPr>
          <w:lang w:val="fr-FR"/>
        </w:rPr>
      </w:pPr>
      <w:r w:rsidRPr="00EA05B3">
        <w:rPr>
          <w:lang w:val="fr-FR"/>
        </w:rPr>
        <w:t>a</w:t>
      </w:r>
      <w:r w:rsidR="00876266" w:rsidRPr="00EA05B3">
        <w:rPr>
          <w:lang w:val="fr-FR"/>
        </w:rPr>
        <w:t>)</w:t>
      </w:r>
      <w:r w:rsidR="00876266" w:rsidRPr="00EA05B3">
        <w:rPr>
          <w:lang w:val="fr-FR"/>
        </w:rPr>
        <w:tab/>
      </w:r>
      <w:r w:rsidRPr="00EA05B3">
        <w:rPr>
          <w:lang w:val="fr-FR"/>
        </w:rPr>
        <w:t xml:space="preserve">Assister </w:t>
      </w:r>
      <w:r w:rsidR="009379A7" w:rsidRPr="00EA05B3">
        <w:rPr>
          <w:lang w:val="fr-FR"/>
        </w:rPr>
        <w:t>d’</w:t>
      </w:r>
      <w:r w:rsidRPr="00EA05B3">
        <w:rPr>
          <w:lang w:val="fr-FR"/>
        </w:rPr>
        <w:t xml:space="preserve">office ou représenter une partie en cas </w:t>
      </w:r>
      <w:r w:rsidR="009379A7" w:rsidRPr="00EA05B3">
        <w:rPr>
          <w:lang w:val="fr-FR"/>
        </w:rPr>
        <w:t>d’</w:t>
      </w:r>
      <w:r w:rsidRPr="00EA05B3">
        <w:rPr>
          <w:lang w:val="fr-FR"/>
        </w:rPr>
        <w:t xml:space="preserve">action en protection et en </w:t>
      </w:r>
      <w:r w:rsidRPr="00EA05B3">
        <w:rPr>
          <w:i/>
          <w:lang w:val="fr-FR"/>
        </w:rPr>
        <w:t>habeas corpus</w:t>
      </w:r>
      <w:r w:rsidRPr="00EA05B3">
        <w:rPr>
          <w:lang w:val="fr-FR"/>
        </w:rPr>
        <w:t xml:space="preserve">, </w:t>
      </w:r>
      <w:r w:rsidR="009379A7" w:rsidRPr="00EA05B3">
        <w:rPr>
          <w:lang w:val="fr-FR"/>
        </w:rPr>
        <w:t>d’</w:t>
      </w:r>
      <w:r w:rsidRPr="00EA05B3">
        <w:rPr>
          <w:lang w:val="fr-FR"/>
        </w:rPr>
        <w:t xml:space="preserve">action en matière </w:t>
      </w:r>
      <w:r w:rsidR="009379A7" w:rsidRPr="00EA05B3">
        <w:rPr>
          <w:lang w:val="fr-FR"/>
        </w:rPr>
        <w:t>d’</w:t>
      </w:r>
      <w:r w:rsidRPr="00EA05B3">
        <w:rPr>
          <w:lang w:val="fr-FR"/>
        </w:rPr>
        <w:t xml:space="preserve">accès à </w:t>
      </w:r>
      <w:r w:rsidR="009379A7" w:rsidRPr="00EA05B3">
        <w:rPr>
          <w:lang w:val="fr-FR"/>
        </w:rPr>
        <w:t>l’</w:t>
      </w:r>
      <w:r w:rsidRPr="00EA05B3">
        <w:rPr>
          <w:lang w:val="fr-FR"/>
        </w:rPr>
        <w:t xml:space="preserve">information publique, en </w:t>
      </w:r>
      <w:r w:rsidRPr="00EA05B3">
        <w:rPr>
          <w:i/>
          <w:lang w:val="fr-FR"/>
        </w:rPr>
        <w:t>habeas data</w:t>
      </w:r>
      <w:r w:rsidRPr="00EA05B3">
        <w:rPr>
          <w:lang w:val="fr-FR"/>
        </w:rPr>
        <w:t xml:space="preserve">, en manquement, </w:t>
      </w:r>
      <w:r w:rsidR="009379A7" w:rsidRPr="00EA05B3">
        <w:rPr>
          <w:lang w:val="fr-FR"/>
        </w:rPr>
        <w:t>d’</w:t>
      </w:r>
      <w:r w:rsidRPr="00EA05B3">
        <w:rPr>
          <w:lang w:val="fr-FR"/>
        </w:rPr>
        <w:t>action engagée par des groupes de citoyens, et déposer plainte pour mauvaise qualité ou prestation inappropriée des services publics ou privés</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b</w:t>
      </w:r>
      <w:r w:rsidR="00876266" w:rsidRPr="00EA05B3">
        <w:rPr>
          <w:lang w:val="fr-FR"/>
        </w:rPr>
        <w:t>)</w:t>
      </w:r>
      <w:r w:rsidR="00876266" w:rsidRPr="00EA05B3">
        <w:rPr>
          <w:lang w:val="fr-FR"/>
        </w:rPr>
        <w:tab/>
      </w:r>
      <w:r w:rsidRPr="00EA05B3">
        <w:rPr>
          <w:lang w:val="fr-FR"/>
        </w:rPr>
        <w:t xml:space="preserve">Proposer des mesures obligatoires et immédiates de protection des droits et requérir une décision et des sanctions de </w:t>
      </w:r>
      <w:r w:rsidR="009379A7" w:rsidRPr="00EA05B3">
        <w:rPr>
          <w:lang w:val="fr-FR"/>
        </w:rPr>
        <w:t>l’</w:t>
      </w:r>
      <w:r w:rsidRPr="00EA05B3">
        <w:rPr>
          <w:lang w:val="fr-FR"/>
        </w:rPr>
        <w:t>instance compétente en cas de violation</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c</w:t>
      </w:r>
      <w:r w:rsidR="00876266" w:rsidRPr="00EA05B3">
        <w:rPr>
          <w:lang w:val="fr-FR"/>
        </w:rPr>
        <w:t>)</w:t>
      </w:r>
      <w:r w:rsidR="00876266" w:rsidRPr="00EA05B3">
        <w:rPr>
          <w:lang w:val="fr-FR"/>
        </w:rPr>
        <w:tab/>
      </w:r>
      <w:r w:rsidRPr="00EA05B3">
        <w:rPr>
          <w:lang w:val="fr-FR"/>
        </w:rPr>
        <w:t>Ouvrir une enquête et statuer, dans les limites de ses compétences, concernant des actes ou omissions de personnes physiques ou morales prestataires de services publics</w:t>
      </w:r>
      <w:r w:rsidR="00B36EE6" w:rsidRPr="00EA05B3">
        <w:rPr>
          <w:lang w:val="fr-FR"/>
        </w:rPr>
        <w:t>;</w:t>
      </w:r>
      <w:r w:rsidRPr="00EA05B3">
        <w:rPr>
          <w:lang w:val="fr-FR"/>
        </w:rPr>
        <w:t xml:space="preserve"> </w:t>
      </w:r>
    </w:p>
    <w:p w:rsidR="00D60A11" w:rsidRPr="00EA05B3" w:rsidRDefault="00563B9D" w:rsidP="00460AF1">
      <w:pPr>
        <w:pStyle w:val="SingleTxtG"/>
        <w:ind w:firstLine="567"/>
        <w:rPr>
          <w:lang w:val="fr-FR"/>
        </w:rPr>
      </w:pPr>
      <w:r w:rsidRPr="00EA05B3">
        <w:rPr>
          <w:lang w:val="fr-FR"/>
        </w:rPr>
        <w:t>d</w:t>
      </w:r>
      <w:r w:rsidR="00876266" w:rsidRPr="00EA05B3">
        <w:rPr>
          <w:lang w:val="fr-FR"/>
        </w:rPr>
        <w:t>)</w:t>
      </w:r>
      <w:r w:rsidR="00876266" w:rsidRPr="00EA05B3">
        <w:rPr>
          <w:lang w:val="fr-FR"/>
        </w:rPr>
        <w:tab/>
      </w:r>
      <w:r w:rsidRPr="00EA05B3">
        <w:rPr>
          <w:lang w:val="fr-FR"/>
        </w:rPr>
        <w:t xml:space="preserve">Veiller au respect de la légalité et </w:t>
      </w:r>
      <w:r w:rsidR="009379A7" w:rsidRPr="00EA05B3">
        <w:rPr>
          <w:lang w:val="fr-FR"/>
        </w:rPr>
        <w:t>l’</w:t>
      </w:r>
      <w:r w:rsidRPr="00EA05B3">
        <w:rPr>
          <w:lang w:val="fr-FR"/>
        </w:rPr>
        <w:t>encourager, prévenir et faire cesser sans délai toutes formes de torture et de traitement cruel, inhumain et dégradant.</w:t>
      </w:r>
    </w:p>
    <w:p w:rsidR="00D60A11" w:rsidRPr="00EA05B3" w:rsidRDefault="00793C91" w:rsidP="00F32DF1">
      <w:pPr>
        <w:pStyle w:val="SingleTxtG"/>
        <w:rPr>
          <w:lang w:val="fr-FR"/>
        </w:rPr>
      </w:pPr>
      <w:r w:rsidRPr="00EA05B3">
        <w:rPr>
          <w:lang w:val="fr-FR"/>
        </w:rPr>
        <w:t>220.</w:t>
      </w:r>
      <w:r w:rsidRPr="00EA05B3">
        <w:rPr>
          <w:lang w:val="fr-FR"/>
        </w:rPr>
        <w:tab/>
      </w:r>
      <w:r w:rsidR="00D60A11" w:rsidRPr="00EA05B3">
        <w:rPr>
          <w:lang w:val="fr-FR"/>
        </w:rPr>
        <w:t xml:space="preserve">Il convient de souligner que depuis 2012 le Bureau du Défenseur du peuple a été désigné comme mécanisme national de prévention de la torture et est reconnu comme tel par </w:t>
      </w:r>
      <w:r w:rsidR="009379A7" w:rsidRPr="00EA05B3">
        <w:rPr>
          <w:lang w:val="fr-FR"/>
        </w:rPr>
        <w:t>l’</w:t>
      </w:r>
      <w:r w:rsidR="00D60A11" w:rsidRPr="00EA05B3">
        <w:rPr>
          <w:lang w:val="fr-FR"/>
        </w:rPr>
        <w:t xml:space="preserve">Organisation des Nations Unies. </w:t>
      </w:r>
      <w:r w:rsidR="0050005C" w:rsidRPr="00EA05B3">
        <w:rPr>
          <w:lang w:val="fr-FR"/>
        </w:rPr>
        <w:t>Pour s’acquitter de c</w:t>
      </w:r>
      <w:r w:rsidR="00D60A11" w:rsidRPr="00EA05B3">
        <w:rPr>
          <w:lang w:val="fr-FR"/>
        </w:rPr>
        <w:t>ette responsabilité</w:t>
      </w:r>
      <w:r w:rsidR="0050005C" w:rsidRPr="00EA05B3">
        <w:rPr>
          <w:lang w:val="fr-FR"/>
        </w:rPr>
        <w:t xml:space="preserve">, il </w:t>
      </w:r>
      <w:r w:rsidR="00271519" w:rsidRPr="00EA05B3">
        <w:rPr>
          <w:lang w:val="fr-FR"/>
        </w:rPr>
        <w:t xml:space="preserve">s’appuie </w:t>
      </w:r>
      <w:r w:rsidR="00D60A11" w:rsidRPr="00EA05B3">
        <w:rPr>
          <w:lang w:val="fr-FR"/>
        </w:rPr>
        <w:t xml:space="preserve">sur une procédure permanente de surveillance et de visite de tous les centres de privation de liberté conçue précisément, conformément aux recommandations du Protocole facultatif se rapportant à la Convention contre la torture et autres peines ou traitements cruels, inhumains ou dégradants, pour vérifier leur fonctionnement, contrôler les registres des détenus et repérer </w:t>
      </w:r>
      <w:r w:rsidR="009379A7" w:rsidRPr="00EA05B3">
        <w:rPr>
          <w:lang w:val="fr-FR"/>
        </w:rPr>
        <w:t>d’</w:t>
      </w:r>
      <w:r w:rsidR="00D60A11" w:rsidRPr="00EA05B3">
        <w:rPr>
          <w:lang w:val="fr-FR"/>
        </w:rPr>
        <w:t>éventuelles irrégularités.</w:t>
      </w:r>
    </w:p>
    <w:p w:rsidR="00D60A11" w:rsidRPr="00EA05B3" w:rsidRDefault="00793C91" w:rsidP="00F32DF1">
      <w:pPr>
        <w:pStyle w:val="SingleTxtG"/>
        <w:rPr>
          <w:lang w:val="fr-FR"/>
        </w:rPr>
      </w:pPr>
      <w:r w:rsidRPr="00EA05B3">
        <w:rPr>
          <w:lang w:val="fr-FR"/>
        </w:rPr>
        <w:t>221.</w:t>
      </w:r>
      <w:r w:rsidRPr="00EA05B3">
        <w:rPr>
          <w:lang w:val="fr-FR"/>
        </w:rPr>
        <w:tab/>
      </w:r>
      <w:r w:rsidR="00D60A11" w:rsidRPr="00EA05B3">
        <w:rPr>
          <w:lang w:val="fr-FR"/>
        </w:rPr>
        <w:t xml:space="preserve">Le chapitre 6 traite de la fonction électorale. </w:t>
      </w:r>
      <w:r w:rsidR="009379A7" w:rsidRPr="00EA05B3">
        <w:rPr>
          <w:lang w:val="fr-FR"/>
        </w:rPr>
        <w:t>L’</w:t>
      </w:r>
      <w:r w:rsidR="00D60A11" w:rsidRPr="00EA05B3">
        <w:rPr>
          <w:lang w:val="fr-FR"/>
        </w:rPr>
        <w:t xml:space="preserve">article 217 dispose que la fonction électorale garantit </w:t>
      </w:r>
      <w:r w:rsidR="009379A7" w:rsidRPr="00EA05B3">
        <w:rPr>
          <w:lang w:val="fr-FR"/>
        </w:rPr>
        <w:t>l’</w:t>
      </w:r>
      <w:r w:rsidR="00D60A11" w:rsidRPr="00EA05B3">
        <w:rPr>
          <w:lang w:val="fr-FR"/>
        </w:rPr>
        <w:t xml:space="preserve">exercice des droits politiques qui </w:t>
      </w:r>
      <w:r w:rsidR="009379A7" w:rsidRPr="00EA05B3">
        <w:rPr>
          <w:lang w:val="fr-FR"/>
        </w:rPr>
        <w:t>s’</w:t>
      </w:r>
      <w:r w:rsidR="00D60A11" w:rsidRPr="00EA05B3">
        <w:rPr>
          <w:lang w:val="fr-FR"/>
        </w:rPr>
        <w:t xml:space="preserve">expriment par le biais des élections, ainsi que des droits relatifs à </w:t>
      </w:r>
      <w:r w:rsidR="009379A7" w:rsidRPr="00EA05B3">
        <w:rPr>
          <w:lang w:val="fr-FR"/>
        </w:rPr>
        <w:t>l’</w:t>
      </w:r>
      <w:r w:rsidR="00D60A11" w:rsidRPr="00EA05B3">
        <w:rPr>
          <w:lang w:val="fr-FR"/>
        </w:rPr>
        <w:t xml:space="preserve">organisation politique des citoyens. Elle se compose du Conseil national électoral et du Tribunal électoral, dont le siège est à Quito, tous deux dotés de la personnalité juridique, ayant compétence sur </w:t>
      </w:r>
      <w:r w:rsidR="009379A7" w:rsidRPr="00EA05B3">
        <w:rPr>
          <w:lang w:val="fr-FR"/>
        </w:rPr>
        <w:t>l’</w:t>
      </w:r>
      <w:r w:rsidR="00D60A11" w:rsidRPr="00EA05B3">
        <w:rPr>
          <w:lang w:val="fr-FR"/>
        </w:rPr>
        <w:t xml:space="preserve">ensemble du territoire national et jouissant </w:t>
      </w:r>
      <w:r w:rsidR="009379A7" w:rsidRPr="00EA05B3">
        <w:rPr>
          <w:lang w:val="fr-FR"/>
        </w:rPr>
        <w:t>d’</w:t>
      </w:r>
      <w:r w:rsidR="00D60A11" w:rsidRPr="00EA05B3">
        <w:rPr>
          <w:lang w:val="fr-FR"/>
        </w:rPr>
        <w:t xml:space="preserve">une autonomie administrative, financière et organisationnelle. Ils sont régis par les principes </w:t>
      </w:r>
      <w:r w:rsidR="009379A7" w:rsidRPr="00EA05B3">
        <w:rPr>
          <w:lang w:val="fr-FR"/>
        </w:rPr>
        <w:t>d’</w:t>
      </w:r>
      <w:r w:rsidR="00D60A11" w:rsidRPr="00EA05B3">
        <w:rPr>
          <w:lang w:val="fr-FR"/>
        </w:rPr>
        <w:t xml:space="preserve">autonomie, </w:t>
      </w:r>
      <w:r w:rsidR="009379A7" w:rsidRPr="00EA05B3">
        <w:rPr>
          <w:lang w:val="fr-FR"/>
        </w:rPr>
        <w:t>d’</w:t>
      </w:r>
      <w:r w:rsidR="00D60A11" w:rsidRPr="00EA05B3">
        <w:rPr>
          <w:lang w:val="fr-FR"/>
        </w:rPr>
        <w:t xml:space="preserve">indépendance, de transparence, </w:t>
      </w:r>
      <w:r w:rsidR="009379A7" w:rsidRPr="00EA05B3">
        <w:rPr>
          <w:lang w:val="fr-FR"/>
        </w:rPr>
        <w:t>d’</w:t>
      </w:r>
      <w:r w:rsidR="00D60A11" w:rsidRPr="00EA05B3">
        <w:rPr>
          <w:lang w:val="fr-FR"/>
        </w:rPr>
        <w:t xml:space="preserve">équité, </w:t>
      </w:r>
      <w:r w:rsidR="009379A7" w:rsidRPr="00EA05B3">
        <w:rPr>
          <w:lang w:val="fr-FR"/>
        </w:rPr>
        <w:t>d’</w:t>
      </w:r>
      <w:r w:rsidR="00D60A11" w:rsidRPr="00EA05B3">
        <w:rPr>
          <w:lang w:val="fr-FR"/>
        </w:rPr>
        <w:t>interculturalité, de parité des sexes et de probité.</w:t>
      </w:r>
    </w:p>
    <w:p w:rsidR="00D60A11" w:rsidRPr="00EA05B3" w:rsidRDefault="00793C91" w:rsidP="00F32DF1">
      <w:pPr>
        <w:pStyle w:val="SingleTxtG"/>
        <w:rPr>
          <w:lang w:val="fr-FR"/>
        </w:rPr>
      </w:pPr>
      <w:r w:rsidRPr="00EA05B3">
        <w:rPr>
          <w:lang w:val="fr-FR"/>
        </w:rPr>
        <w:t>222.</w:t>
      </w:r>
      <w:r w:rsidRPr="00EA05B3">
        <w:rPr>
          <w:lang w:val="fr-FR"/>
        </w:rPr>
        <w:tab/>
      </w:r>
      <w:r w:rsidR="00D60A11" w:rsidRPr="00EA05B3">
        <w:rPr>
          <w:lang w:val="fr-FR"/>
        </w:rPr>
        <w:t>Les articles 218 et 219, qui se rapportent expressément au Conseil national électoral, disposent que le Conseil est composé de cinq membres de plein droit et de cinq membres suppléants, élus pour six ans. La composition du Conseil est renouvelée partiellement tous les trois ans</w:t>
      </w:r>
      <w:r w:rsidR="00B36EE6" w:rsidRPr="00EA05B3">
        <w:rPr>
          <w:lang w:val="fr-FR"/>
        </w:rPr>
        <w:t>;</w:t>
      </w:r>
      <w:r w:rsidR="00D60A11" w:rsidRPr="00EA05B3">
        <w:rPr>
          <w:lang w:val="fr-FR"/>
        </w:rPr>
        <w:t xml:space="preserve"> le Président du Conseil, qui est le représentant légal de la fonction électorale et exerce un mandat de trois ans, est élu parmi les membres du Conseil.</w:t>
      </w:r>
      <w:r w:rsidR="000D57A5" w:rsidRPr="00EA05B3">
        <w:rPr>
          <w:lang w:val="fr-FR"/>
        </w:rPr>
        <w:t xml:space="preserve"> </w:t>
      </w:r>
      <w:r w:rsidR="00D60A11" w:rsidRPr="00EA05B3">
        <w:rPr>
          <w:lang w:val="fr-FR"/>
        </w:rPr>
        <w:t>Pour être membre du Conseil, il faut avoir la nationalité équatorienne et jouir des droits politiques.</w:t>
      </w:r>
    </w:p>
    <w:p w:rsidR="00D60A11" w:rsidRPr="00EA05B3" w:rsidRDefault="00793C91" w:rsidP="00F32DF1">
      <w:pPr>
        <w:pStyle w:val="SingleTxtG"/>
        <w:rPr>
          <w:lang w:val="fr-FR"/>
        </w:rPr>
      </w:pPr>
      <w:r w:rsidRPr="00EA05B3">
        <w:rPr>
          <w:lang w:val="fr-FR"/>
        </w:rPr>
        <w:t>223.</w:t>
      </w:r>
      <w:r w:rsidRPr="00EA05B3">
        <w:rPr>
          <w:lang w:val="fr-FR"/>
        </w:rPr>
        <w:tab/>
      </w:r>
      <w:r w:rsidR="00D60A11" w:rsidRPr="00EA05B3">
        <w:rPr>
          <w:lang w:val="fr-FR"/>
        </w:rPr>
        <w:t>Outre les pouvoirs que lui confère la loi, le Conseil électoral a les fonctions suivantes</w:t>
      </w:r>
      <w:r w:rsidR="00B36EE6" w:rsidRPr="00EA05B3">
        <w:rPr>
          <w:lang w:val="fr-FR"/>
        </w:rPr>
        <w:t>:</w:t>
      </w:r>
      <w:r w:rsidR="00D60A11" w:rsidRPr="00EA05B3">
        <w:rPr>
          <w:lang w:val="fr-FR"/>
        </w:rPr>
        <w:t xml:space="preserve"> </w:t>
      </w:r>
    </w:p>
    <w:p w:rsidR="00D60A11" w:rsidRPr="00EA05B3" w:rsidRDefault="00563B9D" w:rsidP="00460AF1">
      <w:pPr>
        <w:pStyle w:val="SingleTxtG"/>
        <w:ind w:firstLine="567"/>
        <w:rPr>
          <w:lang w:val="fr-FR"/>
        </w:rPr>
      </w:pPr>
      <w:r w:rsidRPr="00EA05B3">
        <w:rPr>
          <w:lang w:val="fr-FR"/>
        </w:rPr>
        <w:t>a</w:t>
      </w:r>
      <w:r w:rsidR="00876266" w:rsidRPr="00EA05B3">
        <w:rPr>
          <w:lang w:val="fr-FR"/>
        </w:rPr>
        <w:t>)</w:t>
      </w:r>
      <w:r w:rsidR="00876266" w:rsidRPr="00EA05B3">
        <w:rPr>
          <w:lang w:val="fr-FR"/>
        </w:rPr>
        <w:tab/>
      </w:r>
      <w:r w:rsidRPr="00EA05B3">
        <w:rPr>
          <w:lang w:val="fr-FR"/>
        </w:rPr>
        <w:t>Organiser, diriger et superviser les élections et en garantir la transparence</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b</w:t>
      </w:r>
      <w:r w:rsidR="00876266" w:rsidRPr="00EA05B3">
        <w:rPr>
          <w:lang w:val="fr-FR"/>
        </w:rPr>
        <w:t>)</w:t>
      </w:r>
      <w:r w:rsidR="00876266" w:rsidRPr="00EA05B3">
        <w:rPr>
          <w:lang w:val="fr-FR"/>
        </w:rPr>
        <w:tab/>
      </w:r>
      <w:r w:rsidRPr="00EA05B3">
        <w:rPr>
          <w:lang w:val="fr-FR"/>
        </w:rPr>
        <w:t>Convoquer les élections, comptabiliser les votes, proclamer les résultats et faire prêter serment aux candidats élus</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c</w:t>
      </w:r>
      <w:r w:rsidR="00876266" w:rsidRPr="00EA05B3">
        <w:rPr>
          <w:lang w:val="fr-FR"/>
        </w:rPr>
        <w:t>)</w:t>
      </w:r>
      <w:r w:rsidR="00876266" w:rsidRPr="00EA05B3">
        <w:rPr>
          <w:lang w:val="fr-FR"/>
        </w:rPr>
        <w:tab/>
      </w:r>
      <w:r w:rsidRPr="00EA05B3">
        <w:rPr>
          <w:lang w:val="fr-FR"/>
        </w:rPr>
        <w:t>Nommer les membres des organismes électoraux décentralisés</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d</w:t>
      </w:r>
      <w:r w:rsidR="00876266" w:rsidRPr="00EA05B3">
        <w:rPr>
          <w:lang w:val="fr-FR"/>
        </w:rPr>
        <w:t>)</w:t>
      </w:r>
      <w:r w:rsidR="00876266" w:rsidRPr="00EA05B3">
        <w:rPr>
          <w:lang w:val="fr-FR"/>
        </w:rPr>
        <w:tab/>
      </w:r>
      <w:r w:rsidRPr="00EA05B3">
        <w:rPr>
          <w:lang w:val="fr-FR"/>
        </w:rPr>
        <w:t>Contrôler la campagne et les dépenses électorales, et examiner et vérifier les comptes présentés par les organisations politiques et les candidats</w:t>
      </w:r>
      <w:r w:rsidR="00B36EE6" w:rsidRPr="00EA05B3">
        <w:rPr>
          <w:lang w:val="fr-FR"/>
        </w:rPr>
        <w:t>;</w:t>
      </w:r>
      <w:r w:rsidRPr="00EA05B3">
        <w:rPr>
          <w:lang w:val="fr-FR"/>
        </w:rPr>
        <w:t xml:space="preserve"> </w:t>
      </w:r>
    </w:p>
    <w:p w:rsidR="00D60A11" w:rsidRPr="00EA05B3" w:rsidRDefault="00563B9D" w:rsidP="00460AF1">
      <w:pPr>
        <w:pStyle w:val="SingleTxtG"/>
        <w:ind w:firstLine="567"/>
        <w:rPr>
          <w:lang w:val="fr-FR"/>
        </w:rPr>
      </w:pPr>
      <w:r w:rsidRPr="00EA05B3">
        <w:rPr>
          <w:lang w:val="fr-FR"/>
        </w:rPr>
        <w:t>e</w:t>
      </w:r>
      <w:r w:rsidR="00876266" w:rsidRPr="00EA05B3">
        <w:rPr>
          <w:lang w:val="fr-FR"/>
        </w:rPr>
        <w:t>)</w:t>
      </w:r>
      <w:r w:rsidR="00876266" w:rsidRPr="00EA05B3">
        <w:rPr>
          <w:lang w:val="fr-FR"/>
        </w:rPr>
        <w:tab/>
      </w:r>
      <w:r w:rsidRPr="00EA05B3">
        <w:rPr>
          <w:lang w:val="fr-FR"/>
        </w:rPr>
        <w:t>Garantir la transparence et la légalité des élections internes des organisations politiques</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f</w:t>
      </w:r>
      <w:r w:rsidR="00876266" w:rsidRPr="00EA05B3">
        <w:rPr>
          <w:lang w:val="fr-FR"/>
        </w:rPr>
        <w:t>)</w:t>
      </w:r>
      <w:r w:rsidR="00876266" w:rsidRPr="00EA05B3">
        <w:rPr>
          <w:lang w:val="fr-FR"/>
        </w:rPr>
        <w:tab/>
      </w:r>
      <w:r w:rsidRPr="00EA05B3">
        <w:rPr>
          <w:lang w:val="fr-FR"/>
        </w:rPr>
        <w:t>Présenter des projets de loi dans les domaines de sa compétence</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g</w:t>
      </w:r>
      <w:r w:rsidR="00876266" w:rsidRPr="00EA05B3">
        <w:rPr>
          <w:lang w:val="fr-FR"/>
        </w:rPr>
        <w:t>)</w:t>
      </w:r>
      <w:r w:rsidR="00876266" w:rsidRPr="00EA05B3">
        <w:rPr>
          <w:lang w:val="fr-FR"/>
        </w:rPr>
        <w:tab/>
      </w:r>
      <w:r w:rsidRPr="00EA05B3">
        <w:rPr>
          <w:lang w:val="fr-FR"/>
        </w:rPr>
        <w:t xml:space="preserve">Tenir à jour le registre des organisations politiques et de leurs conseils de direction, et vérifier les procédures </w:t>
      </w:r>
      <w:r w:rsidR="009379A7" w:rsidRPr="00EA05B3">
        <w:rPr>
          <w:lang w:val="fr-FR"/>
        </w:rPr>
        <w:t>d’</w:t>
      </w:r>
      <w:r w:rsidRPr="00EA05B3">
        <w:rPr>
          <w:lang w:val="fr-FR"/>
        </w:rPr>
        <w:t>enregistrement</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h</w:t>
      </w:r>
      <w:r w:rsidR="00876266" w:rsidRPr="00EA05B3">
        <w:rPr>
          <w:lang w:val="fr-FR"/>
        </w:rPr>
        <w:t>)</w:t>
      </w:r>
      <w:r w:rsidR="00876266" w:rsidRPr="00EA05B3">
        <w:rPr>
          <w:lang w:val="fr-FR"/>
        </w:rPr>
        <w:tab/>
      </w:r>
      <w:r w:rsidRPr="00EA05B3">
        <w:rPr>
          <w:lang w:val="fr-FR"/>
        </w:rPr>
        <w:t>Veiller à ce que les organisations politiques soient conformes à la loi et respectent leurs règlements et statuts</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i</w:t>
      </w:r>
      <w:r w:rsidR="00876266" w:rsidRPr="00EA05B3">
        <w:rPr>
          <w:lang w:val="fr-FR"/>
        </w:rPr>
        <w:t>)</w:t>
      </w:r>
      <w:r w:rsidR="00876266" w:rsidRPr="00EA05B3">
        <w:rPr>
          <w:lang w:val="fr-FR"/>
        </w:rPr>
        <w:tab/>
      </w:r>
      <w:r w:rsidRPr="00EA05B3">
        <w:rPr>
          <w:lang w:val="fr-FR"/>
        </w:rPr>
        <w:t xml:space="preserve">Mettre en place, gérer et contrôler le financement par </w:t>
      </w:r>
      <w:r w:rsidR="009379A7" w:rsidRPr="00EA05B3">
        <w:rPr>
          <w:lang w:val="fr-FR"/>
        </w:rPr>
        <w:t>l’</w:t>
      </w:r>
      <w:r w:rsidRPr="00EA05B3">
        <w:rPr>
          <w:lang w:val="fr-FR"/>
        </w:rPr>
        <w:t>État des campagnes électorales et du Fonds pour les organisations politiques</w:t>
      </w:r>
      <w:r w:rsidR="00B36EE6" w:rsidRPr="00EA05B3">
        <w:rPr>
          <w:lang w:val="fr-FR"/>
        </w:rPr>
        <w:t>;</w:t>
      </w:r>
      <w:r w:rsidRPr="00EA05B3">
        <w:rPr>
          <w:lang w:val="fr-FR"/>
        </w:rPr>
        <w:t xml:space="preserve"> </w:t>
      </w:r>
    </w:p>
    <w:p w:rsidR="00D60A11" w:rsidRPr="00EA05B3" w:rsidRDefault="00563B9D" w:rsidP="00460AF1">
      <w:pPr>
        <w:pStyle w:val="SingleTxtG"/>
        <w:ind w:firstLine="567"/>
        <w:rPr>
          <w:lang w:val="fr-FR"/>
        </w:rPr>
      </w:pPr>
      <w:r w:rsidRPr="00EA05B3">
        <w:rPr>
          <w:lang w:val="fr-FR"/>
        </w:rPr>
        <w:t>j</w:t>
      </w:r>
      <w:r w:rsidR="00876266" w:rsidRPr="00EA05B3">
        <w:rPr>
          <w:lang w:val="fr-FR"/>
        </w:rPr>
        <w:t>)</w:t>
      </w:r>
      <w:r w:rsidR="00876266" w:rsidRPr="00EA05B3">
        <w:rPr>
          <w:lang w:val="fr-FR"/>
        </w:rPr>
        <w:tab/>
      </w:r>
      <w:r w:rsidRPr="00EA05B3">
        <w:rPr>
          <w:lang w:val="fr-FR"/>
        </w:rPr>
        <w:t xml:space="preserve">Examiner les contestations et les recours administratifs concernant les décisions des organismes décentralisés durant les élections, statuer à leur sujet et appliquer les sanctions qui </w:t>
      </w:r>
      <w:r w:rsidR="009379A7" w:rsidRPr="00EA05B3">
        <w:rPr>
          <w:lang w:val="fr-FR"/>
        </w:rPr>
        <w:t>s’</w:t>
      </w:r>
      <w:r w:rsidRPr="00EA05B3">
        <w:rPr>
          <w:lang w:val="fr-FR"/>
        </w:rPr>
        <w:t>imposent</w:t>
      </w:r>
      <w:r w:rsidR="00B36EE6" w:rsidRPr="00EA05B3">
        <w:rPr>
          <w:lang w:val="fr-FR"/>
        </w:rPr>
        <w:t>;</w:t>
      </w:r>
      <w:r w:rsidR="000D57A5" w:rsidRPr="00EA05B3">
        <w:rPr>
          <w:lang w:val="fr-FR"/>
        </w:rPr>
        <w:t xml:space="preserve"> </w:t>
      </w:r>
    </w:p>
    <w:p w:rsidR="00D60A11" w:rsidRPr="00EA05B3" w:rsidRDefault="00563B9D" w:rsidP="00460AF1">
      <w:pPr>
        <w:pStyle w:val="SingleTxtG"/>
        <w:ind w:firstLine="567"/>
        <w:rPr>
          <w:lang w:val="fr-FR"/>
        </w:rPr>
      </w:pPr>
      <w:r w:rsidRPr="00EA05B3">
        <w:rPr>
          <w:lang w:val="fr-FR"/>
        </w:rPr>
        <w:t>k</w:t>
      </w:r>
      <w:r w:rsidR="00876266" w:rsidRPr="00EA05B3">
        <w:rPr>
          <w:lang w:val="fr-FR"/>
        </w:rPr>
        <w:t>)</w:t>
      </w:r>
      <w:r w:rsidR="00876266" w:rsidRPr="00EA05B3">
        <w:rPr>
          <w:lang w:val="fr-FR"/>
        </w:rPr>
        <w:tab/>
      </w:r>
      <w:r w:rsidRPr="00EA05B3">
        <w:rPr>
          <w:lang w:val="fr-FR"/>
        </w:rPr>
        <w:t xml:space="preserve">Établir et gérer les listes électorales en Équateur et à </w:t>
      </w:r>
      <w:r w:rsidR="009379A7" w:rsidRPr="00EA05B3">
        <w:rPr>
          <w:lang w:val="fr-FR"/>
        </w:rPr>
        <w:t>l’</w:t>
      </w:r>
      <w:r w:rsidRPr="00EA05B3">
        <w:rPr>
          <w:lang w:val="fr-FR"/>
        </w:rPr>
        <w:t>étranger.</w:t>
      </w:r>
    </w:p>
    <w:p w:rsidR="00D60A11" w:rsidRPr="00EA05B3" w:rsidRDefault="00793C91" w:rsidP="00F32DF1">
      <w:pPr>
        <w:pStyle w:val="SingleTxtG"/>
        <w:rPr>
          <w:lang w:val="fr-FR"/>
        </w:rPr>
      </w:pPr>
      <w:r w:rsidRPr="00EA05B3">
        <w:rPr>
          <w:lang w:val="fr-FR"/>
        </w:rPr>
        <w:t>224.</w:t>
      </w:r>
      <w:r w:rsidRPr="00EA05B3">
        <w:rPr>
          <w:lang w:val="fr-FR"/>
        </w:rPr>
        <w:tab/>
      </w:r>
      <w:r w:rsidR="00D60A11" w:rsidRPr="00EA05B3">
        <w:rPr>
          <w:lang w:val="fr-FR"/>
        </w:rPr>
        <w:t xml:space="preserve">Selon </w:t>
      </w:r>
      <w:r w:rsidR="009379A7" w:rsidRPr="00EA05B3">
        <w:rPr>
          <w:lang w:val="fr-FR"/>
        </w:rPr>
        <w:t>l’</w:t>
      </w:r>
      <w:r w:rsidR="00D60A11" w:rsidRPr="00EA05B3">
        <w:rPr>
          <w:lang w:val="fr-FR"/>
        </w:rPr>
        <w:t xml:space="preserve">article 220 de la Constitution, le Tribunal électoral est composé de cinq membres de plein droit et de cinq membres suppléants, qui exercent leurs fonctions pendant six ans. La composition du Tribunal est partiellement renouvelée tous les trois ans. Les conditions requises pour en être membre sont les mêmes que pour les juges de la Cour nationale de justice. Le Président du Tribunal électoral est élu parmi les membres du Tribunal pour un mandat de trois ans. </w:t>
      </w:r>
      <w:r w:rsidR="009379A7" w:rsidRPr="00EA05B3">
        <w:rPr>
          <w:lang w:val="fr-FR"/>
        </w:rPr>
        <w:t>L’</w:t>
      </w:r>
      <w:r w:rsidR="00D60A11" w:rsidRPr="00EA05B3">
        <w:rPr>
          <w:lang w:val="fr-FR"/>
        </w:rPr>
        <w:t>article 221 définit les fonctions du Tribunal comme suit</w:t>
      </w:r>
      <w:r w:rsidR="00B36EE6" w:rsidRPr="00EA05B3">
        <w:rPr>
          <w:lang w:val="fr-FR"/>
        </w:rPr>
        <w:t>:</w:t>
      </w:r>
      <w:r w:rsidR="00D60A11" w:rsidRPr="00EA05B3">
        <w:rPr>
          <w:lang w:val="fr-FR"/>
        </w:rPr>
        <w:t xml:space="preserve"> a) examiner les recours électoraux contre les actes du Conseil national électoral et des organismes décentralisés, ainsi que les questions litigieuses concernant les organisations politiques, et statuer à leur sujet</w:t>
      </w:r>
      <w:r w:rsidR="00B36EE6" w:rsidRPr="00EA05B3">
        <w:rPr>
          <w:lang w:val="fr-FR"/>
        </w:rPr>
        <w:t>;</w:t>
      </w:r>
      <w:r w:rsidR="00D60A11" w:rsidRPr="00EA05B3">
        <w:rPr>
          <w:lang w:val="fr-FR"/>
        </w:rPr>
        <w:t xml:space="preserve"> b) imposer des peines pour non-respect des règles relatives au financement, à la publicité et aux dépenses électorales, et autres violations des règles électorales</w:t>
      </w:r>
      <w:r w:rsidR="00B36EE6" w:rsidRPr="00EA05B3">
        <w:rPr>
          <w:lang w:val="fr-FR"/>
        </w:rPr>
        <w:t>;</w:t>
      </w:r>
      <w:r w:rsidR="00D60A11" w:rsidRPr="00EA05B3">
        <w:rPr>
          <w:lang w:val="fr-FR"/>
        </w:rPr>
        <w:t xml:space="preserve"> c) prendre toutes décisions concernant son organisation et fixer et mettre en œuvre son budget. Les jugements et décisions du Tribunal sont définitifs et </w:t>
      </w:r>
      <w:r w:rsidR="009379A7" w:rsidRPr="00EA05B3">
        <w:rPr>
          <w:lang w:val="fr-FR"/>
        </w:rPr>
        <w:t>d’</w:t>
      </w:r>
      <w:r w:rsidR="00D60A11" w:rsidRPr="00EA05B3">
        <w:rPr>
          <w:lang w:val="fr-FR"/>
        </w:rPr>
        <w:t>application immédiate, et constituent la jurisprudence électorale.</w:t>
      </w:r>
    </w:p>
    <w:p w:rsidR="00D60A11" w:rsidRPr="00EA05B3" w:rsidRDefault="00793C91" w:rsidP="00F32DF1">
      <w:pPr>
        <w:pStyle w:val="SingleTxtG"/>
        <w:rPr>
          <w:lang w:val="fr-FR"/>
        </w:rPr>
      </w:pPr>
      <w:r w:rsidRPr="00EA05B3">
        <w:rPr>
          <w:lang w:val="fr-FR"/>
        </w:rPr>
        <w:t>225.</w:t>
      </w:r>
      <w:r w:rsidRPr="00EA05B3">
        <w:rPr>
          <w:lang w:val="fr-FR"/>
        </w:rPr>
        <w:tab/>
      </w:r>
      <w:r w:rsidR="00D60A11" w:rsidRPr="00EA05B3">
        <w:rPr>
          <w:lang w:val="fr-FR"/>
        </w:rPr>
        <w:t>Les articles 222 à 224 prévoient des normes communes de contrôle politique et social, notamment</w:t>
      </w:r>
      <w:r w:rsidR="00B36EE6" w:rsidRPr="00EA05B3">
        <w:rPr>
          <w:lang w:val="fr-FR"/>
        </w:rPr>
        <w:t>:</w:t>
      </w:r>
      <w:r w:rsidR="00D60A11" w:rsidRPr="00EA05B3">
        <w:rPr>
          <w:lang w:val="fr-FR"/>
        </w:rPr>
        <w:t xml:space="preserve"> la possibilité de poursuivre les membres du Conseil et du Tribunal pour manquement à leurs devoirs et responsabilités</w:t>
      </w:r>
      <w:r w:rsidR="00B36EE6" w:rsidRPr="00EA05B3">
        <w:rPr>
          <w:lang w:val="fr-FR"/>
        </w:rPr>
        <w:t>;</w:t>
      </w:r>
      <w:r w:rsidR="00D60A11" w:rsidRPr="00EA05B3">
        <w:rPr>
          <w:lang w:val="fr-FR"/>
        </w:rPr>
        <w:t xml:space="preserve"> la soumission des organes électoraux au contrôle social, les organisations politiques et les candidats ayant la garantie de pouvoir superviser et vérifier les élections et la campagne électorale</w:t>
      </w:r>
      <w:r w:rsidR="00B36EE6" w:rsidRPr="00EA05B3">
        <w:rPr>
          <w:lang w:val="fr-FR"/>
        </w:rPr>
        <w:t>;</w:t>
      </w:r>
      <w:r w:rsidR="00D60A11" w:rsidRPr="00EA05B3">
        <w:rPr>
          <w:lang w:val="fr-FR"/>
        </w:rPr>
        <w:t xml:space="preserve"> et la nomination des membres du Conseil et du Tribunal par le Conseil de la participation citoyenne et du contrôle social, dans les conditions déjà exposées.</w:t>
      </w:r>
    </w:p>
    <w:p w:rsidR="00D60A11" w:rsidRPr="00EA05B3" w:rsidRDefault="00793C91" w:rsidP="00F32DF1">
      <w:pPr>
        <w:pStyle w:val="SingleTxtG"/>
        <w:rPr>
          <w:lang w:val="fr-FR"/>
        </w:rPr>
      </w:pPr>
      <w:r w:rsidRPr="00EA05B3">
        <w:rPr>
          <w:lang w:val="fr-FR"/>
        </w:rPr>
        <w:t>226.</w:t>
      </w:r>
      <w:r w:rsidRPr="00EA05B3">
        <w:rPr>
          <w:lang w:val="fr-FR"/>
        </w:rPr>
        <w:tab/>
      </w:r>
      <w:r w:rsidR="00D60A11" w:rsidRPr="00EA05B3">
        <w:rPr>
          <w:lang w:val="fr-FR"/>
        </w:rPr>
        <w:t xml:space="preserve">Pour ce qui est des gouvernements décentralisés autonomes et des régimes spéciaux, ainsi que du régime des compétences, traités dans le titre V de la Constitution, il convient </w:t>
      </w:r>
      <w:r w:rsidR="009379A7" w:rsidRPr="00EA05B3">
        <w:rPr>
          <w:lang w:val="fr-FR"/>
        </w:rPr>
        <w:t>d’</w:t>
      </w:r>
      <w:r w:rsidR="00D60A11" w:rsidRPr="00EA05B3">
        <w:rPr>
          <w:lang w:val="fr-FR"/>
        </w:rPr>
        <w:t xml:space="preserve">indiquer </w:t>
      </w:r>
      <w:r w:rsidR="009379A7" w:rsidRPr="00EA05B3">
        <w:rPr>
          <w:lang w:val="fr-FR"/>
        </w:rPr>
        <w:t>qu’</w:t>
      </w:r>
      <w:r w:rsidR="00D60A11" w:rsidRPr="00EA05B3">
        <w:rPr>
          <w:lang w:val="fr-FR"/>
        </w:rPr>
        <w:t xml:space="preserve">en vertu des articles 238 à 240, les gouvernements autonomes décentralisés jouissent de </w:t>
      </w:r>
      <w:r w:rsidR="009379A7" w:rsidRPr="00EA05B3">
        <w:rPr>
          <w:lang w:val="fr-FR"/>
        </w:rPr>
        <w:t>l’</w:t>
      </w:r>
      <w:r w:rsidR="00D60A11" w:rsidRPr="00EA05B3">
        <w:rPr>
          <w:lang w:val="fr-FR"/>
        </w:rPr>
        <w:t xml:space="preserve">autonomie politique, administrative et financière et sont régis par les principes de solidarité, de subsidiarité, </w:t>
      </w:r>
      <w:r w:rsidR="009379A7" w:rsidRPr="00EA05B3">
        <w:rPr>
          <w:lang w:val="fr-FR"/>
        </w:rPr>
        <w:t>d’</w:t>
      </w:r>
      <w:r w:rsidR="00D60A11" w:rsidRPr="00EA05B3">
        <w:rPr>
          <w:lang w:val="fr-FR"/>
        </w:rPr>
        <w:t xml:space="preserve">équité territoriale, </w:t>
      </w:r>
      <w:r w:rsidR="009379A7" w:rsidRPr="00EA05B3">
        <w:rPr>
          <w:lang w:val="fr-FR"/>
        </w:rPr>
        <w:t>d’</w:t>
      </w:r>
      <w:r w:rsidR="00D60A11" w:rsidRPr="00EA05B3">
        <w:rPr>
          <w:lang w:val="fr-FR"/>
        </w:rPr>
        <w:t>intégration et de participation citoyenne. La Constitution dispose aussi que la loi correspondante établit le régime national des compétences, qui sont obligatoires et progressives, et définit les politiques et les mécanismes de compensation en cas de déséquilibre entre les territoires dans le cadre du processus de développement. Les articles susmentionnés recensent les gouvernements autonomes décentralisés ci-après</w:t>
      </w:r>
      <w:r w:rsidR="00B36EE6" w:rsidRPr="00EA05B3">
        <w:rPr>
          <w:lang w:val="fr-FR"/>
        </w:rPr>
        <w:t>:</w:t>
      </w:r>
      <w:r w:rsidR="00D60A11" w:rsidRPr="00EA05B3">
        <w:rPr>
          <w:lang w:val="fr-FR"/>
        </w:rPr>
        <w:t xml:space="preserve"> a) conseils paroissiaux ruraux</w:t>
      </w:r>
      <w:r w:rsidR="00B36EE6" w:rsidRPr="00EA05B3">
        <w:rPr>
          <w:lang w:val="fr-FR"/>
        </w:rPr>
        <w:t>;</w:t>
      </w:r>
      <w:r w:rsidR="00D60A11" w:rsidRPr="00EA05B3">
        <w:rPr>
          <w:lang w:val="fr-FR"/>
        </w:rPr>
        <w:t xml:space="preserve"> b) conseils municipaux</w:t>
      </w:r>
      <w:r w:rsidR="00B36EE6" w:rsidRPr="00EA05B3">
        <w:rPr>
          <w:lang w:val="fr-FR"/>
        </w:rPr>
        <w:t>;</w:t>
      </w:r>
      <w:r w:rsidR="00D60A11" w:rsidRPr="00EA05B3">
        <w:rPr>
          <w:lang w:val="fr-FR"/>
        </w:rPr>
        <w:t xml:space="preserve"> c)</w:t>
      </w:r>
      <w:r w:rsidR="002068E6" w:rsidRPr="00EA05B3">
        <w:rPr>
          <w:lang w:val="fr-FR"/>
        </w:rPr>
        <w:t> </w:t>
      </w:r>
      <w:r w:rsidR="00D60A11" w:rsidRPr="00EA05B3">
        <w:rPr>
          <w:lang w:val="fr-FR"/>
        </w:rPr>
        <w:t>conseils métropolitains</w:t>
      </w:r>
      <w:r w:rsidR="00B36EE6" w:rsidRPr="00EA05B3">
        <w:rPr>
          <w:lang w:val="fr-FR"/>
        </w:rPr>
        <w:t>;</w:t>
      </w:r>
      <w:r w:rsidR="00D60A11" w:rsidRPr="00EA05B3">
        <w:rPr>
          <w:lang w:val="fr-FR"/>
        </w:rPr>
        <w:t xml:space="preserve"> d) conseils provinciaux</w:t>
      </w:r>
      <w:r w:rsidR="002068E6" w:rsidRPr="00EA05B3">
        <w:rPr>
          <w:lang w:val="fr-FR"/>
        </w:rPr>
        <w:t>;</w:t>
      </w:r>
      <w:r w:rsidR="00D60A11" w:rsidRPr="00EA05B3">
        <w:rPr>
          <w:lang w:val="fr-FR"/>
        </w:rPr>
        <w:t xml:space="preserve"> et e) conseils régionaux. Les gouvernements autonomes décentralisés des régions, des districts métropolitains, des provinces et des cantons, exercent des fonctions législatives dans les limites de leurs compétences et de leur juridiction (voir annexe, tableau 26 sur la compétence territoriale, </w:t>
      </w:r>
      <w:r w:rsidR="009379A7" w:rsidRPr="00EA05B3">
        <w:rPr>
          <w:lang w:val="fr-FR"/>
        </w:rPr>
        <w:t>l’</w:t>
      </w:r>
      <w:r w:rsidR="00D60A11" w:rsidRPr="00EA05B3">
        <w:rPr>
          <w:lang w:val="fr-FR"/>
        </w:rPr>
        <w:t>organisation institutionnelle et les fonctions des différentes structures susmentionnées).</w:t>
      </w:r>
    </w:p>
    <w:p w:rsidR="00D60A11" w:rsidRPr="00EA05B3" w:rsidRDefault="00793C91" w:rsidP="00F32DF1">
      <w:pPr>
        <w:pStyle w:val="SingleTxtG"/>
        <w:rPr>
          <w:lang w:val="fr-FR"/>
        </w:rPr>
      </w:pPr>
      <w:r w:rsidRPr="00EA05B3">
        <w:rPr>
          <w:lang w:val="fr-FR"/>
        </w:rPr>
        <w:t>227.</w:t>
      </w:r>
      <w:r w:rsidRPr="00EA05B3">
        <w:rPr>
          <w:lang w:val="fr-FR"/>
        </w:rPr>
        <w:tab/>
      </w:r>
      <w:r w:rsidR="00D60A11" w:rsidRPr="00EA05B3">
        <w:rPr>
          <w:lang w:val="fr-FR"/>
        </w:rPr>
        <w:t>Les renseignements fournis par le Conseil national électoral constituent des indicateurs de la vie politique. Pour le scrutin du 17 février 2013 (élection du Président et du Vice-</w:t>
      </w:r>
      <w:r w:rsidR="004E7E80" w:rsidRPr="00EA05B3">
        <w:rPr>
          <w:lang w:val="fr-FR"/>
        </w:rPr>
        <w:t xml:space="preserve">Président </w:t>
      </w:r>
      <w:r w:rsidR="00D60A11" w:rsidRPr="00EA05B3">
        <w:rPr>
          <w:lang w:val="fr-FR"/>
        </w:rPr>
        <w:t>de la République) sur 11 675 441 électeurs</w:t>
      </w:r>
      <w:r w:rsidR="00E27B39" w:rsidRPr="00EA05B3">
        <w:rPr>
          <w:lang w:val="fr-FR"/>
        </w:rPr>
        <w:t>,</w:t>
      </w:r>
      <w:r w:rsidR="00D60A11" w:rsidRPr="00EA05B3">
        <w:rPr>
          <w:lang w:val="fr-FR"/>
        </w:rPr>
        <w:t xml:space="preserve"> 5 848 128 étaient des femmes.</w:t>
      </w:r>
    </w:p>
    <w:p w:rsidR="00D60A11" w:rsidRPr="00EA05B3" w:rsidRDefault="00646BB6" w:rsidP="005059C0">
      <w:pPr>
        <w:pStyle w:val="H23G"/>
        <w:rPr>
          <w:lang w:val="fr-FR"/>
        </w:rPr>
      </w:pPr>
      <w:bookmarkStart w:id="23" w:name="_Toc392676830"/>
      <w:r w:rsidRPr="00EA05B3">
        <w:rPr>
          <w:lang w:val="fr-FR"/>
        </w:rPr>
        <w:tab/>
      </w:r>
      <w:r w:rsidRPr="00EA05B3">
        <w:rPr>
          <w:lang w:val="fr-FR"/>
        </w:rPr>
        <w:tab/>
        <w:t>Listes électorales 2013</w:t>
      </w:r>
      <w:bookmarkEnd w:id="23"/>
    </w:p>
    <w:tbl>
      <w:tblPr>
        <w:tblW w:w="8505"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tblPr>
      <w:tblGrid>
        <w:gridCol w:w="982"/>
        <w:gridCol w:w="1142"/>
        <w:gridCol w:w="1142"/>
        <w:gridCol w:w="1700"/>
        <w:gridCol w:w="1769"/>
        <w:gridCol w:w="1770"/>
      </w:tblGrid>
      <w:tr w:rsidR="002068E6" w:rsidRPr="00EA05B3">
        <w:trPr>
          <w:trHeight w:val="240"/>
          <w:tblHeader/>
        </w:trPr>
        <w:tc>
          <w:tcPr>
            <w:tcW w:w="982" w:type="dxa"/>
            <w:shd w:val="clear" w:color="auto" w:fill="auto"/>
            <w:vAlign w:val="bottom"/>
          </w:tcPr>
          <w:p w:rsidR="00D60A11" w:rsidRPr="00EA05B3" w:rsidRDefault="00D60A11" w:rsidP="002068E6">
            <w:pPr>
              <w:spacing w:before="80" w:after="80" w:line="200" w:lineRule="exact"/>
              <w:rPr>
                <w:bCs/>
                <w:i/>
                <w:sz w:val="16"/>
                <w:szCs w:val="24"/>
                <w:lang w:val="fr-FR"/>
              </w:rPr>
            </w:pPr>
            <w:r w:rsidRPr="00EA05B3">
              <w:rPr>
                <w:i/>
                <w:sz w:val="16"/>
                <w:lang w:val="fr-FR"/>
              </w:rPr>
              <w:t xml:space="preserve">Nombre </w:t>
            </w:r>
            <w:r w:rsidR="009379A7" w:rsidRPr="00EA05B3">
              <w:rPr>
                <w:i/>
                <w:sz w:val="16"/>
                <w:lang w:val="fr-FR"/>
              </w:rPr>
              <w:t>d’</w:t>
            </w:r>
            <w:r w:rsidRPr="00EA05B3">
              <w:rPr>
                <w:i/>
                <w:sz w:val="16"/>
                <w:lang w:val="fr-FR"/>
              </w:rPr>
              <w:t>électeurs</w:t>
            </w:r>
          </w:p>
        </w:tc>
        <w:tc>
          <w:tcPr>
            <w:tcW w:w="1142" w:type="dxa"/>
            <w:shd w:val="clear" w:color="auto" w:fill="auto"/>
            <w:vAlign w:val="bottom"/>
          </w:tcPr>
          <w:p w:rsidR="00D60A11" w:rsidRPr="00EA05B3" w:rsidRDefault="00D60A11" w:rsidP="00EB276C">
            <w:pPr>
              <w:spacing w:before="80" w:after="80" w:line="200" w:lineRule="exact"/>
              <w:jc w:val="right"/>
              <w:rPr>
                <w:bCs/>
                <w:i/>
                <w:sz w:val="16"/>
                <w:szCs w:val="24"/>
                <w:lang w:val="fr-FR"/>
              </w:rPr>
            </w:pPr>
            <w:r w:rsidRPr="00EA05B3">
              <w:rPr>
                <w:i/>
                <w:sz w:val="16"/>
                <w:lang w:val="fr-FR"/>
              </w:rPr>
              <w:t>Hommes</w:t>
            </w:r>
          </w:p>
        </w:tc>
        <w:tc>
          <w:tcPr>
            <w:tcW w:w="1142" w:type="dxa"/>
            <w:shd w:val="clear" w:color="auto" w:fill="auto"/>
            <w:vAlign w:val="bottom"/>
          </w:tcPr>
          <w:p w:rsidR="00D60A11" w:rsidRPr="00EA05B3" w:rsidRDefault="00D60A11" w:rsidP="00EB276C">
            <w:pPr>
              <w:spacing w:before="80" w:after="80" w:line="200" w:lineRule="exact"/>
              <w:jc w:val="right"/>
              <w:rPr>
                <w:bCs/>
                <w:i/>
                <w:sz w:val="16"/>
                <w:szCs w:val="24"/>
                <w:lang w:val="fr-FR"/>
              </w:rPr>
            </w:pPr>
            <w:r w:rsidRPr="00EA05B3">
              <w:rPr>
                <w:i/>
                <w:sz w:val="16"/>
                <w:lang w:val="fr-FR"/>
              </w:rPr>
              <w:t>Femmes</w:t>
            </w:r>
          </w:p>
        </w:tc>
        <w:tc>
          <w:tcPr>
            <w:tcW w:w="1700" w:type="dxa"/>
            <w:shd w:val="clear" w:color="auto" w:fill="auto"/>
            <w:vAlign w:val="bottom"/>
          </w:tcPr>
          <w:p w:rsidR="00D60A11" w:rsidRPr="00EA05B3" w:rsidRDefault="00D60A11" w:rsidP="00EB276C">
            <w:pPr>
              <w:spacing w:before="80" w:after="80" w:line="200" w:lineRule="exact"/>
              <w:jc w:val="right"/>
              <w:rPr>
                <w:bCs/>
                <w:i/>
                <w:sz w:val="16"/>
                <w:szCs w:val="24"/>
                <w:lang w:val="fr-FR"/>
              </w:rPr>
            </w:pPr>
            <w:r w:rsidRPr="00EA05B3">
              <w:rPr>
                <w:i/>
                <w:sz w:val="16"/>
                <w:lang w:val="fr-FR"/>
              </w:rPr>
              <w:t>Collège des scrutateurs</w:t>
            </w:r>
          </w:p>
        </w:tc>
        <w:tc>
          <w:tcPr>
            <w:tcW w:w="1769" w:type="dxa"/>
            <w:shd w:val="clear" w:color="auto" w:fill="auto"/>
            <w:vAlign w:val="bottom"/>
          </w:tcPr>
          <w:p w:rsidR="00D60A11" w:rsidRPr="00EA05B3" w:rsidRDefault="00D60A11" w:rsidP="00EB276C">
            <w:pPr>
              <w:spacing w:before="80" w:after="80" w:line="200" w:lineRule="exact"/>
              <w:jc w:val="right"/>
              <w:rPr>
                <w:bCs/>
                <w:i/>
                <w:sz w:val="16"/>
                <w:szCs w:val="24"/>
                <w:lang w:val="fr-FR"/>
              </w:rPr>
            </w:pPr>
            <w:r w:rsidRPr="00EA05B3">
              <w:rPr>
                <w:i/>
                <w:sz w:val="16"/>
                <w:lang w:val="fr-FR"/>
              </w:rPr>
              <w:t>Collège des scrutateurs pour les votes des hommes</w:t>
            </w:r>
          </w:p>
        </w:tc>
        <w:tc>
          <w:tcPr>
            <w:tcW w:w="1770" w:type="dxa"/>
            <w:shd w:val="clear" w:color="auto" w:fill="auto"/>
            <w:vAlign w:val="bottom"/>
          </w:tcPr>
          <w:p w:rsidR="00D60A11" w:rsidRPr="00EA05B3" w:rsidRDefault="00D60A11" w:rsidP="00EB276C">
            <w:pPr>
              <w:spacing w:before="80" w:after="80" w:line="200" w:lineRule="exact"/>
              <w:jc w:val="right"/>
              <w:rPr>
                <w:bCs/>
                <w:i/>
                <w:sz w:val="16"/>
                <w:szCs w:val="24"/>
                <w:lang w:val="fr-FR"/>
              </w:rPr>
            </w:pPr>
            <w:r w:rsidRPr="00EA05B3">
              <w:rPr>
                <w:i/>
                <w:sz w:val="16"/>
                <w:lang w:val="fr-FR"/>
              </w:rPr>
              <w:t>Collège des scrutateurs pour les votes des femmes</w:t>
            </w:r>
          </w:p>
        </w:tc>
      </w:tr>
      <w:tr w:rsidR="002068E6" w:rsidRPr="00EA05B3">
        <w:trPr>
          <w:trHeight w:val="240"/>
        </w:trPr>
        <w:tc>
          <w:tcPr>
            <w:tcW w:w="982" w:type="dxa"/>
            <w:shd w:val="clear" w:color="auto" w:fill="auto"/>
          </w:tcPr>
          <w:p w:rsidR="00D60A11" w:rsidRPr="00EA05B3" w:rsidRDefault="00D60A11" w:rsidP="004E7E80">
            <w:pPr>
              <w:spacing w:before="40" w:after="40" w:line="220" w:lineRule="exact"/>
              <w:rPr>
                <w:sz w:val="18"/>
                <w:szCs w:val="24"/>
                <w:lang w:val="fr-FR"/>
              </w:rPr>
            </w:pPr>
            <w:r w:rsidRPr="00EA05B3">
              <w:rPr>
                <w:sz w:val="18"/>
                <w:lang w:val="fr-FR"/>
              </w:rPr>
              <w:t>11 675 441</w:t>
            </w:r>
          </w:p>
        </w:tc>
        <w:tc>
          <w:tcPr>
            <w:tcW w:w="1142" w:type="dxa"/>
            <w:shd w:val="clear" w:color="auto" w:fill="auto"/>
            <w:vAlign w:val="bottom"/>
          </w:tcPr>
          <w:p w:rsidR="00D60A11" w:rsidRPr="00EA05B3" w:rsidRDefault="00D60A11" w:rsidP="00EB276C">
            <w:pPr>
              <w:spacing w:before="40" w:after="40" w:line="220" w:lineRule="exact"/>
              <w:jc w:val="right"/>
              <w:rPr>
                <w:sz w:val="18"/>
                <w:szCs w:val="24"/>
                <w:lang w:val="fr-FR"/>
              </w:rPr>
            </w:pPr>
            <w:r w:rsidRPr="00EA05B3">
              <w:rPr>
                <w:sz w:val="18"/>
                <w:lang w:val="fr-FR"/>
              </w:rPr>
              <w:t>5 827 313</w:t>
            </w:r>
          </w:p>
        </w:tc>
        <w:tc>
          <w:tcPr>
            <w:tcW w:w="1142" w:type="dxa"/>
            <w:shd w:val="clear" w:color="auto" w:fill="auto"/>
            <w:vAlign w:val="bottom"/>
          </w:tcPr>
          <w:p w:rsidR="00D60A11" w:rsidRPr="00EA05B3" w:rsidRDefault="00D60A11" w:rsidP="00EB276C">
            <w:pPr>
              <w:spacing w:before="40" w:after="40" w:line="220" w:lineRule="exact"/>
              <w:jc w:val="right"/>
              <w:rPr>
                <w:sz w:val="18"/>
                <w:szCs w:val="24"/>
                <w:lang w:val="fr-FR"/>
              </w:rPr>
            </w:pPr>
            <w:r w:rsidRPr="00EA05B3">
              <w:rPr>
                <w:sz w:val="18"/>
                <w:lang w:val="fr-FR"/>
              </w:rPr>
              <w:t>5 848 128</w:t>
            </w:r>
          </w:p>
        </w:tc>
        <w:tc>
          <w:tcPr>
            <w:tcW w:w="1700" w:type="dxa"/>
            <w:shd w:val="clear" w:color="auto" w:fill="auto"/>
            <w:vAlign w:val="bottom"/>
          </w:tcPr>
          <w:p w:rsidR="00D60A11" w:rsidRPr="00EA05B3" w:rsidRDefault="00D60A11" w:rsidP="00EB276C">
            <w:pPr>
              <w:spacing w:before="40" w:after="40" w:line="220" w:lineRule="exact"/>
              <w:jc w:val="right"/>
              <w:rPr>
                <w:sz w:val="18"/>
                <w:szCs w:val="24"/>
                <w:lang w:val="fr-FR"/>
              </w:rPr>
            </w:pPr>
            <w:r w:rsidRPr="00EA05B3">
              <w:rPr>
                <w:sz w:val="18"/>
                <w:lang w:val="fr-FR"/>
              </w:rPr>
              <w:t>40 451</w:t>
            </w:r>
          </w:p>
        </w:tc>
        <w:tc>
          <w:tcPr>
            <w:tcW w:w="1769" w:type="dxa"/>
            <w:shd w:val="clear" w:color="auto" w:fill="auto"/>
            <w:vAlign w:val="bottom"/>
          </w:tcPr>
          <w:p w:rsidR="00D60A11" w:rsidRPr="00EA05B3" w:rsidRDefault="00D60A11" w:rsidP="00EB276C">
            <w:pPr>
              <w:spacing w:before="40" w:after="40" w:line="220" w:lineRule="exact"/>
              <w:jc w:val="right"/>
              <w:rPr>
                <w:sz w:val="18"/>
                <w:szCs w:val="24"/>
                <w:lang w:val="fr-FR"/>
              </w:rPr>
            </w:pPr>
            <w:r w:rsidRPr="00EA05B3">
              <w:rPr>
                <w:sz w:val="18"/>
                <w:lang w:val="fr-FR"/>
              </w:rPr>
              <w:t>20 200</w:t>
            </w:r>
          </w:p>
        </w:tc>
        <w:tc>
          <w:tcPr>
            <w:tcW w:w="1770" w:type="dxa"/>
            <w:shd w:val="clear" w:color="auto" w:fill="auto"/>
            <w:vAlign w:val="bottom"/>
          </w:tcPr>
          <w:p w:rsidR="00D60A11" w:rsidRPr="00EA05B3" w:rsidRDefault="00D60A11" w:rsidP="00EB276C">
            <w:pPr>
              <w:spacing w:before="40" w:after="40" w:line="220" w:lineRule="exact"/>
              <w:jc w:val="right"/>
              <w:rPr>
                <w:sz w:val="18"/>
                <w:szCs w:val="24"/>
                <w:lang w:val="fr-FR"/>
              </w:rPr>
            </w:pPr>
            <w:r w:rsidRPr="00EA05B3">
              <w:rPr>
                <w:sz w:val="18"/>
                <w:lang w:val="fr-FR"/>
              </w:rPr>
              <w:t>20 251</w:t>
            </w:r>
          </w:p>
        </w:tc>
      </w:tr>
    </w:tbl>
    <w:p w:rsidR="00D60A11" w:rsidRPr="00EA05B3" w:rsidRDefault="00D60A11" w:rsidP="00EB276C">
      <w:pPr>
        <w:pStyle w:val="SingleTxtG"/>
        <w:spacing w:before="120"/>
        <w:ind w:firstLine="170"/>
        <w:jc w:val="left"/>
        <w:rPr>
          <w:sz w:val="18"/>
          <w:szCs w:val="18"/>
          <w:lang w:val="fr-FR"/>
        </w:rPr>
      </w:pPr>
      <w:r w:rsidRPr="00EA05B3">
        <w:rPr>
          <w:i/>
          <w:sz w:val="18"/>
          <w:lang w:val="fr-FR"/>
        </w:rPr>
        <w:t>Source</w:t>
      </w:r>
      <w:r w:rsidR="00B36EE6" w:rsidRPr="00EA05B3">
        <w:rPr>
          <w:lang w:val="fr-FR"/>
        </w:rPr>
        <w:t>:</w:t>
      </w:r>
      <w:r w:rsidRPr="00EA05B3">
        <w:rPr>
          <w:sz w:val="18"/>
          <w:lang w:val="fr-FR"/>
        </w:rPr>
        <w:t xml:space="preserve"> Conseil national électoral.</w:t>
      </w:r>
    </w:p>
    <w:p w:rsidR="00D60A11" w:rsidRPr="00EA05B3" w:rsidRDefault="005059C0" w:rsidP="00563B9D">
      <w:pPr>
        <w:pStyle w:val="HChG"/>
        <w:rPr>
          <w:lang w:val="fr-FR"/>
        </w:rPr>
      </w:pPr>
      <w:bookmarkStart w:id="24" w:name="_Toc392676786"/>
      <w:r w:rsidRPr="00EA05B3">
        <w:rPr>
          <w:lang w:val="fr-FR"/>
        </w:rPr>
        <w:tab/>
        <w:t>V.</w:t>
      </w:r>
      <w:r w:rsidRPr="00EA05B3">
        <w:rPr>
          <w:lang w:val="fr-FR"/>
        </w:rPr>
        <w:tab/>
        <w:t xml:space="preserve">Cadre général de la protection et de la promotion des droits de </w:t>
      </w:r>
      <w:r w:rsidR="009379A7" w:rsidRPr="00EA05B3">
        <w:rPr>
          <w:lang w:val="fr-FR"/>
        </w:rPr>
        <w:t>l’</w:t>
      </w:r>
      <w:r w:rsidRPr="00EA05B3">
        <w:rPr>
          <w:lang w:val="fr-FR"/>
        </w:rPr>
        <w:t>homme</w:t>
      </w:r>
      <w:bookmarkEnd w:id="24"/>
    </w:p>
    <w:p w:rsidR="00D60A11" w:rsidRPr="00EA05B3" w:rsidRDefault="0027238F" w:rsidP="00793C91">
      <w:pPr>
        <w:pStyle w:val="SingleTxtG"/>
        <w:rPr>
          <w:lang w:val="fr-FR"/>
        </w:rPr>
      </w:pPr>
      <w:r w:rsidRPr="00EA05B3">
        <w:rPr>
          <w:lang w:val="fr-FR"/>
        </w:rPr>
        <w:t>228.</w:t>
      </w:r>
      <w:r w:rsidRPr="00EA05B3">
        <w:rPr>
          <w:lang w:val="fr-FR"/>
        </w:rPr>
        <w:tab/>
      </w:r>
      <w:r w:rsidR="00D60A11" w:rsidRPr="00EA05B3">
        <w:rPr>
          <w:lang w:val="fr-FR"/>
        </w:rPr>
        <w:t xml:space="preserve">La Déclaration </w:t>
      </w:r>
      <w:r w:rsidR="009379A7" w:rsidRPr="00EA05B3">
        <w:rPr>
          <w:lang w:val="fr-FR"/>
        </w:rPr>
        <w:t>d’</w:t>
      </w:r>
      <w:r w:rsidR="00D60A11" w:rsidRPr="00EA05B3">
        <w:rPr>
          <w:lang w:val="fr-FR"/>
        </w:rPr>
        <w:t xml:space="preserve">indépendance de Quito, à </w:t>
      </w:r>
      <w:r w:rsidR="009379A7" w:rsidRPr="00EA05B3">
        <w:rPr>
          <w:lang w:val="fr-FR"/>
        </w:rPr>
        <w:t>l’</w:t>
      </w:r>
      <w:r w:rsidR="00D60A11" w:rsidRPr="00EA05B3">
        <w:rPr>
          <w:lang w:val="fr-FR"/>
        </w:rPr>
        <w:t xml:space="preserve">origine </w:t>
      </w:r>
      <w:r w:rsidR="009379A7" w:rsidRPr="00EA05B3">
        <w:rPr>
          <w:lang w:val="fr-FR"/>
        </w:rPr>
        <w:t>d’</w:t>
      </w:r>
      <w:r w:rsidR="00D60A11" w:rsidRPr="00EA05B3">
        <w:rPr>
          <w:lang w:val="fr-FR"/>
        </w:rPr>
        <w:t xml:space="preserve">une stratégie nationale </w:t>
      </w:r>
      <w:r w:rsidR="009379A7" w:rsidRPr="00EA05B3">
        <w:rPr>
          <w:lang w:val="fr-FR"/>
        </w:rPr>
        <w:t>d’</w:t>
      </w:r>
      <w:r w:rsidR="00D60A11" w:rsidRPr="00EA05B3">
        <w:rPr>
          <w:lang w:val="fr-FR"/>
        </w:rPr>
        <w:t xml:space="preserve">indépendance, repose sur </w:t>
      </w:r>
      <w:r w:rsidR="009379A7" w:rsidRPr="00EA05B3">
        <w:rPr>
          <w:lang w:val="fr-FR"/>
        </w:rPr>
        <w:t>l’</w:t>
      </w:r>
      <w:r w:rsidR="00D60A11" w:rsidRPr="00EA05B3">
        <w:rPr>
          <w:lang w:val="fr-FR"/>
        </w:rPr>
        <w:t xml:space="preserve">idée que </w:t>
      </w:r>
      <w:r w:rsidR="009379A7" w:rsidRPr="00EA05B3">
        <w:rPr>
          <w:lang w:val="fr-FR"/>
        </w:rPr>
        <w:t>l’</w:t>
      </w:r>
      <w:r w:rsidR="00D60A11" w:rsidRPr="00EA05B3">
        <w:rPr>
          <w:lang w:val="fr-FR"/>
        </w:rPr>
        <w:t xml:space="preserve">État est le garant de la liberté de chacun. </w:t>
      </w:r>
      <w:r w:rsidR="009379A7" w:rsidRPr="00EA05B3">
        <w:rPr>
          <w:lang w:val="fr-FR"/>
        </w:rPr>
        <w:t>C’</w:t>
      </w:r>
      <w:r w:rsidR="00D60A11" w:rsidRPr="00EA05B3">
        <w:rPr>
          <w:lang w:val="fr-FR"/>
        </w:rPr>
        <w:t xml:space="preserve">est dans cet esprit que, depuis la Constitution de 1979 en particulier, les auteurs des textes constitutionnels ont voulu dresser un catalogue des droits qui orienteraient </w:t>
      </w:r>
      <w:r w:rsidR="009379A7" w:rsidRPr="00EA05B3">
        <w:rPr>
          <w:lang w:val="fr-FR"/>
        </w:rPr>
        <w:t>l’</w:t>
      </w:r>
      <w:r w:rsidR="00D60A11" w:rsidRPr="00EA05B3">
        <w:rPr>
          <w:lang w:val="fr-FR"/>
        </w:rPr>
        <w:t xml:space="preserve">action de </w:t>
      </w:r>
      <w:r w:rsidR="009379A7" w:rsidRPr="00EA05B3">
        <w:rPr>
          <w:lang w:val="fr-FR"/>
        </w:rPr>
        <w:t>l’</w:t>
      </w:r>
      <w:r w:rsidR="00D60A11" w:rsidRPr="00EA05B3">
        <w:rPr>
          <w:lang w:val="fr-FR"/>
        </w:rPr>
        <w:t xml:space="preserve">État, </w:t>
      </w:r>
      <w:r w:rsidR="009379A7" w:rsidRPr="00EA05B3">
        <w:rPr>
          <w:lang w:val="fr-FR"/>
        </w:rPr>
        <w:t>l’</w:t>
      </w:r>
      <w:r w:rsidR="00D60A11" w:rsidRPr="00EA05B3">
        <w:rPr>
          <w:lang w:val="fr-FR"/>
        </w:rPr>
        <w:t xml:space="preserve">élaboration des lois et la politique publique en général. </w:t>
      </w:r>
      <w:r w:rsidR="009379A7" w:rsidRPr="00EA05B3">
        <w:rPr>
          <w:lang w:val="fr-FR"/>
        </w:rPr>
        <w:t>C’</w:t>
      </w:r>
      <w:r w:rsidR="00D60A11" w:rsidRPr="00EA05B3">
        <w:rPr>
          <w:lang w:val="fr-FR"/>
        </w:rPr>
        <w:t xml:space="preserve">est ainsi que la Constitution de 2008 dispose en son préambule </w:t>
      </w:r>
      <w:r w:rsidR="009379A7" w:rsidRPr="00EA05B3">
        <w:rPr>
          <w:lang w:val="fr-FR"/>
        </w:rPr>
        <w:t>qu’</w:t>
      </w:r>
      <w:r w:rsidR="00D60A11" w:rsidRPr="00EA05B3">
        <w:rPr>
          <w:lang w:val="fr-FR"/>
        </w:rPr>
        <w:t xml:space="preserve">en reconnaissance de </w:t>
      </w:r>
      <w:r w:rsidR="009379A7" w:rsidRPr="00EA05B3">
        <w:rPr>
          <w:lang w:val="fr-FR"/>
        </w:rPr>
        <w:t>l’</w:t>
      </w:r>
      <w:r w:rsidR="00D60A11" w:rsidRPr="00EA05B3">
        <w:rPr>
          <w:lang w:val="fr-FR"/>
        </w:rPr>
        <w:t>héritage des luttes sociales de libération contre toutes les formes de domination, le peuple équatorien décide de mettre en place</w:t>
      </w:r>
      <w:r w:rsidR="00B36EE6" w:rsidRPr="00EA05B3">
        <w:rPr>
          <w:lang w:val="fr-FR"/>
        </w:rPr>
        <w:t>:</w:t>
      </w:r>
      <w:r w:rsidR="00D60A11" w:rsidRPr="00EA05B3">
        <w:rPr>
          <w:lang w:val="fr-FR"/>
        </w:rPr>
        <w:t xml:space="preserve"> a) un nouveau mode de coexistence citoyenne, respectueux de la diversité et en harmonie avec la nature, pour atteindre le </w:t>
      </w:r>
      <w:r w:rsidR="00B15670" w:rsidRPr="00EA05B3">
        <w:rPr>
          <w:lang w:val="fr-FR"/>
        </w:rPr>
        <w:t>«</w:t>
      </w:r>
      <w:r w:rsidR="00D60A11" w:rsidRPr="00EA05B3">
        <w:rPr>
          <w:lang w:val="fr-FR"/>
        </w:rPr>
        <w:t>bien-vivre</w:t>
      </w:r>
      <w:r w:rsidR="00B15670" w:rsidRPr="00EA05B3">
        <w:rPr>
          <w:lang w:val="fr-FR"/>
        </w:rPr>
        <w:t>»</w:t>
      </w:r>
      <w:r w:rsidR="00B36EE6" w:rsidRPr="00EA05B3">
        <w:rPr>
          <w:lang w:val="fr-FR"/>
        </w:rPr>
        <w:t>;</w:t>
      </w:r>
      <w:r w:rsidR="00D60A11" w:rsidRPr="00EA05B3">
        <w:rPr>
          <w:lang w:val="fr-FR"/>
        </w:rPr>
        <w:t xml:space="preserve"> b) une société respectueuse de tous les aspects de la dignité des personnes et des collectivités</w:t>
      </w:r>
      <w:r w:rsidR="00B36EE6" w:rsidRPr="00EA05B3">
        <w:rPr>
          <w:lang w:val="fr-FR"/>
        </w:rPr>
        <w:t>;</w:t>
      </w:r>
      <w:r w:rsidR="00D60A11" w:rsidRPr="00EA05B3">
        <w:rPr>
          <w:lang w:val="fr-FR"/>
        </w:rPr>
        <w:t xml:space="preserve"> c) un pays démocratique, attaché à </w:t>
      </w:r>
      <w:r w:rsidR="009379A7" w:rsidRPr="00EA05B3">
        <w:rPr>
          <w:lang w:val="fr-FR"/>
        </w:rPr>
        <w:t>l’</w:t>
      </w:r>
      <w:r w:rsidR="00D60A11" w:rsidRPr="00EA05B3">
        <w:rPr>
          <w:lang w:val="fr-FR"/>
        </w:rPr>
        <w:t xml:space="preserve">intégration de </w:t>
      </w:r>
      <w:r w:rsidR="009379A7" w:rsidRPr="00EA05B3">
        <w:rPr>
          <w:lang w:val="fr-FR"/>
        </w:rPr>
        <w:t>l’</w:t>
      </w:r>
      <w:r w:rsidR="00D60A11" w:rsidRPr="00EA05B3">
        <w:rPr>
          <w:lang w:val="fr-FR"/>
        </w:rPr>
        <w:t>Amérique latine, à la paix et à la solidarité avec tous les peuples de la terre.</w:t>
      </w:r>
    </w:p>
    <w:p w:rsidR="00D60A11" w:rsidRPr="00EA05B3" w:rsidRDefault="0027238F" w:rsidP="00793C91">
      <w:pPr>
        <w:pStyle w:val="SingleTxtG"/>
        <w:rPr>
          <w:lang w:val="fr-FR"/>
        </w:rPr>
      </w:pPr>
      <w:r w:rsidRPr="00EA05B3">
        <w:rPr>
          <w:lang w:val="fr-FR"/>
        </w:rPr>
        <w:t>229.</w:t>
      </w:r>
      <w:r w:rsidRPr="00EA05B3">
        <w:rPr>
          <w:lang w:val="fr-FR"/>
        </w:rPr>
        <w:tab/>
      </w:r>
      <w:r w:rsidR="00D60A11" w:rsidRPr="00EA05B3">
        <w:rPr>
          <w:lang w:val="fr-FR"/>
        </w:rPr>
        <w:t xml:space="preserve">Ainsi, </w:t>
      </w:r>
      <w:r w:rsidR="009379A7" w:rsidRPr="00EA05B3">
        <w:rPr>
          <w:lang w:val="fr-FR"/>
        </w:rPr>
        <w:t>l’</w:t>
      </w:r>
      <w:r w:rsidR="00D60A11" w:rsidRPr="00EA05B3">
        <w:rPr>
          <w:lang w:val="fr-FR"/>
        </w:rPr>
        <w:t xml:space="preserve">article 3 de la Constitution énonce les devoirs essentiels de </w:t>
      </w:r>
      <w:r w:rsidR="009379A7" w:rsidRPr="00EA05B3">
        <w:rPr>
          <w:lang w:val="fr-FR"/>
        </w:rPr>
        <w:t>l’</w:t>
      </w:r>
      <w:r w:rsidR="00D60A11" w:rsidRPr="00EA05B3">
        <w:rPr>
          <w:lang w:val="fr-FR"/>
        </w:rPr>
        <w:t>État</w:t>
      </w:r>
      <w:r w:rsidR="00B36EE6" w:rsidRPr="00EA05B3">
        <w:rPr>
          <w:lang w:val="fr-FR"/>
        </w:rPr>
        <w:t>:</w:t>
      </w:r>
      <w:r w:rsidR="00D60A11" w:rsidRPr="00EA05B3">
        <w:rPr>
          <w:lang w:val="fr-FR"/>
        </w:rPr>
        <w:t xml:space="preserve"> </w:t>
      </w:r>
    </w:p>
    <w:p w:rsidR="00D60A11" w:rsidRPr="00EA05B3" w:rsidRDefault="00563B9D" w:rsidP="00B07F48">
      <w:pPr>
        <w:pStyle w:val="SingleTxtG"/>
        <w:ind w:firstLine="567"/>
        <w:rPr>
          <w:lang w:val="fr-FR"/>
        </w:rPr>
      </w:pPr>
      <w:r w:rsidRPr="00EA05B3">
        <w:rPr>
          <w:lang w:val="fr-FR"/>
        </w:rPr>
        <w:t>a</w:t>
      </w:r>
      <w:r w:rsidR="00A13901" w:rsidRPr="00EA05B3">
        <w:rPr>
          <w:lang w:val="fr-FR"/>
        </w:rPr>
        <w:t>)</w:t>
      </w:r>
      <w:r w:rsidR="00A13901" w:rsidRPr="00EA05B3">
        <w:rPr>
          <w:lang w:val="fr-FR"/>
        </w:rPr>
        <w:tab/>
      </w:r>
      <w:r w:rsidRPr="00EA05B3">
        <w:rPr>
          <w:lang w:val="fr-FR"/>
        </w:rPr>
        <w:t xml:space="preserve">Garantir la jouissance effective des droits reconnus dans la Constitution et les instruments internationaux, et en particulier le droit à la santé, à </w:t>
      </w:r>
      <w:r w:rsidR="009379A7" w:rsidRPr="00EA05B3">
        <w:rPr>
          <w:lang w:val="fr-FR"/>
        </w:rPr>
        <w:t>l’</w:t>
      </w:r>
      <w:r w:rsidRPr="00EA05B3">
        <w:rPr>
          <w:lang w:val="fr-FR"/>
        </w:rPr>
        <w:t xml:space="preserve">éducation, à </w:t>
      </w:r>
      <w:r w:rsidR="009379A7" w:rsidRPr="00EA05B3">
        <w:rPr>
          <w:lang w:val="fr-FR"/>
        </w:rPr>
        <w:t>l’</w:t>
      </w:r>
      <w:r w:rsidRPr="00EA05B3">
        <w:rPr>
          <w:lang w:val="fr-FR"/>
        </w:rPr>
        <w:t xml:space="preserve">alimentation, à la sécurité sociale et à </w:t>
      </w:r>
      <w:r w:rsidR="009379A7" w:rsidRPr="00EA05B3">
        <w:rPr>
          <w:lang w:val="fr-FR"/>
        </w:rPr>
        <w:t>l’</w:t>
      </w:r>
      <w:r w:rsidRPr="00EA05B3">
        <w:rPr>
          <w:lang w:val="fr-FR"/>
        </w:rPr>
        <w:t>eau</w:t>
      </w:r>
      <w:r w:rsidR="00B36EE6" w:rsidRPr="00EA05B3">
        <w:rPr>
          <w:lang w:val="fr-FR"/>
        </w:rPr>
        <w:t>;</w:t>
      </w:r>
      <w:r w:rsidR="000D57A5" w:rsidRPr="00EA05B3">
        <w:rPr>
          <w:lang w:val="fr-FR"/>
        </w:rPr>
        <w:t xml:space="preserve"> </w:t>
      </w:r>
    </w:p>
    <w:p w:rsidR="00D60A11" w:rsidRPr="00EA05B3" w:rsidRDefault="00563B9D" w:rsidP="00B07F48">
      <w:pPr>
        <w:pStyle w:val="SingleTxtG"/>
        <w:ind w:firstLine="567"/>
        <w:rPr>
          <w:lang w:val="fr-FR"/>
        </w:rPr>
      </w:pPr>
      <w:r w:rsidRPr="00EA05B3">
        <w:rPr>
          <w:lang w:val="fr-FR"/>
        </w:rPr>
        <w:t>b</w:t>
      </w:r>
      <w:r w:rsidR="00A13901" w:rsidRPr="00EA05B3">
        <w:rPr>
          <w:lang w:val="fr-FR"/>
        </w:rPr>
        <w:t>)</w:t>
      </w:r>
      <w:r w:rsidR="00A13901" w:rsidRPr="00EA05B3">
        <w:rPr>
          <w:lang w:val="fr-FR"/>
        </w:rPr>
        <w:tab/>
      </w:r>
      <w:r w:rsidRPr="00EA05B3">
        <w:rPr>
          <w:lang w:val="fr-FR"/>
        </w:rPr>
        <w:t xml:space="preserve">Renforcer </w:t>
      </w:r>
      <w:r w:rsidR="009379A7" w:rsidRPr="00EA05B3">
        <w:rPr>
          <w:lang w:val="fr-FR"/>
        </w:rPr>
        <w:t>l’</w:t>
      </w:r>
      <w:r w:rsidRPr="00EA05B3">
        <w:rPr>
          <w:lang w:val="fr-FR"/>
        </w:rPr>
        <w:t>unité nationale dans la diversité</w:t>
      </w:r>
      <w:r w:rsidR="00B36EE6" w:rsidRPr="00EA05B3">
        <w:rPr>
          <w:lang w:val="fr-FR"/>
        </w:rPr>
        <w:t>;</w:t>
      </w:r>
      <w:r w:rsidR="000D57A5" w:rsidRPr="00EA05B3">
        <w:rPr>
          <w:lang w:val="fr-FR"/>
        </w:rPr>
        <w:t xml:space="preserve"> </w:t>
      </w:r>
    </w:p>
    <w:p w:rsidR="00D60A11" w:rsidRPr="00EA05B3" w:rsidRDefault="00563B9D" w:rsidP="00B07F48">
      <w:pPr>
        <w:pStyle w:val="SingleTxtG"/>
        <w:ind w:firstLine="567"/>
        <w:rPr>
          <w:lang w:val="fr-FR"/>
        </w:rPr>
      </w:pPr>
      <w:r w:rsidRPr="00EA05B3">
        <w:rPr>
          <w:lang w:val="fr-FR"/>
        </w:rPr>
        <w:t>c</w:t>
      </w:r>
      <w:r w:rsidR="00A13901" w:rsidRPr="00EA05B3">
        <w:rPr>
          <w:lang w:val="fr-FR"/>
        </w:rPr>
        <w:t>)</w:t>
      </w:r>
      <w:r w:rsidR="00A13901" w:rsidRPr="00EA05B3">
        <w:rPr>
          <w:lang w:val="fr-FR"/>
        </w:rPr>
        <w:tab/>
      </w:r>
      <w:r w:rsidRPr="00EA05B3">
        <w:rPr>
          <w:lang w:val="fr-FR"/>
        </w:rPr>
        <w:t>Planifier le développement national de manière à éliminer la pauvreté et à promouvoir le développement durable et la redistribution équitable des ressources et de la richesse nécessaires au bien-vivre</w:t>
      </w:r>
      <w:r w:rsidR="00B36EE6" w:rsidRPr="00EA05B3">
        <w:rPr>
          <w:lang w:val="fr-FR"/>
        </w:rPr>
        <w:t>;</w:t>
      </w:r>
    </w:p>
    <w:p w:rsidR="00D60A11" w:rsidRPr="00EA05B3" w:rsidRDefault="00563B9D" w:rsidP="00B07F48">
      <w:pPr>
        <w:pStyle w:val="SingleTxtG"/>
        <w:ind w:firstLine="567"/>
        <w:rPr>
          <w:lang w:val="fr-FR"/>
        </w:rPr>
      </w:pPr>
      <w:r w:rsidRPr="00EA05B3">
        <w:rPr>
          <w:lang w:val="fr-FR"/>
        </w:rPr>
        <w:t>d</w:t>
      </w:r>
      <w:r w:rsidR="00A13901" w:rsidRPr="00EA05B3">
        <w:rPr>
          <w:lang w:val="fr-FR"/>
        </w:rPr>
        <w:t>)</w:t>
      </w:r>
      <w:r w:rsidR="00A13901" w:rsidRPr="00EA05B3">
        <w:rPr>
          <w:lang w:val="fr-FR"/>
        </w:rPr>
        <w:tab/>
      </w:r>
      <w:r w:rsidRPr="00EA05B3">
        <w:rPr>
          <w:lang w:val="fr-FR"/>
        </w:rPr>
        <w:t xml:space="preserve">Promouvoir le développement équitable et solidaire de </w:t>
      </w:r>
      <w:r w:rsidR="009379A7" w:rsidRPr="00EA05B3">
        <w:rPr>
          <w:lang w:val="fr-FR"/>
        </w:rPr>
        <w:t>l’</w:t>
      </w:r>
      <w:r w:rsidRPr="00EA05B3">
        <w:rPr>
          <w:lang w:val="fr-FR"/>
        </w:rPr>
        <w:t xml:space="preserve">ensemble du territoire en renforçant </w:t>
      </w:r>
      <w:r w:rsidR="009379A7" w:rsidRPr="00EA05B3">
        <w:rPr>
          <w:lang w:val="fr-FR"/>
        </w:rPr>
        <w:t>l’</w:t>
      </w:r>
      <w:r w:rsidRPr="00EA05B3">
        <w:rPr>
          <w:lang w:val="fr-FR"/>
        </w:rPr>
        <w:t>autonomie et la décentralisation</w:t>
      </w:r>
      <w:r w:rsidR="00B36EE6" w:rsidRPr="00EA05B3">
        <w:rPr>
          <w:lang w:val="fr-FR"/>
        </w:rPr>
        <w:t>;</w:t>
      </w:r>
      <w:r w:rsidR="000D57A5" w:rsidRPr="00EA05B3">
        <w:rPr>
          <w:lang w:val="fr-FR"/>
        </w:rPr>
        <w:t xml:space="preserve"> </w:t>
      </w:r>
    </w:p>
    <w:p w:rsidR="00D60A11" w:rsidRPr="00EA05B3" w:rsidRDefault="00563B9D" w:rsidP="00B07F48">
      <w:pPr>
        <w:pStyle w:val="SingleTxtG"/>
        <w:ind w:firstLine="567"/>
        <w:rPr>
          <w:lang w:val="fr-FR"/>
        </w:rPr>
      </w:pPr>
      <w:r w:rsidRPr="00EA05B3">
        <w:rPr>
          <w:lang w:val="fr-FR"/>
        </w:rPr>
        <w:t>e</w:t>
      </w:r>
      <w:r w:rsidR="00A13901" w:rsidRPr="00EA05B3">
        <w:rPr>
          <w:lang w:val="fr-FR"/>
        </w:rPr>
        <w:t>)</w:t>
      </w:r>
      <w:r w:rsidR="00A13901" w:rsidRPr="00EA05B3">
        <w:rPr>
          <w:lang w:val="fr-FR"/>
        </w:rPr>
        <w:tab/>
      </w:r>
      <w:r w:rsidRPr="00EA05B3">
        <w:rPr>
          <w:lang w:val="fr-FR"/>
        </w:rPr>
        <w:t>Protéger le patrimoine culturel et naturel du pays</w:t>
      </w:r>
      <w:r w:rsidR="00B36EE6" w:rsidRPr="00EA05B3">
        <w:rPr>
          <w:lang w:val="fr-FR"/>
        </w:rPr>
        <w:t>;</w:t>
      </w:r>
      <w:r w:rsidR="000D57A5" w:rsidRPr="00EA05B3">
        <w:rPr>
          <w:lang w:val="fr-FR"/>
        </w:rPr>
        <w:t xml:space="preserve"> </w:t>
      </w:r>
    </w:p>
    <w:p w:rsidR="00D60A11" w:rsidRPr="00EA05B3" w:rsidRDefault="00563B9D" w:rsidP="00B07F48">
      <w:pPr>
        <w:pStyle w:val="SingleTxtG"/>
        <w:ind w:firstLine="567"/>
        <w:rPr>
          <w:lang w:val="fr-FR"/>
        </w:rPr>
      </w:pPr>
      <w:r w:rsidRPr="00EA05B3">
        <w:rPr>
          <w:lang w:val="fr-FR"/>
        </w:rPr>
        <w:t>f</w:t>
      </w:r>
      <w:r w:rsidR="00A13901" w:rsidRPr="00EA05B3">
        <w:rPr>
          <w:lang w:val="fr-FR"/>
        </w:rPr>
        <w:t>)</w:t>
      </w:r>
      <w:r w:rsidR="00A13901" w:rsidRPr="00EA05B3">
        <w:rPr>
          <w:lang w:val="fr-FR"/>
        </w:rPr>
        <w:tab/>
      </w:r>
      <w:r w:rsidRPr="00EA05B3">
        <w:rPr>
          <w:lang w:val="fr-FR"/>
        </w:rPr>
        <w:t>Garantir aux habitants le droit à une culture de la paix et à la sécurité en général, ainsi que le droit de vivre dans une société démocratique et exempte de corruption.</w:t>
      </w:r>
    </w:p>
    <w:p w:rsidR="00D60A11" w:rsidRPr="00EA05B3" w:rsidRDefault="0027238F" w:rsidP="00793C91">
      <w:pPr>
        <w:pStyle w:val="SingleTxtG"/>
        <w:rPr>
          <w:sz w:val="24"/>
          <w:szCs w:val="24"/>
          <w:lang w:val="fr-FR"/>
        </w:rPr>
      </w:pPr>
      <w:r w:rsidRPr="00EA05B3">
        <w:rPr>
          <w:lang w:val="fr-FR"/>
        </w:rPr>
        <w:t>230.</w:t>
      </w:r>
      <w:r w:rsidRPr="00EA05B3">
        <w:rPr>
          <w:lang w:val="fr-FR"/>
        </w:rPr>
        <w:tab/>
      </w:r>
      <w:r w:rsidR="00D60A11" w:rsidRPr="00EA05B3">
        <w:rPr>
          <w:lang w:val="fr-FR"/>
        </w:rPr>
        <w:t xml:space="preserve">Les articles 10 et 11 de la Constitution définissent les principes qui régissent </w:t>
      </w:r>
      <w:r w:rsidR="009379A7" w:rsidRPr="00EA05B3">
        <w:rPr>
          <w:lang w:val="fr-FR"/>
        </w:rPr>
        <w:t>l’</w:t>
      </w:r>
      <w:r w:rsidR="00D60A11" w:rsidRPr="00EA05B3">
        <w:rPr>
          <w:lang w:val="fr-FR"/>
        </w:rPr>
        <w:t>application des droits</w:t>
      </w:r>
      <w:r w:rsidR="00B36EE6" w:rsidRPr="00EA05B3">
        <w:rPr>
          <w:lang w:val="fr-FR"/>
        </w:rPr>
        <w:t>;</w:t>
      </w:r>
      <w:r w:rsidR="00D60A11" w:rsidRPr="00EA05B3">
        <w:rPr>
          <w:lang w:val="fr-FR"/>
        </w:rPr>
        <w:t xml:space="preserve"> ils disposent </w:t>
      </w:r>
      <w:r w:rsidR="009379A7" w:rsidRPr="00EA05B3">
        <w:rPr>
          <w:lang w:val="fr-FR"/>
        </w:rPr>
        <w:t>d’</w:t>
      </w:r>
      <w:r w:rsidR="00D60A11" w:rsidRPr="00EA05B3">
        <w:rPr>
          <w:lang w:val="fr-FR"/>
        </w:rPr>
        <w:t xml:space="preserve">abord que les personnes, les communautés, les peuples, les nationalités et autres groupes sont les détenteurs des droits garantis par la Constitution et les instruments internationaux et </w:t>
      </w:r>
      <w:r w:rsidR="009379A7" w:rsidRPr="00EA05B3">
        <w:rPr>
          <w:lang w:val="fr-FR"/>
        </w:rPr>
        <w:t>qu’</w:t>
      </w:r>
      <w:r w:rsidR="00D60A11" w:rsidRPr="00EA05B3">
        <w:rPr>
          <w:lang w:val="fr-FR"/>
        </w:rPr>
        <w:t>ils les exercent. Ces principes sont les suivants</w:t>
      </w:r>
      <w:r w:rsidR="00B36EE6" w:rsidRPr="00EA05B3">
        <w:rPr>
          <w:lang w:val="fr-FR"/>
        </w:rPr>
        <w:t>:</w:t>
      </w:r>
      <w:r w:rsidR="00D60A11" w:rsidRPr="00EA05B3">
        <w:rPr>
          <w:sz w:val="24"/>
          <w:lang w:val="fr-FR"/>
        </w:rPr>
        <w:t xml:space="preserve"> </w:t>
      </w:r>
    </w:p>
    <w:p w:rsidR="00D60A11" w:rsidRPr="00EA05B3" w:rsidRDefault="00D60A11" w:rsidP="00563B9D">
      <w:pPr>
        <w:pStyle w:val="Bullet1G"/>
        <w:rPr>
          <w:lang w:val="fr-FR"/>
        </w:rPr>
      </w:pPr>
      <w:r w:rsidRPr="00EA05B3">
        <w:rPr>
          <w:lang w:val="fr-FR"/>
        </w:rPr>
        <w:t xml:space="preserve">Exercice et promotion des droits, exigibles individuellement ou collectivement, devant les autorités chargées </w:t>
      </w:r>
      <w:r w:rsidR="009379A7" w:rsidRPr="00EA05B3">
        <w:rPr>
          <w:lang w:val="fr-FR"/>
        </w:rPr>
        <w:t>d’</w:t>
      </w:r>
      <w:r w:rsidRPr="00EA05B3">
        <w:rPr>
          <w:lang w:val="fr-FR"/>
        </w:rPr>
        <w:t>en garantir le respect</w:t>
      </w:r>
      <w:r w:rsidR="00B36EE6" w:rsidRPr="00EA05B3">
        <w:rPr>
          <w:lang w:val="fr-FR"/>
        </w:rPr>
        <w:t>;</w:t>
      </w:r>
      <w:r w:rsidRPr="00EA05B3">
        <w:rPr>
          <w:lang w:val="fr-FR"/>
        </w:rPr>
        <w:t xml:space="preserve"> </w:t>
      </w:r>
      <w:r w:rsidR="0050005C" w:rsidRPr="00EA05B3">
        <w:rPr>
          <w:lang w:val="fr-FR"/>
        </w:rPr>
        <w:t>é</w:t>
      </w:r>
      <w:r w:rsidRPr="00EA05B3">
        <w:rPr>
          <w:lang w:val="fr-FR"/>
        </w:rPr>
        <w:t xml:space="preserve">galité des droits, des devoirs et des chances des habitants, sans discrimination fondée sur </w:t>
      </w:r>
      <w:r w:rsidR="009379A7" w:rsidRPr="00EA05B3">
        <w:rPr>
          <w:lang w:val="fr-FR"/>
        </w:rPr>
        <w:t>l’</w:t>
      </w:r>
      <w:r w:rsidRPr="00EA05B3">
        <w:rPr>
          <w:lang w:val="fr-FR"/>
        </w:rPr>
        <w:t xml:space="preserve">appartenance ethnique, le lieu de naissance, </w:t>
      </w:r>
      <w:r w:rsidR="009379A7" w:rsidRPr="00EA05B3">
        <w:rPr>
          <w:lang w:val="fr-FR"/>
        </w:rPr>
        <w:t>l’</w:t>
      </w:r>
      <w:r w:rsidRPr="00EA05B3">
        <w:rPr>
          <w:lang w:val="fr-FR"/>
        </w:rPr>
        <w:t xml:space="preserve">âge, le sexe, </w:t>
      </w:r>
      <w:r w:rsidR="009379A7" w:rsidRPr="00EA05B3">
        <w:rPr>
          <w:lang w:val="fr-FR"/>
        </w:rPr>
        <w:t>l’</w:t>
      </w:r>
      <w:r w:rsidRPr="00EA05B3">
        <w:rPr>
          <w:lang w:val="fr-FR"/>
        </w:rPr>
        <w:t xml:space="preserve">identité de genre, </w:t>
      </w:r>
      <w:r w:rsidR="009379A7" w:rsidRPr="00EA05B3">
        <w:rPr>
          <w:lang w:val="fr-FR"/>
        </w:rPr>
        <w:t>l’</w:t>
      </w:r>
      <w:r w:rsidRPr="00EA05B3">
        <w:rPr>
          <w:lang w:val="fr-FR"/>
        </w:rPr>
        <w:t xml:space="preserve">identité culturelle, </w:t>
      </w:r>
      <w:r w:rsidR="009379A7" w:rsidRPr="00EA05B3">
        <w:rPr>
          <w:lang w:val="fr-FR"/>
        </w:rPr>
        <w:t>l’</w:t>
      </w:r>
      <w:r w:rsidRPr="00EA05B3">
        <w:rPr>
          <w:lang w:val="fr-FR"/>
        </w:rPr>
        <w:t xml:space="preserve">état civil, la langue, la religion, </w:t>
      </w:r>
      <w:r w:rsidR="009379A7" w:rsidRPr="00EA05B3">
        <w:rPr>
          <w:lang w:val="fr-FR"/>
        </w:rPr>
        <w:t>l’</w:t>
      </w:r>
      <w:r w:rsidRPr="00EA05B3">
        <w:rPr>
          <w:lang w:val="fr-FR"/>
        </w:rPr>
        <w:t xml:space="preserve">idéologie, </w:t>
      </w:r>
      <w:r w:rsidR="009379A7" w:rsidRPr="00EA05B3">
        <w:rPr>
          <w:lang w:val="fr-FR"/>
        </w:rPr>
        <w:t>l’</w:t>
      </w:r>
      <w:r w:rsidRPr="00EA05B3">
        <w:rPr>
          <w:lang w:val="fr-FR"/>
        </w:rPr>
        <w:t xml:space="preserve">opinion politique, les antécédents judiciaires, la situation </w:t>
      </w:r>
      <w:r w:rsidR="00BF024B" w:rsidRPr="00EA05B3">
        <w:rPr>
          <w:lang w:val="fr-FR"/>
        </w:rPr>
        <w:t>socioéconomique</w:t>
      </w:r>
      <w:r w:rsidRPr="00EA05B3">
        <w:rPr>
          <w:lang w:val="fr-FR"/>
        </w:rPr>
        <w:t xml:space="preserve">, le statut de migrant, </w:t>
      </w:r>
      <w:r w:rsidR="009379A7" w:rsidRPr="00EA05B3">
        <w:rPr>
          <w:lang w:val="fr-FR"/>
        </w:rPr>
        <w:t>l’</w:t>
      </w:r>
      <w:r w:rsidRPr="00EA05B3">
        <w:rPr>
          <w:lang w:val="fr-FR"/>
        </w:rPr>
        <w:t xml:space="preserve">orientation sexuelle, </w:t>
      </w:r>
      <w:r w:rsidR="009379A7" w:rsidRPr="00EA05B3">
        <w:rPr>
          <w:lang w:val="fr-FR"/>
        </w:rPr>
        <w:t>l’</w:t>
      </w:r>
      <w:r w:rsidRPr="00EA05B3">
        <w:rPr>
          <w:lang w:val="fr-FR"/>
        </w:rPr>
        <w:t xml:space="preserve">état de santé, </w:t>
      </w:r>
      <w:r w:rsidR="009379A7" w:rsidRPr="00EA05B3">
        <w:rPr>
          <w:lang w:val="fr-FR"/>
        </w:rPr>
        <w:t>l’</w:t>
      </w:r>
      <w:r w:rsidRPr="00EA05B3">
        <w:rPr>
          <w:lang w:val="fr-FR"/>
        </w:rPr>
        <w:t>infection au VIH, le handicap, les particularités physiques ou toute autre différence personnelle ou collective, temporaire ou permanente</w:t>
      </w:r>
      <w:r w:rsidR="00B36EE6" w:rsidRPr="00EA05B3">
        <w:rPr>
          <w:lang w:val="fr-FR"/>
        </w:rPr>
        <w:t>;</w:t>
      </w:r>
      <w:r w:rsidR="000D57A5" w:rsidRPr="00EA05B3">
        <w:rPr>
          <w:lang w:val="fr-FR"/>
        </w:rPr>
        <w:t xml:space="preserve"> </w:t>
      </w:r>
    </w:p>
    <w:p w:rsidR="00D60A11" w:rsidRPr="00EA05B3" w:rsidRDefault="00D60A11" w:rsidP="00563B9D">
      <w:pPr>
        <w:pStyle w:val="Bullet1G"/>
        <w:rPr>
          <w:lang w:val="fr-FR"/>
        </w:rPr>
      </w:pPr>
      <w:r w:rsidRPr="00EA05B3">
        <w:rPr>
          <w:lang w:val="fr-FR"/>
        </w:rPr>
        <w:t xml:space="preserve">Action positive visant à promouvoir </w:t>
      </w:r>
      <w:r w:rsidR="009379A7" w:rsidRPr="00EA05B3">
        <w:rPr>
          <w:lang w:val="fr-FR"/>
        </w:rPr>
        <w:t>l’</w:t>
      </w:r>
      <w:r w:rsidRPr="00EA05B3">
        <w:rPr>
          <w:lang w:val="fr-FR"/>
        </w:rPr>
        <w:t xml:space="preserve">égalité réelle des détenteurs de droits en situation </w:t>
      </w:r>
      <w:r w:rsidR="009379A7" w:rsidRPr="00EA05B3">
        <w:rPr>
          <w:lang w:val="fr-FR"/>
        </w:rPr>
        <w:t>d’</w:t>
      </w:r>
      <w:r w:rsidRPr="00EA05B3">
        <w:rPr>
          <w:lang w:val="fr-FR"/>
        </w:rPr>
        <w:t>inégalité</w:t>
      </w:r>
      <w:r w:rsidR="00B36EE6" w:rsidRPr="00EA05B3">
        <w:rPr>
          <w:lang w:val="fr-FR"/>
        </w:rPr>
        <w:t>;</w:t>
      </w:r>
      <w:r w:rsidR="000D57A5" w:rsidRPr="00EA05B3">
        <w:rPr>
          <w:lang w:val="fr-FR"/>
        </w:rPr>
        <w:t xml:space="preserve"> </w:t>
      </w:r>
    </w:p>
    <w:p w:rsidR="00D60A11" w:rsidRPr="00EA05B3" w:rsidRDefault="00D60A11" w:rsidP="00563B9D">
      <w:pPr>
        <w:pStyle w:val="Bullet1G"/>
        <w:rPr>
          <w:lang w:val="fr-FR"/>
        </w:rPr>
      </w:pPr>
      <w:r w:rsidRPr="00EA05B3">
        <w:rPr>
          <w:lang w:val="fr-FR"/>
        </w:rPr>
        <w:t xml:space="preserve">Application directe, immédiate et sans condition préalable par les autorités compétentes des droits reconnus dans la Constitution et les instruments internationaux relatifs aux droits de </w:t>
      </w:r>
      <w:r w:rsidR="009379A7" w:rsidRPr="00EA05B3">
        <w:rPr>
          <w:lang w:val="fr-FR"/>
        </w:rPr>
        <w:t>l’</w:t>
      </w:r>
      <w:r w:rsidRPr="00EA05B3">
        <w:rPr>
          <w:lang w:val="fr-FR"/>
        </w:rPr>
        <w:t>homme</w:t>
      </w:r>
      <w:r w:rsidR="00B36EE6" w:rsidRPr="00EA05B3">
        <w:rPr>
          <w:lang w:val="fr-FR"/>
        </w:rPr>
        <w:t>;</w:t>
      </w:r>
      <w:r w:rsidR="000D57A5" w:rsidRPr="00EA05B3">
        <w:rPr>
          <w:lang w:val="fr-FR"/>
        </w:rPr>
        <w:t xml:space="preserve"> </w:t>
      </w:r>
    </w:p>
    <w:p w:rsidR="00D60A11" w:rsidRPr="00EA05B3" w:rsidRDefault="00D60A11" w:rsidP="00563B9D">
      <w:pPr>
        <w:pStyle w:val="Bullet1G"/>
        <w:rPr>
          <w:lang w:val="fr-FR"/>
        </w:rPr>
      </w:pPr>
      <w:r w:rsidRPr="00EA05B3">
        <w:rPr>
          <w:lang w:val="fr-FR"/>
        </w:rPr>
        <w:t xml:space="preserve">Pleine justiciabilité des droits et interdiction </w:t>
      </w:r>
      <w:r w:rsidR="009379A7" w:rsidRPr="00EA05B3">
        <w:rPr>
          <w:lang w:val="fr-FR"/>
        </w:rPr>
        <w:t>d’</w:t>
      </w:r>
      <w:r w:rsidRPr="00EA05B3">
        <w:rPr>
          <w:lang w:val="fr-FR"/>
        </w:rPr>
        <w:t xml:space="preserve">invoquer un vide juridique pour en justifier la violation ou </w:t>
      </w:r>
      <w:r w:rsidR="009379A7" w:rsidRPr="00EA05B3">
        <w:rPr>
          <w:lang w:val="fr-FR"/>
        </w:rPr>
        <w:t>l’</w:t>
      </w:r>
      <w:r w:rsidRPr="00EA05B3">
        <w:rPr>
          <w:lang w:val="fr-FR"/>
        </w:rPr>
        <w:t>ignorance, annuler des poursuites ou nier la reconnaissance de ces droits</w:t>
      </w:r>
      <w:r w:rsidR="00B36EE6" w:rsidRPr="00EA05B3">
        <w:rPr>
          <w:lang w:val="fr-FR"/>
        </w:rPr>
        <w:t>;</w:t>
      </w:r>
      <w:r w:rsidR="000D57A5" w:rsidRPr="00EA05B3">
        <w:rPr>
          <w:lang w:val="fr-FR"/>
        </w:rPr>
        <w:t xml:space="preserve"> </w:t>
      </w:r>
    </w:p>
    <w:p w:rsidR="00D60A11" w:rsidRPr="00EA05B3" w:rsidRDefault="00D60A11" w:rsidP="00563B9D">
      <w:pPr>
        <w:pStyle w:val="Bullet1G"/>
        <w:rPr>
          <w:lang w:val="fr-FR"/>
        </w:rPr>
      </w:pPr>
      <w:r w:rsidRPr="00EA05B3">
        <w:rPr>
          <w:lang w:val="fr-FR"/>
        </w:rPr>
        <w:t>Développement du contenu des droits par le biais des lois, de la jurisprudence et des politiques publiques, sachant que nulle loi ne saurait restreindre des droits</w:t>
      </w:r>
      <w:r w:rsidR="00B36EE6" w:rsidRPr="00EA05B3">
        <w:rPr>
          <w:lang w:val="fr-FR"/>
        </w:rPr>
        <w:t>;</w:t>
      </w:r>
      <w:r w:rsidR="000D57A5" w:rsidRPr="00EA05B3">
        <w:rPr>
          <w:lang w:val="fr-FR"/>
        </w:rPr>
        <w:t xml:space="preserve"> </w:t>
      </w:r>
    </w:p>
    <w:p w:rsidR="00D60A11" w:rsidRPr="00EA05B3" w:rsidRDefault="00D60A11" w:rsidP="00563B9D">
      <w:pPr>
        <w:pStyle w:val="Bullet1G"/>
        <w:rPr>
          <w:lang w:val="fr-FR"/>
        </w:rPr>
      </w:pPr>
      <w:r w:rsidRPr="00EA05B3">
        <w:rPr>
          <w:lang w:val="fr-FR"/>
        </w:rPr>
        <w:t xml:space="preserve">Application et interprétation de la loi la plus favorable à </w:t>
      </w:r>
      <w:r w:rsidR="009379A7" w:rsidRPr="00EA05B3">
        <w:rPr>
          <w:lang w:val="fr-FR"/>
        </w:rPr>
        <w:t>l’</w:t>
      </w:r>
      <w:r w:rsidRPr="00EA05B3">
        <w:rPr>
          <w:lang w:val="fr-FR"/>
        </w:rPr>
        <w:t>exercice des droits</w:t>
      </w:r>
      <w:r w:rsidR="00B36EE6" w:rsidRPr="00EA05B3">
        <w:rPr>
          <w:lang w:val="fr-FR"/>
        </w:rPr>
        <w:t>;</w:t>
      </w:r>
      <w:r w:rsidR="000D57A5" w:rsidRPr="00EA05B3">
        <w:rPr>
          <w:lang w:val="fr-FR"/>
        </w:rPr>
        <w:t xml:space="preserve"> </w:t>
      </w:r>
    </w:p>
    <w:p w:rsidR="00D60A11" w:rsidRPr="00EA05B3" w:rsidRDefault="00D60A11" w:rsidP="00563B9D">
      <w:pPr>
        <w:pStyle w:val="Bullet1G"/>
        <w:rPr>
          <w:lang w:val="fr-FR"/>
        </w:rPr>
      </w:pPr>
      <w:r w:rsidRPr="00EA05B3">
        <w:rPr>
          <w:lang w:val="fr-FR"/>
        </w:rPr>
        <w:t>Caractère inaliénable, incessible, indivisible et interdépendant des principes et des droits, sans hiérarchie entre eux</w:t>
      </w:r>
      <w:r w:rsidR="00B36EE6" w:rsidRPr="00EA05B3">
        <w:rPr>
          <w:lang w:val="fr-FR"/>
        </w:rPr>
        <w:t>;</w:t>
      </w:r>
      <w:r w:rsidR="000D57A5" w:rsidRPr="00EA05B3">
        <w:rPr>
          <w:lang w:val="fr-FR"/>
        </w:rPr>
        <w:t xml:space="preserve"> </w:t>
      </w:r>
    </w:p>
    <w:p w:rsidR="00D60A11" w:rsidRPr="00EA05B3" w:rsidRDefault="00D60A11" w:rsidP="00563B9D">
      <w:pPr>
        <w:pStyle w:val="Bullet1G"/>
        <w:rPr>
          <w:lang w:val="fr-FR"/>
        </w:rPr>
      </w:pPr>
      <w:r w:rsidRPr="00EA05B3">
        <w:rPr>
          <w:lang w:val="fr-FR"/>
        </w:rPr>
        <w:t xml:space="preserve">Non-exclusion des droits inhérents à la dignité des personnes, des communautés, des peuples et des nationalités et nécessaires à leur plein épanouissement, indépendamment des droits déjà consacrés par la Constitution ou par les instruments internationaux relatifs aux droits de </w:t>
      </w:r>
      <w:r w:rsidR="009379A7" w:rsidRPr="00EA05B3">
        <w:rPr>
          <w:lang w:val="fr-FR"/>
        </w:rPr>
        <w:t>l’</w:t>
      </w:r>
      <w:r w:rsidRPr="00EA05B3">
        <w:rPr>
          <w:lang w:val="fr-FR"/>
        </w:rPr>
        <w:t>homme.</w:t>
      </w:r>
    </w:p>
    <w:p w:rsidR="00D60A11" w:rsidRPr="00EA05B3" w:rsidRDefault="0027238F" w:rsidP="00793C91">
      <w:pPr>
        <w:pStyle w:val="SingleTxtG"/>
        <w:rPr>
          <w:lang w:val="fr-FR"/>
        </w:rPr>
      </w:pPr>
      <w:r w:rsidRPr="00EA05B3">
        <w:rPr>
          <w:lang w:val="fr-FR"/>
        </w:rPr>
        <w:t>231.</w:t>
      </w:r>
      <w:r w:rsidRPr="00EA05B3">
        <w:rPr>
          <w:lang w:val="fr-FR"/>
        </w:rPr>
        <w:tab/>
      </w:r>
      <w:r w:rsidR="00D60A11" w:rsidRPr="00EA05B3">
        <w:rPr>
          <w:lang w:val="fr-FR"/>
        </w:rPr>
        <w:t xml:space="preserve">Les articles mentionnés énoncent également </w:t>
      </w:r>
      <w:r w:rsidR="009379A7" w:rsidRPr="00EA05B3">
        <w:rPr>
          <w:lang w:val="fr-FR"/>
        </w:rPr>
        <w:t>l’</w:t>
      </w:r>
      <w:r w:rsidR="00D60A11" w:rsidRPr="00EA05B3">
        <w:rPr>
          <w:lang w:val="fr-FR"/>
        </w:rPr>
        <w:t xml:space="preserve">obligation pour </w:t>
      </w:r>
      <w:r w:rsidR="009379A7" w:rsidRPr="00EA05B3">
        <w:rPr>
          <w:lang w:val="fr-FR"/>
        </w:rPr>
        <w:t>l’</w:t>
      </w:r>
      <w:r w:rsidR="00D60A11" w:rsidRPr="00EA05B3">
        <w:rPr>
          <w:lang w:val="fr-FR"/>
        </w:rPr>
        <w:t xml:space="preserve">État de créer et de garantir les conditions nécessaires à la pleine reconnaissance et à </w:t>
      </w:r>
      <w:r w:rsidR="009379A7" w:rsidRPr="00EA05B3">
        <w:rPr>
          <w:lang w:val="fr-FR"/>
        </w:rPr>
        <w:t>l’</w:t>
      </w:r>
      <w:r w:rsidR="00D60A11" w:rsidRPr="00EA05B3">
        <w:rPr>
          <w:lang w:val="fr-FR"/>
        </w:rPr>
        <w:t xml:space="preserve">exercice des droits, ainsi que </w:t>
      </w:r>
      <w:r w:rsidR="009379A7" w:rsidRPr="00EA05B3">
        <w:rPr>
          <w:lang w:val="fr-FR"/>
        </w:rPr>
        <w:t>l’</w:t>
      </w:r>
      <w:r w:rsidR="00D60A11" w:rsidRPr="00EA05B3">
        <w:rPr>
          <w:lang w:val="fr-FR"/>
        </w:rPr>
        <w:t xml:space="preserve">obligation pour </w:t>
      </w:r>
      <w:r w:rsidR="009379A7" w:rsidRPr="00EA05B3">
        <w:rPr>
          <w:lang w:val="fr-FR"/>
        </w:rPr>
        <w:t>l’</w:t>
      </w:r>
      <w:r w:rsidR="00D60A11" w:rsidRPr="00EA05B3">
        <w:rPr>
          <w:lang w:val="fr-FR"/>
        </w:rPr>
        <w:t xml:space="preserve">État, ses représentants, ses agents et toute personne qui exerce des prérogatives de puissance publique, de réparer les atteintes aux droits de </w:t>
      </w:r>
      <w:r w:rsidR="009379A7" w:rsidRPr="00EA05B3">
        <w:rPr>
          <w:lang w:val="fr-FR"/>
        </w:rPr>
        <w:t>l’</w:t>
      </w:r>
      <w:r w:rsidR="00D60A11" w:rsidRPr="00EA05B3">
        <w:rPr>
          <w:lang w:val="fr-FR"/>
        </w:rPr>
        <w:t xml:space="preserve">homme des personnes, des peuples, des communautés et nationalités qui sont dues à des lacunes ou à des déficiences dans la prestation de services publics ou à des actions ou omissions de ses agents ou de fonctionnaires agissant dans </w:t>
      </w:r>
      <w:r w:rsidR="009379A7" w:rsidRPr="00EA05B3">
        <w:rPr>
          <w:lang w:val="fr-FR"/>
        </w:rPr>
        <w:t>l’</w:t>
      </w:r>
      <w:r w:rsidR="00D60A11" w:rsidRPr="00EA05B3">
        <w:rPr>
          <w:lang w:val="fr-FR"/>
        </w:rPr>
        <w:t xml:space="preserve">exercice de leurs fonctions. La Constitution reconnaît aussi la responsabilité de </w:t>
      </w:r>
      <w:r w:rsidR="009379A7" w:rsidRPr="00EA05B3">
        <w:rPr>
          <w:lang w:val="fr-FR"/>
        </w:rPr>
        <w:t>l’</w:t>
      </w:r>
      <w:r w:rsidR="00D60A11" w:rsidRPr="00EA05B3">
        <w:rPr>
          <w:lang w:val="fr-FR"/>
        </w:rPr>
        <w:t xml:space="preserve">État en cas de détention arbitraire, erreur judiciaire, retard injustifié ou administration inadéquate de la justice, violation du droit à la protection judiciaire, atteintes aux principes et aux règles du droit à un procès équitable, ainsi </w:t>
      </w:r>
      <w:r w:rsidR="009379A7" w:rsidRPr="00EA05B3">
        <w:rPr>
          <w:lang w:val="fr-FR"/>
        </w:rPr>
        <w:t>qu’</w:t>
      </w:r>
      <w:r w:rsidR="00D60A11" w:rsidRPr="00EA05B3">
        <w:rPr>
          <w:lang w:val="fr-FR"/>
        </w:rPr>
        <w:t xml:space="preserve">en cas de révision ou </w:t>
      </w:r>
      <w:r w:rsidR="009379A7" w:rsidRPr="00EA05B3">
        <w:rPr>
          <w:lang w:val="fr-FR"/>
        </w:rPr>
        <w:t>d’</w:t>
      </w:r>
      <w:r w:rsidR="00D60A11" w:rsidRPr="00EA05B3">
        <w:rPr>
          <w:lang w:val="fr-FR"/>
        </w:rPr>
        <w:t xml:space="preserve">annulation </w:t>
      </w:r>
      <w:r w:rsidR="009379A7" w:rsidRPr="00EA05B3">
        <w:rPr>
          <w:lang w:val="fr-FR"/>
        </w:rPr>
        <w:t>d’</w:t>
      </w:r>
      <w:r w:rsidR="00D60A11" w:rsidRPr="00EA05B3">
        <w:rPr>
          <w:lang w:val="fr-FR"/>
        </w:rPr>
        <w:t xml:space="preserve">une condamnation. </w:t>
      </w:r>
    </w:p>
    <w:p w:rsidR="00D60A11" w:rsidRPr="00EA05B3" w:rsidRDefault="005059C0">
      <w:pPr>
        <w:pStyle w:val="H1G"/>
        <w:rPr>
          <w:lang w:val="fr-FR"/>
        </w:rPr>
      </w:pPr>
      <w:bookmarkStart w:id="25" w:name="_Toc392676787"/>
      <w:r w:rsidRPr="00EA05B3">
        <w:rPr>
          <w:lang w:val="fr-FR"/>
        </w:rPr>
        <w:tab/>
        <w:t>A</w:t>
      </w:r>
      <w:r w:rsidR="00A13901" w:rsidRPr="00EA05B3">
        <w:rPr>
          <w:lang w:val="fr-FR"/>
        </w:rPr>
        <w:t>.</w:t>
      </w:r>
      <w:r w:rsidR="00A13901" w:rsidRPr="00EA05B3">
        <w:rPr>
          <w:lang w:val="fr-FR"/>
        </w:rPr>
        <w:tab/>
      </w:r>
      <w:r w:rsidRPr="00EA05B3">
        <w:rPr>
          <w:lang w:val="fr-FR"/>
        </w:rPr>
        <w:t xml:space="preserve">Adhésion aux normes internationales relatives aux droits de </w:t>
      </w:r>
      <w:r w:rsidR="009379A7" w:rsidRPr="00EA05B3">
        <w:rPr>
          <w:lang w:val="fr-FR"/>
        </w:rPr>
        <w:t>l’</w:t>
      </w:r>
      <w:r w:rsidRPr="00EA05B3">
        <w:rPr>
          <w:lang w:val="fr-FR"/>
        </w:rPr>
        <w:t>homme</w:t>
      </w:r>
      <w:bookmarkEnd w:id="25"/>
    </w:p>
    <w:p w:rsidR="00D60A11" w:rsidRPr="00EA05B3" w:rsidRDefault="0027238F" w:rsidP="00793C91">
      <w:pPr>
        <w:pStyle w:val="SingleTxtG"/>
        <w:rPr>
          <w:lang w:val="fr-FR"/>
        </w:rPr>
      </w:pPr>
      <w:r w:rsidRPr="00EA05B3">
        <w:rPr>
          <w:lang w:val="fr-FR"/>
        </w:rPr>
        <w:t>232.</w:t>
      </w:r>
      <w:r w:rsidRPr="00EA05B3">
        <w:rPr>
          <w:lang w:val="fr-FR"/>
        </w:rPr>
        <w:tab/>
      </w:r>
      <w:r w:rsidR="009379A7" w:rsidRPr="00EA05B3">
        <w:rPr>
          <w:lang w:val="fr-FR"/>
        </w:rPr>
        <w:t>L’</w:t>
      </w:r>
      <w:r w:rsidR="00D60A11" w:rsidRPr="00EA05B3">
        <w:rPr>
          <w:lang w:val="fr-FR"/>
        </w:rPr>
        <w:t xml:space="preserve">État a </w:t>
      </w:r>
      <w:r w:rsidR="009379A7" w:rsidRPr="00EA05B3">
        <w:rPr>
          <w:lang w:val="fr-FR"/>
        </w:rPr>
        <w:t>l’</w:t>
      </w:r>
      <w:r w:rsidR="00D60A11" w:rsidRPr="00EA05B3">
        <w:rPr>
          <w:lang w:val="fr-FR"/>
        </w:rPr>
        <w:t xml:space="preserve">obligation de garantir aux personnes, aux peuples, aux nationalités, aux communautés et autres groupes les droits consacrés dans les instruments internationaux relatifs aux droits de </w:t>
      </w:r>
      <w:r w:rsidR="009379A7" w:rsidRPr="00EA05B3">
        <w:rPr>
          <w:lang w:val="fr-FR"/>
        </w:rPr>
        <w:t>l’</w:t>
      </w:r>
      <w:r w:rsidR="00D60A11" w:rsidRPr="00EA05B3">
        <w:rPr>
          <w:lang w:val="fr-FR"/>
        </w:rPr>
        <w:t xml:space="preserve">homme, dans le respect des principes </w:t>
      </w:r>
      <w:r w:rsidR="009379A7" w:rsidRPr="00EA05B3">
        <w:rPr>
          <w:lang w:val="fr-FR"/>
        </w:rPr>
        <w:t>d’</w:t>
      </w:r>
      <w:r w:rsidR="00D60A11" w:rsidRPr="00EA05B3">
        <w:rPr>
          <w:lang w:val="fr-FR"/>
        </w:rPr>
        <w:t xml:space="preserve">interprétation des droits en question. De plus, </w:t>
      </w:r>
      <w:r w:rsidR="009379A7" w:rsidRPr="00EA05B3">
        <w:rPr>
          <w:lang w:val="fr-FR"/>
        </w:rPr>
        <w:t>l’</w:t>
      </w:r>
      <w:r w:rsidR="00D60A11" w:rsidRPr="00EA05B3">
        <w:rPr>
          <w:lang w:val="fr-FR"/>
        </w:rPr>
        <w:t xml:space="preserve">article 416, paragraphes 7 et 9, du titre VIII (Relations internationales) dispose que dans ses relations avec la communauté internationale, </w:t>
      </w:r>
      <w:r w:rsidR="009379A7" w:rsidRPr="00EA05B3">
        <w:rPr>
          <w:lang w:val="fr-FR"/>
        </w:rPr>
        <w:t>l’</w:t>
      </w:r>
      <w:r w:rsidR="00D60A11" w:rsidRPr="00EA05B3">
        <w:rPr>
          <w:lang w:val="fr-FR"/>
        </w:rPr>
        <w:t xml:space="preserve">Équateur respecte les droits de </w:t>
      </w:r>
      <w:r w:rsidR="009379A7" w:rsidRPr="00EA05B3">
        <w:rPr>
          <w:lang w:val="fr-FR"/>
        </w:rPr>
        <w:t>l’</w:t>
      </w:r>
      <w:r w:rsidR="00D60A11" w:rsidRPr="00EA05B3">
        <w:rPr>
          <w:lang w:val="fr-FR"/>
        </w:rPr>
        <w:t xml:space="preserve">homme et en favorise le plein exercice en </w:t>
      </w:r>
      <w:r w:rsidR="009379A7" w:rsidRPr="00EA05B3">
        <w:rPr>
          <w:lang w:val="fr-FR"/>
        </w:rPr>
        <w:t>s’</w:t>
      </w:r>
      <w:r w:rsidR="00D60A11" w:rsidRPr="00EA05B3">
        <w:rPr>
          <w:lang w:val="fr-FR"/>
        </w:rPr>
        <w:t xml:space="preserve">acquittant des obligations qui lui incombent en vertu des instruments relatifs aux droits de </w:t>
      </w:r>
      <w:r w:rsidR="009379A7" w:rsidRPr="00EA05B3">
        <w:rPr>
          <w:lang w:val="fr-FR"/>
        </w:rPr>
        <w:t>l’</w:t>
      </w:r>
      <w:r w:rsidR="00D60A11" w:rsidRPr="00EA05B3">
        <w:rPr>
          <w:lang w:val="fr-FR"/>
        </w:rPr>
        <w:t xml:space="preserve">homme </w:t>
      </w:r>
      <w:r w:rsidR="009379A7" w:rsidRPr="00EA05B3">
        <w:rPr>
          <w:lang w:val="fr-FR"/>
        </w:rPr>
        <w:t>qu’</w:t>
      </w:r>
      <w:r w:rsidR="00D60A11" w:rsidRPr="00EA05B3">
        <w:rPr>
          <w:lang w:val="fr-FR"/>
        </w:rPr>
        <w:t xml:space="preserve">il a signés, et il reconnaît le droit international comme règle de conduite. Par ailleurs, </w:t>
      </w:r>
      <w:r w:rsidR="009379A7" w:rsidRPr="00EA05B3">
        <w:rPr>
          <w:lang w:val="fr-FR"/>
        </w:rPr>
        <w:t>l’</w:t>
      </w:r>
      <w:r w:rsidR="00D60A11" w:rsidRPr="00EA05B3">
        <w:rPr>
          <w:lang w:val="fr-FR"/>
        </w:rPr>
        <w:t xml:space="preserve">article 417 dispose que </w:t>
      </w:r>
      <w:r w:rsidR="009379A7" w:rsidRPr="00EA05B3">
        <w:rPr>
          <w:lang w:val="fr-FR"/>
        </w:rPr>
        <w:t>s’</w:t>
      </w:r>
      <w:r w:rsidR="00D60A11" w:rsidRPr="00EA05B3">
        <w:rPr>
          <w:lang w:val="fr-FR"/>
        </w:rPr>
        <w:t xml:space="preserve">agissant des traités et autres instruments internationaux relatifs aux droits de </w:t>
      </w:r>
      <w:r w:rsidR="009379A7" w:rsidRPr="00EA05B3">
        <w:rPr>
          <w:lang w:val="fr-FR"/>
        </w:rPr>
        <w:t>l’</w:t>
      </w:r>
      <w:r w:rsidR="00D60A11" w:rsidRPr="00EA05B3">
        <w:rPr>
          <w:lang w:val="fr-FR"/>
        </w:rPr>
        <w:t xml:space="preserve">homme, </w:t>
      </w:r>
      <w:r w:rsidR="009379A7" w:rsidRPr="00EA05B3">
        <w:rPr>
          <w:lang w:val="fr-FR"/>
        </w:rPr>
        <w:t>l’</w:t>
      </w:r>
      <w:r w:rsidR="00D60A11" w:rsidRPr="00EA05B3">
        <w:rPr>
          <w:lang w:val="fr-FR"/>
        </w:rPr>
        <w:t xml:space="preserve">Équateur applique les principes suivants de protection de </w:t>
      </w:r>
      <w:r w:rsidR="009379A7" w:rsidRPr="00EA05B3">
        <w:rPr>
          <w:lang w:val="fr-FR"/>
        </w:rPr>
        <w:t>l’</w:t>
      </w:r>
      <w:r w:rsidR="00D60A11" w:rsidRPr="00EA05B3">
        <w:rPr>
          <w:lang w:val="fr-FR"/>
        </w:rPr>
        <w:t>être humain énoncés aux articles 10 et 11 évoqués précédemment</w:t>
      </w:r>
      <w:r w:rsidR="00B36EE6" w:rsidRPr="00EA05B3">
        <w:rPr>
          <w:lang w:val="fr-FR"/>
        </w:rPr>
        <w:t>:</w:t>
      </w:r>
      <w:r w:rsidR="00D60A11" w:rsidRPr="00EA05B3">
        <w:rPr>
          <w:lang w:val="fr-FR"/>
        </w:rPr>
        <w:t xml:space="preserve"> non-limitation, applicabilité directe et non-exclusivité des droits. Enfin, le deuxième paragraphe de </w:t>
      </w:r>
      <w:r w:rsidR="009379A7" w:rsidRPr="00EA05B3">
        <w:rPr>
          <w:lang w:val="fr-FR"/>
        </w:rPr>
        <w:t>l’</w:t>
      </w:r>
      <w:r w:rsidR="00D60A11" w:rsidRPr="00EA05B3">
        <w:rPr>
          <w:lang w:val="fr-FR"/>
        </w:rPr>
        <w:t xml:space="preserve">article 424 du titre IX (Suprématie de la Constitution) dispose que la Constitution et les instruments internationaux relatifs aux droits de </w:t>
      </w:r>
      <w:r w:rsidR="009379A7" w:rsidRPr="00EA05B3">
        <w:rPr>
          <w:lang w:val="fr-FR"/>
        </w:rPr>
        <w:t>l’</w:t>
      </w:r>
      <w:r w:rsidR="00D60A11" w:rsidRPr="00EA05B3">
        <w:rPr>
          <w:lang w:val="fr-FR"/>
        </w:rPr>
        <w:t xml:space="preserve">homme ratifiés par </w:t>
      </w:r>
      <w:r w:rsidR="009379A7" w:rsidRPr="00EA05B3">
        <w:rPr>
          <w:lang w:val="fr-FR"/>
        </w:rPr>
        <w:t>l’</w:t>
      </w:r>
      <w:r w:rsidR="00D60A11" w:rsidRPr="00EA05B3">
        <w:rPr>
          <w:lang w:val="fr-FR"/>
        </w:rPr>
        <w:t>État qui reconnaissent des droits plus étendus que ceux consacrés par la Constitution priment toute autre norme juridique et tout acte de la puissance publique.</w:t>
      </w:r>
    </w:p>
    <w:p w:rsidR="00D60A11" w:rsidRPr="00EA05B3" w:rsidRDefault="0027238F" w:rsidP="00793C91">
      <w:pPr>
        <w:pStyle w:val="SingleTxtG"/>
        <w:rPr>
          <w:lang w:val="fr-FR"/>
        </w:rPr>
      </w:pPr>
      <w:r w:rsidRPr="00EA05B3">
        <w:rPr>
          <w:lang w:val="fr-FR"/>
        </w:rPr>
        <w:t>233.</w:t>
      </w:r>
      <w:r w:rsidRPr="00EA05B3">
        <w:rPr>
          <w:lang w:val="fr-FR"/>
        </w:rPr>
        <w:tab/>
      </w:r>
      <w:r w:rsidR="009379A7" w:rsidRPr="00EA05B3">
        <w:rPr>
          <w:lang w:val="fr-FR"/>
        </w:rPr>
        <w:t>L’</w:t>
      </w:r>
      <w:r w:rsidR="00D60A11" w:rsidRPr="00EA05B3">
        <w:rPr>
          <w:lang w:val="fr-FR"/>
        </w:rPr>
        <w:t>Équateur est signataire</w:t>
      </w:r>
      <w:r w:rsidR="00D60A11" w:rsidRPr="006A764B">
        <w:rPr>
          <w:sz w:val="18"/>
          <w:szCs w:val="18"/>
          <w:vertAlign w:val="superscript"/>
          <w:lang w:val="fr-FR"/>
        </w:rPr>
        <w:footnoteReference w:id="62"/>
      </w:r>
      <w:r w:rsidR="00D60A11" w:rsidRPr="00EA05B3">
        <w:rPr>
          <w:lang w:val="fr-FR"/>
        </w:rPr>
        <w:t xml:space="preserve"> de la plupart des instruments internationaux relatifs aux droits de </w:t>
      </w:r>
      <w:r w:rsidR="009379A7" w:rsidRPr="00EA05B3">
        <w:rPr>
          <w:lang w:val="fr-FR"/>
        </w:rPr>
        <w:t>l’</w:t>
      </w:r>
      <w:r w:rsidR="00D60A11" w:rsidRPr="00EA05B3">
        <w:rPr>
          <w:lang w:val="fr-FR"/>
        </w:rPr>
        <w:t xml:space="preserve">homme de </w:t>
      </w:r>
      <w:r w:rsidR="009379A7" w:rsidRPr="00EA05B3">
        <w:rPr>
          <w:lang w:val="fr-FR"/>
        </w:rPr>
        <w:t>l’</w:t>
      </w:r>
      <w:r w:rsidR="00D60A11" w:rsidRPr="00EA05B3">
        <w:rPr>
          <w:lang w:val="fr-FR"/>
        </w:rPr>
        <w:t xml:space="preserve">Organisation des Nations Unies et de </w:t>
      </w:r>
      <w:r w:rsidR="009379A7" w:rsidRPr="00EA05B3">
        <w:rPr>
          <w:lang w:val="fr-FR"/>
        </w:rPr>
        <w:t>l’</w:t>
      </w:r>
      <w:r w:rsidR="00D60A11" w:rsidRPr="00EA05B3">
        <w:rPr>
          <w:lang w:val="fr-FR"/>
        </w:rPr>
        <w:t xml:space="preserve">Organisation internationale du </w:t>
      </w:r>
      <w:r w:rsidR="00BF024B" w:rsidRPr="00EA05B3">
        <w:rPr>
          <w:lang w:val="fr-FR"/>
        </w:rPr>
        <w:t>T</w:t>
      </w:r>
      <w:r w:rsidR="00D60A11" w:rsidRPr="00EA05B3">
        <w:rPr>
          <w:lang w:val="fr-FR"/>
        </w:rPr>
        <w:t xml:space="preserve">ravail (OIT), ainsi que des Conventions de Genève sur le droit international humanitaire. Il est également signataire des conventions de </w:t>
      </w:r>
      <w:r w:rsidR="009379A7" w:rsidRPr="00EA05B3">
        <w:rPr>
          <w:lang w:val="fr-FR"/>
        </w:rPr>
        <w:t>l’</w:t>
      </w:r>
      <w:r w:rsidR="00D60A11" w:rsidRPr="00EA05B3">
        <w:rPr>
          <w:lang w:val="fr-FR"/>
        </w:rPr>
        <w:t xml:space="preserve">Organisation des Nations Unies pour </w:t>
      </w:r>
      <w:r w:rsidR="009379A7" w:rsidRPr="00EA05B3">
        <w:rPr>
          <w:lang w:val="fr-FR"/>
        </w:rPr>
        <w:t>l’</w:t>
      </w:r>
      <w:r w:rsidR="00D60A11" w:rsidRPr="00EA05B3">
        <w:rPr>
          <w:lang w:val="fr-FR"/>
        </w:rPr>
        <w:t xml:space="preserve">éducation, la science et la culture (UNESCO), de </w:t>
      </w:r>
      <w:r w:rsidR="009379A7" w:rsidRPr="00EA05B3">
        <w:rPr>
          <w:lang w:val="fr-FR"/>
        </w:rPr>
        <w:t>l’</w:t>
      </w:r>
      <w:r w:rsidR="00D60A11" w:rsidRPr="00EA05B3">
        <w:rPr>
          <w:lang w:val="fr-FR"/>
        </w:rPr>
        <w:t>Organisation des États américains (OEA), du Marché commun du Sud (MERCOSUR) et de la décision n</w:t>
      </w:r>
      <w:r w:rsidR="00A13901" w:rsidRPr="00EA05B3">
        <w:rPr>
          <w:vertAlign w:val="superscript"/>
          <w:lang w:val="fr-FR"/>
        </w:rPr>
        <w:t>o</w:t>
      </w:r>
      <w:r w:rsidR="00A13901" w:rsidRPr="00EA05B3">
        <w:rPr>
          <w:lang w:val="fr-FR"/>
        </w:rPr>
        <w:t> </w:t>
      </w:r>
      <w:r w:rsidR="00D60A11" w:rsidRPr="00EA05B3">
        <w:rPr>
          <w:lang w:val="fr-FR"/>
        </w:rPr>
        <w:t xml:space="preserve">586 de la Communauté andine. </w:t>
      </w:r>
      <w:r w:rsidR="00EA05B3" w:rsidRPr="00EA05B3">
        <w:rPr>
          <w:lang w:val="fr-FR"/>
        </w:rPr>
        <w:t xml:space="preserve">Il </w:t>
      </w:r>
      <w:r w:rsidR="00D60A11" w:rsidRPr="00EA05B3">
        <w:rPr>
          <w:lang w:val="fr-FR"/>
        </w:rPr>
        <w:t xml:space="preserve">convient de souligner que </w:t>
      </w:r>
      <w:r w:rsidR="009379A7" w:rsidRPr="00EA05B3">
        <w:rPr>
          <w:lang w:val="fr-FR"/>
        </w:rPr>
        <w:t>l’</w:t>
      </w:r>
      <w:r w:rsidR="00D60A11" w:rsidRPr="00EA05B3">
        <w:rPr>
          <w:lang w:val="fr-FR"/>
        </w:rPr>
        <w:t>Équateur a signé quatre instruments</w:t>
      </w:r>
      <w:r w:rsidR="00D60A11" w:rsidRPr="006A764B">
        <w:rPr>
          <w:rStyle w:val="FootnoteReference"/>
          <w:szCs w:val="18"/>
          <w:lang w:val="fr-FR"/>
        </w:rPr>
        <w:footnoteReference w:id="63"/>
      </w:r>
      <w:r w:rsidR="00D60A11" w:rsidRPr="00EA05B3">
        <w:rPr>
          <w:lang w:val="fr-FR"/>
        </w:rPr>
        <w:t xml:space="preserve"> dans le cadre de la Conférence de La Haye de droit international privé. </w:t>
      </w:r>
    </w:p>
    <w:p w:rsidR="00D60A11" w:rsidRPr="00EA05B3" w:rsidRDefault="005059C0" w:rsidP="005059C0">
      <w:pPr>
        <w:pStyle w:val="H1G"/>
        <w:rPr>
          <w:lang w:val="fr-FR"/>
        </w:rPr>
      </w:pPr>
      <w:bookmarkStart w:id="26" w:name="_Toc392676788"/>
      <w:r w:rsidRPr="00EA05B3">
        <w:rPr>
          <w:lang w:val="fr-FR"/>
        </w:rPr>
        <w:tab/>
        <w:t>B</w:t>
      </w:r>
      <w:r w:rsidR="00A13901" w:rsidRPr="00EA05B3">
        <w:rPr>
          <w:lang w:val="fr-FR"/>
        </w:rPr>
        <w:t>.</w:t>
      </w:r>
      <w:r w:rsidR="00A13901" w:rsidRPr="00EA05B3">
        <w:rPr>
          <w:lang w:val="fr-FR"/>
        </w:rPr>
        <w:tab/>
      </w:r>
      <w:r w:rsidRPr="00EA05B3">
        <w:rPr>
          <w:lang w:val="fr-FR"/>
        </w:rPr>
        <w:t xml:space="preserve">Cadre juridique de la protection des droits de </w:t>
      </w:r>
      <w:r w:rsidR="009379A7" w:rsidRPr="00EA05B3">
        <w:rPr>
          <w:lang w:val="fr-FR"/>
        </w:rPr>
        <w:t>l’</w:t>
      </w:r>
      <w:r w:rsidRPr="00EA05B3">
        <w:rPr>
          <w:lang w:val="fr-FR"/>
        </w:rPr>
        <w:t>homme au niveau national</w:t>
      </w:r>
      <w:bookmarkEnd w:id="26"/>
    </w:p>
    <w:p w:rsidR="00D60A11" w:rsidRPr="00EA05B3" w:rsidRDefault="0027238F" w:rsidP="00793C91">
      <w:pPr>
        <w:pStyle w:val="SingleTxtG"/>
        <w:rPr>
          <w:lang w:val="fr-FR"/>
        </w:rPr>
      </w:pPr>
      <w:r w:rsidRPr="00EA05B3">
        <w:rPr>
          <w:lang w:val="fr-FR"/>
        </w:rPr>
        <w:t>234.</w:t>
      </w:r>
      <w:r w:rsidRPr="00EA05B3">
        <w:rPr>
          <w:lang w:val="fr-FR"/>
        </w:rPr>
        <w:tab/>
      </w:r>
      <w:r w:rsidR="00D60A11" w:rsidRPr="00EA05B3">
        <w:rPr>
          <w:lang w:val="fr-FR"/>
        </w:rPr>
        <w:t xml:space="preserve">Comme il a été dit dans la section qui précède, outre les droits énoncés dans la Constitution, </w:t>
      </w:r>
      <w:r w:rsidR="009379A7" w:rsidRPr="00EA05B3">
        <w:rPr>
          <w:lang w:val="fr-FR"/>
        </w:rPr>
        <w:t>l’</w:t>
      </w:r>
      <w:r w:rsidR="00D60A11" w:rsidRPr="00EA05B3">
        <w:rPr>
          <w:lang w:val="fr-FR"/>
        </w:rPr>
        <w:t xml:space="preserve">État équatorien reconnaît les droits consacrés par les instruments internationaux relatifs aux droits de </w:t>
      </w:r>
      <w:r w:rsidR="009379A7" w:rsidRPr="00EA05B3">
        <w:rPr>
          <w:lang w:val="fr-FR"/>
        </w:rPr>
        <w:t>l’</w:t>
      </w:r>
      <w:r w:rsidR="00D60A11" w:rsidRPr="00EA05B3">
        <w:rPr>
          <w:lang w:val="fr-FR"/>
        </w:rPr>
        <w:t xml:space="preserve">homme et en garantit </w:t>
      </w:r>
      <w:r w:rsidR="009379A7" w:rsidRPr="00EA05B3">
        <w:rPr>
          <w:lang w:val="fr-FR"/>
        </w:rPr>
        <w:t>l’</w:t>
      </w:r>
      <w:r w:rsidR="00D60A11" w:rsidRPr="00EA05B3">
        <w:rPr>
          <w:lang w:val="fr-FR"/>
        </w:rPr>
        <w:t xml:space="preserve">application directe par toute autorité ou fonctionnaire, la justiciabilité et </w:t>
      </w:r>
      <w:r w:rsidR="009379A7" w:rsidRPr="00EA05B3">
        <w:rPr>
          <w:lang w:val="fr-FR"/>
        </w:rPr>
        <w:t>l’</w:t>
      </w:r>
      <w:r w:rsidR="00D60A11" w:rsidRPr="00EA05B3">
        <w:rPr>
          <w:lang w:val="fr-FR"/>
        </w:rPr>
        <w:t>exercice sans restriction. Il convient cependant de signaler que le titre II</w:t>
      </w:r>
      <w:r w:rsidR="000D57A5" w:rsidRPr="00EA05B3">
        <w:rPr>
          <w:lang w:val="fr-FR"/>
        </w:rPr>
        <w:t xml:space="preserve"> </w:t>
      </w:r>
      <w:r w:rsidR="00D60A11" w:rsidRPr="00EA05B3">
        <w:rPr>
          <w:lang w:val="fr-FR"/>
        </w:rPr>
        <w:t>(Droits) de la Constitution, contient toute une série de nouveaux droits qui ne se trouvent pas dans les traités internationaux, parmi lesquels</w:t>
      </w:r>
      <w:r w:rsidR="00B36EE6" w:rsidRPr="00EA05B3">
        <w:rPr>
          <w:lang w:val="fr-FR"/>
        </w:rPr>
        <w:t>:</w:t>
      </w:r>
      <w:r w:rsidR="00D60A11" w:rsidRPr="00EA05B3">
        <w:rPr>
          <w:lang w:val="fr-FR"/>
        </w:rPr>
        <w:t xml:space="preserve"> le droit à </w:t>
      </w:r>
      <w:r w:rsidR="009379A7" w:rsidRPr="00EA05B3">
        <w:rPr>
          <w:lang w:val="fr-FR"/>
        </w:rPr>
        <w:t>l’</w:t>
      </w:r>
      <w:r w:rsidR="00D60A11" w:rsidRPr="00EA05B3">
        <w:rPr>
          <w:lang w:val="fr-FR"/>
        </w:rPr>
        <w:t>eau</w:t>
      </w:r>
      <w:r w:rsidR="00B36EE6" w:rsidRPr="00EA05B3">
        <w:rPr>
          <w:lang w:val="fr-FR"/>
        </w:rPr>
        <w:t>;</w:t>
      </w:r>
      <w:r w:rsidR="00D60A11" w:rsidRPr="00EA05B3">
        <w:rPr>
          <w:lang w:val="fr-FR"/>
        </w:rPr>
        <w:t xml:space="preserve"> le droit à un accès sûr et permanent à des aliments sains, suffisants et nourrissants, produits de préférence dans le pays et correspondant aux diverses identités et traditions culturelles des personnes</w:t>
      </w:r>
      <w:r w:rsidR="00B36EE6" w:rsidRPr="00EA05B3">
        <w:rPr>
          <w:lang w:val="fr-FR"/>
        </w:rPr>
        <w:t>;</w:t>
      </w:r>
      <w:r w:rsidR="00D60A11" w:rsidRPr="00EA05B3">
        <w:rPr>
          <w:lang w:val="fr-FR"/>
        </w:rPr>
        <w:t xml:space="preserve"> c) le droit de vivre dans un environnement sain et écologiquement équilibré, garantissant la durabilité et le bien-vivre ou </w:t>
      </w:r>
      <w:r w:rsidR="00D60A11" w:rsidRPr="00EA05B3">
        <w:rPr>
          <w:i/>
          <w:iCs/>
          <w:lang w:val="fr-FR"/>
        </w:rPr>
        <w:t>sumak kawsay</w:t>
      </w:r>
      <w:r w:rsidR="00B36EE6" w:rsidRPr="00EA05B3">
        <w:rPr>
          <w:lang w:val="fr-FR"/>
        </w:rPr>
        <w:t>;</w:t>
      </w:r>
      <w:r w:rsidR="00D60A11" w:rsidRPr="00EA05B3">
        <w:rPr>
          <w:lang w:val="fr-FR"/>
        </w:rPr>
        <w:t xml:space="preserve"> d) le droit à une communication libre, interculturelle, inclusive, diverse et participative dans tous les domaines de </w:t>
      </w:r>
      <w:r w:rsidR="009379A7" w:rsidRPr="00EA05B3">
        <w:rPr>
          <w:lang w:val="fr-FR"/>
        </w:rPr>
        <w:t>l’</w:t>
      </w:r>
      <w:r w:rsidR="00D60A11" w:rsidRPr="00EA05B3">
        <w:rPr>
          <w:lang w:val="fr-FR"/>
        </w:rPr>
        <w:t>interaction sociale, par tous les moyens et sous toutes les formes, dans leur propre langue et avec leurs propres symboles</w:t>
      </w:r>
      <w:r w:rsidR="00B36EE6" w:rsidRPr="00EA05B3">
        <w:rPr>
          <w:lang w:val="fr-FR"/>
        </w:rPr>
        <w:t>;</w:t>
      </w:r>
      <w:r w:rsidR="00D60A11" w:rsidRPr="00EA05B3">
        <w:rPr>
          <w:lang w:val="fr-FR"/>
        </w:rPr>
        <w:t xml:space="preserve"> le droit à une éducation centrée sur </w:t>
      </w:r>
      <w:r w:rsidR="009379A7" w:rsidRPr="00EA05B3">
        <w:rPr>
          <w:lang w:val="fr-FR"/>
        </w:rPr>
        <w:t>l’</w:t>
      </w:r>
      <w:r w:rsidR="00D60A11" w:rsidRPr="00EA05B3">
        <w:rPr>
          <w:lang w:val="fr-FR"/>
        </w:rPr>
        <w:t xml:space="preserve">être humain, garantissant son épanouissement complet, dans le cadre du respect des droits de </w:t>
      </w:r>
      <w:r w:rsidR="009379A7" w:rsidRPr="00EA05B3">
        <w:rPr>
          <w:lang w:val="fr-FR"/>
        </w:rPr>
        <w:t>l’</w:t>
      </w:r>
      <w:r w:rsidR="00D60A11" w:rsidRPr="00EA05B3">
        <w:rPr>
          <w:lang w:val="fr-FR"/>
        </w:rPr>
        <w:t xml:space="preserve">homme, de </w:t>
      </w:r>
      <w:r w:rsidR="009379A7" w:rsidRPr="00EA05B3">
        <w:rPr>
          <w:lang w:val="fr-FR"/>
        </w:rPr>
        <w:t>l’</w:t>
      </w:r>
      <w:r w:rsidR="00D60A11" w:rsidRPr="00EA05B3">
        <w:rPr>
          <w:lang w:val="fr-FR"/>
        </w:rPr>
        <w:t>environnement durable et de la démocratie</w:t>
      </w:r>
      <w:r w:rsidR="00B36EE6" w:rsidRPr="00EA05B3">
        <w:rPr>
          <w:lang w:val="fr-FR"/>
        </w:rPr>
        <w:t>;</w:t>
      </w:r>
      <w:r w:rsidR="00D60A11" w:rsidRPr="00EA05B3">
        <w:rPr>
          <w:lang w:val="fr-FR"/>
        </w:rPr>
        <w:t xml:space="preserve"> le droit à la culture et à la science</w:t>
      </w:r>
      <w:r w:rsidR="00B36EE6" w:rsidRPr="00EA05B3">
        <w:rPr>
          <w:lang w:val="fr-FR"/>
        </w:rPr>
        <w:t>;</w:t>
      </w:r>
      <w:r w:rsidR="00D60A11" w:rsidRPr="00EA05B3">
        <w:rPr>
          <w:lang w:val="fr-FR"/>
        </w:rPr>
        <w:t xml:space="preserve"> le droit à </w:t>
      </w:r>
      <w:r w:rsidR="009379A7" w:rsidRPr="00EA05B3">
        <w:rPr>
          <w:lang w:val="fr-FR"/>
        </w:rPr>
        <w:t>l’</w:t>
      </w:r>
      <w:r w:rsidR="00D60A11" w:rsidRPr="00EA05B3">
        <w:rPr>
          <w:lang w:val="fr-FR"/>
        </w:rPr>
        <w:t>habitat et au logement, à la santé et à la sécurité sociale.</w:t>
      </w:r>
    </w:p>
    <w:p w:rsidR="00D60A11" w:rsidRPr="00EA05B3" w:rsidRDefault="0027238F" w:rsidP="00793C91">
      <w:pPr>
        <w:pStyle w:val="SingleTxtG"/>
        <w:rPr>
          <w:lang w:val="fr-FR"/>
        </w:rPr>
      </w:pPr>
      <w:r w:rsidRPr="00EA05B3">
        <w:rPr>
          <w:lang w:val="fr-FR"/>
        </w:rPr>
        <w:t>235.</w:t>
      </w:r>
      <w:r w:rsidRPr="00EA05B3">
        <w:rPr>
          <w:lang w:val="fr-FR"/>
        </w:rPr>
        <w:tab/>
      </w:r>
      <w:r w:rsidR="00D60A11" w:rsidRPr="00EA05B3">
        <w:rPr>
          <w:lang w:val="fr-FR"/>
        </w:rPr>
        <w:t>Il faut ajouter à cela la reconnaissance de droits spécifiques et spéciaux en faveur de groupes considérés comme prioritaires, tels que les personnes âgées, les jeunes, les personnes ou les groupes en situation de mobilité, les femmes enceintes, les enfants et les adolescents, les personnes handicapées, les malades à pathologie lourde, les personnes privées de liberté, les toxicomanes, et les communautés, peuples et nationalités.</w:t>
      </w:r>
    </w:p>
    <w:p w:rsidR="00D60A11" w:rsidRPr="00EA05B3" w:rsidRDefault="0027238F" w:rsidP="00793C91">
      <w:pPr>
        <w:pStyle w:val="SingleTxtG"/>
        <w:rPr>
          <w:lang w:val="fr-FR"/>
        </w:rPr>
      </w:pPr>
      <w:r w:rsidRPr="00EA05B3">
        <w:rPr>
          <w:lang w:val="fr-FR"/>
        </w:rPr>
        <w:t>236.</w:t>
      </w:r>
      <w:r w:rsidRPr="00EA05B3">
        <w:rPr>
          <w:lang w:val="fr-FR"/>
        </w:rPr>
        <w:tab/>
      </w:r>
      <w:r w:rsidR="00D60A11" w:rsidRPr="00EA05B3">
        <w:rPr>
          <w:lang w:val="fr-FR"/>
        </w:rPr>
        <w:t xml:space="preserve">Comme on </w:t>
      </w:r>
      <w:r w:rsidR="009379A7" w:rsidRPr="00EA05B3">
        <w:rPr>
          <w:lang w:val="fr-FR"/>
        </w:rPr>
        <w:t>l’</w:t>
      </w:r>
      <w:r w:rsidR="00D60A11" w:rsidRPr="00EA05B3">
        <w:rPr>
          <w:lang w:val="fr-FR"/>
        </w:rPr>
        <w:t xml:space="preserve">a vu, les autorités publiques et les agents de la fonction publique ont le devoir de garantir ces droits, ainsi que les autres droits de </w:t>
      </w:r>
      <w:r w:rsidR="009379A7" w:rsidRPr="00EA05B3">
        <w:rPr>
          <w:lang w:val="fr-FR"/>
        </w:rPr>
        <w:t>l’</w:t>
      </w:r>
      <w:r w:rsidR="00D60A11" w:rsidRPr="00EA05B3">
        <w:rPr>
          <w:lang w:val="fr-FR"/>
        </w:rPr>
        <w:t xml:space="preserve">homme, aux citoyens. Cela dit, la Constitution confère des attributions précises aux organes de </w:t>
      </w:r>
      <w:r w:rsidR="009379A7" w:rsidRPr="00EA05B3">
        <w:rPr>
          <w:lang w:val="fr-FR"/>
        </w:rPr>
        <w:t>l’</w:t>
      </w:r>
      <w:r w:rsidR="00D60A11" w:rsidRPr="00EA05B3">
        <w:rPr>
          <w:lang w:val="fr-FR"/>
        </w:rPr>
        <w:t xml:space="preserve">État en ce qui concerne les droits. Ainsi, les articles 120.6 et 133.2 prévoient que </w:t>
      </w:r>
      <w:r w:rsidR="009379A7" w:rsidRPr="00EA05B3">
        <w:rPr>
          <w:lang w:val="fr-FR"/>
        </w:rPr>
        <w:t>l’</w:t>
      </w:r>
      <w:r w:rsidR="00D60A11" w:rsidRPr="00EA05B3">
        <w:rPr>
          <w:lang w:val="fr-FR"/>
        </w:rPr>
        <w:t xml:space="preserve">Assemblée nationale développe progressivement le contenu de ces droits par </w:t>
      </w:r>
      <w:r w:rsidR="009379A7" w:rsidRPr="00EA05B3">
        <w:rPr>
          <w:lang w:val="fr-FR"/>
        </w:rPr>
        <w:t>l’</w:t>
      </w:r>
      <w:r w:rsidR="00D60A11" w:rsidRPr="00EA05B3">
        <w:rPr>
          <w:lang w:val="fr-FR"/>
        </w:rPr>
        <w:t xml:space="preserve">adoption, la codification et la modification des lois organiques et des lois ordinaires ou </w:t>
      </w:r>
      <w:r w:rsidR="009379A7" w:rsidRPr="00EA05B3">
        <w:rPr>
          <w:lang w:val="fr-FR"/>
        </w:rPr>
        <w:t>l’</w:t>
      </w:r>
      <w:r w:rsidR="00D60A11" w:rsidRPr="00EA05B3">
        <w:rPr>
          <w:lang w:val="fr-FR"/>
        </w:rPr>
        <w:t xml:space="preserve">abrogation des lois allant à </w:t>
      </w:r>
      <w:r w:rsidR="009379A7" w:rsidRPr="00EA05B3">
        <w:rPr>
          <w:lang w:val="fr-FR"/>
        </w:rPr>
        <w:t>l’</w:t>
      </w:r>
      <w:r w:rsidR="00D60A11" w:rsidRPr="00EA05B3">
        <w:rPr>
          <w:lang w:val="fr-FR"/>
        </w:rPr>
        <w:t>encontre de leur exercice effectif</w:t>
      </w:r>
      <w:r w:rsidR="00B36EE6" w:rsidRPr="00EA05B3">
        <w:rPr>
          <w:lang w:val="fr-FR"/>
        </w:rPr>
        <w:t>;</w:t>
      </w:r>
      <w:r w:rsidR="00D60A11" w:rsidRPr="00EA05B3">
        <w:rPr>
          <w:lang w:val="fr-FR"/>
        </w:rPr>
        <w:t xml:space="preserve"> </w:t>
      </w:r>
      <w:r w:rsidR="009379A7" w:rsidRPr="00EA05B3">
        <w:rPr>
          <w:lang w:val="fr-FR"/>
        </w:rPr>
        <w:t>l’</w:t>
      </w:r>
      <w:r w:rsidR="00D60A11" w:rsidRPr="00EA05B3">
        <w:rPr>
          <w:lang w:val="fr-FR"/>
        </w:rPr>
        <w:t xml:space="preserve">article 147, paragraphes 1 et 3, dispose que le Président de la République a le devoir de respecter et de faire respecter la Constitution, les traités internationaux, les lois et autres règles juridiques de sa compétence, et </w:t>
      </w:r>
      <w:r w:rsidR="009379A7" w:rsidRPr="00EA05B3">
        <w:rPr>
          <w:lang w:val="fr-FR"/>
        </w:rPr>
        <w:t>qu’</w:t>
      </w:r>
      <w:r w:rsidR="00D60A11" w:rsidRPr="00EA05B3">
        <w:rPr>
          <w:lang w:val="fr-FR"/>
        </w:rPr>
        <w:t xml:space="preserve">il lui appartient, en conséquence, de définir et </w:t>
      </w:r>
      <w:r w:rsidR="009379A7" w:rsidRPr="00EA05B3">
        <w:rPr>
          <w:lang w:val="fr-FR"/>
        </w:rPr>
        <w:t>d’</w:t>
      </w:r>
      <w:r w:rsidR="00D60A11" w:rsidRPr="00EA05B3">
        <w:rPr>
          <w:lang w:val="fr-FR"/>
        </w:rPr>
        <w:t xml:space="preserve">orienter les politiques publiques destinées à rendre effectifs les droits énoncés. Par ailleurs, </w:t>
      </w:r>
      <w:r w:rsidR="009379A7" w:rsidRPr="00EA05B3">
        <w:rPr>
          <w:lang w:val="fr-FR"/>
        </w:rPr>
        <w:t>l’</w:t>
      </w:r>
      <w:r w:rsidR="00D60A11" w:rsidRPr="00EA05B3">
        <w:rPr>
          <w:lang w:val="fr-FR"/>
        </w:rPr>
        <w:t xml:space="preserve">article 172 dispose que les juges administrent la justice dans le respect de la Constitution, des instruments internationaux relatifs aux droits de </w:t>
      </w:r>
      <w:r w:rsidR="009379A7" w:rsidRPr="00EA05B3">
        <w:rPr>
          <w:lang w:val="fr-FR"/>
        </w:rPr>
        <w:t>l’</w:t>
      </w:r>
      <w:r w:rsidR="00D60A11" w:rsidRPr="00EA05B3">
        <w:rPr>
          <w:lang w:val="fr-FR"/>
        </w:rPr>
        <w:t>homme et de la loi</w:t>
      </w:r>
      <w:r w:rsidR="00B36EE6" w:rsidRPr="00EA05B3">
        <w:rPr>
          <w:lang w:val="fr-FR"/>
        </w:rPr>
        <w:t>;</w:t>
      </w:r>
      <w:r w:rsidR="00D60A11" w:rsidRPr="00EA05B3">
        <w:rPr>
          <w:lang w:val="fr-FR"/>
        </w:rPr>
        <w:t xml:space="preserve"> de plus, dans les diverses dispositions relatives aux principes qui régissent </w:t>
      </w:r>
      <w:r w:rsidR="009379A7" w:rsidRPr="00EA05B3">
        <w:rPr>
          <w:lang w:val="fr-FR"/>
        </w:rPr>
        <w:t>l’</w:t>
      </w:r>
      <w:r w:rsidR="00D60A11" w:rsidRPr="00EA05B3">
        <w:rPr>
          <w:lang w:val="fr-FR"/>
        </w:rPr>
        <w:t xml:space="preserve">administration de la justice et la fonction judiciaire dont il a déjà été question, il est fait référence au droit </w:t>
      </w:r>
      <w:r w:rsidR="009379A7" w:rsidRPr="00EA05B3">
        <w:rPr>
          <w:lang w:val="fr-FR"/>
        </w:rPr>
        <w:t>d’</w:t>
      </w:r>
      <w:r w:rsidR="00D60A11" w:rsidRPr="00EA05B3">
        <w:rPr>
          <w:lang w:val="fr-FR"/>
        </w:rPr>
        <w:t xml:space="preserve">accès à la justice et au droit à une protection. </w:t>
      </w:r>
    </w:p>
    <w:p w:rsidR="00D60A11" w:rsidRPr="00EA05B3" w:rsidRDefault="0027238F" w:rsidP="00793C91">
      <w:pPr>
        <w:pStyle w:val="SingleTxtG"/>
        <w:rPr>
          <w:lang w:val="fr-FR"/>
        </w:rPr>
      </w:pPr>
      <w:r w:rsidRPr="00EA05B3">
        <w:rPr>
          <w:lang w:val="fr-FR"/>
        </w:rPr>
        <w:t>237.</w:t>
      </w:r>
      <w:r w:rsidRPr="00EA05B3">
        <w:rPr>
          <w:lang w:val="fr-FR"/>
        </w:rPr>
        <w:tab/>
      </w:r>
      <w:r w:rsidR="009379A7" w:rsidRPr="00EA05B3">
        <w:rPr>
          <w:lang w:val="fr-FR"/>
        </w:rPr>
        <w:t>L’</w:t>
      </w:r>
      <w:r w:rsidR="00D60A11" w:rsidRPr="00EA05B3">
        <w:rPr>
          <w:lang w:val="fr-FR"/>
        </w:rPr>
        <w:t xml:space="preserve">article 204 prévoit par ailleurs que la fonction de transparence et de contrôle social est chargée de promouvoir et </w:t>
      </w:r>
      <w:r w:rsidR="009379A7" w:rsidRPr="00EA05B3">
        <w:rPr>
          <w:lang w:val="fr-FR"/>
        </w:rPr>
        <w:t>d’</w:t>
      </w:r>
      <w:r w:rsidR="00D60A11" w:rsidRPr="00EA05B3">
        <w:rPr>
          <w:lang w:val="fr-FR"/>
        </w:rPr>
        <w:t xml:space="preserve">encourager la participation des citoyens et de protéger </w:t>
      </w:r>
      <w:r w:rsidR="009379A7" w:rsidRPr="00EA05B3">
        <w:rPr>
          <w:lang w:val="fr-FR"/>
        </w:rPr>
        <w:t>l’</w:t>
      </w:r>
      <w:r w:rsidR="00D60A11" w:rsidRPr="00EA05B3">
        <w:rPr>
          <w:lang w:val="fr-FR"/>
        </w:rPr>
        <w:t xml:space="preserve">exercice et la réalisation des droits. Il en va de même pour la fonction électorale qui, comme le prévoit </w:t>
      </w:r>
      <w:r w:rsidR="009379A7" w:rsidRPr="00EA05B3">
        <w:rPr>
          <w:lang w:val="fr-FR"/>
        </w:rPr>
        <w:t>l’</w:t>
      </w:r>
      <w:r w:rsidR="00D60A11" w:rsidRPr="00EA05B3">
        <w:rPr>
          <w:lang w:val="fr-FR"/>
        </w:rPr>
        <w:t xml:space="preserve">article 217, garantit </w:t>
      </w:r>
      <w:r w:rsidR="009379A7" w:rsidRPr="00EA05B3">
        <w:rPr>
          <w:lang w:val="fr-FR"/>
        </w:rPr>
        <w:t>l’</w:t>
      </w:r>
      <w:r w:rsidR="00D60A11" w:rsidRPr="00EA05B3">
        <w:rPr>
          <w:lang w:val="fr-FR"/>
        </w:rPr>
        <w:t xml:space="preserve">exercice des droits politiques par la voie du suffrage, ainsi que les droits qui touchent à </w:t>
      </w:r>
      <w:r w:rsidR="009379A7" w:rsidRPr="00EA05B3">
        <w:rPr>
          <w:lang w:val="fr-FR"/>
        </w:rPr>
        <w:t>l’</w:t>
      </w:r>
      <w:r w:rsidR="00D60A11" w:rsidRPr="00EA05B3">
        <w:rPr>
          <w:lang w:val="fr-FR"/>
        </w:rPr>
        <w:t xml:space="preserve">organisation politique des citoyens. Mais </w:t>
      </w:r>
      <w:r w:rsidR="009379A7" w:rsidRPr="00EA05B3">
        <w:rPr>
          <w:lang w:val="fr-FR"/>
        </w:rPr>
        <w:t>l’</w:t>
      </w:r>
      <w:r w:rsidR="00D60A11" w:rsidRPr="00EA05B3">
        <w:rPr>
          <w:lang w:val="fr-FR"/>
        </w:rPr>
        <w:t xml:space="preserve">institution la plus importante, qui a la responsabilité directe de connaître, </w:t>
      </w:r>
      <w:r w:rsidR="009379A7" w:rsidRPr="00EA05B3">
        <w:rPr>
          <w:lang w:val="fr-FR"/>
        </w:rPr>
        <w:t>d’</w:t>
      </w:r>
      <w:r w:rsidR="00D60A11" w:rsidRPr="00EA05B3">
        <w:rPr>
          <w:lang w:val="fr-FR"/>
        </w:rPr>
        <w:t xml:space="preserve">interpréter et de protéger les droits de </w:t>
      </w:r>
      <w:r w:rsidR="009379A7" w:rsidRPr="00EA05B3">
        <w:rPr>
          <w:lang w:val="fr-FR"/>
        </w:rPr>
        <w:t>l’</w:t>
      </w:r>
      <w:r w:rsidR="00D60A11" w:rsidRPr="00EA05B3">
        <w:rPr>
          <w:lang w:val="fr-FR"/>
        </w:rPr>
        <w:t xml:space="preserve">homme consacrés par la Constitution et les instruments internationaux est sans doute la Cour constitutionnelle, dont le mandat est défini au chapitre 2 du titre IX (Suprématie de la Constitution). </w:t>
      </w:r>
      <w:r w:rsidR="009379A7" w:rsidRPr="00EA05B3">
        <w:rPr>
          <w:lang w:val="fr-FR"/>
        </w:rPr>
        <w:t>L’</w:t>
      </w:r>
      <w:r w:rsidR="00D60A11" w:rsidRPr="00EA05B3">
        <w:rPr>
          <w:lang w:val="fr-FR"/>
        </w:rPr>
        <w:t xml:space="preserve">article 429 dispose en effet que la Cour est </w:t>
      </w:r>
      <w:r w:rsidR="009379A7" w:rsidRPr="00EA05B3">
        <w:rPr>
          <w:lang w:val="fr-FR"/>
        </w:rPr>
        <w:t>l’</w:t>
      </w:r>
      <w:r w:rsidR="00D60A11" w:rsidRPr="00EA05B3">
        <w:rPr>
          <w:lang w:val="fr-FR"/>
        </w:rPr>
        <w:t xml:space="preserve">organe suprême chargé du contrôle, de </w:t>
      </w:r>
      <w:r w:rsidR="009379A7" w:rsidRPr="00EA05B3">
        <w:rPr>
          <w:lang w:val="fr-FR"/>
        </w:rPr>
        <w:t>l’</w:t>
      </w:r>
      <w:r w:rsidR="00D60A11" w:rsidRPr="00EA05B3">
        <w:rPr>
          <w:lang w:val="fr-FR"/>
        </w:rPr>
        <w:t xml:space="preserve">interprétation de la Constitution et de </w:t>
      </w:r>
      <w:r w:rsidR="009379A7" w:rsidRPr="00EA05B3">
        <w:rPr>
          <w:lang w:val="fr-FR"/>
        </w:rPr>
        <w:t>l’</w:t>
      </w:r>
      <w:r w:rsidR="00D60A11" w:rsidRPr="00EA05B3">
        <w:rPr>
          <w:lang w:val="fr-FR"/>
        </w:rPr>
        <w:t xml:space="preserve">administration de la justice dans ce domaine. </w:t>
      </w:r>
      <w:r w:rsidR="009379A7" w:rsidRPr="00EA05B3">
        <w:rPr>
          <w:lang w:val="fr-FR"/>
        </w:rPr>
        <w:t>L’</w:t>
      </w:r>
      <w:r w:rsidR="00D60A11" w:rsidRPr="00EA05B3">
        <w:rPr>
          <w:lang w:val="fr-FR"/>
        </w:rPr>
        <w:t>article 436 dispose que la Cour constitutionnelle a notamment les attributions suivantes</w:t>
      </w:r>
      <w:r w:rsidR="00B36EE6" w:rsidRPr="00EA05B3">
        <w:rPr>
          <w:lang w:val="fr-FR"/>
        </w:rPr>
        <w:t>:</w:t>
      </w:r>
      <w:r w:rsidR="00D60A11" w:rsidRPr="00EA05B3">
        <w:rPr>
          <w:lang w:val="fr-FR"/>
        </w:rPr>
        <w:t xml:space="preserve"> </w:t>
      </w:r>
    </w:p>
    <w:p w:rsidR="00D60A11" w:rsidRPr="00EA05B3" w:rsidRDefault="00563B9D" w:rsidP="00663271">
      <w:pPr>
        <w:pStyle w:val="SingleTxtG"/>
        <w:ind w:firstLine="567"/>
        <w:rPr>
          <w:lang w:val="fr-FR"/>
        </w:rPr>
      </w:pPr>
      <w:r w:rsidRPr="00EA05B3">
        <w:rPr>
          <w:lang w:val="fr-FR"/>
        </w:rPr>
        <w:t>a</w:t>
      </w:r>
      <w:r w:rsidR="001B13AB" w:rsidRPr="00EA05B3">
        <w:rPr>
          <w:lang w:val="fr-FR"/>
        </w:rPr>
        <w:t>)</w:t>
      </w:r>
      <w:r w:rsidR="001B13AB" w:rsidRPr="00EA05B3">
        <w:rPr>
          <w:lang w:val="fr-FR"/>
        </w:rPr>
        <w:tab/>
      </w:r>
      <w:r w:rsidRPr="00EA05B3">
        <w:rPr>
          <w:lang w:val="fr-FR"/>
        </w:rPr>
        <w:t xml:space="preserve">Être </w:t>
      </w:r>
      <w:r w:rsidR="009379A7" w:rsidRPr="00EA05B3">
        <w:rPr>
          <w:lang w:val="fr-FR"/>
        </w:rPr>
        <w:t>l’</w:t>
      </w:r>
      <w:r w:rsidRPr="00EA05B3">
        <w:rPr>
          <w:lang w:val="fr-FR"/>
        </w:rPr>
        <w:t xml:space="preserve">instance suprême chargée </w:t>
      </w:r>
      <w:r w:rsidR="009379A7" w:rsidRPr="00EA05B3">
        <w:rPr>
          <w:lang w:val="fr-FR"/>
        </w:rPr>
        <w:t>d’</w:t>
      </w:r>
      <w:r w:rsidRPr="00EA05B3">
        <w:rPr>
          <w:lang w:val="fr-FR"/>
        </w:rPr>
        <w:t xml:space="preserve">interpréter, dans ses avis et ses arrêts, la Constitution et les traités internationaux relatifs aux droits de </w:t>
      </w:r>
      <w:r w:rsidR="009379A7" w:rsidRPr="00EA05B3">
        <w:rPr>
          <w:lang w:val="fr-FR"/>
        </w:rPr>
        <w:t>l’</w:t>
      </w:r>
      <w:r w:rsidRPr="00EA05B3">
        <w:rPr>
          <w:lang w:val="fr-FR"/>
        </w:rPr>
        <w:t xml:space="preserve">homme ratifiés par </w:t>
      </w:r>
      <w:r w:rsidR="009379A7" w:rsidRPr="00EA05B3">
        <w:rPr>
          <w:lang w:val="fr-FR"/>
        </w:rPr>
        <w:t>l’</w:t>
      </w:r>
      <w:r w:rsidRPr="00EA05B3">
        <w:rPr>
          <w:lang w:val="fr-FR"/>
        </w:rPr>
        <w:t>État</w:t>
      </w:r>
      <w:r w:rsidR="00B36EE6" w:rsidRPr="00EA05B3">
        <w:rPr>
          <w:lang w:val="fr-FR"/>
        </w:rPr>
        <w:t>;</w:t>
      </w:r>
      <w:r w:rsidRPr="00EA05B3">
        <w:rPr>
          <w:lang w:val="fr-FR"/>
        </w:rPr>
        <w:t xml:space="preserve"> </w:t>
      </w:r>
    </w:p>
    <w:p w:rsidR="00D60A11" w:rsidRPr="00EA05B3" w:rsidRDefault="00563B9D" w:rsidP="00663271">
      <w:pPr>
        <w:pStyle w:val="SingleTxtG"/>
        <w:ind w:firstLine="567"/>
        <w:rPr>
          <w:lang w:val="fr-FR"/>
        </w:rPr>
      </w:pPr>
      <w:r w:rsidRPr="00EA05B3">
        <w:rPr>
          <w:lang w:val="fr-FR"/>
        </w:rPr>
        <w:t>b</w:t>
      </w:r>
      <w:r w:rsidR="001B13AB" w:rsidRPr="00EA05B3">
        <w:rPr>
          <w:lang w:val="fr-FR"/>
        </w:rPr>
        <w:t>)</w:t>
      </w:r>
      <w:r w:rsidR="001B13AB" w:rsidRPr="00EA05B3">
        <w:rPr>
          <w:lang w:val="fr-FR"/>
        </w:rPr>
        <w:tab/>
      </w:r>
      <w:r w:rsidRPr="00EA05B3">
        <w:rPr>
          <w:lang w:val="fr-FR"/>
        </w:rPr>
        <w:t xml:space="preserve">Connaître des recours en inconstitutionnalité contre des actes normatifs émanant </w:t>
      </w:r>
      <w:r w:rsidR="009379A7" w:rsidRPr="00EA05B3">
        <w:rPr>
          <w:lang w:val="fr-FR"/>
        </w:rPr>
        <w:t>d’</w:t>
      </w:r>
      <w:r w:rsidRPr="00EA05B3">
        <w:rPr>
          <w:lang w:val="fr-FR"/>
        </w:rPr>
        <w:t xml:space="preserve">organes et </w:t>
      </w:r>
      <w:r w:rsidR="009379A7" w:rsidRPr="00EA05B3">
        <w:rPr>
          <w:lang w:val="fr-FR"/>
        </w:rPr>
        <w:t>d’</w:t>
      </w:r>
      <w:r w:rsidRPr="00EA05B3">
        <w:rPr>
          <w:lang w:val="fr-FR"/>
        </w:rPr>
        <w:t xml:space="preserve">autorités de </w:t>
      </w:r>
      <w:r w:rsidR="009379A7" w:rsidRPr="00EA05B3">
        <w:rPr>
          <w:lang w:val="fr-FR"/>
        </w:rPr>
        <w:t>l’</w:t>
      </w:r>
      <w:r w:rsidRPr="00EA05B3">
        <w:rPr>
          <w:lang w:val="fr-FR"/>
        </w:rPr>
        <w:t xml:space="preserve">État et statuer à leur sujet, actes normatifs </w:t>
      </w:r>
      <w:r w:rsidR="009379A7" w:rsidRPr="00EA05B3">
        <w:rPr>
          <w:lang w:val="fr-FR"/>
        </w:rPr>
        <w:t>qu’</w:t>
      </w:r>
      <w:r w:rsidRPr="00EA05B3">
        <w:rPr>
          <w:lang w:val="fr-FR"/>
        </w:rPr>
        <w:t>elle peut déclarer le cas échéant nuls et inconstitutionnels</w:t>
      </w:r>
      <w:r w:rsidR="00B36EE6" w:rsidRPr="00EA05B3">
        <w:rPr>
          <w:lang w:val="fr-FR"/>
        </w:rPr>
        <w:t>;</w:t>
      </w:r>
      <w:r w:rsidRPr="00EA05B3">
        <w:rPr>
          <w:lang w:val="fr-FR"/>
        </w:rPr>
        <w:t xml:space="preserve"> </w:t>
      </w:r>
    </w:p>
    <w:p w:rsidR="00D60A11" w:rsidRPr="00EA05B3" w:rsidRDefault="00563B9D" w:rsidP="00663271">
      <w:pPr>
        <w:pStyle w:val="SingleTxtG"/>
        <w:ind w:firstLine="567"/>
        <w:rPr>
          <w:lang w:val="fr-FR"/>
        </w:rPr>
      </w:pPr>
      <w:r w:rsidRPr="00EA05B3">
        <w:rPr>
          <w:lang w:val="fr-FR"/>
        </w:rPr>
        <w:t>c</w:t>
      </w:r>
      <w:r w:rsidR="001B13AB" w:rsidRPr="00EA05B3">
        <w:rPr>
          <w:lang w:val="fr-FR"/>
        </w:rPr>
        <w:t>)</w:t>
      </w:r>
      <w:r w:rsidR="001B13AB" w:rsidRPr="00EA05B3">
        <w:rPr>
          <w:lang w:val="fr-FR"/>
        </w:rPr>
        <w:tab/>
      </w:r>
      <w:r w:rsidRPr="00EA05B3">
        <w:rPr>
          <w:lang w:val="fr-FR"/>
        </w:rPr>
        <w:t xml:space="preserve">Déclarer </w:t>
      </w:r>
      <w:r w:rsidR="009379A7" w:rsidRPr="00EA05B3">
        <w:rPr>
          <w:lang w:val="fr-FR"/>
        </w:rPr>
        <w:t>d’</w:t>
      </w:r>
      <w:r w:rsidRPr="00EA05B3">
        <w:rPr>
          <w:lang w:val="fr-FR"/>
        </w:rPr>
        <w:t xml:space="preserve">office, dans les affaires qui lui sont soumises, </w:t>
      </w:r>
      <w:r w:rsidR="009379A7" w:rsidRPr="00EA05B3">
        <w:rPr>
          <w:lang w:val="fr-FR"/>
        </w:rPr>
        <w:t>l’</w:t>
      </w:r>
      <w:r w:rsidRPr="00EA05B3">
        <w:rPr>
          <w:lang w:val="fr-FR"/>
        </w:rPr>
        <w:t xml:space="preserve">inconstitutionnalité </w:t>
      </w:r>
      <w:r w:rsidR="009379A7" w:rsidRPr="00EA05B3">
        <w:rPr>
          <w:lang w:val="fr-FR"/>
        </w:rPr>
        <w:t>d’</w:t>
      </w:r>
      <w:r w:rsidRPr="00EA05B3">
        <w:rPr>
          <w:lang w:val="fr-FR"/>
        </w:rPr>
        <w:t>une règle de droit quand il apparaît que la règle en question est contraire à la Constitution</w:t>
      </w:r>
      <w:r w:rsidR="00B36EE6" w:rsidRPr="00EA05B3">
        <w:rPr>
          <w:lang w:val="fr-FR"/>
        </w:rPr>
        <w:t>;</w:t>
      </w:r>
      <w:r w:rsidRPr="00EA05B3">
        <w:rPr>
          <w:lang w:val="fr-FR"/>
        </w:rPr>
        <w:t xml:space="preserve"> </w:t>
      </w:r>
    </w:p>
    <w:p w:rsidR="00D60A11" w:rsidRPr="00EA05B3" w:rsidRDefault="00563B9D" w:rsidP="00663271">
      <w:pPr>
        <w:pStyle w:val="SingleTxtG"/>
        <w:ind w:firstLine="567"/>
        <w:rPr>
          <w:lang w:val="fr-FR"/>
        </w:rPr>
      </w:pPr>
      <w:r w:rsidRPr="00EA05B3">
        <w:rPr>
          <w:lang w:val="fr-FR"/>
        </w:rPr>
        <w:t>d</w:t>
      </w:r>
      <w:r w:rsidR="001B13AB" w:rsidRPr="00EA05B3">
        <w:rPr>
          <w:lang w:val="fr-FR"/>
        </w:rPr>
        <w:t>)</w:t>
      </w:r>
      <w:r w:rsidR="001B13AB" w:rsidRPr="00EA05B3">
        <w:rPr>
          <w:lang w:val="fr-FR"/>
        </w:rPr>
        <w:tab/>
      </w:r>
      <w:r w:rsidRPr="00EA05B3">
        <w:rPr>
          <w:lang w:val="fr-FR"/>
        </w:rPr>
        <w:t xml:space="preserve">Connaître de </w:t>
      </w:r>
      <w:r w:rsidR="009379A7" w:rsidRPr="00EA05B3">
        <w:rPr>
          <w:lang w:val="fr-FR"/>
        </w:rPr>
        <w:t>l’</w:t>
      </w:r>
      <w:r w:rsidRPr="00EA05B3">
        <w:rPr>
          <w:lang w:val="fr-FR"/>
        </w:rPr>
        <w:t xml:space="preserve">inconstitutionnalité </w:t>
      </w:r>
      <w:r w:rsidR="009379A7" w:rsidRPr="00EA05B3">
        <w:rPr>
          <w:lang w:val="fr-FR"/>
        </w:rPr>
        <w:t>d’</w:t>
      </w:r>
      <w:r w:rsidRPr="00EA05B3">
        <w:rPr>
          <w:lang w:val="fr-FR"/>
        </w:rPr>
        <w:t>actes administratifs des autorités publiques ayant des effets généraux et statuer à ce sujet</w:t>
      </w:r>
      <w:r w:rsidR="00B36EE6" w:rsidRPr="00EA05B3">
        <w:rPr>
          <w:lang w:val="fr-FR"/>
        </w:rPr>
        <w:t>;</w:t>
      </w:r>
      <w:r w:rsidRPr="00EA05B3">
        <w:rPr>
          <w:lang w:val="fr-FR"/>
        </w:rPr>
        <w:t xml:space="preserve"> </w:t>
      </w:r>
    </w:p>
    <w:p w:rsidR="00D60A11" w:rsidRPr="00EA05B3" w:rsidRDefault="00563B9D" w:rsidP="00663271">
      <w:pPr>
        <w:pStyle w:val="SingleTxtG"/>
        <w:ind w:firstLine="567"/>
        <w:rPr>
          <w:lang w:val="fr-FR"/>
        </w:rPr>
      </w:pPr>
      <w:r w:rsidRPr="00EA05B3">
        <w:rPr>
          <w:lang w:val="fr-FR"/>
        </w:rPr>
        <w:t>e</w:t>
      </w:r>
      <w:r w:rsidR="001B13AB" w:rsidRPr="00EA05B3">
        <w:rPr>
          <w:lang w:val="fr-FR"/>
        </w:rPr>
        <w:t>)</w:t>
      </w:r>
      <w:r w:rsidR="001B13AB" w:rsidRPr="00EA05B3">
        <w:rPr>
          <w:lang w:val="fr-FR"/>
        </w:rPr>
        <w:tab/>
      </w:r>
      <w:r w:rsidRPr="00EA05B3">
        <w:rPr>
          <w:lang w:val="fr-FR"/>
        </w:rPr>
        <w:t xml:space="preserve">Connaître des recours en manquement visant à faire appliquer des rapports ou des décisions </w:t>
      </w:r>
      <w:r w:rsidR="009379A7" w:rsidRPr="00EA05B3">
        <w:rPr>
          <w:lang w:val="fr-FR"/>
        </w:rPr>
        <w:t>d’</w:t>
      </w:r>
      <w:r w:rsidRPr="00EA05B3">
        <w:rPr>
          <w:lang w:val="fr-FR"/>
        </w:rPr>
        <w:t>organismes internationaux qui ne sont pas exécutoires et statuer à leur sujet</w:t>
      </w:r>
      <w:r w:rsidR="00B36EE6" w:rsidRPr="00EA05B3">
        <w:rPr>
          <w:lang w:val="fr-FR"/>
        </w:rPr>
        <w:t>;</w:t>
      </w:r>
      <w:r w:rsidRPr="00EA05B3">
        <w:rPr>
          <w:lang w:val="fr-FR"/>
        </w:rPr>
        <w:t xml:space="preserve"> </w:t>
      </w:r>
    </w:p>
    <w:p w:rsidR="00D60A11" w:rsidRPr="00EA05B3" w:rsidRDefault="00563B9D" w:rsidP="00663271">
      <w:pPr>
        <w:pStyle w:val="SingleTxtG"/>
        <w:ind w:firstLine="567"/>
        <w:rPr>
          <w:lang w:val="fr-FR"/>
        </w:rPr>
      </w:pPr>
      <w:r w:rsidRPr="00EA05B3">
        <w:rPr>
          <w:lang w:val="fr-FR"/>
        </w:rPr>
        <w:t>f</w:t>
      </w:r>
      <w:r w:rsidR="001B13AB" w:rsidRPr="00EA05B3">
        <w:rPr>
          <w:lang w:val="fr-FR"/>
        </w:rPr>
        <w:t>)</w:t>
      </w:r>
      <w:r w:rsidR="001B13AB" w:rsidRPr="00EA05B3">
        <w:rPr>
          <w:lang w:val="fr-FR"/>
        </w:rPr>
        <w:tab/>
      </w:r>
      <w:r w:rsidRPr="00EA05B3">
        <w:rPr>
          <w:lang w:val="fr-FR"/>
        </w:rPr>
        <w:t xml:space="preserve">Connaître des recours en protection, en manquement, en </w:t>
      </w:r>
      <w:r w:rsidRPr="00EA05B3">
        <w:rPr>
          <w:i/>
          <w:lang w:val="fr-FR"/>
        </w:rPr>
        <w:t>habeas corpus</w:t>
      </w:r>
      <w:r w:rsidRPr="00EA05B3">
        <w:rPr>
          <w:lang w:val="fr-FR"/>
        </w:rPr>
        <w:t xml:space="preserve"> et en </w:t>
      </w:r>
      <w:r w:rsidRPr="00EA05B3">
        <w:rPr>
          <w:i/>
          <w:lang w:val="fr-FR"/>
        </w:rPr>
        <w:t>habeas data</w:t>
      </w:r>
      <w:r w:rsidRPr="00EA05B3">
        <w:rPr>
          <w:lang w:val="fr-FR"/>
        </w:rPr>
        <w:t xml:space="preserve">, des actions en matière </w:t>
      </w:r>
      <w:r w:rsidR="009379A7" w:rsidRPr="00EA05B3">
        <w:rPr>
          <w:lang w:val="fr-FR"/>
        </w:rPr>
        <w:t>d’</w:t>
      </w:r>
      <w:r w:rsidRPr="00EA05B3">
        <w:rPr>
          <w:lang w:val="fr-FR"/>
        </w:rPr>
        <w:t xml:space="preserve">accès à </w:t>
      </w:r>
      <w:r w:rsidR="009379A7" w:rsidRPr="00EA05B3">
        <w:rPr>
          <w:lang w:val="fr-FR"/>
        </w:rPr>
        <w:t>l’</w:t>
      </w:r>
      <w:r w:rsidRPr="00EA05B3">
        <w:rPr>
          <w:lang w:val="fr-FR"/>
        </w:rPr>
        <w:t xml:space="preserve">information publique et des autres actions engagées ou affaires dont elle </w:t>
      </w:r>
      <w:r w:rsidR="009379A7" w:rsidRPr="00EA05B3">
        <w:rPr>
          <w:lang w:val="fr-FR"/>
        </w:rPr>
        <w:t>s’</w:t>
      </w:r>
      <w:r w:rsidRPr="00EA05B3">
        <w:rPr>
          <w:lang w:val="fr-FR"/>
        </w:rPr>
        <w:t>est saisie aux fins de leur révision, et statuer à leur sujet</w:t>
      </w:r>
      <w:r w:rsidR="00B36EE6" w:rsidRPr="00EA05B3">
        <w:rPr>
          <w:lang w:val="fr-FR"/>
        </w:rPr>
        <w:t>;</w:t>
      </w:r>
      <w:r w:rsidRPr="00EA05B3">
        <w:rPr>
          <w:lang w:val="fr-FR"/>
        </w:rPr>
        <w:t xml:space="preserve"> </w:t>
      </w:r>
    </w:p>
    <w:p w:rsidR="00D60A11" w:rsidRPr="00EA05B3" w:rsidRDefault="00563B9D" w:rsidP="00663271">
      <w:pPr>
        <w:pStyle w:val="SingleTxtG"/>
        <w:ind w:firstLine="567"/>
        <w:rPr>
          <w:lang w:val="fr-FR"/>
        </w:rPr>
      </w:pPr>
      <w:r w:rsidRPr="00EA05B3">
        <w:rPr>
          <w:lang w:val="fr-FR"/>
        </w:rPr>
        <w:t>g</w:t>
      </w:r>
      <w:r w:rsidR="001B13AB" w:rsidRPr="00EA05B3">
        <w:rPr>
          <w:lang w:val="fr-FR"/>
        </w:rPr>
        <w:t>)</w:t>
      </w:r>
      <w:r w:rsidR="001B13AB" w:rsidRPr="00EA05B3">
        <w:rPr>
          <w:lang w:val="fr-FR"/>
        </w:rPr>
        <w:tab/>
      </w:r>
      <w:r w:rsidRPr="00EA05B3">
        <w:rPr>
          <w:lang w:val="fr-FR"/>
        </w:rPr>
        <w:t xml:space="preserve">Effectuer </w:t>
      </w:r>
      <w:r w:rsidR="009379A7" w:rsidRPr="00EA05B3">
        <w:rPr>
          <w:lang w:val="fr-FR"/>
        </w:rPr>
        <w:t>d’</w:t>
      </w:r>
      <w:r w:rsidRPr="00EA05B3">
        <w:rPr>
          <w:lang w:val="fr-FR"/>
        </w:rPr>
        <w:t xml:space="preserve">office et de manière immédiate le contrôle de la constitutionnalité des proclamations de </w:t>
      </w:r>
      <w:r w:rsidR="009379A7" w:rsidRPr="00EA05B3">
        <w:rPr>
          <w:lang w:val="fr-FR"/>
        </w:rPr>
        <w:t>l’</w:t>
      </w:r>
      <w:r w:rsidRPr="00EA05B3">
        <w:rPr>
          <w:lang w:val="fr-FR"/>
        </w:rPr>
        <w:t xml:space="preserve">état </w:t>
      </w:r>
      <w:r w:rsidR="009379A7" w:rsidRPr="00EA05B3">
        <w:rPr>
          <w:lang w:val="fr-FR"/>
        </w:rPr>
        <w:t>d’</w:t>
      </w:r>
      <w:r w:rsidRPr="00EA05B3">
        <w:rPr>
          <w:lang w:val="fr-FR"/>
        </w:rPr>
        <w:t xml:space="preserve">urgence qui </w:t>
      </w:r>
      <w:r w:rsidR="009379A7" w:rsidRPr="00EA05B3">
        <w:rPr>
          <w:lang w:val="fr-FR"/>
        </w:rPr>
        <w:t>s’</w:t>
      </w:r>
      <w:r w:rsidRPr="00EA05B3">
        <w:rPr>
          <w:lang w:val="fr-FR"/>
        </w:rPr>
        <w:t>accompagnent dans la suspension de droits constitutionnels</w:t>
      </w:r>
      <w:r w:rsidR="00B36EE6" w:rsidRPr="00EA05B3">
        <w:rPr>
          <w:lang w:val="fr-FR"/>
        </w:rPr>
        <w:t>;</w:t>
      </w:r>
      <w:r w:rsidRPr="00EA05B3">
        <w:rPr>
          <w:lang w:val="fr-FR"/>
        </w:rPr>
        <w:t xml:space="preserve"> </w:t>
      </w:r>
    </w:p>
    <w:p w:rsidR="00D60A11" w:rsidRPr="00EA05B3" w:rsidRDefault="00563B9D" w:rsidP="00663271">
      <w:pPr>
        <w:pStyle w:val="SingleTxtG"/>
        <w:ind w:firstLine="567"/>
        <w:rPr>
          <w:lang w:val="fr-FR"/>
        </w:rPr>
      </w:pPr>
      <w:r w:rsidRPr="00EA05B3">
        <w:rPr>
          <w:lang w:val="fr-FR"/>
        </w:rPr>
        <w:t>h</w:t>
      </w:r>
      <w:r w:rsidR="001B13AB" w:rsidRPr="00EA05B3">
        <w:rPr>
          <w:lang w:val="fr-FR"/>
        </w:rPr>
        <w:t>)</w:t>
      </w:r>
      <w:r w:rsidR="001B13AB" w:rsidRPr="00EA05B3">
        <w:rPr>
          <w:lang w:val="fr-FR"/>
        </w:rPr>
        <w:tab/>
      </w:r>
      <w:r w:rsidRPr="00EA05B3">
        <w:rPr>
          <w:lang w:val="fr-FR"/>
        </w:rPr>
        <w:t>Connaître du non-respect des arrêts et avis constitutionnels et les sanctionner</w:t>
      </w:r>
      <w:r w:rsidR="00B36EE6" w:rsidRPr="00EA05B3">
        <w:rPr>
          <w:lang w:val="fr-FR"/>
        </w:rPr>
        <w:t>;</w:t>
      </w:r>
      <w:r w:rsidRPr="00EA05B3">
        <w:rPr>
          <w:lang w:val="fr-FR"/>
        </w:rPr>
        <w:t xml:space="preserve"> </w:t>
      </w:r>
    </w:p>
    <w:p w:rsidR="00D60A11" w:rsidRPr="00EA05B3" w:rsidRDefault="00563B9D" w:rsidP="00663271">
      <w:pPr>
        <w:pStyle w:val="SingleTxtG"/>
        <w:ind w:firstLine="567"/>
        <w:rPr>
          <w:lang w:val="fr-FR"/>
        </w:rPr>
      </w:pPr>
      <w:r w:rsidRPr="00EA05B3">
        <w:rPr>
          <w:lang w:val="fr-FR"/>
        </w:rPr>
        <w:t>i</w:t>
      </w:r>
      <w:r w:rsidR="001B13AB" w:rsidRPr="00EA05B3">
        <w:rPr>
          <w:lang w:val="fr-FR"/>
        </w:rPr>
        <w:t>)</w:t>
      </w:r>
      <w:r w:rsidR="001B13AB" w:rsidRPr="00EA05B3">
        <w:rPr>
          <w:lang w:val="fr-FR"/>
        </w:rPr>
        <w:tab/>
      </w:r>
      <w:r w:rsidRPr="00EA05B3">
        <w:rPr>
          <w:lang w:val="fr-FR"/>
        </w:rPr>
        <w:t>Déclarer inconstitutionnels les actes des institutions ou des autorités publiques qui, par omission, ne respectent pas, en tout ou en partie, les prescriptions de la Constitution.</w:t>
      </w:r>
    </w:p>
    <w:p w:rsidR="00D60A11" w:rsidRPr="00EA05B3" w:rsidRDefault="0027238F" w:rsidP="00793C91">
      <w:pPr>
        <w:pStyle w:val="SingleTxtG"/>
        <w:rPr>
          <w:lang w:val="fr-FR"/>
        </w:rPr>
      </w:pPr>
      <w:r w:rsidRPr="00EA05B3">
        <w:rPr>
          <w:lang w:val="fr-FR"/>
        </w:rPr>
        <w:t>238.</w:t>
      </w:r>
      <w:r w:rsidRPr="00EA05B3">
        <w:rPr>
          <w:lang w:val="fr-FR"/>
        </w:rPr>
        <w:tab/>
      </w:r>
      <w:r w:rsidR="00D60A11" w:rsidRPr="00EA05B3">
        <w:rPr>
          <w:lang w:val="fr-FR"/>
        </w:rPr>
        <w:t xml:space="preserve">À cet égard il existe diverses voies de recours possibles permettant aux citoyens de faire valoir leurs droits. Il est toutefois difficile de citer des affaires précises ayant donné lieu à une jurisprudence novatrice en ce qui concerne les droits reconnus dans la Constitution, car il existe à peine 38 décisions et avis de la Cour constitutionnelle portant sur la constitutionnalité </w:t>
      </w:r>
      <w:r w:rsidR="009379A7" w:rsidRPr="00EA05B3">
        <w:rPr>
          <w:lang w:val="fr-FR"/>
        </w:rPr>
        <w:t>d’</w:t>
      </w:r>
      <w:r w:rsidR="00D60A11" w:rsidRPr="00EA05B3">
        <w:rPr>
          <w:lang w:val="fr-FR"/>
        </w:rPr>
        <w:t xml:space="preserve">instruments internationaux, avis interprétatifs pour la période de transition ou reliquat de </w:t>
      </w:r>
      <w:r w:rsidR="009379A7" w:rsidRPr="00EA05B3">
        <w:rPr>
          <w:lang w:val="fr-FR"/>
        </w:rPr>
        <w:t>l’</w:t>
      </w:r>
      <w:r w:rsidR="00D60A11" w:rsidRPr="00EA05B3">
        <w:rPr>
          <w:lang w:val="fr-FR"/>
        </w:rPr>
        <w:t>ancien Tribunal constitutionnel. Il en va de même des arrêts de la Cour nationale de Justice.</w:t>
      </w:r>
    </w:p>
    <w:p w:rsidR="00D60A11" w:rsidRPr="00EA05B3" w:rsidRDefault="0027238F" w:rsidP="00793C91">
      <w:pPr>
        <w:pStyle w:val="SingleTxtG"/>
        <w:rPr>
          <w:lang w:val="fr-FR"/>
        </w:rPr>
      </w:pPr>
      <w:r w:rsidRPr="00EA05B3">
        <w:rPr>
          <w:lang w:val="fr-FR"/>
        </w:rPr>
        <w:t>239.</w:t>
      </w:r>
      <w:r w:rsidRPr="00EA05B3">
        <w:rPr>
          <w:lang w:val="fr-FR"/>
        </w:rPr>
        <w:tab/>
      </w:r>
      <w:r w:rsidR="00D60A11" w:rsidRPr="00EA05B3">
        <w:rPr>
          <w:lang w:val="fr-FR"/>
        </w:rPr>
        <w:t xml:space="preserve">En ce qui concerne les garanties relatives à la reconnaissance, la jouissance, </w:t>
      </w:r>
      <w:r w:rsidR="009379A7" w:rsidRPr="00EA05B3">
        <w:rPr>
          <w:lang w:val="fr-FR"/>
        </w:rPr>
        <w:t>l’</w:t>
      </w:r>
      <w:r w:rsidR="00D60A11" w:rsidRPr="00EA05B3">
        <w:rPr>
          <w:lang w:val="fr-FR"/>
        </w:rPr>
        <w:t xml:space="preserve">exercice et la protection des droits et les réparations, le titre III de la Constitution établit des garanties normatives, des garanties eu égard aux politiques publiques et des garanties juridictionnelles qui paraissent appropriées à cette fin. </w:t>
      </w:r>
      <w:r w:rsidR="009379A7" w:rsidRPr="00EA05B3">
        <w:rPr>
          <w:lang w:val="fr-FR"/>
        </w:rPr>
        <w:t>S’</w:t>
      </w:r>
      <w:r w:rsidR="00D60A11" w:rsidRPr="00EA05B3">
        <w:rPr>
          <w:lang w:val="fr-FR"/>
        </w:rPr>
        <w:t xml:space="preserve">agissant en particulier des garanties normatives, </w:t>
      </w:r>
      <w:r w:rsidR="009379A7" w:rsidRPr="00EA05B3">
        <w:rPr>
          <w:lang w:val="fr-FR"/>
        </w:rPr>
        <w:t>l’</w:t>
      </w:r>
      <w:r w:rsidR="00D60A11" w:rsidRPr="00EA05B3">
        <w:rPr>
          <w:lang w:val="fr-FR"/>
        </w:rPr>
        <w:t xml:space="preserve">article 84 dispose que </w:t>
      </w:r>
      <w:r w:rsidR="009379A7" w:rsidRPr="00EA05B3">
        <w:rPr>
          <w:lang w:val="fr-FR"/>
        </w:rPr>
        <w:t>l’</w:t>
      </w:r>
      <w:r w:rsidR="00D60A11" w:rsidRPr="00EA05B3">
        <w:rPr>
          <w:lang w:val="fr-FR"/>
        </w:rPr>
        <w:t xml:space="preserve">Assemblée nationale et tous les organes qui ont le pouvoir de légiférer ont le devoir </w:t>
      </w:r>
      <w:r w:rsidR="009379A7" w:rsidRPr="00EA05B3">
        <w:rPr>
          <w:lang w:val="fr-FR"/>
        </w:rPr>
        <w:t>d’</w:t>
      </w:r>
      <w:r w:rsidR="00D60A11" w:rsidRPr="00EA05B3">
        <w:rPr>
          <w:lang w:val="fr-FR"/>
        </w:rPr>
        <w:t xml:space="preserve">adapter formellement et matériellement les lois et autres règles juridiques aux droits consacrés par la Constitution et par les instruments internationaux, et à ceux qui visent à préserver la dignité de </w:t>
      </w:r>
      <w:r w:rsidR="009379A7" w:rsidRPr="00EA05B3">
        <w:rPr>
          <w:lang w:val="fr-FR"/>
        </w:rPr>
        <w:t>l’</w:t>
      </w:r>
      <w:r w:rsidR="00D60A11" w:rsidRPr="00EA05B3">
        <w:rPr>
          <w:lang w:val="fr-FR"/>
        </w:rPr>
        <w:t>être humain ou des communautés, peuples et nationalités, étant entendu de plus que nulle modification de la Constitution, des lois, des règles juridiques ou des décisions des pouvoirs publics ne saurait porter atteinte aux droits reconnus.</w:t>
      </w:r>
    </w:p>
    <w:p w:rsidR="00D60A11" w:rsidRPr="00EA05B3" w:rsidRDefault="0027238F" w:rsidP="0027238F">
      <w:pPr>
        <w:pStyle w:val="SingleTxtG"/>
        <w:rPr>
          <w:lang w:val="fr-FR"/>
        </w:rPr>
      </w:pPr>
      <w:r w:rsidRPr="00EA05B3">
        <w:rPr>
          <w:lang w:val="fr-FR"/>
        </w:rPr>
        <w:t>240.</w:t>
      </w:r>
      <w:r w:rsidRPr="00EA05B3">
        <w:rPr>
          <w:lang w:val="fr-FR"/>
        </w:rPr>
        <w:tab/>
      </w:r>
      <w:r w:rsidR="00D60A11" w:rsidRPr="00EA05B3">
        <w:rPr>
          <w:lang w:val="fr-FR"/>
        </w:rPr>
        <w:t xml:space="preserve">Quant aux garanties concernant les politiques publiques, les services publics et la participation des citoyens, </w:t>
      </w:r>
      <w:r w:rsidR="009379A7" w:rsidRPr="00EA05B3">
        <w:rPr>
          <w:lang w:val="fr-FR"/>
        </w:rPr>
        <w:t>l’</w:t>
      </w:r>
      <w:r w:rsidR="00D60A11" w:rsidRPr="00EA05B3">
        <w:rPr>
          <w:lang w:val="fr-FR"/>
        </w:rPr>
        <w:t xml:space="preserve">article 85 dispose que la formulation, </w:t>
      </w:r>
      <w:r w:rsidR="009379A7" w:rsidRPr="00EA05B3">
        <w:rPr>
          <w:lang w:val="fr-FR"/>
        </w:rPr>
        <w:t>l’</w:t>
      </w:r>
      <w:r w:rsidR="00D60A11" w:rsidRPr="00EA05B3">
        <w:rPr>
          <w:lang w:val="fr-FR"/>
        </w:rPr>
        <w:t xml:space="preserve">exécution, </w:t>
      </w:r>
      <w:r w:rsidR="009379A7" w:rsidRPr="00EA05B3">
        <w:rPr>
          <w:lang w:val="fr-FR"/>
        </w:rPr>
        <w:t>l’</w:t>
      </w:r>
      <w:r w:rsidR="00D60A11" w:rsidRPr="00EA05B3">
        <w:rPr>
          <w:lang w:val="fr-FR"/>
        </w:rPr>
        <w:t>évaluation et le contrôle des politiques publiques et des services publics destinés à garantir la protection des droits énoncés dans la Constitution sont régis par les dispositions ci-après</w:t>
      </w:r>
      <w:r w:rsidR="00B36EE6" w:rsidRPr="00EA05B3">
        <w:rPr>
          <w:lang w:val="fr-FR"/>
        </w:rPr>
        <w:t>:</w:t>
      </w:r>
      <w:r w:rsidR="00D60A11" w:rsidRPr="00EA05B3">
        <w:rPr>
          <w:lang w:val="fr-FR"/>
        </w:rPr>
        <w:t xml:space="preserve"> i) les politiques publiques, la fourniture de biens et la prestation de services publics sont axées sur la réalisation du bien-vivre et de tous les droits, et reposent sur le principe de solidarité</w:t>
      </w:r>
      <w:r w:rsidR="00B36EE6" w:rsidRPr="00EA05B3">
        <w:rPr>
          <w:lang w:val="fr-FR"/>
        </w:rPr>
        <w:t>;</w:t>
      </w:r>
      <w:r w:rsidR="00D60A11" w:rsidRPr="00EA05B3">
        <w:rPr>
          <w:lang w:val="fr-FR"/>
        </w:rPr>
        <w:t xml:space="preserve"> ii) sans préjudice de la primauté de </w:t>
      </w:r>
      <w:r w:rsidR="009379A7" w:rsidRPr="00EA05B3">
        <w:rPr>
          <w:lang w:val="fr-FR"/>
        </w:rPr>
        <w:t>l’</w:t>
      </w:r>
      <w:r w:rsidR="00D60A11" w:rsidRPr="00EA05B3">
        <w:rPr>
          <w:lang w:val="fr-FR"/>
        </w:rPr>
        <w:t xml:space="preserve">intérêt général sur </w:t>
      </w:r>
      <w:r w:rsidR="009379A7" w:rsidRPr="00EA05B3">
        <w:rPr>
          <w:lang w:val="fr-FR"/>
        </w:rPr>
        <w:t>l’</w:t>
      </w:r>
      <w:r w:rsidR="00D60A11" w:rsidRPr="00EA05B3">
        <w:rPr>
          <w:lang w:val="fr-FR"/>
        </w:rPr>
        <w:t xml:space="preserve">intérêt particulier, quand les effets de </w:t>
      </w:r>
      <w:r w:rsidR="009379A7" w:rsidRPr="00EA05B3">
        <w:rPr>
          <w:lang w:val="fr-FR"/>
        </w:rPr>
        <w:t>l’</w:t>
      </w:r>
      <w:r w:rsidR="00D60A11" w:rsidRPr="00EA05B3">
        <w:rPr>
          <w:lang w:val="fr-FR"/>
        </w:rPr>
        <w:t xml:space="preserve">exécution des politiques publiques ou de la fourniture de biens ou de la prestation de services publics portent atteinte ou menacent de porter atteinte aux droits constitutionnels, ces politiques, cette fourniture ou ces prestations doivent être conçues différemment ou </w:t>
      </w:r>
      <w:r w:rsidR="009379A7" w:rsidRPr="00EA05B3">
        <w:rPr>
          <w:lang w:val="fr-FR"/>
        </w:rPr>
        <w:t>d’</w:t>
      </w:r>
      <w:r w:rsidR="00D60A11" w:rsidRPr="00EA05B3">
        <w:rPr>
          <w:lang w:val="fr-FR"/>
        </w:rPr>
        <w:t>autres mesures doivent être adoptées pour écarter cette menace</w:t>
      </w:r>
      <w:r w:rsidR="00B36EE6" w:rsidRPr="00EA05B3">
        <w:rPr>
          <w:lang w:val="fr-FR"/>
        </w:rPr>
        <w:t>;</w:t>
      </w:r>
      <w:r w:rsidR="00D60A11" w:rsidRPr="00EA05B3">
        <w:rPr>
          <w:lang w:val="fr-FR"/>
        </w:rPr>
        <w:t xml:space="preserve"> iii) </w:t>
      </w:r>
      <w:r w:rsidR="009379A7" w:rsidRPr="00EA05B3">
        <w:rPr>
          <w:lang w:val="fr-FR"/>
        </w:rPr>
        <w:t>l’</w:t>
      </w:r>
      <w:r w:rsidR="00D60A11" w:rsidRPr="00EA05B3">
        <w:rPr>
          <w:lang w:val="fr-FR"/>
        </w:rPr>
        <w:t xml:space="preserve">État garantit une répartition équitable et solidaire du budget aux fins de </w:t>
      </w:r>
      <w:r w:rsidR="009379A7" w:rsidRPr="00EA05B3">
        <w:rPr>
          <w:lang w:val="fr-FR"/>
        </w:rPr>
        <w:t>l’</w:t>
      </w:r>
      <w:r w:rsidR="00D60A11" w:rsidRPr="00EA05B3">
        <w:rPr>
          <w:lang w:val="fr-FR"/>
        </w:rPr>
        <w:t>exécution des politiques publiques et de la fourniture de biens et de la prestation de services publics</w:t>
      </w:r>
      <w:r w:rsidR="00B36EE6" w:rsidRPr="00EA05B3">
        <w:rPr>
          <w:lang w:val="fr-FR"/>
        </w:rPr>
        <w:t>;</w:t>
      </w:r>
      <w:r w:rsidR="00D60A11" w:rsidRPr="00EA05B3">
        <w:rPr>
          <w:lang w:val="fr-FR"/>
        </w:rPr>
        <w:t xml:space="preserve"> iv) la participation des personnes, des nationalités, des peuples et des communautés à la formulation, à </w:t>
      </w:r>
      <w:r w:rsidR="009379A7" w:rsidRPr="00EA05B3">
        <w:rPr>
          <w:lang w:val="fr-FR"/>
        </w:rPr>
        <w:t>l’</w:t>
      </w:r>
      <w:r w:rsidR="00D60A11" w:rsidRPr="00EA05B3">
        <w:rPr>
          <w:lang w:val="fr-FR"/>
        </w:rPr>
        <w:t xml:space="preserve">exécution, à </w:t>
      </w:r>
      <w:r w:rsidR="009379A7" w:rsidRPr="00EA05B3">
        <w:rPr>
          <w:lang w:val="fr-FR"/>
        </w:rPr>
        <w:t>l’</w:t>
      </w:r>
      <w:r w:rsidR="00D60A11" w:rsidRPr="00EA05B3">
        <w:rPr>
          <w:lang w:val="fr-FR"/>
        </w:rPr>
        <w:t>évaluation et au contrôle des politiques publiques et des services publics est garantie.</w:t>
      </w:r>
    </w:p>
    <w:p w:rsidR="00D60A11" w:rsidRPr="00EA05B3" w:rsidRDefault="0027238F" w:rsidP="0027238F">
      <w:pPr>
        <w:pStyle w:val="SingleTxtG"/>
        <w:rPr>
          <w:lang w:val="fr-FR"/>
        </w:rPr>
      </w:pPr>
      <w:r w:rsidRPr="00EA05B3">
        <w:rPr>
          <w:lang w:val="fr-FR"/>
        </w:rPr>
        <w:t>241.</w:t>
      </w:r>
      <w:r w:rsidRPr="00EA05B3">
        <w:rPr>
          <w:lang w:val="fr-FR"/>
        </w:rPr>
        <w:tab/>
      </w:r>
      <w:r w:rsidR="00D60A11" w:rsidRPr="00EA05B3">
        <w:rPr>
          <w:lang w:val="fr-FR"/>
        </w:rPr>
        <w:t>Les articles 86 et 87 contiennent des dispositions communes relatives aux garanties juridictionnelles, parmi lesquelles on retiendra les suivantes</w:t>
      </w:r>
      <w:r w:rsidR="00B36EE6" w:rsidRPr="00EA05B3">
        <w:rPr>
          <w:lang w:val="fr-FR"/>
        </w:rPr>
        <w:t>:</w:t>
      </w:r>
      <w:r w:rsidR="000D57A5" w:rsidRPr="00EA05B3">
        <w:rPr>
          <w:lang w:val="fr-FR"/>
        </w:rPr>
        <w:t xml:space="preserve"> </w:t>
      </w:r>
    </w:p>
    <w:p w:rsidR="00D60A11" w:rsidRPr="00EA05B3" w:rsidRDefault="00563B9D" w:rsidP="00663271">
      <w:pPr>
        <w:pStyle w:val="SingleTxtG"/>
        <w:ind w:firstLine="567"/>
        <w:rPr>
          <w:lang w:val="fr-FR"/>
        </w:rPr>
      </w:pPr>
      <w:r w:rsidRPr="00EA05B3">
        <w:rPr>
          <w:lang w:val="fr-FR"/>
        </w:rPr>
        <w:t>a)</w:t>
      </w:r>
      <w:r w:rsidRPr="00EA05B3">
        <w:rPr>
          <w:lang w:val="fr-FR"/>
        </w:rPr>
        <w:tab/>
        <w:t>Toute personne, groupe de personnes, communauté, peuple ou nationalité peut proposer les actions prévues dans la Constitution</w:t>
      </w:r>
      <w:r w:rsidR="00B36EE6" w:rsidRPr="00EA05B3">
        <w:rPr>
          <w:lang w:val="fr-FR"/>
        </w:rPr>
        <w:t>;</w:t>
      </w:r>
    </w:p>
    <w:p w:rsidR="00D60A11" w:rsidRPr="00EA05B3" w:rsidRDefault="00563B9D" w:rsidP="00663271">
      <w:pPr>
        <w:pStyle w:val="SingleTxtG"/>
        <w:ind w:firstLine="567"/>
        <w:rPr>
          <w:lang w:val="fr-FR"/>
        </w:rPr>
      </w:pPr>
      <w:r w:rsidRPr="00EA05B3">
        <w:rPr>
          <w:lang w:val="fr-FR"/>
        </w:rPr>
        <w:t>b)</w:t>
      </w:r>
      <w:r w:rsidRPr="00EA05B3">
        <w:rPr>
          <w:lang w:val="fr-FR"/>
        </w:rPr>
        <w:tab/>
        <w:t xml:space="preserve">La compétence du juge est déterminée par le lieu de </w:t>
      </w:r>
      <w:r w:rsidR="009379A7" w:rsidRPr="00EA05B3">
        <w:rPr>
          <w:lang w:val="fr-FR"/>
        </w:rPr>
        <w:t>l’</w:t>
      </w:r>
      <w:r w:rsidRPr="00EA05B3">
        <w:rPr>
          <w:lang w:val="fr-FR"/>
        </w:rPr>
        <w:t xml:space="preserve">acte ou de </w:t>
      </w:r>
      <w:r w:rsidR="009379A7" w:rsidRPr="00EA05B3">
        <w:rPr>
          <w:lang w:val="fr-FR"/>
        </w:rPr>
        <w:t>l’</w:t>
      </w:r>
      <w:r w:rsidRPr="00EA05B3">
        <w:rPr>
          <w:lang w:val="fr-FR"/>
        </w:rPr>
        <w:t>omission ou celui où ceux-ci produisent leurs effets</w:t>
      </w:r>
      <w:r w:rsidR="00B36EE6" w:rsidRPr="00EA05B3">
        <w:rPr>
          <w:lang w:val="fr-FR"/>
        </w:rPr>
        <w:t>;</w:t>
      </w:r>
      <w:r w:rsidRPr="00EA05B3">
        <w:rPr>
          <w:lang w:val="fr-FR"/>
        </w:rPr>
        <w:t xml:space="preserve"> </w:t>
      </w:r>
    </w:p>
    <w:p w:rsidR="00D60A11" w:rsidRPr="00EA05B3" w:rsidRDefault="00563B9D" w:rsidP="00663271">
      <w:pPr>
        <w:pStyle w:val="SingleTxtG"/>
        <w:ind w:firstLine="567"/>
        <w:rPr>
          <w:lang w:val="fr-FR"/>
        </w:rPr>
      </w:pPr>
      <w:r w:rsidRPr="00EA05B3">
        <w:rPr>
          <w:lang w:val="fr-FR"/>
        </w:rPr>
        <w:t>c)</w:t>
      </w:r>
      <w:r w:rsidRPr="00EA05B3">
        <w:rPr>
          <w:lang w:val="fr-FR"/>
        </w:rPr>
        <w:tab/>
        <w:t>La procédure est simple, rapide, efficace et orale</w:t>
      </w:r>
      <w:r w:rsidR="00B36EE6" w:rsidRPr="00EA05B3">
        <w:rPr>
          <w:lang w:val="fr-FR"/>
        </w:rPr>
        <w:t>;</w:t>
      </w:r>
      <w:r w:rsidRPr="00EA05B3">
        <w:rPr>
          <w:lang w:val="fr-FR"/>
        </w:rPr>
        <w:t xml:space="preserve"> </w:t>
      </w:r>
    </w:p>
    <w:p w:rsidR="00D60A11" w:rsidRPr="00EA05B3" w:rsidRDefault="00563B9D" w:rsidP="00663271">
      <w:pPr>
        <w:pStyle w:val="SingleTxtG"/>
        <w:ind w:firstLine="567"/>
        <w:rPr>
          <w:lang w:val="fr-FR"/>
        </w:rPr>
      </w:pPr>
      <w:r w:rsidRPr="00EA05B3">
        <w:rPr>
          <w:lang w:val="fr-FR"/>
        </w:rPr>
        <w:t>d)</w:t>
      </w:r>
      <w:r w:rsidRPr="00EA05B3">
        <w:rPr>
          <w:lang w:val="fr-FR"/>
        </w:rPr>
        <w:tab/>
      </w:r>
      <w:r w:rsidR="009379A7" w:rsidRPr="00EA05B3">
        <w:rPr>
          <w:lang w:val="fr-FR"/>
        </w:rPr>
        <w:t>L’</w:t>
      </w:r>
      <w:r w:rsidRPr="00EA05B3">
        <w:rPr>
          <w:lang w:val="fr-FR"/>
        </w:rPr>
        <w:t>action peut être proposée par écrit ou oralement</w:t>
      </w:r>
      <w:r w:rsidR="00B36EE6" w:rsidRPr="00EA05B3">
        <w:rPr>
          <w:lang w:val="fr-FR"/>
        </w:rPr>
        <w:t>;</w:t>
      </w:r>
      <w:r w:rsidRPr="00EA05B3">
        <w:rPr>
          <w:lang w:val="fr-FR"/>
        </w:rPr>
        <w:t xml:space="preserve"> il </w:t>
      </w:r>
      <w:r w:rsidR="009379A7" w:rsidRPr="00EA05B3">
        <w:rPr>
          <w:lang w:val="fr-FR"/>
        </w:rPr>
        <w:t>n’</w:t>
      </w:r>
      <w:r w:rsidRPr="00EA05B3">
        <w:rPr>
          <w:lang w:val="fr-FR"/>
        </w:rPr>
        <w:t xml:space="preserve">est pas nécessaire de citer la règle à laquelle il a été contrevenu, ni de se faire assister </w:t>
      </w:r>
      <w:r w:rsidR="009379A7" w:rsidRPr="00EA05B3">
        <w:rPr>
          <w:lang w:val="fr-FR"/>
        </w:rPr>
        <w:t>d’</w:t>
      </w:r>
      <w:r w:rsidRPr="00EA05B3">
        <w:rPr>
          <w:lang w:val="fr-FR"/>
        </w:rPr>
        <w:t>un avocat</w:t>
      </w:r>
      <w:r w:rsidR="00B36EE6" w:rsidRPr="00EA05B3">
        <w:rPr>
          <w:lang w:val="fr-FR"/>
        </w:rPr>
        <w:t>;</w:t>
      </w:r>
      <w:r w:rsidRPr="00EA05B3">
        <w:rPr>
          <w:lang w:val="fr-FR"/>
        </w:rPr>
        <w:t xml:space="preserve"> </w:t>
      </w:r>
    </w:p>
    <w:p w:rsidR="00D60A11" w:rsidRPr="00EA05B3" w:rsidRDefault="00563B9D" w:rsidP="00663271">
      <w:pPr>
        <w:pStyle w:val="SingleTxtG"/>
        <w:ind w:firstLine="567"/>
        <w:rPr>
          <w:lang w:val="fr-FR"/>
        </w:rPr>
      </w:pPr>
      <w:r w:rsidRPr="00EA05B3">
        <w:rPr>
          <w:lang w:val="fr-FR"/>
        </w:rPr>
        <w:t>e)</w:t>
      </w:r>
      <w:r w:rsidRPr="00EA05B3">
        <w:rPr>
          <w:lang w:val="fr-FR"/>
        </w:rPr>
        <w:tab/>
        <w:t xml:space="preserve">Les règles de procédure susceptibles de retarder la prompte conclusion de </w:t>
      </w:r>
      <w:r w:rsidR="009379A7" w:rsidRPr="00EA05B3">
        <w:rPr>
          <w:lang w:val="fr-FR"/>
        </w:rPr>
        <w:t>l’</w:t>
      </w:r>
      <w:r w:rsidRPr="00EA05B3">
        <w:rPr>
          <w:lang w:val="fr-FR"/>
        </w:rPr>
        <w:t xml:space="preserve">action proposée ne sont pas </w:t>
      </w:r>
      <w:r w:rsidR="009379A7" w:rsidRPr="00EA05B3">
        <w:rPr>
          <w:lang w:val="fr-FR"/>
        </w:rPr>
        <w:t>d’</w:t>
      </w:r>
      <w:r w:rsidRPr="00EA05B3">
        <w:rPr>
          <w:lang w:val="fr-FR"/>
        </w:rPr>
        <w:t>application</w:t>
      </w:r>
      <w:r w:rsidR="00B36EE6" w:rsidRPr="00EA05B3">
        <w:rPr>
          <w:lang w:val="fr-FR"/>
        </w:rPr>
        <w:t>;</w:t>
      </w:r>
      <w:r w:rsidRPr="00EA05B3">
        <w:rPr>
          <w:lang w:val="fr-FR"/>
        </w:rPr>
        <w:t xml:space="preserve"> </w:t>
      </w:r>
    </w:p>
    <w:p w:rsidR="00D60A11" w:rsidRPr="00EA05B3" w:rsidRDefault="00563B9D" w:rsidP="00663271">
      <w:pPr>
        <w:pStyle w:val="SingleTxtG"/>
        <w:ind w:firstLine="567"/>
        <w:rPr>
          <w:lang w:val="fr-FR"/>
        </w:rPr>
      </w:pPr>
      <w:r w:rsidRPr="00EA05B3">
        <w:rPr>
          <w:lang w:val="fr-FR"/>
        </w:rPr>
        <w:t>f)</w:t>
      </w:r>
      <w:r w:rsidRPr="00EA05B3">
        <w:rPr>
          <w:lang w:val="fr-FR"/>
        </w:rPr>
        <w:tab/>
        <w:t xml:space="preserve">Les allégations de la personne qui déclenche </w:t>
      </w:r>
      <w:r w:rsidR="009379A7" w:rsidRPr="00EA05B3">
        <w:rPr>
          <w:lang w:val="fr-FR"/>
        </w:rPr>
        <w:t>l’</w:t>
      </w:r>
      <w:r w:rsidRPr="00EA05B3">
        <w:rPr>
          <w:lang w:val="fr-FR"/>
        </w:rPr>
        <w:t>action sont présumées exactes jus</w:t>
      </w:r>
      <w:r w:rsidR="009379A7" w:rsidRPr="00EA05B3">
        <w:rPr>
          <w:lang w:val="fr-FR"/>
        </w:rPr>
        <w:t>qu’</w:t>
      </w:r>
      <w:r w:rsidRPr="00EA05B3">
        <w:rPr>
          <w:lang w:val="fr-FR"/>
        </w:rPr>
        <w:t xml:space="preserve">à preuve du contraire ou information contraire fournie par </w:t>
      </w:r>
      <w:r w:rsidR="009379A7" w:rsidRPr="00EA05B3">
        <w:rPr>
          <w:lang w:val="fr-FR"/>
        </w:rPr>
        <w:t>l’</w:t>
      </w:r>
      <w:r w:rsidRPr="00EA05B3">
        <w:rPr>
          <w:lang w:val="fr-FR"/>
        </w:rPr>
        <w:t>entité publique défenderesse</w:t>
      </w:r>
      <w:r w:rsidR="00B36EE6" w:rsidRPr="00EA05B3">
        <w:rPr>
          <w:lang w:val="fr-FR"/>
        </w:rPr>
        <w:t>;</w:t>
      </w:r>
      <w:r w:rsidRPr="00EA05B3">
        <w:rPr>
          <w:lang w:val="fr-FR"/>
        </w:rPr>
        <w:t xml:space="preserve"> </w:t>
      </w:r>
    </w:p>
    <w:p w:rsidR="00D60A11" w:rsidRPr="00EA05B3" w:rsidRDefault="00563B9D" w:rsidP="00663271">
      <w:pPr>
        <w:pStyle w:val="SingleTxtG"/>
        <w:ind w:firstLine="567"/>
        <w:rPr>
          <w:lang w:val="fr-FR"/>
        </w:rPr>
      </w:pPr>
      <w:r w:rsidRPr="00EA05B3">
        <w:rPr>
          <w:lang w:val="fr-FR"/>
        </w:rPr>
        <w:t>g)</w:t>
      </w:r>
      <w:r w:rsidRPr="00EA05B3">
        <w:rPr>
          <w:lang w:val="fr-FR"/>
        </w:rPr>
        <w:tab/>
      </w:r>
      <w:r w:rsidR="009379A7" w:rsidRPr="00EA05B3">
        <w:rPr>
          <w:lang w:val="fr-FR"/>
        </w:rPr>
        <w:t>L’</w:t>
      </w:r>
      <w:r w:rsidRPr="00EA05B3">
        <w:rPr>
          <w:lang w:val="fr-FR"/>
        </w:rPr>
        <w:t>affaire est réglée par voie de décision judiciaire</w:t>
      </w:r>
      <w:r w:rsidR="00B36EE6" w:rsidRPr="00EA05B3">
        <w:rPr>
          <w:lang w:val="fr-FR"/>
        </w:rPr>
        <w:t>;</w:t>
      </w:r>
      <w:r w:rsidRPr="00EA05B3">
        <w:rPr>
          <w:lang w:val="fr-FR"/>
        </w:rPr>
        <w:t xml:space="preserve"> si le juge constate une atteinte des droits, il fait une déclaration à cet effet et ordonne une réparation totale, matérielle et immatérielle, en précisant les obligations, positives et négatives de la personne à </w:t>
      </w:r>
      <w:r w:rsidR="009379A7" w:rsidRPr="00EA05B3">
        <w:rPr>
          <w:lang w:val="fr-FR"/>
        </w:rPr>
        <w:t>l’</w:t>
      </w:r>
      <w:r w:rsidRPr="00EA05B3">
        <w:rPr>
          <w:lang w:val="fr-FR"/>
        </w:rPr>
        <w:t>encontre de laquelle la décision a été prononcée et les conditions dans lesquelles ces obligations doivent être remplies</w:t>
      </w:r>
      <w:r w:rsidR="00B36EE6" w:rsidRPr="00EA05B3">
        <w:rPr>
          <w:lang w:val="fr-FR"/>
        </w:rPr>
        <w:t>;</w:t>
      </w:r>
      <w:r w:rsidRPr="00EA05B3">
        <w:rPr>
          <w:lang w:val="fr-FR"/>
        </w:rPr>
        <w:t xml:space="preserve"> </w:t>
      </w:r>
    </w:p>
    <w:p w:rsidR="00D60A11" w:rsidRPr="00EA05B3" w:rsidRDefault="00563B9D" w:rsidP="00663271">
      <w:pPr>
        <w:pStyle w:val="SingleTxtG"/>
        <w:ind w:firstLine="567"/>
        <w:rPr>
          <w:lang w:val="fr-FR"/>
        </w:rPr>
      </w:pPr>
      <w:r w:rsidRPr="00EA05B3">
        <w:rPr>
          <w:lang w:val="fr-FR"/>
        </w:rPr>
        <w:t>h)</w:t>
      </w:r>
      <w:r w:rsidRPr="00EA05B3">
        <w:rPr>
          <w:lang w:val="fr-FR"/>
        </w:rPr>
        <w:tab/>
        <w:t>Il peut être fait appel des décisions rendues en première instance devant la cour provinciale</w:t>
      </w:r>
      <w:r w:rsidR="00B36EE6" w:rsidRPr="00EA05B3">
        <w:rPr>
          <w:lang w:val="fr-FR"/>
        </w:rPr>
        <w:t>;</w:t>
      </w:r>
      <w:r w:rsidRPr="00EA05B3">
        <w:rPr>
          <w:lang w:val="fr-FR"/>
        </w:rPr>
        <w:t xml:space="preserve"> </w:t>
      </w:r>
    </w:p>
    <w:p w:rsidR="00D60A11" w:rsidRPr="00EA05B3" w:rsidRDefault="00563B9D" w:rsidP="00663271">
      <w:pPr>
        <w:pStyle w:val="SingleTxtG"/>
        <w:ind w:firstLine="567"/>
        <w:rPr>
          <w:lang w:val="fr-FR"/>
        </w:rPr>
      </w:pPr>
      <w:r w:rsidRPr="00EA05B3">
        <w:rPr>
          <w:lang w:val="fr-FR"/>
        </w:rPr>
        <w:t>i)</w:t>
      </w:r>
      <w:r w:rsidRPr="00EA05B3">
        <w:rPr>
          <w:lang w:val="fr-FR"/>
        </w:rPr>
        <w:tab/>
        <w:t xml:space="preserve">La procédure judiciaire </w:t>
      </w:r>
      <w:r w:rsidR="009379A7" w:rsidRPr="00EA05B3">
        <w:rPr>
          <w:lang w:val="fr-FR"/>
        </w:rPr>
        <w:t>n’</w:t>
      </w:r>
      <w:r w:rsidRPr="00EA05B3">
        <w:rPr>
          <w:lang w:val="fr-FR"/>
        </w:rPr>
        <w:t>est close que lorsque la sentence est totalement exécutée</w:t>
      </w:r>
      <w:r w:rsidR="00B36EE6" w:rsidRPr="00EA05B3">
        <w:rPr>
          <w:lang w:val="fr-FR"/>
        </w:rPr>
        <w:t>;</w:t>
      </w:r>
      <w:r w:rsidRPr="00EA05B3">
        <w:rPr>
          <w:lang w:val="fr-FR"/>
        </w:rPr>
        <w:t xml:space="preserve"> </w:t>
      </w:r>
    </w:p>
    <w:p w:rsidR="00D60A11" w:rsidRPr="00EA05B3" w:rsidRDefault="00563B9D" w:rsidP="00663271">
      <w:pPr>
        <w:pStyle w:val="SingleTxtG"/>
        <w:ind w:firstLine="567"/>
        <w:rPr>
          <w:lang w:val="fr-FR"/>
        </w:rPr>
      </w:pPr>
      <w:r w:rsidRPr="00EA05B3">
        <w:rPr>
          <w:lang w:val="fr-FR"/>
        </w:rPr>
        <w:t>j)</w:t>
      </w:r>
      <w:r w:rsidRPr="00EA05B3">
        <w:rPr>
          <w:lang w:val="fr-FR"/>
        </w:rPr>
        <w:tab/>
        <w:t>Le non-respect de la décision entraîne la révocation du fonctionnaire concerné, sans préjudice de son éventuelle responsabilité civile ou pénale</w:t>
      </w:r>
      <w:r w:rsidR="00B36EE6" w:rsidRPr="00EA05B3">
        <w:rPr>
          <w:lang w:val="fr-FR"/>
        </w:rPr>
        <w:t>;</w:t>
      </w:r>
      <w:r w:rsidRPr="00EA05B3">
        <w:rPr>
          <w:lang w:val="fr-FR"/>
        </w:rPr>
        <w:t xml:space="preserve"> </w:t>
      </w:r>
    </w:p>
    <w:p w:rsidR="00D60A11" w:rsidRPr="00EA05B3" w:rsidRDefault="00563B9D" w:rsidP="00663271">
      <w:pPr>
        <w:pStyle w:val="SingleTxtG"/>
        <w:ind w:firstLine="567"/>
        <w:rPr>
          <w:lang w:val="fr-FR"/>
        </w:rPr>
      </w:pPr>
      <w:r w:rsidRPr="00EA05B3">
        <w:rPr>
          <w:lang w:val="fr-FR"/>
        </w:rPr>
        <w:t>k)</w:t>
      </w:r>
      <w:r w:rsidRPr="00EA05B3">
        <w:rPr>
          <w:lang w:val="fr-FR"/>
        </w:rPr>
        <w:tab/>
        <w:t xml:space="preserve"> Des mesures provisoires peuvent être ordonnées, simultanément ou indépendamment des actions constitutionnelles pour la protection des droits, afin de prévenir toute violation réelle ou menace de violation.</w:t>
      </w:r>
    </w:p>
    <w:p w:rsidR="00D60A11" w:rsidRPr="00EA05B3" w:rsidRDefault="0027238F" w:rsidP="0027238F">
      <w:pPr>
        <w:pStyle w:val="SingleTxtG"/>
        <w:rPr>
          <w:lang w:val="fr-FR"/>
        </w:rPr>
      </w:pPr>
      <w:r w:rsidRPr="00EA05B3">
        <w:rPr>
          <w:lang w:val="fr-FR"/>
        </w:rPr>
        <w:t>242.</w:t>
      </w:r>
      <w:r w:rsidRPr="00EA05B3">
        <w:rPr>
          <w:lang w:val="fr-FR"/>
        </w:rPr>
        <w:tab/>
      </w:r>
      <w:r w:rsidR="00D60A11" w:rsidRPr="00EA05B3">
        <w:rPr>
          <w:lang w:val="fr-FR"/>
        </w:rPr>
        <w:t>À cet égard, les articles 88 à 94 prévoient les actions suivantes</w:t>
      </w:r>
      <w:r w:rsidR="00B36EE6" w:rsidRPr="00EA05B3">
        <w:rPr>
          <w:lang w:val="fr-FR"/>
        </w:rPr>
        <w:t>:</w:t>
      </w:r>
      <w:r w:rsidR="00D60A11" w:rsidRPr="00EA05B3">
        <w:rPr>
          <w:lang w:val="fr-FR"/>
        </w:rPr>
        <w:t xml:space="preserve"> a) </w:t>
      </w:r>
      <w:r w:rsidR="009379A7" w:rsidRPr="00EA05B3">
        <w:rPr>
          <w:lang w:val="fr-FR"/>
        </w:rPr>
        <w:t>l’</w:t>
      </w:r>
      <w:r w:rsidR="00D60A11" w:rsidRPr="00EA05B3">
        <w:rPr>
          <w:lang w:val="fr-FR"/>
        </w:rPr>
        <w:t>action en protection</w:t>
      </w:r>
      <w:r w:rsidR="00B36EE6" w:rsidRPr="00EA05B3">
        <w:rPr>
          <w:lang w:val="fr-FR"/>
        </w:rPr>
        <w:t>;</w:t>
      </w:r>
      <w:r w:rsidR="00D60A11" w:rsidRPr="00EA05B3">
        <w:rPr>
          <w:lang w:val="fr-FR"/>
        </w:rPr>
        <w:t xml:space="preserve"> b) </w:t>
      </w:r>
      <w:r w:rsidR="009379A7" w:rsidRPr="00EA05B3">
        <w:rPr>
          <w:lang w:val="fr-FR"/>
        </w:rPr>
        <w:t>l’</w:t>
      </w:r>
      <w:r w:rsidR="00D60A11" w:rsidRPr="00EA05B3">
        <w:rPr>
          <w:lang w:val="fr-FR"/>
        </w:rPr>
        <w:t xml:space="preserve">action en </w:t>
      </w:r>
      <w:r w:rsidR="00D60A11" w:rsidRPr="00EA05B3">
        <w:rPr>
          <w:i/>
          <w:lang w:val="fr-FR"/>
        </w:rPr>
        <w:t>habeas corpus</w:t>
      </w:r>
      <w:r w:rsidR="00B36EE6" w:rsidRPr="00EA05B3">
        <w:rPr>
          <w:lang w:val="fr-FR"/>
        </w:rPr>
        <w:t>;</w:t>
      </w:r>
      <w:r w:rsidR="00D60A11" w:rsidRPr="00EA05B3">
        <w:rPr>
          <w:lang w:val="fr-FR"/>
        </w:rPr>
        <w:t xml:space="preserve"> c) </w:t>
      </w:r>
      <w:r w:rsidR="009379A7" w:rsidRPr="00EA05B3">
        <w:rPr>
          <w:lang w:val="fr-FR"/>
        </w:rPr>
        <w:t>l’</w:t>
      </w:r>
      <w:r w:rsidR="00D60A11" w:rsidRPr="00EA05B3">
        <w:rPr>
          <w:lang w:val="fr-FR"/>
        </w:rPr>
        <w:t xml:space="preserve">action en matière </w:t>
      </w:r>
      <w:r w:rsidR="009379A7" w:rsidRPr="00EA05B3">
        <w:rPr>
          <w:lang w:val="fr-FR"/>
        </w:rPr>
        <w:t>d’</w:t>
      </w:r>
      <w:r w:rsidR="00D60A11" w:rsidRPr="00EA05B3">
        <w:rPr>
          <w:lang w:val="fr-FR"/>
        </w:rPr>
        <w:t xml:space="preserve">accès à </w:t>
      </w:r>
      <w:r w:rsidR="009379A7" w:rsidRPr="00EA05B3">
        <w:rPr>
          <w:lang w:val="fr-FR"/>
        </w:rPr>
        <w:t>l’</w:t>
      </w:r>
      <w:r w:rsidR="00D60A11" w:rsidRPr="00EA05B3">
        <w:rPr>
          <w:lang w:val="fr-FR"/>
        </w:rPr>
        <w:t>information publique</w:t>
      </w:r>
      <w:r w:rsidR="00B36EE6" w:rsidRPr="00EA05B3">
        <w:rPr>
          <w:lang w:val="fr-FR"/>
        </w:rPr>
        <w:t>;</w:t>
      </w:r>
      <w:r w:rsidR="00D60A11" w:rsidRPr="00EA05B3">
        <w:rPr>
          <w:lang w:val="fr-FR"/>
        </w:rPr>
        <w:t xml:space="preserve"> d) </w:t>
      </w:r>
      <w:r w:rsidR="009379A7" w:rsidRPr="00EA05B3">
        <w:rPr>
          <w:lang w:val="fr-FR"/>
        </w:rPr>
        <w:t>l’</w:t>
      </w:r>
      <w:r w:rsidR="00D60A11" w:rsidRPr="00EA05B3">
        <w:rPr>
          <w:lang w:val="fr-FR"/>
        </w:rPr>
        <w:t xml:space="preserve">action en </w:t>
      </w:r>
      <w:r w:rsidR="00D60A11" w:rsidRPr="00EA05B3">
        <w:rPr>
          <w:i/>
          <w:lang w:val="fr-FR"/>
        </w:rPr>
        <w:t>habeas data</w:t>
      </w:r>
      <w:r w:rsidR="00B36EE6" w:rsidRPr="00EA05B3">
        <w:rPr>
          <w:lang w:val="fr-FR"/>
        </w:rPr>
        <w:t>;</w:t>
      </w:r>
      <w:r w:rsidR="00D60A11" w:rsidRPr="00EA05B3">
        <w:rPr>
          <w:lang w:val="fr-FR"/>
        </w:rPr>
        <w:t xml:space="preserve"> e) </w:t>
      </w:r>
      <w:r w:rsidR="009379A7" w:rsidRPr="00EA05B3">
        <w:rPr>
          <w:lang w:val="fr-FR"/>
        </w:rPr>
        <w:t>l’</w:t>
      </w:r>
      <w:r w:rsidR="00D60A11" w:rsidRPr="00EA05B3">
        <w:rPr>
          <w:lang w:val="fr-FR"/>
        </w:rPr>
        <w:t>action en manquement</w:t>
      </w:r>
      <w:r w:rsidR="00B36EE6" w:rsidRPr="00EA05B3">
        <w:rPr>
          <w:lang w:val="fr-FR"/>
        </w:rPr>
        <w:t>;</w:t>
      </w:r>
      <w:r w:rsidR="00D60A11" w:rsidRPr="00EA05B3">
        <w:rPr>
          <w:lang w:val="fr-FR"/>
        </w:rPr>
        <w:t xml:space="preserve"> f) </w:t>
      </w:r>
      <w:r w:rsidR="009379A7" w:rsidRPr="00EA05B3">
        <w:rPr>
          <w:lang w:val="fr-FR"/>
        </w:rPr>
        <w:t>l’</w:t>
      </w:r>
      <w:r w:rsidR="00D60A11" w:rsidRPr="00EA05B3">
        <w:rPr>
          <w:lang w:val="fr-FR"/>
        </w:rPr>
        <w:t xml:space="preserve">action extraordinaire en protection. </w:t>
      </w:r>
      <w:r w:rsidR="009379A7" w:rsidRPr="00EA05B3">
        <w:rPr>
          <w:lang w:val="fr-FR"/>
        </w:rPr>
        <w:t>L’</w:t>
      </w:r>
      <w:r w:rsidR="00D60A11" w:rsidRPr="00EA05B3">
        <w:rPr>
          <w:lang w:val="fr-FR"/>
        </w:rPr>
        <w:t xml:space="preserve">action en protection, définie à </w:t>
      </w:r>
      <w:r w:rsidR="009379A7" w:rsidRPr="00EA05B3">
        <w:rPr>
          <w:lang w:val="fr-FR"/>
        </w:rPr>
        <w:t>l’</w:t>
      </w:r>
      <w:r w:rsidR="00D60A11" w:rsidRPr="00EA05B3">
        <w:rPr>
          <w:lang w:val="fr-FR"/>
        </w:rPr>
        <w:t xml:space="preserve">article 88, a pour but de protéger directement et efficacement les droits énoncés dans la Constitution. Elle peut être engagée en cas </w:t>
      </w:r>
      <w:r w:rsidR="009379A7" w:rsidRPr="00EA05B3">
        <w:rPr>
          <w:lang w:val="fr-FR"/>
        </w:rPr>
        <w:t>d’</w:t>
      </w:r>
      <w:r w:rsidR="00D60A11" w:rsidRPr="00EA05B3">
        <w:rPr>
          <w:lang w:val="fr-FR"/>
        </w:rPr>
        <w:t>atteinte de ces droits résultant</w:t>
      </w:r>
      <w:r w:rsidR="00B36EE6" w:rsidRPr="00EA05B3">
        <w:rPr>
          <w:lang w:val="fr-FR"/>
        </w:rPr>
        <w:t>:</w:t>
      </w:r>
      <w:r w:rsidR="00D60A11" w:rsidRPr="00EA05B3">
        <w:rPr>
          <w:lang w:val="fr-FR"/>
        </w:rPr>
        <w:t xml:space="preserve"> </w:t>
      </w:r>
      <w:r w:rsidR="009379A7" w:rsidRPr="00EA05B3">
        <w:rPr>
          <w:lang w:val="fr-FR"/>
        </w:rPr>
        <w:t>d’</w:t>
      </w:r>
      <w:r w:rsidR="00D60A11" w:rsidRPr="00EA05B3">
        <w:rPr>
          <w:lang w:val="fr-FR"/>
        </w:rPr>
        <w:t xml:space="preserve">actes ou </w:t>
      </w:r>
      <w:r w:rsidR="009379A7" w:rsidRPr="00EA05B3">
        <w:rPr>
          <w:lang w:val="fr-FR"/>
        </w:rPr>
        <w:t>d’</w:t>
      </w:r>
      <w:r w:rsidR="00D60A11" w:rsidRPr="00EA05B3">
        <w:rPr>
          <w:lang w:val="fr-FR"/>
        </w:rPr>
        <w:t>omissions de toute autorité publique non judiciaire</w:t>
      </w:r>
      <w:r w:rsidR="00B36EE6" w:rsidRPr="00EA05B3">
        <w:rPr>
          <w:lang w:val="fr-FR"/>
        </w:rPr>
        <w:t>;</w:t>
      </w:r>
      <w:r w:rsidR="00D60A11" w:rsidRPr="00EA05B3">
        <w:rPr>
          <w:lang w:val="fr-FR"/>
        </w:rPr>
        <w:t xml:space="preserve"> de politiques publiques privant la personne de la jouissance ou de </w:t>
      </w:r>
      <w:r w:rsidR="009379A7" w:rsidRPr="00EA05B3">
        <w:rPr>
          <w:lang w:val="fr-FR"/>
        </w:rPr>
        <w:t>l’</w:t>
      </w:r>
      <w:r w:rsidR="00D60A11" w:rsidRPr="00EA05B3">
        <w:rPr>
          <w:lang w:val="fr-FR"/>
        </w:rPr>
        <w:t>exercice des droits constitutionnels</w:t>
      </w:r>
      <w:r w:rsidR="00B36EE6" w:rsidRPr="00EA05B3">
        <w:rPr>
          <w:lang w:val="fr-FR"/>
        </w:rPr>
        <w:t>;</w:t>
      </w:r>
      <w:r w:rsidR="00D60A11" w:rsidRPr="00EA05B3">
        <w:rPr>
          <w:lang w:val="fr-FR"/>
        </w:rPr>
        <w:t xml:space="preserve"> </w:t>
      </w:r>
      <w:r w:rsidR="009379A7" w:rsidRPr="00EA05B3">
        <w:rPr>
          <w:lang w:val="fr-FR"/>
        </w:rPr>
        <w:t>d’</w:t>
      </w:r>
      <w:r w:rsidR="00D60A11" w:rsidRPr="00EA05B3">
        <w:rPr>
          <w:lang w:val="fr-FR"/>
        </w:rPr>
        <w:t>actes imputables à des particuliers et entraînant un préjudice grave</w:t>
      </w:r>
      <w:r w:rsidR="00B36EE6" w:rsidRPr="00EA05B3">
        <w:rPr>
          <w:lang w:val="fr-FR"/>
        </w:rPr>
        <w:t>;</w:t>
      </w:r>
      <w:r w:rsidR="00D60A11" w:rsidRPr="00EA05B3">
        <w:rPr>
          <w:lang w:val="fr-FR"/>
        </w:rPr>
        <w:t xml:space="preserve"> de prestation de services publics inadéquats, sous forme de délégation ou de concession</w:t>
      </w:r>
      <w:r w:rsidR="00B36EE6" w:rsidRPr="00EA05B3">
        <w:rPr>
          <w:lang w:val="fr-FR"/>
        </w:rPr>
        <w:t>;</w:t>
      </w:r>
      <w:r w:rsidR="00D60A11" w:rsidRPr="00EA05B3">
        <w:rPr>
          <w:lang w:val="fr-FR"/>
        </w:rPr>
        <w:t xml:space="preserve"> de situations où la personne lésée est dans une relation de subordination, sans défense ou victime de discrimination.</w:t>
      </w:r>
    </w:p>
    <w:p w:rsidR="00D60A11" w:rsidRPr="00EA05B3" w:rsidRDefault="0027238F" w:rsidP="0027238F">
      <w:pPr>
        <w:pStyle w:val="SingleTxtG"/>
        <w:rPr>
          <w:lang w:val="fr-FR"/>
        </w:rPr>
      </w:pPr>
      <w:r w:rsidRPr="00EA05B3">
        <w:rPr>
          <w:lang w:val="fr-FR"/>
        </w:rPr>
        <w:t>243.</w:t>
      </w:r>
      <w:r w:rsidRPr="00EA05B3">
        <w:rPr>
          <w:lang w:val="fr-FR"/>
        </w:rPr>
        <w:tab/>
      </w:r>
      <w:r w:rsidR="009379A7" w:rsidRPr="00EA05B3">
        <w:rPr>
          <w:lang w:val="fr-FR"/>
        </w:rPr>
        <w:t>L’</w:t>
      </w:r>
      <w:r w:rsidR="00D60A11" w:rsidRPr="00EA05B3">
        <w:rPr>
          <w:lang w:val="fr-FR"/>
        </w:rPr>
        <w:t xml:space="preserve">action en </w:t>
      </w:r>
      <w:r w:rsidR="00D60A11" w:rsidRPr="00EA05B3">
        <w:rPr>
          <w:i/>
          <w:lang w:val="fr-FR"/>
        </w:rPr>
        <w:t>habeas corpus</w:t>
      </w:r>
      <w:r w:rsidR="00D60A11" w:rsidRPr="00EA05B3">
        <w:rPr>
          <w:lang w:val="fr-FR"/>
        </w:rPr>
        <w:t xml:space="preserve">, prévue aux articles 89 et 90, a pour objet de permettre aux personnes privées de liberté de manière illégale, arbitraire ou illégitime de recouvrer leur liberté, ainsi que de protéger la vie et </w:t>
      </w:r>
      <w:r w:rsidR="009379A7" w:rsidRPr="00EA05B3">
        <w:rPr>
          <w:lang w:val="fr-FR"/>
        </w:rPr>
        <w:t>l’</w:t>
      </w:r>
      <w:r w:rsidR="00D60A11" w:rsidRPr="00EA05B3">
        <w:rPr>
          <w:lang w:val="fr-FR"/>
        </w:rPr>
        <w:t xml:space="preserve">intégrité physique des intéressés. À cette fin, il est prévu </w:t>
      </w:r>
      <w:r w:rsidR="009379A7" w:rsidRPr="00EA05B3">
        <w:rPr>
          <w:lang w:val="fr-FR"/>
        </w:rPr>
        <w:t>qu’</w:t>
      </w:r>
      <w:r w:rsidR="00D60A11" w:rsidRPr="00EA05B3">
        <w:rPr>
          <w:lang w:val="fr-FR"/>
        </w:rPr>
        <w:t xml:space="preserve">une fois </w:t>
      </w:r>
      <w:r w:rsidR="009379A7" w:rsidRPr="00EA05B3">
        <w:rPr>
          <w:lang w:val="fr-FR"/>
        </w:rPr>
        <w:t>l’</w:t>
      </w:r>
      <w:r w:rsidR="00D60A11" w:rsidRPr="00EA05B3">
        <w:rPr>
          <w:lang w:val="fr-FR"/>
        </w:rPr>
        <w:t xml:space="preserve">action engagée, le juge, dans un délai de vingt-quatre heures, convoque une audience à laquelle assistent </w:t>
      </w:r>
      <w:r w:rsidR="009379A7" w:rsidRPr="00EA05B3">
        <w:rPr>
          <w:lang w:val="fr-FR"/>
        </w:rPr>
        <w:t>l’</w:t>
      </w:r>
      <w:r w:rsidR="00D60A11" w:rsidRPr="00EA05B3">
        <w:rPr>
          <w:lang w:val="fr-FR"/>
        </w:rPr>
        <w:t xml:space="preserve">intéressé, </w:t>
      </w:r>
      <w:r w:rsidR="009379A7" w:rsidRPr="00EA05B3">
        <w:rPr>
          <w:lang w:val="fr-FR"/>
        </w:rPr>
        <w:t>l’</w:t>
      </w:r>
      <w:r w:rsidR="00D60A11" w:rsidRPr="00EA05B3">
        <w:rPr>
          <w:lang w:val="fr-FR"/>
        </w:rPr>
        <w:t xml:space="preserve">autorité qui en assure la garde, </w:t>
      </w:r>
      <w:r w:rsidR="009379A7" w:rsidRPr="00EA05B3">
        <w:rPr>
          <w:lang w:val="fr-FR"/>
        </w:rPr>
        <w:t>l’</w:t>
      </w:r>
      <w:r w:rsidR="00D60A11" w:rsidRPr="00EA05B3">
        <w:rPr>
          <w:lang w:val="fr-FR"/>
        </w:rPr>
        <w:t xml:space="preserve">avocat au titre de </w:t>
      </w:r>
      <w:r w:rsidR="009379A7" w:rsidRPr="00EA05B3">
        <w:rPr>
          <w:lang w:val="fr-FR"/>
        </w:rPr>
        <w:t>l’</w:t>
      </w:r>
      <w:r w:rsidR="00D60A11" w:rsidRPr="00EA05B3">
        <w:rPr>
          <w:lang w:val="fr-FR"/>
        </w:rPr>
        <w:t xml:space="preserve">aide juridictionnelle et la personne qui a délivré ou fait délivrer le mandat </w:t>
      </w:r>
      <w:r w:rsidR="009379A7" w:rsidRPr="00EA05B3">
        <w:rPr>
          <w:lang w:val="fr-FR"/>
        </w:rPr>
        <w:t>d’</w:t>
      </w:r>
      <w:r w:rsidR="00D60A11" w:rsidRPr="00EA05B3">
        <w:rPr>
          <w:lang w:val="fr-FR"/>
        </w:rPr>
        <w:t>arrêt</w:t>
      </w:r>
      <w:r w:rsidR="00B36EE6" w:rsidRPr="00EA05B3">
        <w:rPr>
          <w:lang w:val="fr-FR"/>
        </w:rPr>
        <w:t>;</w:t>
      </w:r>
      <w:r w:rsidR="00D60A11" w:rsidRPr="00EA05B3">
        <w:rPr>
          <w:lang w:val="fr-FR"/>
        </w:rPr>
        <w:t xml:space="preserve"> le mandat </w:t>
      </w:r>
      <w:r w:rsidR="009379A7" w:rsidRPr="00EA05B3">
        <w:rPr>
          <w:lang w:val="fr-FR"/>
        </w:rPr>
        <w:t>d’</w:t>
      </w:r>
      <w:r w:rsidR="00D60A11" w:rsidRPr="00EA05B3">
        <w:rPr>
          <w:lang w:val="fr-FR"/>
        </w:rPr>
        <w:t xml:space="preserve">arrêt doit également être présenté. </w:t>
      </w:r>
      <w:r w:rsidR="009379A7" w:rsidRPr="00EA05B3">
        <w:rPr>
          <w:lang w:val="fr-FR"/>
        </w:rPr>
        <w:t>L’</w:t>
      </w:r>
      <w:r w:rsidR="00D60A11" w:rsidRPr="00EA05B3">
        <w:rPr>
          <w:lang w:val="fr-FR"/>
        </w:rPr>
        <w:t xml:space="preserve">audience doit se tenir là où a eu lieu la privation de liberté. De plus, la décision doit être rendue dans les vingt-quatre heures qui suivent </w:t>
      </w:r>
      <w:r w:rsidR="009379A7" w:rsidRPr="00EA05B3">
        <w:rPr>
          <w:lang w:val="fr-FR"/>
        </w:rPr>
        <w:t>l’</w:t>
      </w:r>
      <w:r w:rsidR="00D60A11" w:rsidRPr="00EA05B3">
        <w:rPr>
          <w:lang w:val="fr-FR"/>
        </w:rPr>
        <w:t xml:space="preserve">audience et </w:t>
      </w:r>
      <w:r w:rsidR="009379A7" w:rsidRPr="00EA05B3">
        <w:rPr>
          <w:lang w:val="fr-FR"/>
        </w:rPr>
        <w:t>s’</w:t>
      </w:r>
      <w:r w:rsidR="00D60A11" w:rsidRPr="00EA05B3">
        <w:rPr>
          <w:lang w:val="fr-FR"/>
        </w:rPr>
        <w:t xml:space="preserve">il apparaît que la privation de liberté était illégitime ou arbitraire, la personne est remise en liberté immédiatement. </w:t>
      </w:r>
      <w:r w:rsidR="009379A7" w:rsidRPr="00EA05B3">
        <w:rPr>
          <w:lang w:val="fr-FR"/>
        </w:rPr>
        <w:t>S’</w:t>
      </w:r>
      <w:r w:rsidR="00D60A11" w:rsidRPr="00EA05B3">
        <w:rPr>
          <w:lang w:val="fr-FR"/>
        </w:rPr>
        <w:t xml:space="preserve">il y a eu torture ou traitement inhumain, cruel ou dégradant sous quelque forme que ce soit, dans la mesure du possible, </w:t>
      </w:r>
      <w:r w:rsidR="009379A7" w:rsidRPr="00EA05B3">
        <w:rPr>
          <w:lang w:val="fr-FR"/>
        </w:rPr>
        <w:t>l’</w:t>
      </w:r>
      <w:r w:rsidR="00D60A11" w:rsidRPr="00EA05B3">
        <w:rPr>
          <w:lang w:val="fr-FR"/>
        </w:rPr>
        <w:t xml:space="preserve">intéressé est remis en liberté, bénéficie </w:t>
      </w:r>
      <w:r w:rsidR="009379A7" w:rsidRPr="00EA05B3">
        <w:rPr>
          <w:lang w:val="fr-FR"/>
        </w:rPr>
        <w:t>d’</w:t>
      </w:r>
      <w:r w:rsidR="00D60A11" w:rsidRPr="00EA05B3">
        <w:rPr>
          <w:lang w:val="fr-FR"/>
        </w:rPr>
        <w:t xml:space="preserve">une prise en charge complète et spécialisée et des mesures autres que la privation de liberté sont imposées. Enfin, si le lieu de privation de liberté </w:t>
      </w:r>
      <w:r w:rsidR="009379A7" w:rsidRPr="00EA05B3">
        <w:rPr>
          <w:lang w:val="fr-FR"/>
        </w:rPr>
        <w:t>n’</w:t>
      </w:r>
      <w:r w:rsidR="00D60A11" w:rsidRPr="00EA05B3">
        <w:rPr>
          <w:lang w:val="fr-FR"/>
        </w:rPr>
        <w:t xml:space="preserve">est pas connu et </w:t>
      </w:r>
      <w:r w:rsidR="009379A7" w:rsidRPr="00EA05B3">
        <w:rPr>
          <w:lang w:val="fr-FR"/>
        </w:rPr>
        <w:t>qu’</w:t>
      </w:r>
      <w:r w:rsidR="00D60A11" w:rsidRPr="00EA05B3">
        <w:rPr>
          <w:lang w:val="fr-FR"/>
        </w:rPr>
        <w:t xml:space="preserve">il existe des indices de </w:t>
      </w:r>
      <w:r w:rsidR="009379A7" w:rsidRPr="00EA05B3">
        <w:rPr>
          <w:lang w:val="fr-FR"/>
        </w:rPr>
        <w:t>l’</w:t>
      </w:r>
      <w:r w:rsidR="00D60A11" w:rsidRPr="00EA05B3">
        <w:rPr>
          <w:lang w:val="fr-FR"/>
        </w:rPr>
        <w:t xml:space="preserve">implication </w:t>
      </w:r>
      <w:r w:rsidR="009379A7" w:rsidRPr="00EA05B3">
        <w:rPr>
          <w:lang w:val="fr-FR"/>
        </w:rPr>
        <w:t>d’</w:t>
      </w:r>
      <w:r w:rsidR="00D60A11" w:rsidRPr="00EA05B3">
        <w:rPr>
          <w:lang w:val="fr-FR"/>
        </w:rPr>
        <w:t xml:space="preserve">un fonctionnaire ou </w:t>
      </w:r>
      <w:r w:rsidR="009379A7" w:rsidRPr="00EA05B3">
        <w:rPr>
          <w:lang w:val="fr-FR"/>
        </w:rPr>
        <w:t>d’</w:t>
      </w:r>
      <w:r w:rsidR="00D60A11" w:rsidRPr="00EA05B3">
        <w:rPr>
          <w:lang w:val="fr-FR"/>
        </w:rPr>
        <w:t xml:space="preserve">un autre agent de </w:t>
      </w:r>
      <w:r w:rsidR="009379A7" w:rsidRPr="00EA05B3">
        <w:rPr>
          <w:lang w:val="fr-FR"/>
        </w:rPr>
        <w:t>l’</w:t>
      </w:r>
      <w:r w:rsidR="00D60A11" w:rsidRPr="00EA05B3">
        <w:rPr>
          <w:lang w:val="fr-FR"/>
        </w:rPr>
        <w:t xml:space="preserve">État, ou de personnes agissant avec leur autorisation, leur appui ou leur consentement, le plus haut représentant de la police nationale et le ministre compétent sont convoqués pour débattre des mesures à prendre pour retrouver </w:t>
      </w:r>
      <w:r w:rsidR="009379A7" w:rsidRPr="00EA05B3">
        <w:rPr>
          <w:lang w:val="fr-FR"/>
        </w:rPr>
        <w:t>l’</w:t>
      </w:r>
      <w:r w:rsidR="00D60A11" w:rsidRPr="00EA05B3">
        <w:rPr>
          <w:lang w:val="fr-FR"/>
        </w:rPr>
        <w:t>intéressé et ceux qui sont responsables de sa privation de liberté.</w:t>
      </w:r>
    </w:p>
    <w:p w:rsidR="00D60A11" w:rsidRPr="00EA05B3" w:rsidRDefault="0027238F" w:rsidP="0027238F">
      <w:pPr>
        <w:pStyle w:val="SingleTxtG"/>
        <w:rPr>
          <w:lang w:val="fr-FR"/>
        </w:rPr>
      </w:pPr>
      <w:r w:rsidRPr="00EA05B3">
        <w:rPr>
          <w:lang w:val="fr-FR"/>
        </w:rPr>
        <w:t>244.</w:t>
      </w:r>
      <w:r w:rsidRPr="00EA05B3">
        <w:rPr>
          <w:lang w:val="fr-FR"/>
        </w:rPr>
        <w:tab/>
      </w:r>
      <w:r w:rsidR="009379A7" w:rsidRPr="00EA05B3">
        <w:rPr>
          <w:lang w:val="fr-FR"/>
        </w:rPr>
        <w:t>L’</w:t>
      </w:r>
      <w:r w:rsidR="00D60A11" w:rsidRPr="00EA05B3">
        <w:rPr>
          <w:lang w:val="fr-FR"/>
        </w:rPr>
        <w:t xml:space="preserve">action en matière </w:t>
      </w:r>
      <w:r w:rsidR="009379A7" w:rsidRPr="00EA05B3">
        <w:rPr>
          <w:lang w:val="fr-FR"/>
        </w:rPr>
        <w:t>d’</w:t>
      </w:r>
      <w:r w:rsidR="00D60A11" w:rsidRPr="00EA05B3">
        <w:rPr>
          <w:lang w:val="fr-FR"/>
        </w:rPr>
        <w:t xml:space="preserve">accès à </w:t>
      </w:r>
      <w:r w:rsidR="009379A7" w:rsidRPr="00EA05B3">
        <w:rPr>
          <w:lang w:val="fr-FR"/>
        </w:rPr>
        <w:t>l’</w:t>
      </w:r>
      <w:r w:rsidR="00D60A11" w:rsidRPr="00EA05B3">
        <w:rPr>
          <w:lang w:val="fr-FR"/>
        </w:rPr>
        <w:t xml:space="preserve">information publique définie à </w:t>
      </w:r>
      <w:r w:rsidR="009379A7" w:rsidRPr="00EA05B3">
        <w:rPr>
          <w:lang w:val="fr-FR"/>
        </w:rPr>
        <w:t>l’</w:t>
      </w:r>
      <w:r w:rsidR="00D60A11" w:rsidRPr="00EA05B3">
        <w:rPr>
          <w:lang w:val="fr-FR"/>
        </w:rPr>
        <w:t xml:space="preserve">article 91 a pour objet de garantir </w:t>
      </w:r>
      <w:r w:rsidR="009379A7" w:rsidRPr="00EA05B3">
        <w:rPr>
          <w:lang w:val="fr-FR"/>
        </w:rPr>
        <w:t>l’</w:t>
      </w:r>
      <w:r w:rsidR="00D60A11" w:rsidRPr="00EA05B3">
        <w:rPr>
          <w:lang w:val="fr-FR"/>
        </w:rPr>
        <w:t xml:space="preserve">accès à </w:t>
      </w:r>
      <w:r w:rsidR="009379A7" w:rsidRPr="00EA05B3">
        <w:rPr>
          <w:lang w:val="fr-FR"/>
        </w:rPr>
        <w:t>l’</w:t>
      </w:r>
      <w:r w:rsidR="00D60A11" w:rsidRPr="00EA05B3">
        <w:rPr>
          <w:lang w:val="fr-FR"/>
        </w:rPr>
        <w:t xml:space="preserve">information publique lorsque cet accès a été refusé de manière expresse ou tacite ou que </w:t>
      </w:r>
      <w:r w:rsidR="009379A7" w:rsidRPr="00EA05B3">
        <w:rPr>
          <w:lang w:val="fr-FR"/>
        </w:rPr>
        <w:t>l’</w:t>
      </w:r>
      <w:r w:rsidR="00D60A11" w:rsidRPr="00EA05B3">
        <w:rPr>
          <w:lang w:val="fr-FR"/>
        </w:rPr>
        <w:t xml:space="preserve">information était incomplète ou non fiable. </w:t>
      </w:r>
      <w:r w:rsidR="009379A7" w:rsidRPr="00EA05B3">
        <w:rPr>
          <w:lang w:val="fr-FR"/>
        </w:rPr>
        <w:t>L’</w:t>
      </w:r>
      <w:r w:rsidR="00D60A11" w:rsidRPr="00EA05B3">
        <w:rPr>
          <w:lang w:val="fr-FR"/>
        </w:rPr>
        <w:t xml:space="preserve">action peut être engagée y compris lorsque le refus de donner des informations est motivé par leur caractère secret, </w:t>
      </w:r>
      <w:r w:rsidR="009379A7" w:rsidRPr="00EA05B3">
        <w:rPr>
          <w:lang w:val="fr-FR"/>
        </w:rPr>
        <w:t>l’</w:t>
      </w:r>
      <w:r w:rsidR="00D60A11" w:rsidRPr="00EA05B3">
        <w:rPr>
          <w:lang w:val="fr-FR"/>
        </w:rPr>
        <w:t xml:space="preserve">accès réservé ou le caractère confidentiel de </w:t>
      </w:r>
      <w:r w:rsidR="009379A7" w:rsidRPr="00EA05B3">
        <w:rPr>
          <w:lang w:val="fr-FR"/>
        </w:rPr>
        <w:t>l’</w:t>
      </w:r>
      <w:r w:rsidR="00D60A11" w:rsidRPr="00EA05B3">
        <w:rPr>
          <w:lang w:val="fr-FR"/>
        </w:rPr>
        <w:t xml:space="preserve">information ou tout autre niveau de classification. Par ailleurs, conformément à la loi, </w:t>
      </w:r>
      <w:r w:rsidR="009379A7" w:rsidRPr="00EA05B3">
        <w:rPr>
          <w:lang w:val="fr-FR"/>
        </w:rPr>
        <w:t>l’</w:t>
      </w:r>
      <w:r w:rsidR="00D60A11" w:rsidRPr="00EA05B3">
        <w:rPr>
          <w:lang w:val="fr-FR"/>
        </w:rPr>
        <w:t xml:space="preserve">autorité compétente doit avoir précisé le caractère confidentiel de </w:t>
      </w:r>
      <w:r w:rsidR="009379A7" w:rsidRPr="00EA05B3">
        <w:rPr>
          <w:lang w:val="fr-FR"/>
        </w:rPr>
        <w:t>l’</w:t>
      </w:r>
      <w:r w:rsidR="00D60A11" w:rsidRPr="00EA05B3">
        <w:rPr>
          <w:lang w:val="fr-FR"/>
        </w:rPr>
        <w:t xml:space="preserve">information avant </w:t>
      </w:r>
      <w:r w:rsidR="009379A7" w:rsidRPr="00EA05B3">
        <w:rPr>
          <w:lang w:val="fr-FR"/>
        </w:rPr>
        <w:t>d’</w:t>
      </w:r>
      <w:r w:rsidR="00D60A11" w:rsidRPr="00EA05B3">
        <w:rPr>
          <w:lang w:val="fr-FR"/>
        </w:rPr>
        <w:t xml:space="preserve">avoir reçu la demande </w:t>
      </w:r>
      <w:r w:rsidR="009379A7" w:rsidRPr="00EA05B3">
        <w:rPr>
          <w:lang w:val="fr-FR"/>
        </w:rPr>
        <w:t>d’</w:t>
      </w:r>
      <w:r w:rsidR="00D60A11" w:rsidRPr="00EA05B3">
        <w:rPr>
          <w:lang w:val="fr-FR"/>
        </w:rPr>
        <w:t xml:space="preserve">accès à </w:t>
      </w:r>
      <w:r w:rsidR="009379A7" w:rsidRPr="00EA05B3">
        <w:rPr>
          <w:lang w:val="fr-FR"/>
        </w:rPr>
        <w:t>l’</w:t>
      </w:r>
      <w:r w:rsidR="00D60A11" w:rsidRPr="00EA05B3">
        <w:rPr>
          <w:lang w:val="fr-FR"/>
        </w:rPr>
        <w:t>information.</w:t>
      </w:r>
    </w:p>
    <w:p w:rsidR="00D60A11" w:rsidRPr="00EA05B3" w:rsidRDefault="0027238F" w:rsidP="0027238F">
      <w:pPr>
        <w:pStyle w:val="SingleTxtG"/>
        <w:rPr>
          <w:lang w:val="fr-FR"/>
        </w:rPr>
      </w:pPr>
      <w:r w:rsidRPr="00EA05B3">
        <w:rPr>
          <w:lang w:val="fr-FR"/>
        </w:rPr>
        <w:t>245.</w:t>
      </w:r>
      <w:r w:rsidRPr="00EA05B3">
        <w:rPr>
          <w:lang w:val="fr-FR"/>
        </w:rPr>
        <w:tab/>
      </w:r>
      <w:r w:rsidR="009379A7" w:rsidRPr="00EA05B3">
        <w:rPr>
          <w:lang w:val="fr-FR"/>
        </w:rPr>
        <w:t>L’</w:t>
      </w:r>
      <w:r w:rsidR="00D60A11" w:rsidRPr="00EA05B3">
        <w:rPr>
          <w:lang w:val="fr-FR"/>
        </w:rPr>
        <w:t xml:space="preserve">article 92 traite de </w:t>
      </w:r>
      <w:r w:rsidR="009379A7" w:rsidRPr="00EA05B3">
        <w:rPr>
          <w:lang w:val="fr-FR"/>
        </w:rPr>
        <w:t>l’</w:t>
      </w:r>
      <w:r w:rsidR="00D60A11" w:rsidRPr="00EA05B3">
        <w:rPr>
          <w:lang w:val="fr-FR"/>
        </w:rPr>
        <w:t xml:space="preserve">action en </w:t>
      </w:r>
      <w:r w:rsidR="00D60A11" w:rsidRPr="00EA05B3">
        <w:rPr>
          <w:i/>
          <w:lang w:val="fr-FR"/>
        </w:rPr>
        <w:t>habeas data</w:t>
      </w:r>
      <w:r w:rsidR="00D60A11" w:rsidRPr="00EA05B3">
        <w:rPr>
          <w:lang w:val="fr-FR"/>
        </w:rPr>
        <w:t xml:space="preserve">, et reconnaît à toute personne ou à son représentant légitime le droit </w:t>
      </w:r>
      <w:r w:rsidR="009379A7" w:rsidRPr="00EA05B3">
        <w:rPr>
          <w:lang w:val="fr-FR"/>
        </w:rPr>
        <w:t>d’</w:t>
      </w:r>
      <w:r w:rsidR="00D60A11" w:rsidRPr="00EA05B3">
        <w:rPr>
          <w:lang w:val="fr-FR"/>
        </w:rPr>
        <w:t xml:space="preserve">être informé de </w:t>
      </w:r>
      <w:r w:rsidR="009379A7" w:rsidRPr="00EA05B3">
        <w:rPr>
          <w:lang w:val="fr-FR"/>
        </w:rPr>
        <w:t>l’</w:t>
      </w:r>
      <w:r w:rsidR="00D60A11" w:rsidRPr="00EA05B3">
        <w:rPr>
          <w:lang w:val="fr-FR"/>
        </w:rPr>
        <w:t xml:space="preserve">existence de documents, de données génétiques, de banques de données personnelles ou de dossiers personnels, et de rapports sur la personne ou sur ses biens, sur support matériel ou électronique, se trouvant dans les dossiers </w:t>
      </w:r>
      <w:r w:rsidR="009379A7" w:rsidRPr="00EA05B3">
        <w:rPr>
          <w:lang w:val="fr-FR"/>
        </w:rPr>
        <w:t>d’</w:t>
      </w:r>
      <w:r w:rsidR="00D60A11" w:rsidRPr="00EA05B3">
        <w:rPr>
          <w:lang w:val="fr-FR"/>
        </w:rPr>
        <w:t xml:space="preserve">institutions publiques ou privées, et </w:t>
      </w:r>
      <w:r w:rsidR="009379A7" w:rsidRPr="00EA05B3">
        <w:rPr>
          <w:lang w:val="fr-FR"/>
        </w:rPr>
        <w:t>d’</w:t>
      </w:r>
      <w:r w:rsidR="00D60A11" w:rsidRPr="00EA05B3">
        <w:rPr>
          <w:lang w:val="fr-FR"/>
        </w:rPr>
        <w:t xml:space="preserve">y avoir accès. Le même article reconnaît à </w:t>
      </w:r>
      <w:r w:rsidR="009379A7" w:rsidRPr="00EA05B3">
        <w:rPr>
          <w:lang w:val="fr-FR"/>
        </w:rPr>
        <w:t>l’</w:t>
      </w:r>
      <w:r w:rsidR="00D60A11" w:rsidRPr="00EA05B3">
        <w:rPr>
          <w:lang w:val="fr-FR"/>
        </w:rPr>
        <w:t xml:space="preserve">intéressé le droit de connaître </w:t>
      </w:r>
      <w:r w:rsidR="009379A7" w:rsidRPr="00EA05B3">
        <w:rPr>
          <w:lang w:val="fr-FR"/>
        </w:rPr>
        <w:t>l’</w:t>
      </w:r>
      <w:r w:rsidR="00D60A11" w:rsidRPr="00EA05B3">
        <w:rPr>
          <w:lang w:val="fr-FR"/>
        </w:rPr>
        <w:t xml:space="preserve">origine, </w:t>
      </w:r>
      <w:r w:rsidR="009379A7" w:rsidRPr="00EA05B3">
        <w:rPr>
          <w:lang w:val="fr-FR"/>
        </w:rPr>
        <w:t>l’</w:t>
      </w:r>
      <w:r w:rsidR="00D60A11" w:rsidRPr="00EA05B3">
        <w:rPr>
          <w:lang w:val="fr-FR"/>
        </w:rPr>
        <w:t xml:space="preserve">usage, la finalité, la destination et la durée de validité du dossier ou de la banque de données le concernant personnellement. Enfin, chacun peut demander </w:t>
      </w:r>
      <w:r w:rsidR="009379A7" w:rsidRPr="00EA05B3">
        <w:rPr>
          <w:lang w:val="fr-FR"/>
        </w:rPr>
        <w:t>l’</w:t>
      </w:r>
      <w:r w:rsidR="00D60A11" w:rsidRPr="00EA05B3">
        <w:rPr>
          <w:lang w:val="fr-FR"/>
        </w:rPr>
        <w:t xml:space="preserve">accès gratuit à son dossier, de même que la mise à jour, la rectification, la suppression ou </w:t>
      </w:r>
      <w:r w:rsidR="009379A7" w:rsidRPr="00EA05B3">
        <w:rPr>
          <w:lang w:val="fr-FR"/>
        </w:rPr>
        <w:t>l’</w:t>
      </w:r>
      <w:r w:rsidR="00D60A11" w:rsidRPr="00EA05B3">
        <w:rPr>
          <w:lang w:val="fr-FR"/>
        </w:rPr>
        <w:t>annulation des données et exiger réparation des préjudices subis.</w:t>
      </w:r>
    </w:p>
    <w:p w:rsidR="00D60A11" w:rsidRPr="00EA05B3" w:rsidRDefault="0027238F" w:rsidP="0027238F">
      <w:pPr>
        <w:pStyle w:val="SingleTxtG"/>
        <w:rPr>
          <w:lang w:val="fr-FR"/>
        </w:rPr>
      </w:pPr>
      <w:r w:rsidRPr="00EA05B3">
        <w:rPr>
          <w:lang w:val="fr-FR"/>
        </w:rPr>
        <w:t>246.</w:t>
      </w:r>
      <w:r w:rsidRPr="00EA05B3">
        <w:rPr>
          <w:lang w:val="fr-FR"/>
        </w:rPr>
        <w:tab/>
      </w:r>
      <w:r w:rsidR="009379A7" w:rsidRPr="00EA05B3">
        <w:rPr>
          <w:lang w:val="fr-FR"/>
        </w:rPr>
        <w:t>L’</w:t>
      </w:r>
      <w:r w:rsidR="00D60A11" w:rsidRPr="00EA05B3">
        <w:rPr>
          <w:lang w:val="fr-FR"/>
        </w:rPr>
        <w:t xml:space="preserve">action en manquement, définie à </w:t>
      </w:r>
      <w:r w:rsidR="009379A7" w:rsidRPr="00EA05B3">
        <w:rPr>
          <w:lang w:val="fr-FR"/>
        </w:rPr>
        <w:t>l’</w:t>
      </w:r>
      <w:r w:rsidR="00D60A11" w:rsidRPr="00EA05B3">
        <w:rPr>
          <w:lang w:val="fr-FR"/>
        </w:rPr>
        <w:t xml:space="preserve">article 93, a pour objet </w:t>
      </w:r>
      <w:r w:rsidR="009379A7" w:rsidRPr="00EA05B3">
        <w:rPr>
          <w:lang w:val="fr-FR"/>
        </w:rPr>
        <w:t>l’</w:t>
      </w:r>
      <w:r w:rsidR="00D60A11" w:rsidRPr="00EA05B3">
        <w:rPr>
          <w:lang w:val="fr-FR"/>
        </w:rPr>
        <w:t xml:space="preserve">application des règles juridiques ainsi que la mise en œuvre des arrêts et rapports </w:t>
      </w:r>
      <w:r w:rsidR="009379A7" w:rsidRPr="00EA05B3">
        <w:rPr>
          <w:lang w:val="fr-FR"/>
        </w:rPr>
        <w:t>d’</w:t>
      </w:r>
      <w:r w:rsidR="00D60A11" w:rsidRPr="00EA05B3">
        <w:rPr>
          <w:lang w:val="fr-FR"/>
        </w:rPr>
        <w:t xml:space="preserve">organismes internationaux de protection des droits de </w:t>
      </w:r>
      <w:r w:rsidR="009379A7" w:rsidRPr="00EA05B3">
        <w:rPr>
          <w:lang w:val="fr-FR"/>
        </w:rPr>
        <w:t>l’</w:t>
      </w:r>
      <w:r w:rsidR="00D60A11" w:rsidRPr="00EA05B3">
        <w:rPr>
          <w:lang w:val="fr-FR"/>
        </w:rPr>
        <w:t xml:space="preserve">homme, lorsque la règle ou la décision dont on requiert </w:t>
      </w:r>
      <w:r w:rsidR="009379A7" w:rsidRPr="00EA05B3">
        <w:rPr>
          <w:lang w:val="fr-FR"/>
        </w:rPr>
        <w:t>l’</w:t>
      </w:r>
      <w:r w:rsidR="00D60A11" w:rsidRPr="00EA05B3">
        <w:rPr>
          <w:lang w:val="fr-FR"/>
        </w:rPr>
        <w:t>application contient une obligation de faire ou de ne pas faire claire, expresse et exigible. Du fait de sa particularité, ce recours doit être engagé auprès de la Cour constitutionnelle.</w:t>
      </w:r>
    </w:p>
    <w:p w:rsidR="00D60A11" w:rsidRPr="00EA05B3" w:rsidRDefault="0027238F" w:rsidP="0027238F">
      <w:pPr>
        <w:pStyle w:val="SingleTxtG"/>
        <w:rPr>
          <w:lang w:val="fr-FR"/>
        </w:rPr>
      </w:pPr>
      <w:r w:rsidRPr="00EA05B3">
        <w:rPr>
          <w:lang w:val="fr-FR"/>
        </w:rPr>
        <w:t>247.</w:t>
      </w:r>
      <w:r w:rsidRPr="00EA05B3">
        <w:rPr>
          <w:lang w:val="fr-FR"/>
        </w:rPr>
        <w:tab/>
      </w:r>
      <w:r w:rsidR="00D60A11" w:rsidRPr="00EA05B3">
        <w:rPr>
          <w:lang w:val="fr-FR"/>
        </w:rPr>
        <w:t xml:space="preserve">Enfin, </w:t>
      </w:r>
      <w:r w:rsidR="009379A7" w:rsidRPr="00EA05B3">
        <w:rPr>
          <w:lang w:val="fr-FR"/>
        </w:rPr>
        <w:t>l’</w:t>
      </w:r>
      <w:r w:rsidR="00D60A11" w:rsidRPr="00EA05B3">
        <w:rPr>
          <w:lang w:val="fr-FR"/>
        </w:rPr>
        <w:t xml:space="preserve">article 94 prévoit </w:t>
      </w:r>
      <w:r w:rsidR="009379A7" w:rsidRPr="00EA05B3">
        <w:rPr>
          <w:lang w:val="fr-FR"/>
        </w:rPr>
        <w:t>l’</w:t>
      </w:r>
      <w:r w:rsidR="00D60A11" w:rsidRPr="00EA05B3">
        <w:rPr>
          <w:lang w:val="fr-FR"/>
        </w:rPr>
        <w:t>action extraordinaire en protection, engagée contre les décisions ou arrêts définitifs qui constituent une violation par action ou par omission, des droits reconnus par la Constitution. Du fait de sa particularité, cette action doit être engagée auprès de la Cour constitutionnelle et seulement lorsque les voies de recours ordinaires et extraordinaires ont été épuisés, à moins que le fait de ne pas avoir formé de recours ne soit</w:t>
      </w:r>
      <w:r w:rsidR="00CE0CD4" w:rsidRPr="00EA05B3">
        <w:rPr>
          <w:lang w:val="fr-FR"/>
        </w:rPr>
        <w:t xml:space="preserve"> </w:t>
      </w:r>
      <w:r w:rsidR="00D60A11" w:rsidRPr="00EA05B3">
        <w:rPr>
          <w:lang w:val="fr-FR"/>
        </w:rPr>
        <w:t xml:space="preserve">dû à la négligence de </w:t>
      </w:r>
      <w:r w:rsidR="009379A7" w:rsidRPr="00EA05B3">
        <w:rPr>
          <w:lang w:val="fr-FR"/>
        </w:rPr>
        <w:t>l’</w:t>
      </w:r>
      <w:r w:rsidR="00D60A11" w:rsidRPr="00EA05B3">
        <w:rPr>
          <w:lang w:val="fr-FR"/>
        </w:rPr>
        <w:t>intéressé.</w:t>
      </w:r>
    </w:p>
    <w:p w:rsidR="00D60A11" w:rsidRPr="00EA05B3" w:rsidRDefault="0027238F" w:rsidP="0027238F">
      <w:pPr>
        <w:pStyle w:val="SingleTxtG"/>
        <w:rPr>
          <w:lang w:val="fr-FR"/>
        </w:rPr>
      </w:pPr>
      <w:r w:rsidRPr="00EA05B3">
        <w:rPr>
          <w:lang w:val="fr-FR"/>
        </w:rPr>
        <w:t>248.</w:t>
      </w:r>
      <w:r w:rsidRPr="00EA05B3">
        <w:rPr>
          <w:lang w:val="fr-FR"/>
        </w:rPr>
        <w:tab/>
      </w:r>
      <w:r w:rsidR="00D60A11" w:rsidRPr="00EA05B3">
        <w:rPr>
          <w:lang w:val="fr-FR"/>
        </w:rPr>
        <w:t xml:space="preserve">Il convient aussi </w:t>
      </w:r>
      <w:r w:rsidR="009379A7" w:rsidRPr="00EA05B3">
        <w:rPr>
          <w:lang w:val="fr-FR"/>
        </w:rPr>
        <w:t>d’</w:t>
      </w:r>
      <w:r w:rsidR="00D60A11" w:rsidRPr="00EA05B3">
        <w:rPr>
          <w:lang w:val="fr-FR"/>
        </w:rPr>
        <w:t xml:space="preserve">évoquer la question des institutions appelées à protéger les droits fondamentaux, et plus particulièrement les droits des femmes, de certains groupes </w:t>
      </w:r>
      <w:r w:rsidR="009379A7" w:rsidRPr="00EA05B3">
        <w:rPr>
          <w:lang w:val="fr-FR"/>
        </w:rPr>
        <w:t>d’</w:t>
      </w:r>
      <w:r w:rsidR="00D60A11" w:rsidRPr="00EA05B3">
        <w:rPr>
          <w:lang w:val="fr-FR"/>
        </w:rPr>
        <w:t xml:space="preserve">âge, des peuples, des communautés, des nationalités, etc. Comme on </w:t>
      </w:r>
      <w:r w:rsidR="009379A7" w:rsidRPr="00EA05B3">
        <w:rPr>
          <w:lang w:val="fr-FR"/>
        </w:rPr>
        <w:t>l’</w:t>
      </w:r>
      <w:r w:rsidR="00D60A11" w:rsidRPr="00EA05B3">
        <w:rPr>
          <w:lang w:val="fr-FR"/>
        </w:rPr>
        <w:t xml:space="preserve">a déjà dit, toutes les institutions, à tous les niveaux, sont tenues de respecter et de garantir les droits des personnes. Néanmoins, certains organes ont des attributions spécifiques. </w:t>
      </w:r>
      <w:r w:rsidR="009379A7" w:rsidRPr="00EA05B3">
        <w:rPr>
          <w:lang w:val="fr-FR"/>
        </w:rPr>
        <w:t>C’</w:t>
      </w:r>
      <w:r w:rsidR="00D60A11" w:rsidRPr="00EA05B3">
        <w:rPr>
          <w:lang w:val="fr-FR"/>
        </w:rPr>
        <w:t xml:space="preserve">est ainsi que la fonction exécutive, par exemple, a sous son égide les conseils nationaux de </w:t>
      </w:r>
      <w:r w:rsidR="009379A7" w:rsidRPr="00EA05B3">
        <w:rPr>
          <w:lang w:val="fr-FR"/>
        </w:rPr>
        <w:t>l’</w:t>
      </w:r>
      <w:r w:rsidR="00D60A11" w:rsidRPr="00EA05B3">
        <w:rPr>
          <w:lang w:val="fr-FR"/>
        </w:rPr>
        <w:t xml:space="preserve">égalité qui sont chargés de garantir </w:t>
      </w:r>
      <w:r w:rsidR="009379A7" w:rsidRPr="00EA05B3">
        <w:rPr>
          <w:lang w:val="fr-FR"/>
        </w:rPr>
        <w:t>l’</w:t>
      </w:r>
      <w:r w:rsidR="00D60A11" w:rsidRPr="00EA05B3">
        <w:rPr>
          <w:lang w:val="fr-FR"/>
        </w:rPr>
        <w:t xml:space="preserve">entière jouissance et </w:t>
      </w:r>
      <w:r w:rsidR="009379A7" w:rsidRPr="00EA05B3">
        <w:rPr>
          <w:lang w:val="fr-FR"/>
        </w:rPr>
        <w:t>l’</w:t>
      </w:r>
      <w:r w:rsidR="00D60A11" w:rsidRPr="00EA05B3">
        <w:rPr>
          <w:lang w:val="fr-FR"/>
        </w:rPr>
        <w:t xml:space="preserve">exercice des droits reconnus dans la Constitution et dans les instruments internationaux relatifs aux droits de </w:t>
      </w:r>
      <w:r w:rsidR="009379A7" w:rsidRPr="00EA05B3">
        <w:rPr>
          <w:lang w:val="fr-FR"/>
        </w:rPr>
        <w:t>l’</w:t>
      </w:r>
      <w:r w:rsidR="00D60A11" w:rsidRPr="00EA05B3">
        <w:rPr>
          <w:lang w:val="fr-FR"/>
        </w:rPr>
        <w:t xml:space="preserve">homme. Ces conseils ont pour vocation de favoriser la transversalisation, le respect, le suivi et </w:t>
      </w:r>
      <w:r w:rsidR="009379A7" w:rsidRPr="00EA05B3">
        <w:rPr>
          <w:lang w:val="fr-FR"/>
        </w:rPr>
        <w:t>l’</w:t>
      </w:r>
      <w:r w:rsidR="00D60A11" w:rsidRPr="00EA05B3">
        <w:rPr>
          <w:lang w:val="fr-FR"/>
        </w:rPr>
        <w:t xml:space="preserve">évaluation des politiques publiques en matière </w:t>
      </w:r>
      <w:r w:rsidR="009379A7" w:rsidRPr="00EA05B3">
        <w:rPr>
          <w:lang w:val="fr-FR"/>
        </w:rPr>
        <w:t>d’</w:t>
      </w:r>
      <w:r w:rsidR="00D60A11" w:rsidRPr="00EA05B3">
        <w:rPr>
          <w:lang w:val="fr-FR"/>
        </w:rPr>
        <w:t xml:space="preserve">égalité des sexes et de protection de certains groupes ethniques et générationnels, </w:t>
      </w:r>
      <w:r w:rsidR="009379A7" w:rsidRPr="00EA05B3">
        <w:rPr>
          <w:lang w:val="fr-FR"/>
        </w:rPr>
        <w:t>d’</w:t>
      </w:r>
      <w:r w:rsidR="00D60A11" w:rsidRPr="00EA05B3">
        <w:rPr>
          <w:lang w:val="fr-FR"/>
        </w:rPr>
        <w:t xml:space="preserve">interculturalité, de protection des handicapés et des migrants, en coordination avec les instances de décision et </w:t>
      </w:r>
      <w:r w:rsidR="009379A7" w:rsidRPr="00EA05B3">
        <w:rPr>
          <w:lang w:val="fr-FR"/>
        </w:rPr>
        <w:t>d’</w:t>
      </w:r>
      <w:r w:rsidR="00D60A11" w:rsidRPr="00EA05B3">
        <w:rPr>
          <w:lang w:val="fr-FR"/>
        </w:rPr>
        <w:t xml:space="preserve">exécution et avec les organismes spécialisés dans la protection des droits à tous les niveaux de </w:t>
      </w:r>
      <w:r w:rsidR="009379A7" w:rsidRPr="00EA05B3">
        <w:rPr>
          <w:lang w:val="fr-FR"/>
        </w:rPr>
        <w:t>l’</w:t>
      </w:r>
      <w:r w:rsidR="00D60A11" w:rsidRPr="00EA05B3">
        <w:rPr>
          <w:lang w:val="fr-FR"/>
        </w:rPr>
        <w:t>État.</w:t>
      </w:r>
    </w:p>
    <w:p w:rsidR="00D60A11" w:rsidRPr="00EA05B3" w:rsidRDefault="0027238F" w:rsidP="0027238F">
      <w:pPr>
        <w:pStyle w:val="SingleTxtG"/>
        <w:rPr>
          <w:lang w:val="fr-FR"/>
        </w:rPr>
      </w:pPr>
      <w:r w:rsidRPr="00EA05B3">
        <w:rPr>
          <w:lang w:val="fr-FR"/>
        </w:rPr>
        <w:t>249.</w:t>
      </w:r>
      <w:r w:rsidRPr="00EA05B3">
        <w:rPr>
          <w:lang w:val="fr-FR"/>
        </w:rPr>
        <w:tab/>
      </w:r>
      <w:r w:rsidR="00D60A11" w:rsidRPr="00EA05B3">
        <w:rPr>
          <w:lang w:val="fr-FR"/>
        </w:rPr>
        <w:t xml:space="preserve">Les conseils de </w:t>
      </w:r>
      <w:r w:rsidR="009379A7" w:rsidRPr="00EA05B3">
        <w:rPr>
          <w:lang w:val="fr-FR"/>
        </w:rPr>
        <w:t>l’</w:t>
      </w:r>
      <w:r w:rsidR="00D60A11" w:rsidRPr="00EA05B3">
        <w:rPr>
          <w:lang w:val="fr-FR"/>
        </w:rPr>
        <w:t xml:space="preserve">égalité, </w:t>
      </w:r>
      <w:r w:rsidR="00047943" w:rsidRPr="00EA05B3">
        <w:rPr>
          <w:lang w:val="fr-FR"/>
        </w:rPr>
        <w:t xml:space="preserve">créés </w:t>
      </w:r>
      <w:r w:rsidR="00D60A11" w:rsidRPr="00EA05B3">
        <w:rPr>
          <w:lang w:val="fr-FR"/>
        </w:rPr>
        <w:t>par la Constitution pour remplacer les conseils thématiques sont chargés de garantir le plein exercice et le respect des droits consacrés par la Constitution et la loi. À ce jour ils ne sont pas encore constitués ou en cours de constitution puis</w:t>
      </w:r>
      <w:r w:rsidR="009379A7" w:rsidRPr="00EA05B3">
        <w:rPr>
          <w:lang w:val="fr-FR"/>
        </w:rPr>
        <w:t>qu’</w:t>
      </w:r>
      <w:r w:rsidR="00D60A11" w:rsidRPr="00EA05B3">
        <w:rPr>
          <w:lang w:val="fr-FR"/>
        </w:rPr>
        <w:t xml:space="preserve">il faut </w:t>
      </w:r>
      <w:r w:rsidR="009379A7" w:rsidRPr="00EA05B3">
        <w:rPr>
          <w:lang w:val="fr-FR"/>
        </w:rPr>
        <w:t>d’</w:t>
      </w:r>
      <w:r w:rsidR="00D60A11" w:rsidRPr="00EA05B3">
        <w:rPr>
          <w:lang w:val="fr-FR"/>
        </w:rPr>
        <w:t xml:space="preserve">abord adopter la loi, dont le projet est actuellement examiné en deuxième lecture par </w:t>
      </w:r>
      <w:r w:rsidR="009379A7" w:rsidRPr="00EA05B3">
        <w:rPr>
          <w:lang w:val="fr-FR"/>
        </w:rPr>
        <w:t>l’</w:t>
      </w:r>
      <w:r w:rsidR="00D60A11" w:rsidRPr="00EA05B3">
        <w:rPr>
          <w:lang w:val="fr-FR"/>
        </w:rPr>
        <w:t xml:space="preserve">Assemblée nationale. Tant que la loi établissant leur création et </w:t>
      </w:r>
      <w:r w:rsidR="0050005C" w:rsidRPr="00EA05B3">
        <w:rPr>
          <w:lang w:val="fr-FR"/>
        </w:rPr>
        <w:t xml:space="preserve">développant les dispositions constitutionnelles </w:t>
      </w:r>
      <w:r w:rsidR="009379A7" w:rsidRPr="00EA05B3">
        <w:rPr>
          <w:lang w:val="fr-FR"/>
        </w:rPr>
        <w:t>n’</w:t>
      </w:r>
      <w:r w:rsidR="00D60A11" w:rsidRPr="00EA05B3">
        <w:rPr>
          <w:lang w:val="fr-FR"/>
        </w:rPr>
        <w:t xml:space="preserve">est pas adoptée, il </w:t>
      </w:r>
      <w:r w:rsidR="009379A7" w:rsidRPr="00EA05B3">
        <w:rPr>
          <w:lang w:val="fr-FR"/>
        </w:rPr>
        <w:t>n’</w:t>
      </w:r>
      <w:r w:rsidR="00D60A11" w:rsidRPr="00EA05B3">
        <w:rPr>
          <w:lang w:val="fr-FR"/>
        </w:rPr>
        <w:t xml:space="preserve">est pas possible de fournir des renseignements détaillés sur les activités de ces conseils ou sur le processus en cours. Il est toutefois important de noter </w:t>
      </w:r>
      <w:r w:rsidR="009379A7" w:rsidRPr="00EA05B3">
        <w:rPr>
          <w:lang w:val="fr-FR"/>
        </w:rPr>
        <w:t>qu’</w:t>
      </w:r>
      <w:r w:rsidR="00D60A11" w:rsidRPr="00EA05B3">
        <w:rPr>
          <w:lang w:val="fr-FR"/>
        </w:rPr>
        <w:t xml:space="preserve">un certain nombre </w:t>
      </w:r>
      <w:r w:rsidR="009379A7" w:rsidRPr="00EA05B3">
        <w:rPr>
          <w:lang w:val="fr-FR"/>
        </w:rPr>
        <w:t>d’</w:t>
      </w:r>
      <w:r w:rsidR="00D60A11" w:rsidRPr="00EA05B3">
        <w:rPr>
          <w:lang w:val="fr-FR"/>
        </w:rPr>
        <w:t xml:space="preserve">instances de décision et </w:t>
      </w:r>
      <w:r w:rsidR="009379A7" w:rsidRPr="00EA05B3">
        <w:rPr>
          <w:lang w:val="fr-FR"/>
        </w:rPr>
        <w:t>d’</w:t>
      </w:r>
      <w:r w:rsidR="00D60A11" w:rsidRPr="00EA05B3">
        <w:rPr>
          <w:lang w:val="fr-FR"/>
        </w:rPr>
        <w:t xml:space="preserve">exécution et </w:t>
      </w:r>
      <w:r w:rsidR="009379A7" w:rsidRPr="00EA05B3">
        <w:rPr>
          <w:lang w:val="fr-FR"/>
        </w:rPr>
        <w:t>d’</w:t>
      </w:r>
      <w:r w:rsidR="00D60A11" w:rsidRPr="00EA05B3">
        <w:rPr>
          <w:lang w:val="fr-FR"/>
        </w:rPr>
        <w:t>organismes spécialisés dans la protection des droits avec lesquels les conseils doivent coordonner leur action sont déjà en place</w:t>
      </w:r>
      <w:r w:rsidR="00B36EE6" w:rsidRPr="00EA05B3">
        <w:rPr>
          <w:lang w:val="fr-FR"/>
        </w:rPr>
        <w:t>:</w:t>
      </w:r>
      <w:r w:rsidR="00D60A11" w:rsidRPr="00EA05B3">
        <w:rPr>
          <w:lang w:val="fr-FR"/>
        </w:rPr>
        <w:t xml:space="preserve"> Vice-</w:t>
      </w:r>
      <w:r w:rsidR="001B13AB" w:rsidRPr="00EA05B3">
        <w:rPr>
          <w:lang w:val="fr-FR"/>
        </w:rPr>
        <w:t xml:space="preserve">Ministère </w:t>
      </w:r>
      <w:r w:rsidR="00D60A11" w:rsidRPr="00EA05B3">
        <w:rPr>
          <w:lang w:val="fr-FR"/>
        </w:rPr>
        <w:t xml:space="preserve">de la mobilité humaine, Bureau du Défenseur du peuple, Ministère de la culture et du patrimoine, Ministère de la justice, des droits de </w:t>
      </w:r>
      <w:r w:rsidR="009379A7" w:rsidRPr="00EA05B3">
        <w:rPr>
          <w:lang w:val="fr-FR"/>
        </w:rPr>
        <w:t>l’</w:t>
      </w:r>
      <w:r w:rsidR="00D60A11" w:rsidRPr="00EA05B3">
        <w:rPr>
          <w:lang w:val="fr-FR"/>
        </w:rPr>
        <w:t xml:space="preserve">homme et des cultes, Ministère de </w:t>
      </w:r>
      <w:r w:rsidR="009379A7" w:rsidRPr="00EA05B3">
        <w:rPr>
          <w:lang w:val="fr-FR"/>
        </w:rPr>
        <w:t>l’</w:t>
      </w:r>
      <w:r w:rsidR="00D60A11" w:rsidRPr="00EA05B3">
        <w:rPr>
          <w:lang w:val="fr-FR"/>
        </w:rPr>
        <w:t xml:space="preserve">environnement, Secrétariat national de la gestion politique, mouvements sociaux et de participation citoyenne, Direction de la Commission de la vérité et des droits de </w:t>
      </w:r>
      <w:r w:rsidR="009379A7" w:rsidRPr="00EA05B3">
        <w:rPr>
          <w:lang w:val="fr-FR"/>
        </w:rPr>
        <w:t>l’</w:t>
      </w:r>
      <w:r w:rsidR="00D60A11" w:rsidRPr="00EA05B3">
        <w:rPr>
          <w:lang w:val="fr-FR"/>
        </w:rPr>
        <w:t>homme.</w:t>
      </w:r>
    </w:p>
    <w:p w:rsidR="00D60A11" w:rsidRPr="00EA05B3" w:rsidRDefault="0027238F" w:rsidP="0027238F">
      <w:pPr>
        <w:pStyle w:val="SingleTxtG"/>
        <w:rPr>
          <w:lang w:val="fr-FR"/>
        </w:rPr>
      </w:pPr>
      <w:r w:rsidRPr="00EA05B3">
        <w:rPr>
          <w:lang w:val="fr-FR"/>
        </w:rPr>
        <w:t>250.</w:t>
      </w:r>
      <w:r w:rsidRPr="00EA05B3">
        <w:rPr>
          <w:lang w:val="fr-FR"/>
        </w:rPr>
        <w:tab/>
      </w:r>
      <w:r w:rsidR="00D60A11" w:rsidRPr="00EA05B3">
        <w:rPr>
          <w:lang w:val="fr-FR"/>
        </w:rPr>
        <w:t xml:space="preserve">Il a été question du Bureau du Défenseur du peuple à propos de la fonction de transparence et de contrôle social. Il convient </w:t>
      </w:r>
      <w:r w:rsidR="009379A7" w:rsidRPr="00EA05B3">
        <w:rPr>
          <w:lang w:val="fr-FR"/>
        </w:rPr>
        <w:t>d’</w:t>
      </w:r>
      <w:r w:rsidR="00D60A11" w:rsidRPr="00EA05B3">
        <w:rPr>
          <w:lang w:val="fr-FR"/>
        </w:rPr>
        <w:t xml:space="preserve">évoquer ici la loi organique relative au Bureau du Défenseur du peuple, qui régit toutes les questions concernant ses attributions, son organisation et son fonctionnement. La loi datant de 1997, les dispositions de la Constitution portent essentiellement sur les compétences du Bureau du Défenseur du peuple. Il convient toutefois de souligner que celui-ci peut, entre autres, visiter librement les centres de réadaptation sociale, suivre en qualité </w:t>
      </w:r>
      <w:r w:rsidR="009379A7" w:rsidRPr="00EA05B3">
        <w:rPr>
          <w:lang w:val="fr-FR"/>
        </w:rPr>
        <w:t>d’</w:t>
      </w:r>
      <w:r w:rsidR="00D60A11" w:rsidRPr="00EA05B3">
        <w:rPr>
          <w:lang w:val="fr-FR"/>
        </w:rPr>
        <w:t xml:space="preserve">observateur des procédures judiciaires ou administratives, censurer publiquement les auteurs </w:t>
      </w:r>
      <w:r w:rsidR="009379A7" w:rsidRPr="00EA05B3">
        <w:rPr>
          <w:lang w:val="fr-FR"/>
        </w:rPr>
        <w:t>d’</w:t>
      </w:r>
      <w:r w:rsidR="00D60A11" w:rsidRPr="00EA05B3">
        <w:rPr>
          <w:lang w:val="fr-FR"/>
        </w:rPr>
        <w:t xml:space="preserve">atteintes aux droits, ou encore comparaître en tant que partie dans des affaires concernant </w:t>
      </w:r>
      <w:r w:rsidR="009379A7" w:rsidRPr="00EA05B3">
        <w:rPr>
          <w:lang w:val="fr-FR"/>
        </w:rPr>
        <w:t>l’</w:t>
      </w:r>
      <w:r w:rsidR="00D60A11" w:rsidRPr="00EA05B3">
        <w:rPr>
          <w:lang w:val="fr-FR"/>
        </w:rPr>
        <w:t xml:space="preserve">environnement. Quant à </w:t>
      </w:r>
      <w:r w:rsidR="009379A7" w:rsidRPr="00EA05B3">
        <w:rPr>
          <w:lang w:val="fr-FR"/>
        </w:rPr>
        <w:t>l’</w:t>
      </w:r>
      <w:r w:rsidR="00D60A11" w:rsidRPr="00EA05B3">
        <w:rPr>
          <w:lang w:val="fr-FR"/>
        </w:rPr>
        <w:t xml:space="preserve">organisation et au fonctionnement de cette institution, </w:t>
      </w:r>
      <w:r w:rsidR="009379A7" w:rsidRPr="00EA05B3">
        <w:rPr>
          <w:lang w:val="fr-FR"/>
        </w:rPr>
        <w:t>l’</w:t>
      </w:r>
      <w:r w:rsidR="00D60A11" w:rsidRPr="00EA05B3">
        <w:rPr>
          <w:lang w:val="fr-FR"/>
        </w:rPr>
        <w:t xml:space="preserve">article premier de la loi stipule que le Bureau du Défenseur du peuple est un organisme public dirigé par le Défenseur du peuple, doté de </w:t>
      </w:r>
      <w:r w:rsidR="009379A7" w:rsidRPr="00EA05B3">
        <w:rPr>
          <w:lang w:val="fr-FR"/>
        </w:rPr>
        <w:t>l’</w:t>
      </w:r>
      <w:r w:rsidR="00D60A11" w:rsidRPr="00EA05B3">
        <w:rPr>
          <w:lang w:val="fr-FR"/>
        </w:rPr>
        <w:t xml:space="preserve">autonomie fonctionnelle, financière et administrative, ayant compétence nationale et dont le siège est à Quito. Par ailleurs, </w:t>
      </w:r>
      <w:r w:rsidR="009379A7" w:rsidRPr="00EA05B3">
        <w:rPr>
          <w:lang w:val="fr-FR"/>
        </w:rPr>
        <w:t>l’</w:t>
      </w:r>
      <w:r w:rsidR="00D60A11" w:rsidRPr="00EA05B3">
        <w:rPr>
          <w:lang w:val="fr-FR"/>
        </w:rPr>
        <w:t xml:space="preserve">article 9 prévoit que le Défenseur du peuple nomme un premier et un deuxième </w:t>
      </w:r>
      <w:r w:rsidR="009C0A83" w:rsidRPr="00EA05B3">
        <w:rPr>
          <w:lang w:val="fr-FR"/>
        </w:rPr>
        <w:t>adjoint</w:t>
      </w:r>
      <w:r w:rsidR="00D60A11" w:rsidRPr="00EA05B3">
        <w:rPr>
          <w:lang w:val="fr-FR"/>
        </w:rPr>
        <w:t xml:space="preserve"> auxquels il délègue des fonctions, des mandats et des attributions et qui le remplacent dans </w:t>
      </w:r>
      <w:r w:rsidR="009379A7" w:rsidRPr="00EA05B3">
        <w:rPr>
          <w:lang w:val="fr-FR"/>
        </w:rPr>
        <w:t>l’</w:t>
      </w:r>
      <w:r w:rsidR="00D60A11" w:rsidRPr="00EA05B3">
        <w:rPr>
          <w:lang w:val="fr-FR"/>
        </w:rPr>
        <w:t xml:space="preserve">exercice de ses fonctions en cas </w:t>
      </w:r>
      <w:r w:rsidR="009379A7" w:rsidRPr="00EA05B3">
        <w:rPr>
          <w:lang w:val="fr-FR"/>
        </w:rPr>
        <w:t>d’</w:t>
      </w:r>
      <w:r w:rsidR="00D60A11" w:rsidRPr="00EA05B3">
        <w:rPr>
          <w:lang w:val="fr-FR"/>
        </w:rPr>
        <w:t xml:space="preserve">absence temporaire ou de vacance du poste. </w:t>
      </w:r>
      <w:r w:rsidR="009379A7" w:rsidRPr="00EA05B3">
        <w:rPr>
          <w:lang w:val="fr-FR"/>
        </w:rPr>
        <w:t>L’</w:t>
      </w:r>
      <w:r w:rsidR="00D60A11" w:rsidRPr="00EA05B3">
        <w:rPr>
          <w:lang w:val="fr-FR"/>
        </w:rPr>
        <w:t xml:space="preserve">article 10 dispose </w:t>
      </w:r>
      <w:r w:rsidR="009379A7" w:rsidRPr="00EA05B3">
        <w:rPr>
          <w:lang w:val="fr-FR"/>
        </w:rPr>
        <w:t>qu’</w:t>
      </w:r>
      <w:r w:rsidR="00D60A11" w:rsidRPr="00EA05B3">
        <w:rPr>
          <w:lang w:val="fr-FR"/>
        </w:rPr>
        <w:t>il existe dans chaque province une antenne du Bureau du Défenseur du peuple, dirigée par un commissaire qui, dans sa circonscription territoriale, agit en qualité de délégué du Défenseur du peuple et exerce les fonctions, les mandats et les attributions que celui-ci lui confie.</w:t>
      </w:r>
    </w:p>
    <w:p w:rsidR="00D60A11" w:rsidRPr="00EA05B3" w:rsidRDefault="0027238F" w:rsidP="0027238F">
      <w:pPr>
        <w:pStyle w:val="SingleTxtG"/>
        <w:rPr>
          <w:lang w:val="fr-FR"/>
        </w:rPr>
      </w:pPr>
      <w:r w:rsidRPr="00EA05B3">
        <w:rPr>
          <w:lang w:val="fr-FR"/>
        </w:rPr>
        <w:t>251.</w:t>
      </w:r>
      <w:r w:rsidRPr="00EA05B3">
        <w:rPr>
          <w:lang w:val="fr-FR"/>
        </w:rPr>
        <w:tab/>
      </w:r>
      <w:r w:rsidR="00D60A11" w:rsidRPr="00EA05B3">
        <w:rPr>
          <w:lang w:val="fr-FR"/>
        </w:rPr>
        <w:t xml:space="preserve">Le deuxième chapitre de la loi réglemente les procédures engagées auprès du Bureau du Défenseur du peuple. Il y est dit notamment que toute personne en mesure </w:t>
      </w:r>
      <w:r w:rsidR="009379A7" w:rsidRPr="00EA05B3">
        <w:rPr>
          <w:lang w:val="fr-FR"/>
        </w:rPr>
        <w:t>d’</w:t>
      </w:r>
      <w:r w:rsidR="00D60A11" w:rsidRPr="00EA05B3">
        <w:rPr>
          <w:lang w:val="fr-FR"/>
        </w:rPr>
        <w:t xml:space="preserve">invoquer un intérêt légitime peut, sans restriction aucune, </w:t>
      </w:r>
      <w:r w:rsidR="009379A7" w:rsidRPr="00EA05B3">
        <w:rPr>
          <w:lang w:val="fr-FR"/>
        </w:rPr>
        <w:t>s’</w:t>
      </w:r>
      <w:r w:rsidR="00D60A11" w:rsidRPr="00EA05B3">
        <w:rPr>
          <w:lang w:val="fr-FR"/>
        </w:rPr>
        <w:t xml:space="preserve">adresser au Défenseur du peuple, en son nom propre ou collectivement, pour lui présenter une plainte, orale ou écrite, qui doit contenir des informations sur le plaignant, ainsi </w:t>
      </w:r>
      <w:r w:rsidR="009379A7" w:rsidRPr="00EA05B3">
        <w:rPr>
          <w:lang w:val="fr-FR"/>
        </w:rPr>
        <w:t>qu’</w:t>
      </w:r>
      <w:r w:rsidR="00D60A11" w:rsidRPr="00EA05B3">
        <w:rPr>
          <w:lang w:val="fr-FR"/>
        </w:rPr>
        <w:t xml:space="preserve">une description circonstanciée des faits. Il y est dit également que, dans les cas de plaintes relatives à des faits qui touchent à la vie, la santé et </w:t>
      </w:r>
      <w:r w:rsidR="009379A7" w:rsidRPr="00EA05B3">
        <w:rPr>
          <w:lang w:val="fr-FR"/>
        </w:rPr>
        <w:t>l’</w:t>
      </w:r>
      <w:r w:rsidR="00D60A11" w:rsidRPr="00EA05B3">
        <w:rPr>
          <w:lang w:val="fr-FR"/>
        </w:rPr>
        <w:t xml:space="preserve">intégrité physique, morale ou psychologique des personnes, le Défenseur du peuple introduit sans délai les actions et recours visant à prévenir tout préjudice ou péril grave, et que les instances compétentes ne peuvent pas refuser de se saisir de </w:t>
      </w:r>
      <w:r w:rsidR="009379A7" w:rsidRPr="00EA05B3">
        <w:rPr>
          <w:lang w:val="fr-FR"/>
        </w:rPr>
        <w:t>l’</w:t>
      </w:r>
      <w:r w:rsidR="00D60A11" w:rsidRPr="00EA05B3">
        <w:rPr>
          <w:lang w:val="fr-FR"/>
        </w:rPr>
        <w:t xml:space="preserve">affaire et de statuer à son sujet. La loi prévoit également </w:t>
      </w:r>
      <w:r w:rsidR="009379A7" w:rsidRPr="00EA05B3">
        <w:rPr>
          <w:lang w:val="fr-FR"/>
        </w:rPr>
        <w:t>l’</w:t>
      </w:r>
      <w:r w:rsidR="00D60A11" w:rsidRPr="00EA05B3">
        <w:rPr>
          <w:lang w:val="fr-FR"/>
        </w:rPr>
        <w:t xml:space="preserve">obligation pour toute personne publique ou privée, morale ou physique, de collaborer avec le Bureau du Défenseur du peuple, ainsi que </w:t>
      </w:r>
      <w:r w:rsidR="009379A7" w:rsidRPr="00EA05B3">
        <w:rPr>
          <w:lang w:val="fr-FR"/>
        </w:rPr>
        <w:t>l’</w:t>
      </w:r>
      <w:r w:rsidR="00D60A11" w:rsidRPr="00EA05B3">
        <w:rPr>
          <w:lang w:val="fr-FR"/>
        </w:rPr>
        <w:t>imposition de sanctions aux fonctionnaires et aux particuliers qui refusent de fournir les renseignements demandés par lui.</w:t>
      </w:r>
    </w:p>
    <w:p w:rsidR="00D60A11" w:rsidRPr="00EA05B3" w:rsidRDefault="0027238F" w:rsidP="0027238F">
      <w:pPr>
        <w:pStyle w:val="SingleTxtG"/>
        <w:rPr>
          <w:lang w:val="fr-FR"/>
        </w:rPr>
      </w:pPr>
      <w:r w:rsidRPr="00EA05B3">
        <w:rPr>
          <w:lang w:val="fr-FR"/>
        </w:rPr>
        <w:t>252.</w:t>
      </w:r>
      <w:r w:rsidRPr="00EA05B3">
        <w:rPr>
          <w:lang w:val="fr-FR"/>
        </w:rPr>
        <w:tab/>
      </w:r>
      <w:r w:rsidR="00D60A11" w:rsidRPr="00EA05B3">
        <w:rPr>
          <w:lang w:val="fr-FR"/>
        </w:rPr>
        <w:t xml:space="preserve">Parmi les ministères et les secrétariats qui viennent </w:t>
      </w:r>
      <w:r w:rsidR="009379A7" w:rsidRPr="00EA05B3">
        <w:rPr>
          <w:lang w:val="fr-FR"/>
        </w:rPr>
        <w:t>d’</w:t>
      </w:r>
      <w:r w:rsidR="00D60A11" w:rsidRPr="00EA05B3">
        <w:rPr>
          <w:lang w:val="fr-FR"/>
        </w:rPr>
        <w:t xml:space="preserve">être énumérés, le Ministère de la justice, des droits de </w:t>
      </w:r>
      <w:r w:rsidR="009379A7" w:rsidRPr="00EA05B3">
        <w:rPr>
          <w:lang w:val="fr-FR"/>
        </w:rPr>
        <w:t>l’</w:t>
      </w:r>
      <w:r w:rsidR="00D60A11" w:rsidRPr="00EA05B3">
        <w:rPr>
          <w:lang w:val="fr-FR"/>
        </w:rPr>
        <w:t>homme et des cultes et le Vice-</w:t>
      </w:r>
      <w:r w:rsidR="001B13AB" w:rsidRPr="00EA05B3">
        <w:rPr>
          <w:lang w:val="fr-FR"/>
        </w:rPr>
        <w:t xml:space="preserve">Ministère </w:t>
      </w:r>
      <w:r w:rsidR="00D60A11" w:rsidRPr="00EA05B3">
        <w:rPr>
          <w:lang w:val="fr-FR"/>
        </w:rPr>
        <w:t>de la mobilité humaine, méritent une attention particulière. Par le décret exécutif n</w:t>
      </w:r>
      <w:r w:rsidR="000A3EF2" w:rsidRPr="00EA05B3">
        <w:rPr>
          <w:vertAlign w:val="superscript"/>
          <w:lang w:val="fr-FR"/>
        </w:rPr>
        <w:t>o</w:t>
      </w:r>
      <w:r w:rsidR="000A3EF2" w:rsidRPr="00EA05B3">
        <w:rPr>
          <w:lang w:val="fr-FR"/>
        </w:rPr>
        <w:t> </w:t>
      </w:r>
      <w:r w:rsidR="00D60A11" w:rsidRPr="00EA05B3">
        <w:rPr>
          <w:lang w:val="fr-FR"/>
        </w:rPr>
        <w:t xml:space="preserve">748 de novembre 2007, le Président de la République a créé le Ministère de la justice, des droits de </w:t>
      </w:r>
      <w:r w:rsidR="009379A7" w:rsidRPr="00EA05B3">
        <w:rPr>
          <w:lang w:val="fr-FR"/>
        </w:rPr>
        <w:t>l’</w:t>
      </w:r>
      <w:r w:rsidR="00D60A11" w:rsidRPr="00EA05B3">
        <w:rPr>
          <w:lang w:val="fr-FR"/>
        </w:rPr>
        <w:t>homme et des cultes, auquel il a notamment conféré les attributions suivantes</w:t>
      </w:r>
      <w:r w:rsidR="00B36EE6" w:rsidRPr="00EA05B3">
        <w:rPr>
          <w:lang w:val="fr-FR"/>
        </w:rPr>
        <w:t>:</w:t>
      </w:r>
      <w:r w:rsidR="00D60A11" w:rsidRPr="00EA05B3">
        <w:rPr>
          <w:lang w:val="fr-FR"/>
        </w:rPr>
        <w:t xml:space="preserve"> a) favoriser </w:t>
      </w:r>
      <w:r w:rsidR="009379A7" w:rsidRPr="00EA05B3">
        <w:rPr>
          <w:lang w:val="fr-FR"/>
        </w:rPr>
        <w:t>l’</w:t>
      </w:r>
      <w:r w:rsidR="00D60A11" w:rsidRPr="00EA05B3">
        <w:rPr>
          <w:lang w:val="fr-FR"/>
        </w:rPr>
        <w:t xml:space="preserve">amélioration des services judiciaires, en élargissant leur couverture, en imposant des normes de qualité et en veillant à </w:t>
      </w:r>
      <w:r w:rsidR="009379A7" w:rsidRPr="00EA05B3">
        <w:rPr>
          <w:lang w:val="fr-FR"/>
        </w:rPr>
        <w:t>l’</w:t>
      </w:r>
      <w:r w:rsidR="00D60A11" w:rsidRPr="00EA05B3">
        <w:rPr>
          <w:lang w:val="fr-FR"/>
        </w:rPr>
        <w:t>exécution coordonnée de programmes de gestion efficaces, et en tirant le meilleur parti possible de leurs moyens financiers, économiques, matériels et technologiques</w:t>
      </w:r>
      <w:r w:rsidR="00B36EE6" w:rsidRPr="00EA05B3">
        <w:rPr>
          <w:lang w:val="fr-FR"/>
        </w:rPr>
        <w:t>;</w:t>
      </w:r>
      <w:r w:rsidR="00D60A11" w:rsidRPr="00EA05B3">
        <w:rPr>
          <w:lang w:val="fr-FR"/>
        </w:rPr>
        <w:t xml:space="preserve"> b) coordonner les actions visant à garantir à tous </w:t>
      </w:r>
      <w:r w:rsidR="009379A7" w:rsidRPr="00EA05B3">
        <w:rPr>
          <w:lang w:val="fr-FR"/>
        </w:rPr>
        <w:t>l’</w:t>
      </w:r>
      <w:r w:rsidR="00D60A11" w:rsidRPr="00EA05B3">
        <w:rPr>
          <w:lang w:val="fr-FR"/>
        </w:rPr>
        <w:t xml:space="preserve">accès effectif à une justice diligente et de qualité, en tant que droit fondamental de tous les habitants de </w:t>
      </w:r>
      <w:r w:rsidR="009379A7" w:rsidRPr="00EA05B3">
        <w:rPr>
          <w:lang w:val="fr-FR"/>
        </w:rPr>
        <w:t>l’</w:t>
      </w:r>
      <w:r w:rsidR="00D60A11" w:rsidRPr="00EA05B3">
        <w:rPr>
          <w:lang w:val="fr-FR"/>
        </w:rPr>
        <w:t>Équateur</w:t>
      </w:r>
      <w:r w:rsidR="00B36EE6" w:rsidRPr="00EA05B3">
        <w:rPr>
          <w:lang w:val="fr-FR"/>
        </w:rPr>
        <w:t>;</w:t>
      </w:r>
      <w:r w:rsidR="00D60A11" w:rsidRPr="00EA05B3">
        <w:rPr>
          <w:lang w:val="fr-FR"/>
        </w:rPr>
        <w:t xml:space="preserve"> c) créer des réseaux de soutien aux juges et magistrats chargés de résoudre les litiges qui surviennent dans les centres de réadaptation sociale et autres procédures judiciaires qui pourraient concerner </w:t>
      </w:r>
      <w:r w:rsidR="009379A7" w:rsidRPr="00EA05B3">
        <w:rPr>
          <w:lang w:val="fr-FR"/>
        </w:rPr>
        <w:t>l’</w:t>
      </w:r>
      <w:r w:rsidR="00D60A11" w:rsidRPr="00EA05B3">
        <w:rPr>
          <w:lang w:val="fr-FR"/>
        </w:rPr>
        <w:t>administration publique</w:t>
      </w:r>
      <w:r w:rsidR="00B36EE6" w:rsidRPr="00EA05B3">
        <w:rPr>
          <w:lang w:val="fr-FR"/>
        </w:rPr>
        <w:t>;</w:t>
      </w:r>
      <w:r w:rsidR="00D60A11" w:rsidRPr="00EA05B3">
        <w:rPr>
          <w:lang w:val="fr-FR"/>
        </w:rPr>
        <w:t xml:space="preserve"> d) encourager la mise en place de mécanismes appropriés de diffusion </w:t>
      </w:r>
      <w:r w:rsidR="009379A7" w:rsidRPr="00EA05B3">
        <w:rPr>
          <w:lang w:val="fr-FR"/>
        </w:rPr>
        <w:t>d’</w:t>
      </w:r>
      <w:r w:rsidR="00D60A11" w:rsidRPr="00EA05B3">
        <w:rPr>
          <w:lang w:val="fr-FR"/>
        </w:rPr>
        <w:t xml:space="preserve">informations sur les droits de </w:t>
      </w:r>
      <w:r w:rsidR="009379A7" w:rsidRPr="00EA05B3">
        <w:rPr>
          <w:lang w:val="fr-FR"/>
        </w:rPr>
        <w:t>l’</w:t>
      </w:r>
      <w:r w:rsidR="00D60A11" w:rsidRPr="00EA05B3">
        <w:rPr>
          <w:lang w:val="fr-FR"/>
        </w:rPr>
        <w:t>homme, ainsi que sur le droit et les procédures judiciaires</w:t>
      </w:r>
      <w:r w:rsidR="00B36EE6" w:rsidRPr="00EA05B3">
        <w:rPr>
          <w:lang w:val="fr-FR"/>
        </w:rPr>
        <w:t>;</w:t>
      </w:r>
      <w:r w:rsidR="00D60A11" w:rsidRPr="00EA05B3">
        <w:rPr>
          <w:lang w:val="fr-FR"/>
        </w:rPr>
        <w:t xml:space="preserve"> e) coordonner, exécuter et surveiller les programmes et projets des diverses institutions chargées de la réinsertion, ainsi que les programmes et projets liés à la prise en charge et à la protection des mineurs délinquants</w:t>
      </w:r>
      <w:r w:rsidR="00B36EE6" w:rsidRPr="00EA05B3">
        <w:rPr>
          <w:lang w:val="fr-FR"/>
        </w:rPr>
        <w:t>;</w:t>
      </w:r>
      <w:r w:rsidR="00D60A11" w:rsidRPr="00EA05B3">
        <w:rPr>
          <w:lang w:val="fr-FR"/>
        </w:rPr>
        <w:t xml:space="preserve"> f)</w:t>
      </w:r>
      <w:r w:rsidR="001B13AB" w:rsidRPr="00EA05B3">
        <w:rPr>
          <w:lang w:val="fr-FR"/>
        </w:rPr>
        <w:t> </w:t>
      </w:r>
      <w:r w:rsidR="00D60A11" w:rsidRPr="00EA05B3">
        <w:rPr>
          <w:lang w:val="fr-FR"/>
        </w:rPr>
        <w:t xml:space="preserve">collaborer avec le Conseil de lutte contre les stupéfiants et les psychotropes, CONSEP, au nom de </w:t>
      </w:r>
      <w:r w:rsidR="009379A7" w:rsidRPr="00EA05B3">
        <w:rPr>
          <w:lang w:val="fr-FR"/>
        </w:rPr>
        <w:t>l’</w:t>
      </w:r>
      <w:r w:rsidR="00D60A11" w:rsidRPr="00EA05B3">
        <w:rPr>
          <w:lang w:val="fr-FR"/>
        </w:rPr>
        <w:t>administration publique centrale, à la conception et la mise en œuvre de programmes de lutte contre la toxicomanie et la consommation de psychotropes.</w:t>
      </w:r>
    </w:p>
    <w:p w:rsidR="00D60A11" w:rsidRPr="00EA05B3" w:rsidRDefault="0027238F" w:rsidP="0027238F">
      <w:pPr>
        <w:pStyle w:val="SingleTxtG"/>
        <w:rPr>
          <w:lang w:val="fr-FR"/>
        </w:rPr>
      </w:pPr>
      <w:r w:rsidRPr="00EA05B3">
        <w:rPr>
          <w:lang w:val="fr-FR"/>
        </w:rPr>
        <w:t>253.</w:t>
      </w:r>
      <w:r w:rsidRPr="00EA05B3">
        <w:rPr>
          <w:lang w:val="fr-FR"/>
        </w:rPr>
        <w:tab/>
      </w:r>
      <w:r w:rsidR="00D60A11" w:rsidRPr="00EA05B3">
        <w:rPr>
          <w:lang w:val="fr-FR"/>
        </w:rPr>
        <w:t>Par ailleurs, en vertu du décret exécutif n</w:t>
      </w:r>
      <w:r w:rsidR="001B13AB" w:rsidRPr="00EA05B3">
        <w:rPr>
          <w:vertAlign w:val="superscript"/>
          <w:lang w:val="fr-FR"/>
        </w:rPr>
        <w:t>o</w:t>
      </w:r>
      <w:r w:rsidR="001B13AB" w:rsidRPr="00EA05B3">
        <w:rPr>
          <w:lang w:val="fr-FR"/>
        </w:rPr>
        <w:t> </w:t>
      </w:r>
      <w:r w:rsidR="00D60A11" w:rsidRPr="00EA05B3">
        <w:rPr>
          <w:lang w:val="fr-FR"/>
        </w:rPr>
        <w:t xml:space="preserve">1317 de septembre 2008, le Ministère de la justice est chargé de veiller à </w:t>
      </w:r>
      <w:r w:rsidR="009379A7" w:rsidRPr="00EA05B3">
        <w:rPr>
          <w:lang w:val="fr-FR"/>
        </w:rPr>
        <w:t>l’</w:t>
      </w:r>
      <w:r w:rsidR="00D60A11" w:rsidRPr="00EA05B3">
        <w:rPr>
          <w:lang w:val="fr-FR"/>
        </w:rPr>
        <w:t xml:space="preserve">exécution des jugements, des mesures conservatoires, des mesures de précaution, des règlements à </w:t>
      </w:r>
      <w:r w:rsidR="009379A7" w:rsidRPr="00EA05B3">
        <w:rPr>
          <w:lang w:val="fr-FR"/>
        </w:rPr>
        <w:t>l’</w:t>
      </w:r>
      <w:r w:rsidR="00D60A11" w:rsidRPr="00EA05B3">
        <w:rPr>
          <w:lang w:val="fr-FR"/>
        </w:rPr>
        <w:t xml:space="preserve">amiable, des recommandations et décisions des organes du système interaméricain des droits de </w:t>
      </w:r>
      <w:r w:rsidR="009379A7" w:rsidRPr="00EA05B3">
        <w:rPr>
          <w:lang w:val="fr-FR"/>
        </w:rPr>
        <w:t>l’</w:t>
      </w:r>
      <w:r w:rsidR="00D60A11" w:rsidRPr="00EA05B3">
        <w:rPr>
          <w:lang w:val="fr-FR"/>
        </w:rPr>
        <w:t xml:space="preserve">homme et du système universel des droits de </w:t>
      </w:r>
      <w:r w:rsidR="009379A7" w:rsidRPr="00EA05B3">
        <w:rPr>
          <w:lang w:val="fr-FR"/>
        </w:rPr>
        <w:t>l’</w:t>
      </w:r>
      <w:r w:rsidR="00D60A11" w:rsidRPr="00EA05B3">
        <w:rPr>
          <w:lang w:val="fr-FR"/>
        </w:rPr>
        <w:t xml:space="preserve">homme, ainsi que des autres obligations découlant des engagements internationaux relatifs aux droits de </w:t>
      </w:r>
      <w:r w:rsidR="009379A7" w:rsidRPr="00EA05B3">
        <w:rPr>
          <w:lang w:val="fr-FR"/>
        </w:rPr>
        <w:t>l’</w:t>
      </w:r>
      <w:r w:rsidR="00D60A11" w:rsidRPr="00EA05B3">
        <w:rPr>
          <w:lang w:val="fr-FR"/>
        </w:rPr>
        <w:t xml:space="preserve">homme. À cette fin le </w:t>
      </w:r>
      <w:r w:rsidR="00EF5A2B" w:rsidRPr="00EA05B3">
        <w:rPr>
          <w:lang w:val="fr-FR"/>
        </w:rPr>
        <w:t xml:space="preserve">Ministère </w:t>
      </w:r>
      <w:r w:rsidR="00D60A11" w:rsidRPr="00EA05B3">
        <w:rPr>
          <w:lang w:val="fr-FR"/>
        </w:rPr>
        <w:t>est habilité</w:t>
      </w:r>
      <w:r w:rsidR="00B36EE6" w:rsidRPr="00EA05B3">
        <w:rPr>
          <w:lang w:val="fr-FR"/>
        </w:rPr>
        <w:t>:</w:t>
      </w:r>
      <w:r w:rsidR="00D60A11" w:rsidRPr="00EA05B3">
        <w:rPr>
          <w:lang w:val="fr-FR"/>
        </w:rPr>
        <w:t xml:space="preserve"> a) à renvoyer à </w:t>
      </w:r>
      <w:r w:rsidR="009379A7" w:rsidRPr="00EA05B3">
        <w:rPr>
          <w:lang w:val="fr-FR"/>
        </w:rPr>
        <w:t>l’</w:t>
      </w:r>
      <w:r w:rsidR="00D60A11" w:rsidRPr="00EA05B3">
        <w:rPr>
          <w:lang w:val="fr-FR"/>
        </w:rPr>
        <w:t xml:space="preserve">autorité compétente les décisions relatives à </w:t>
      </w:r>
      <w:r w:rsidR="009379A7" w:rsidRPr="00EA05B3">
        <w:rPr>
          <w:lang w:val="fr-FR"/>
        </w:rPr>
        <w:t>l’</w:t>
      </w:r>
      <w:r w:rsidR="00D60A11" w:rsidRPr="00EA05B3">
        <w:rPr>
          <w:lang w:val="fr-FR"/>
        </w:rPr>
        <w:t xml:space="preserve">ouverture </w:t>
      </w:r>
      <w:r w:rsidR="009379A7" w:rsidRPr="00EA05B3">
        <w:rPr>
          <w:lang w:val="fr-FR"/>
        </w:rPr>
        <w:t>d’</w:t>
      </w:r>
      <w:r w:rsidR="00D60A11" w:rsidRPr="00EA05B3">
        <w:rPr>
          <w:lang w:val="fr-FR"/>
        </w:rPr>
        <w:t xml:space="preserve">enquêtes et à </w:t>
      </w:r>
      <w:r w:rsidR="009379A7" w:rsidRPr="00EA05B3">
        <w:rPr>
          <w:lang w:val="fr-FR"/>
        </w:rPr>
        <w:t>l’</w:t>
      </w:r>
      <w:r w:rsidR="00D60A11" w:rsidRPr="00EA05B3">
        <w:rPr>
          <w:lang w:val="fr-FR"/>
        </w:rPr>
        <w:t xml:space="preserve">établissement des responsabilités individuelles en cas de violation des droits de </w:t>
      </w:r>
      <w:r w:rsidR="009379A7" w:rsidRPr="00EA05B3">
        <w:rPr>
          <w:lang w:val="fr-FR"/>
        </w:rPr>
        <w:t>l’</w:t>
      </w:r>
      <w:r w:rsidR="00D60A11" w:rsidRPr="00EA05B3">
        <w:rPr>
          <w:lang w:val="fr-FR"/>
        </w:rPr>
        <w:t>homme</w:t>
      </w:r>
      <w:r w:rsidR="00B36EE6" w:rsidRPr="00EA05B3">
        <w:rPr>
          <w:lang w:val="fr-FR"/>
        </w:rPr>
        <w:t>;</w:t>
      </w:r>
      <w:r w:rsidR="00D60A11" w:rsidRPr="00EA05B3">
        <w:rPr>
          <w:lang w:val="fr-FR"/>
        </w:rPr>
        <w:t xml:space="preserve"> b) à veiller, en concertation avec le Ministère des finances, à ce que les victimes de violations des droits de </w:t>
      </w:r>
      <w:r w:rsidR="009379A7" w:rsidRPr="00EA05B3">
        <w:rPr>
          <w:lang w:val="fr-FR"/>
        </w:rPr>
        <w:t>l’</w:t>
      </w:r>
      <w:r w:rsidR="00D60A11" w:rsidRPr="00EA05B3">
        <w:rPr>
          <w:lang w:val="fr-FR"/>
        </w:rPr>
        <w:t>homme se voient accorder la réparation, matérielle et immatérielle, convenue</w:t>
      </w:r>
      <w:r w:rsidR="00B36EE6" w:rsidRPr="00EA05B3">
        <w:rPr>
          <w:lang w:val="fr-FR"/>
        </w:rPr>
        <w:t>;</w:t>
      </w:r>
      <w:r w:rsidR="00D60A11" w:rsidRPr="00EA05B3">
        <w:rPr>
          <w:lang w:val="fr-FR"/>
        </w:rPr>
        <w:t xml:space="preserve"> c) à veiller, en concertation avec </w:t>
      </w:r>
      <w:r w:rsidR="009379A7" w:rsidRPr="00EA05B3">
        <w:rPr>
          <w:lang w:val="fr-FR"/>
        </w:rPr>
        <w:t>l’</w:t>
      </w:r>
      <w:r w:rsidR="00D60A11" w:rsidRPr="00EA05B3">
        <w:rPr>
          <w:lang w:val="fr-FR"/>
        </w:rPr>
        <w:t xml:space="preserve">entité compétente, à </w:t>
      </w:r>
      <w:r w:rsidR="009379A7" w:rsidRPr="00EA05B3">
        <w:rPr>
          <w:lang w:val="fr-FR"/>
        </w:rPr>
        <w:t>l’</w:t>
      </w:r>
      <w:r w:rsidR="00D60A11" w:rsidRPr="00EA05B3">
        <w:rPr>
          <w:lang w:val="fr-FR"/>
        </w:rPr>
        <w:t>exécution des mesures nécessaires pour que les autorités assument intégralement leurs obligations</w:t>
      </w:r>
      <w:r w:rsidR="00B36EE6" w:rsidRPr="00EA05B3">
        <w:rPr>
          <w:lang w:val="fr-FR"/>
        </w:rPr>
        <w:t>;</w:t>
      </w:r>
      <w:r w:rsidR="00D60A11" w:rsidRPr="00EA05B3">
        <w:rPr>
          <w:lang w:val="fr-FR"/>
        </w:rPr>
        <w:t xml:space="preserve"> d) à élaborer des projets de réforme des lois pour les adapter aux normes internationales relatives aux droits de </w:t>
      </w:r>
      <w:r w:rsidR="009379A7" w:rsidRPr="00EA05B3">
        <w:rPr>
          <w:lang w:val="fr-FR"/>
        </w:rPr>
        <w:t>l’</w:t>
      </w:r>
      <w:r w:rsidR="00D60A11" w:rsidRPr="00EA05B3">
        <w:rPr>
          <w:lang w:val="fr-FR"/>
        </w:rPr>
        <w:t>homme</w:t>
      </w:r>
      <w:r w:rsidR="00B36EE6" w:rsidRPr="00EA05B3">
        <w:rPr>
          <w:lang w:val="fr-FR"/>
        </w:rPr>
        <w:t>;</w:t>
      </w:r>
      <w:r w:rsidR="00D60A11" w:rsidRPr="00EA05B3">
        <w:rPr>
          <w:lang w:val="fr-FR"/>
        </w:rPr>
        <w:t xml:space="preserve"> e) à veiller, en concertation avec le Ministère des relations extérieures et de la mobilité humaine, à </w:t>
      </w:r>
      <w:r w:rsidR="009379A7" w:rsidRPr="00EA05B3">
        <w:rPr>
          <w:lang w:val="fr-FR"/>
        </w:rPr>
        <w:t>l’</w:t>
      </w:r>
      <w:r w:rsidR="00D60A11" w:rsidRPr="00EA05B3">
        <w:rPr>
          <w:lang w:val="fr-FR"/>
        </w:rPr>
        <w:t xml:space="preserve">application au niveau national, de tout instrument international établissant les obligations de </w:t>
      </w:r>
      <w:r w:rsidR="009379A7" w:rsidRPr="00EA05B3">
        <w:rPr>
          <w:lang w:val="fr-FR"/>
        </w:rPr>
        <w:t>l’</w:t>
      </w:r>
      <w:r w:rsidR="00D60A11" w:rsidRPr="00EA05B3">
        <w:rPr>
          <w:lang w:val="fr-FR"/>
        </w:rPr>
        <w:t xml:space="preserve">État dans le domaine des droits de </w:t>
      </w:r>
      <w:r w:rsidR="009379A7" w:rsidRPr="00EA05B3">
        <w:rPr>
          <w:lang w:val="fr-FR"/>
        </w:rPr>
        <w:t>l’</w:t>
      </w:r>
      <w:r w:rsidR="00D60A11" w:rsidRPr="00EA05B3">
        <w:rPr>
          <w:lang w:val="fr-FR"/>
        </w:rPr>
        <w:t>homme</w:t>
      </w:r>
      <w:r w:rsidR="00B36EE6" w:rsidRPr="00EA05B3">
        <w:rPr>
          <w:lang w:val="fr-FR"/>
        </w:rPr>
        <w:t>;</w:t>
      </w:r>
      <w:r w:rsidR="00D60A11" w:rsidRPr="00EA05B3">
        <w:rPr>
          <w:lang w:val="fr-FR"/>
        </w:rPr>
        <w:t xml:space="preserve"> f) à effectuer le suivi, le contrôle et </w:t>
      </w:r>
      <w:r w:rsidR="009379A7" w:rsidRPr="00EA05B3">
        <w:rPr>
          <w:lang w:val="fr-FR"/>
        </w:rPr>
        <w:t>l’</w:t>
      </w:r>
      <w:r w:rsidR="00D60A11" w:rsidRPr="00EA05B3">
        <w:rPr>
          <w:lang w:val="fr-FR"/>
        </w:rPr>
        <w:t xml:space="preserve">évaluation du respect des lois et politiques nationales en matière de droits de </w:t>
      </w:r>
      <w:r w:rsidR="009379A7" w:rsidRPr="00EA05B3">
        <w:rPr>
          <w:lang w:val="fr-FR"/>
        </w:rPr>
        <w:t>l’</w:t>
      </w:r>
      <w:r w:rsidR="00D60A11" w:rsidRPr="00EA05B3">
        <w:rPr>
          <w:lang w:val="fr-FR"/>
        </w:rPr>
        <w:t xml:space="preserve">homme, dont les résultats seront incorporés aux rapports de </w:t>
      </w:r>
      <w:r w:rsidR="009379A7" w:rsidRPr="00EA05B3">
        <w:rPr>
          <w:lang w:val="fr-FR"/>
        </w:rPr>
        <w:t>l’</w:t>
      </w:r>
      <w:r w:rsidR="00D60A11" w:rsidRPr="00EA05B3">
        <w:rPr>
          <w:lang w:val="fr-FR"/>
        </w:rPr>
        <w:t>État aux organes conventionnels.</w:t>
      </w:r>
    </w:p>
    <w:p w:rsidR="00D60A11" w:rsidRPr="00EA05B3" w:rsidRDefault="0027238F" w:rsidP="0027238F">
      <w:pPr>
        <w:pStyle w:val="SingleTxtG"/>
        <w:rPr>
          <w:lang w:val="fr-FR"/>
        </w:rPr>
      </w:pPr>
      <w:r w:rsidRPr="00EA05B3">
        <w:rPr>
          <w:lang w:val="fr-FR"/>
        </w:rPr>
        <w:t>254.</w:t>
      </w:r>
      <w:r w:rsidRPr="00EA05B3">
        <w:rPr>
          <w:lang w:val="fr-FR"/>
        </w:rPr>
        <w:tab/>
      </w:r>
      <w:r w:rsidR="00D60A11" w:rsidRPr="00EA05B3">
        <w:rPr>
          <w:lang w:val="fr-FR"/>
        </w:rPr>
        <w:t>Le Vice-</w:t>
      </w:r>
      <w:r w:rsidR="001B13AB" w:rsidRPr="00EA05B3">
        <w:rPr>
          <w:lang w:val="fr-FR"/>
        </w:rPr>
        <w:t xml:space="preserve">Ministère </w:t>
      </w:r>
      <w:r w:rsidR="00D60A11" w:rsidRPr="00EA05B3">
        <w:rPr>
          <w:lang w:val="fr-FR"/>
        </w:rPr>
        <w:t>de la mobilité humaine</w:t>
      </w:r>
      <w:r w:rsidR="00D60A11" w:rsidRPr="00035FF5">
        <w:rPr>
          <w:sz w:val="18"/>
          <w:szCs w:val="18"/>
          <w:vertAlign w:val="superscript"/>
          <w:lang w:val="fr-FR"/>
        </w:rPr>
        <w:footnoteReference w:id="64"/>
      </w:r>
      <w:r w:rsidR="00D60A11" w:rsidRPr="00EA05B3">
        <w:rPr>
          <w:lang w:val="fr-FR"/>
        </w:rPr>
        <w:t xml:space="preserve"> fait partie de la structure administrat</w:t>
      </w:r>
      <w:r w:rsidR="00CE0CD4" w:rsidRPr="00EA05B3">
        <w:rPr>
          <w:lang w:val="fr-FR"/>
        </w:rPr>
        <w:t xml:space="preserve">ive du Ministère des relations </w:t>
      </w:r>
      <w:r w:rsidR="00D60A11" w:rsidRPr="00EA05B3">
        <w:rPr>
          <w:lang w:val="fr-FR"/>
        </w:rPr>
        <w:t>extérieures depuis juin 2013. Il convient de s</w:t>
      </w:r>
      <w:r w:rsidR="00CE0CD4" w:rsidRPr="00EA05B3">
        <w:rPr>
          <w:lang w:val="fr-FR"/>
        </w:rPr>
        <w:t xml:space="preserve">ignaler </w:t>
      </w:r>
      <w:r w:rsidR="00D60A11" w:rsidRPr="00EA05B3">
        <w:rPr>
          <w:lang w:val="fr-FR"/>
        </w:rPr>
        <w:t xml:space="preserve">la légitimation de sa compétence et </w:t>
      </w:r>
      <w:r w:rsidR="009379A7" w:rsidRPr="00EA05B3">
        <w:rPr>
          <w:lang w:val="fr-FR"/>
        </w:rPr>
        <w:t>l’</w:t>
      </w:r>
      <w:r w:rsidR="00D60A11" w:rsidRPr="00EA05B3">
        <w:rPr>
          <w:lang w:val="fr-FR"/>
        </w:rPr>
        <w:t>élargissement de son habilitation à fournir, en qualité de Vice-</w:t>
      </w:r>
      <w:r w:rsidR="00EF5A2B" w:rsidRPr="00EA05B3">
        <w:rPr>
          <w:lang w:val="fr-FR"/>
        </w:rPr>
        <w:t xml:space="preserve">Ministère </w:t>
      </w:r>
      <w:r w:rsidR="00D60A11" w:rsidRPr="00EA05B3">
        <w:rPr>
          <w:lang w:val="fr-FR"/>
        </w:rPr>
        <w:t xml:space="preserve">de </w:t>
      </w:r>
      <w:r w:rsidR="009379A7" w:rsidRPr="00EA05B3">
        <w:rPr>
          <w:lang w:val="fr-FR"/>
        </w:rPr>
        <w:t>l’</w:t>
      </w:r>
      <w:r w:rsidR="00D60A11" w:rsidRPr="00EA05B3">
        <w:rPr>
          <w:lang w:val="fr-FR"/>
        </w:rPr>
        <w:t>administration publique, des prestations aux Équat</w:t>
      </w:r>
      <w:r w:rsidR="00CE0CD4" w:rsidRPr="00EA05B3">
        <w:rPr>
          <w:lang w:val="fr-FR"/>
        </w:rPr>
        <w:t xml:space="preserve">oriens relevant de son autorité. </w:t>
      </w:r>
      <w:r w:rsidR="00D60A11" w:rsidRPr="00EA05B3">
        <w:rPr>
          <w:lang w:val="fr-FR"/>
        </w:rPr>
        <w:t xml:space="preserve">Le Ministère des relations extérieures est à présent responsable de la politique migratoire. Il est chargé de mettre en œuvre des politiques publiques incluant les personnes en situation de mobilité et de transposer cette politique à toutes les institutions de </w:t>
      </w:r>
      <w:r w:rsidR="009379A7" w:rsidRPr="00EA05B3">
        <w:rPr>
          <w:lang w:val="fr-FR"/>
        </w:rPr>
        <w:t>l’</w:t>
      </w:r>
      <w:r w:rsidR="00D60A11" w:rsidRPr="00EA05B3">
        <w:rPr>
          <w:lang w:val="fr-FR"/>
        </w:rPr>
        <w:t xml:space="preserve">État, afin de réaliser un travail global. Il est chargé de planifier, de diriger et </w:t>
      </w:r>
      <w:r w:rsidR="009379A7" w:rsidRPr="00EA05B3">
        <w:rPr>
          <w:lang w:val="fr-FR"/>
        </w:rPr>
        <w:t>d’</w:t>
      </w:r>
      <w:r w:rsidR="00D60A11" w:rsidRPr="00EA05B3">
        <w:rPr>
          <w:lang w:val="fr-FR"/>
        </w:rPr>
        <w:t xml:space="preserve">évaluer la gestion de la politique migratoire (questions migratoires, questions consulaires et droit </w:t>
      </w:r>
      <w:r w:rsidR="009379A7" w:rsidRPr="00EA05B3">
        <w:rPr>
          <w:lang w:val="fr-FR"/>
        </w:rPr>
        <w:t>d’</w:t>
      </w:r>
      <w:r w:rsidR="00D60A11" w:rsidRPr="00EA05B3">
        <w:rPr>
          <w:lang w:val="fr-FR"/>
        </w:rPr>
        <w:t xml:space="preserve">asile) afin de contribuer à protéger et à promouvoir les droits des Équatoriens à </w:t>
      </w:r>
      <w:r w:rsidR="009379A7" w:rsidRPr="00EA05B3">
        <w:rPr>
          <w:lang w:val="fr-FR"/>
        </w:rPr>
        <w:t>l’</w:t>
      </w:r>
      <w:r w:rsidR="00D60A11" w:rsidRPr="00EA05B3">
        <w:rPr>
          <w:lang w:val="fr-FR"/>
        </w:rPr>
        <w:t>étranger et des étrangers en Équateur. À cet effet, il met en place des processus de coordination interne et externe visant à atteindre les objectifs des plans nationaux de développement.</w:t>
      </w:r>
    </w:p>
    <w:p w:rsidR="00D60A11" w:rsidRPr="00EA05B3" w:rsidRDefault="0027238F" w:rsidP="0027238F">
      <w:pPr>
        <w:pStyle w:val="SingleTxtG"/>
        <w:rPr>
          <w:lang w:val="fr-FR"/>
        </w:rPr>
      </w:pPr>
      <w:r w:rsidRPr="00EA05B3">
        <w:rPr>
          <w:lang w:val="fr-FR"/>
        </w:rPr>
        <w:t>255.</w:t>
      </w:r>
      <w:r w:rsidRPr="00EA05B3">
        <w:rPr>
          <w:lang w:val="fr-FR"/>
        </w:rPr>
        <w:tab/>
      </w:r>
      <w:r w:rsidR="00891431" w:rsidRPr="00EA05B3">
        <w:rPr>
          <w:lang w:val="fr-FR"/>
        </w:rPr>
        <w:t>En</w:t>
      </w:r>
      <w:r w:rsidR="00D60A11" w:rsidRPr="00EA05B3">
        <w:rPr>
          <w:lang w:val="fr-FR"/>
        </w:rPr>
        <w:t xml:space="preserve"> mars 2012, </w:t>
      </w:r>
      <w:r w:rsidR="009379A7" w:rsidRPr="00EA05B3">
        <w:rPr>
          <w:lang w:val="fr-FR"/>
        </w:rPr>
        <w:t>l’</w:t>
      </w:r>
      <w:r w:rsidR="00D60A11" w:rsidRPr="00EA05B3">
        <w:rPr>
          <w:lang w:val="fr-FR"/>
        </w:rPr>
        <w:t xml:space="preserve">Unité spécialisée de la Commission de la vérité </w:t>
      </w:r>
      <w:r w:rsidR="00891431" w:rsidRPr="00EA05B3">
        <w:rPr>
          <w:lang w:val="fr-FR"/>
        </w:rPr>
        <w:t xml:space="preserve">est devenue </w:t>
      </w:r>
      <w:r w:rsidR="00D60A11" w:rsidRPr="00EA05B3">
        <w:rPr>
          <w:lang w:val="fr-FR"/>
        </w:rPr>
        <w:t xml:space="preserve">la Direction de la Commission de la vérité et des droits de </w:t>
      </w:r>
      <w:r w:rsidR="009379A7" w:rsidRPr="00EA05B3">
        <w:rPr>
          <w:lang w:val="fr-FR"/>
        </w:rPr>
        <w:t>l’</w:t>
      </w:r>
      <w:r w:rsidR="00D60A11" w:rsidRPr="00EA05B3">
        <w:rPr>
          <w:lang w:val="fr-FR"/>
        </w:rPr>
        <w:t xml:space="preserve">homme. Elle est chargée de coordonner et de soutenir les actions menées et </w:t>
      </w:r>
      <w:r w:rsidR="009379A7" w:rsidRPr="00EA05B3">
        <w:rPr>
          <w:lang w:val="fr-FR"/>
        </w:rPr>
        <w:t>d’</w:t>
      </w:r>
      <w:r w:rsidR="00D60A11" w:rsidRPr="00EA05B3">
        <w:rPr>
          <w:lang w:val="fr-FR"/>
        </w:rPr>
        <w:t xml:space="preserve">enquêter sur les affaires de violations des droits de </w:t>
      </w:r>
      <w:r w:rsidR="009379A7" w:rsidRPr="00EA05B3">
        <w:rPr>
          <w:lang w:val="fr-FR"/>
        </w:rPr>
        <w:t>l’</w:t>
      </w:r>
      <w:r w:rsidR="00D60A11" w:rsidRPr="00EA05B3">
        <w:rPr>
          <w:lang w:val="fr-FR"/>
        </w:rPr>
        <w:t xml:space="preserve">homme et de crimes contre </w:t>
      </w:r>
      <w:r w:rsidR="009379A7" w:rsidRPr="00EA05B3">
        <w:rPr>
          <w:lang w:val="fr-FR"/>
        </w:rPr>
        <w:t>l’</w:t>
      </w:r>
      <w:r w:rsidR="00D60A11" w:rsidRPr="00EA05B3">
        <w:rPr>
          <w:lang w:val="fr-FR"/>
        </w:rPr>
        <w:t xml:space="preserve">humanité. Sa compétence </w:t>
      </w:r>
      <w:r w:rsidR="009379A7" w:rsidRPr="00EA05B3">
        <w:rPr>
          <w:lang w:val="fr-FR"/>
        </w:rPr>
        <w:t>s’</w:t>
      </w:r>
      <w:r w:rsidR="00D60A11" w:rsidRPr="00EA05B3">
        <w:rPr>
          <w:lang w:val="fr-FR"/>
        </w:rPr>
        <w:t xml:space="preserve">étend à </w:t>
      </w:r>
      <w:r w:rsidR="009379A7" w:rsidRPr="00EA05B3">
        <w:rPr>
          <w:lang w:val="fr-FR"/>
        </w:rPr>
        <w:t>l’</w:t>
      </w:r>
      <w:r w:rsidR="00D60A11" w:rsidRPr="00EA05B3">
        <w:rPr>
          <w:lang w:val="fr-FR"/>
        </w:rPr>
        <w:t xml:space="preserve">ensemble du territoire national. </w:t>
      </w:r>
      <w:r w:rsidR="009379A7" w:rsidRPr="00EA05B3">
        <w:rPr>
          <w:lang w:val="fr-FR"/>
        </w:rPr>
        <w:t>L’</w:t>
      </w:r>
      <w:r w:rsidR="00D60A11" w:rsidRPr="00EA05B3">
        <w:rPr>
          <w:lang w:val="fr-FR"/>
        </w:rPr>
        <w:t>ancienne Unité spécialisée de la Commission de la vérité, créée le 25</w:t>
      </w:r>
      <w:r w:rsidR="00EF5A2B" w:rsidRPr="00EA05B3">
        <w:rPr>
          <w:lang w:val="fr-FR"/>
        </w:rPr>
        <w:t> </w:t>
      </w:r>
      <w:r w:rsidR="00D60A11" w:rsidRPr="00EA05B3">
        <w:rPr>
          <w:lang w:val="fr-FR"/>
        </w:rPr>
        <w:t>novembre 2010, a travaillé sur les 118 affaires dont le dossier permettait de mener une enquête judiciaire.</w:t>
      </w:r>
    </w:p>
    <w:p w:rsidR="00D60A11" w:rsidRPr="00EA05B3" w:rsidRDefault="0027238F" w:rsidP="0027238F">
      <w:pPr>
        <w:pStyle w:val="SingleTxtG"/>
        <w:rPr>
          <w:lang w:val="fr-FR"/>
        </w:rPr>
      </w:pPr>
      <w:r w:rsidRPr="00EA05B3">
        <w:rPr>
          <w:lang w:val="fr-FR"/>
        </w:rPr>
        <w:t>256.</w:t>
      </w:r>
      <w:r w:rsidRPr="00EA05B3">
        <w:rPr>
          <w:lang w:val="fr-FR"/>
        </w:rPr>
        <w:tab/>
      </w:r>
      <w:r w:rsidR="00D60A11" w:rsidRPr="00EA05B3">
        <w:rPr>
          <w:lang w:val="fr-FR"/>
        </w:rPr>
        <w:t xml:space="preserve">Il convient de préciser </w:t>
      </w:r>
      <w:r w:rsidR="009379A7" w:rsidRPr="00EA05B3">
        <w:rPr>
          <w:lang w:val="fr-FR"/>
        </w:rPr>
        <w:t>qu’</w:t>
      </w:r>
      <w:r w:rsidR="00D60A11" w:rsidRPr="00EA05B3">
        <w:rPr>
          <w:lang w:val="fr-FR"/>
        </w:rPr>
        <w:t xml:space="preserve">elle était constituée de membres de la société civile qui se sont distingués en militant pour la cause des droits de </w:t>
      </w:r>
      <w:r w:rsidR="009379A7" w:rsidRPr="00EA05B3">
        <w:rPr>
          <w:lang w:val="fr-FR"/>
        </w:rPr>
        <w:t>l’</w:t>
      </w:r>
      <w:r w:rsidR="00D60A11" w:rsidRPr="00EA05B3">
        <w:rPr>
          <w:lang w:val="fr-FR"/>
        </w:rPr>
        <w:t xml:space="preserve">homme. Elle a été chargée </w:t>
      </w:r>
      <w:r w:rsidR="009379A7" w:rsidRPr="00EA05B3">
        <w:rPr>
          <w:lang w:val="fr-FR"/>
        </w:rPr>
        <w:t>d’</w:t>
      </w:r>
      <w:r w:rsidR="00D60A11" w:rsidRPr="00EA05B3">
        <w:rPr>
          <w:lang w:val="fr-FR"/>
        </w:rPr>
        <w:t xml:space="preserve">enquêter de façon approfondie et indépendante, en se basant sur les déclarations des victimes et des témoins et sur les archives de </w:t>
      </w:r>
      <w:r w:rsidR="009379A7" w:rsidRPr="00EA05B3">
        <w:rPr>
          <w:lang w:val="fr-FR"/>
        </w:rPr>
        <w:t>l’</w:t>
      </w:r>
      <w:r w:rsidR="00D60A11" w:rsidRPr="00EA05B3">
        <w:rPr>
          <w:lang w:val="fr-FR"/>
        </w:rPr>
        <w:t xml:space="preserve">État, fussent-elles protégées ou confidentielles. Elle a travaillé sur un certain nombre </w:t>
      </w:r>
      <w:r w:rsidR="009379A7" w:rsidRPr="00EA05B3">
        <w:rPr>
          <w:lang w:val="fr-FR"/>
        </w:rPr>
        <w:t>d’</w:t>
      </w:r>
      <w:r w:rsidR="00D60A11" w:rsidRPr="00EA05B3">
        <w:rPr>
          <w:lang w:val="fr-FR"/>
        </w:rPr>
        <w:t xml:space="preserve">affaires ayant trait à des exécutions extrajudiciaires, des disparitions forcées, des actes de torture ou des détentions arbitraires. Le rapport final de ce travail, présenté en juin 2010, réunit des informations sur 118 affaires, dont 17 concernant des disparitions forcées. </w:t>
      </w:r>
    </w:p>
    <w:p w:rsidR="00D60A11" w:rsidRPr="00EA05B3" w:rsidRDefault="0027238F" w:rsidP="0027238F">
      <w:pPr>
        <w:pStyle w:val="SingleTxtG"/>
        <w:rPr>
          <w:lang w:val="fr-FR"/>
        </w:rPr>
      </w:pPr>
      <w:r w:rsidRPr="00EA05B3">
        <w:rPr>
          <w:lang w:val="fr-FR"/>
        </w:rPr>
        <w:t>257.</w:t>
      </w:r>
      <w:r w:rsidRPr="00EA05B3">
        <w:rPr>
          <w:lang w:val="fr-FR"/>
        </w:rPr>
        <w:tab/>
      </w:r>
      <w:r w:rsidR="00D60A11" w:rsidRPr="00EA05B3">
        <w:rPr>
          <w:lang w:val="fr-FR"/>
        </w:rPr>
        <w:t xml:space="preserve">En ce qui concerne la reconnaissance de la compétence des organismes régionaux de protection des droits de </w:t>
      </w:r>
      <w:r w:rsidR="009379A7" w:rsidRPr="00EA05B3">
        <w:rPr>
          <w:lang w:val="fr-FR"/>
        </w:rPr>
        <w:t>l’</w:t>
      </w:r>
      <w:r w:rsidR="00D60A11" w:rsidRPr="00EA05B3">
        <w:rPr>
          <w:lang w:val="fr-FR"/>
        </w:rPr>
        <w:t xml:space="preserve">homme, on retiendra que </w:t>
      </w:r>
      <w:r w:rsidR="009379A7" w:rsidRPr="00EA05B3">
        <w:rPr>
          <w:lang w:val="fr-FR"/>
        </w:rPr>
        <w:t>l’</w:t>
      </w:r>
      <w:r w:rsidR="00D60A11" w:rsidRPr="00EA05B3">
        <w:rPr>
          <w:lang w:val="fr-FR"/>
        </w:rPr>
        <w:t xml:space="preserve">Équateur a ratifié la Convention américaine relative aux droits de </w:t>
      </w:r>
      <w:r w:rsidR="009379A7" w:rsidRPr="00EA05B3">
        <w:rPr>
          <w:lang w:val="fr-FR"/>
        </w:rPr>
        <w:t>l’</w:t>
      </w:r>
      <w:r w:rsidR="00D60A11" w:rsidRPr="00EA05B3">
        <w:rPr>
          <w:lang w:val="fr-FR"/>
        </w:rPr>
        <w:t xml:space="preserve">homme le 8 décembre 1977 et que, conformément à </w:t>
      </w:r>
      <w:r w:rsidR="009379A7" w:rsidRPr="00EA05B3">
        <w:rPr>
          <w:lang w:val="fr-FR"/>
        </w:rPr>
        <w:t>l’</w:t>
      </w:r>
      <w:r w:rsidR="00D60A11" w:rsidRPr="00EA05B3">
        <w:rPr>
          <w:lang w:val="fr-FR"/>
        </w:rPr>
        <w:t xml:space="preserve">article 62.1 de cet instrument, il a reconnu, le 24 juillet 1984, comme obligatoire et de plein droit la compétence de la Cour interaméricaine des droits de </w:t>
      </w:r>
      <w:r w:rsidR="009379A7" w:rsidRPr="00EA05B3">
        <w:rPr>
          <w:lang w:val="fr-FR"/>
        </w:rPr>
        <w:t>l’</w:t>
      </w:r>
      <w:r w:rsidR="00D60A11" w:rsidRPr="00EA05B3">
        <w:rPr>
          <w:lang w:val="fr-FR"/>
        </w:rPr>
        <w:t xml:space="preserve">homme pour connaître de toutes les affaires relatives à </w:t>
      </w:r>
      <w:r w:rsidR="009379A7" w:rsidRPr="00EA05B3">
        <w:rPr>
          <w:lang w:val="fr-FR"/>
        </w:rPr>
        <w:t>l’</w:t>
      </w:r>
      <w:r w:rsidR="00D60A11" w:rsidRPr="00EA05B3">
        <w:rPr>
          <w:lang w:val="fr-FR"/>
        </w:rPr>
        <w:t xml:space="preserve">interprétation ou à </w:t>
      </w:r>
      <w:r w:rsidR="009379A7" w:rsidRPr="00EA05B3">
        <w:rPr>
          <w:lang w:val="fr-FR"/>
        </w:rPr>
        <w:t>l’</w:t>
      </w:r>
      <w:r w:rsidR="00D60A11" w:rsidRPr="00EA05B3">
        <w:rPr>
          <w:lang w:val="fr-FR"/>
        </w:rPr>
        <w:t>application de la Convention.</w:t>
      </w:r>
      <w:r w:rsidR="000D57A5" w:rsidRPr="00EA05B3">
        <w:rPr>
          <w:lang w:val="fr-FR"/>
        </w:rPr>
        <w:t xml:space="preserve"> </w:t>
      </w:r>
      <w:r w:rsidR="00D60A11" w:rsidRPr="00EA05B3">
        <w:rPr>
          <w:lang w:val="fr-FR"/>
        </w:rPr>
        <w:t xml:space="preserve">À cet égard, en application de </w:t>
      </w:r>
      <w:r w:rsidR="009379A7" w:rsidRPr="00EA05B3">
        <w:rPr>
          <w:lang w:val="fr-FR"/>
        </w:rPr>
        <w:t>l’</w:t>
      </w:r>
      <w:r w:rsidR="00D60A11" w:rsidRPr="00EA05B3">
        <w:rPr>
          <w:lang w:val="fr-FR"/>
        </w:rPr>
        <w:t xml:space="preserve">article 68, </w:t>
      </w:r>
      <w:r w:rsidR="009379A7" w:rsidRPr="00EA05B3">
        <w:rPr>
          <w:lang w:val="fr-FR"/>
        </w:rPr>
        <w:t>l’</w:t>
      </w:r>
      <w:r w:rsidR="00D60A11" w:rsidRPr="00EA05B3">
        <w:rPr>
          <w:lang w:val="fr-FR"/>
        </w:rPr>
        <w:t xml:space="preserve">Équateur </w:t>
      </w:r>
      <w:r w:rsidR="009379A7" w:rsidRPr="00EA05B3">
        <w:rPr>
          <w:lang w:val="fr-FR"/>
        </w:rPr>
        <w:t>s’</w:t>
      </w:r>
      <w:r w:rsidR="00D60A11" w:rsidRPr="00EA05B3">
        <w:rPr>
          <w:lang w:val="fr-FR"/>
        </w:rPr>
        <w:t xml:space="preserve">est engagé à se conformer aux décisions rendues par la Cour dans tout litige où il serait en cause, à autoriser </w:t>
      </w:r>
      <w:r w:rsidR="009379A7" w:rsidRPr="00EA05B3">
        <w:rPr>
          <w:lang w:val="fr-FR"/>
        </w:rPr>
        <w:t>l’</w:t>
      </w:r>
      <w:r w:rsidR="00D60A11" w:rsidRPr="00EA05B3">
        <w:rPr>
          <w:lang w:val="fr-FR"/>
        </w:rPr>
        <w:t xml:space="preserve">octroi des indemnités décidées par la Cour, conformément à la procédure interne pour </w:t>
      </w:r>
      <w:r w:rsidR="009379A7" w:rsidRPr="00EA05B3">
        <w:rPr>
          <w:lang w:val="fr-FR"/>
        </w:rPr>
        <w:t>l’</w:t>
      </w:r>
      <w:r w:rsidR="00D60A11" w:rsidRPr="00EA05B3">
        <w:rPr>
          <w:lang w:val="fr-FR"/>
        </w:rPr>
        <w:t xml:space="preserve">exécution des jugements rendus contre </w:t>
      </w:r>
      <w:r w:rsidR="009379A7" w:rsidRPr="00EA05B3">
        <w:rPr>
          <w:lang w:val="fr-FR"/>
        </w:rPr>
        <w:t>l’</w:t>
      </w:r>
      <w:r w:rsidR="00D60A11" w:rsidRPr="00EA05B3">
        <w:rPr>
          <w:lang w:val="fr-FR"/>
        </w:rPr>
        <w:t xml:space="preserve">État. </w:t>
      </w:r>
      <w:r w:rsidR="009379A7" w:rsidRPr="00EA05B3">
        <w:rPr>
          <w:lang w:val="fr-FR"/>
        </w:rPr>
        <w:t>L’</w:t>
      </w:r>
      <w:r w:rsidR="00D60A11" w:rsidRPr="00EA05B3">
        <w:rPr>
          <w:lang w:val="fr-FR"/>
        </w:rPr>
        <w:t xml:space="preserve">article 41 de la Convention prévoit que </w:t>
      </w:r>
      <w:r w:rsidR="009379A7" w:rsidRPr="00EA05B3">
        <w:rPr>
          <w:lang w:val="fr-FR"/>
        </w:rPr>
        <w:t>l’</w:t>
      </w:r>
      <w:r w:rsidR="00D60A11" w:rsidRPr="00EA05B3">
        <w:rPr>
          <w:lang w:val="fr-FR"/>
        </w:rPr>
        <w:t xml:space="preserve">organisme chargé du respect et de la défense des droits de </w:t>
      </w:r>
      <w:r w:rsidR="009379A7" w:rsidRPr="00EA05B3">
        <w:rPr>
          <w:lang w:val="fr-FR"/>
        </w:rPr>
        <w:t>l’</w:t>
      </w:r>
      <w:r w:rsidR="00D60A11" w:rsidRPr="00EA05B3">
        <w:rPr>
          <w:lang w:val="fr-FR"/>
        </w:rPr>
        <w:t xml:space="preserve">homme sur le continent américain est la Commission interaméricaine des droits de </w:t>
      </w:r>
      <w:r w:rsidR="009379A7" w:rsidRPr="00EA05B3">
        <w:rPr>
          <w:lang w:val="fr-FR"/>
        </w:rPr>
        <w:t>l’</w:t>
      </w:r>
      <w:r w:rsidR="00D60A11" w:rsidRPr="00EA05B3">
        <w:rPr>
          <w:lang w:val="fr-FR"/>
        </w:rPr>
        <w:t xml:space="preserve">homme, qui a notamment pour fonction de traiter les plaintes que lui soumettent des particuliers se considérant victimes de violations de leurs droits. Selon les articles 41.b et 43, la Commission connaît des plaintes et recommande aux États </w:t>
      </w:r>
      <w:r w:rsidR="009379A7" w:rsidRPr="00EA05B3">
        <w:rPr>
          <w:lang w:val="fr-FR"/>
        </w:rPr>
        <w:t>d’</w:t>
      </w:r>
      <w:r w:rsidR="00D60A11" w:rsidRPr="00EA05B3">
        <w:rPr>
          <w:lang w:val="fr-FR"/>
        </w:rPr>
        <w:t xml:space="preserve">adopter des mesures visant à faire cesser les violations des droits de </w:t>
      </w:r>
      <w:r w:rsidR="009379A7" w:rsidRPr="00EA05B3">
        <w:rPr>
          <w:lang w:val="fr-FR"/>
        </w:rPr>
        <w:t>l’</w:t>
      </w:r>
      <w:r w:rsidR="00D60A11" w:rsidRPr="00EA05B3">
        <w:rPr>
          <w:lang w:val="fr-FR"/>
        </w:rPr>
        <w:t>homme et à les réparer</w:t>
      </w:r>
      <w:r w:rsidR="00B36EE6" w:rsidRPr="00EA05B3">
        <w:rPr>
          <w:lang w:val="fr-FR"/>
        </w:rPr>
        <w:t>;</w:t>
      </w:r>
      <w:r w:rsidR="00D60A11" w:rsidRPr="00EA05B3">
        <w:rPr>
          <w:lang w:val="fr-FR"/>
        </w:rPr>
        <w:t xml:space="preserve"> elle peut également demander aux États de présenter des rapports sur les mesures mises en œuvre afin de déterminer si ces mesures sont appropriées.</w:t>
      </w:r>
    </w:p>
    <w:p w:rsidR="00D60A11" w:rsidRPr="00EA05B3" w:rsidRDefault="005059C0" w:rsidP="005059C0">
      <w:pPr>
        <w:pStyle w:val="H1G"/>
        <w:rPr>
          <w:lang w:val="fr-FR"/>
        </w:rPr>
      </w:pPr>
      <w:bookmarkStart w:id="27" w:name="_Toc392676789"/>
      <w:r w:rsidRPr="00EA05B3">
        <w:rPr>
          <w:lang w:val="fr-FR"/>
        </w:rPr>
        <w:tab/>
        <w:t>C.</w:t>
      </w:r>
      <w:r w:rsidRPr="00EA05B3">
        <w:rPr>
          <w:lang w:val="fr-FR"/>
        </w:rPr>
        <w:tab/>
        <w:t xml:space="preserve">Cadre de la promotion des droits de </w:t>
      </w:r>
      <w:r w:rsidR="009379A7" w:rsidRPr="00EA05B3">
        <w:rPr>
          <w:lang w:val="fr-FR"/>
        </w:rPr>
        <w:t>l’</w:t>
      </w:r>
      <w:r w:rsidRPr="00EA05B3">
        <w:rPr>
          <w:lang w:val="fr-FR"/>
        </w:rPr>
        <w:t>homme au niveau national</w:t>
      </w:r>
      <w:bookmarkEnd w:id="27"/>
    </w:p>
    <w:p w:rsidR="00D60A11" w:rsidRPr="00EA05B3" w:rsidRDefault="0027238F" w:rsidP="0027238F">
      <w:pPr>
        <w:pStyle w:val="SingleTxtG"/>
        <w:rPr>
          <w:lang w:val="fr-FR"/>
        </w:rPr>
      </w:pPr>
      <w:r w:rsidRPr="00EA05B3">
        <w:rPr>
          <w:lang w:val="fr-FR"/>
        </w:rPr>
        <w:t>258.</w:t>
      </w:r>
      <w:r w:rsidRPr="00EA05B3">
        <w:rPr>
          <w:lang w:val="fr-FR"/>
        </w:rPr>
        <w:tab/>
      </w:r>
      <w:r w:rsidR="00D60A11" w:rsidRPr="00EA05B3">
        <w:rPr>
          <w:lang w:val="fr-FR"/>
        </w:rPr>
        <w:t xml:space="preserve">Comme on </w:t>
      </w:r>
      <w:r w:rsidR="009379A7" w:rsidRPr="00EA05B3">
        <w:rPr>
          <w:lang w:val="fr-FR"/>
        </w:rPr>
        <w:t>l’</w:t>
      </w:r>
      <w:r w:rsidR="00D60A11" w:rsidRPr="00EA05B3">
        <w:rPr>
          <w:lang w:val="fr-FR"/>
        </w:rPr>
        <w:t xml:space="preserve">a vu, la Constitution prévoit un important dispositif qui lie </w:t>
      </w:r>
      <w:r w:rsidR="009379A7" w:rsidRPr="00EA05B3">
        <w:rPr>
          <w:lang w:val="fr-FR"/>
        </w:rPr>
        <w:t>l’</w:t>
      </w:r>
      <w:r w:rsidR="00D60A11" w:rsidRPr="00EA05B3">
        <w:rPr>
          <w:lang w:val="fr-FR"/>
        </w:rPr>
        <w:t xml:space="preserve">action des pouvoirs publics à la garantie des droits de </w:t>
      </w:r>
      <w:r w:rsidR="009379A7" w:rsidRPr="00EA05B3">
        <w:rPr>
          <w:lang w:val="fr-FR"/>
        </w:rPr>
        <w:t>l’</w:t>
      </w:r>
      <w:r w:rsidR="00D60A11" w:rsidRPr="00EA05B3">
        <w:rPr>
          <w:lang w:val="fr-FR"/>
        </w:rPr>
        <w:t xml:space="preserve">homme et à la participation des personnes, des peuples, des communautés et des nationalités titulaires de ces droits, qui constituent des organisations sociales pour les promouvoir et les défendre. </w:t>
      </w:r>
      <w:r w:rsidR="009379A7" w:rsidRPr="00EA05B3">
        <w:rPr>
          <w:lang w:val="fr-FR"/>
        </w:rPr>
        <w:t>C’</w:t>
      </w:r>
      <w:r w:rsidR="00D60A11" w:rsidRPr="00EA05B3">
        <w:rPr>
          <w:lang w:val="fr-FR"/>
        </w:rPr>
        <w:t xml:space="preserve">est ainsi que </w:t>
      </w:r>
      <w:r w:rsidR="009379A7" w:rsidRPr="00EA05B3">
        <w:rPr>
          <w:lang w:val="fr-FR"/>
        </w:rPr>
        <w:t>l’</w:t>
      </w:r>
      <w:r w:rsidR="00D60A11" w:rsidRPr="00EA05B3">
        <w:rPr>
          <w:lang w:val="fr-FR"/>
        </w:rPr>
        <w:t>article 61 du titre II de la Constitution (Droits)</w:t>
      </w:r>
      <w:r w:rsidR="000D57A5" w:rsidRPr="00EA05B3">
        <w:rPr>
          <w:lang w:val="fr-FR"/>
        </w:rPr>
        <w:t xml:space="preserve"> </w:t>
      </w:r>
      <w:r w:rsidR="00D60A11" w:rsidRPr="00EA05B3">
        <w:rPr>
          <w:lang w:val="fr-FR"/>
        </w:rPr>
        <w:t xml:space="preserve">prévoit que les Équatoriens participent aux affaires publiques et </w:t>
      </w:r>
      <w:r w:rsidR="009379A7" w:rsidRPr="00EA05B3">
        <w:rPr>
          <w:lang w:val="fr-FR"/>
        </w:rPr>
        <w:t>qu’</w:t>
      </w:r>
      <w:r w:rsidR="00D60A11" w:rsidRPr="00EA05B3">
        <w:rPr>
          <w:lang w:val="fr-FR"/>
        </w:rPr>
        <w:t xml:space="preserve">ils ont le droit </w:t>
      </w:r>
      <w:r w:rsidR="009379A7" w:rsidRPr="00EA05B3">
        <w:rPr>
          <w:lang w:val="fr-FR"/>
        </w:rPr>
        <w:t>d’</w:t>
      </w:r>
      <w:r w:rsidR="00D60A11" w:rsidRPr="00EA05B3">
        <w:rPr>
          <w:lang w:val="fr-FR"/>
        </w:rPr>
        <w:t xml:space="preserve">être consultés et </w:t>
      </w:r>
      <w:r w:rsidR="009379A7" w:rsidRPr="00EA05B3">
        <w:rPr>
          <w:lang w:val="fr-FR"/>
        </w:rPr>
        <w:t>d’</w:t>
      </w:r>
      <w:r w:rsidR="00D60A11" w:rsidRPr="00EA05B3">
        <w:rPr>
          <w:lang w:val="fr-FR"/>
        </w:rPr>
        <w:t xml:space="preserve">exercer un contrôle sur </w:t>
      </w:r>
      <w:r w:rsidR="009379A7" w:rsidRPr="00EA05B3">
        <w:rPr>
          <w:lang w:val="fr-FR"/>
        </w:rPr>
        <w:t>l’</w:t>
      </w:r>
      <w:r w:rsidR="00D60A11" w:rsidRPr="00EA05B3">
        <w:rPr>
          <w:lang w:val="fr-FR"/>
        </w:rPr>
        <w:t xml:space="preserve">action des pouvoirs publics. De même, les dispositions concernant les garanties relatives aux politiques publiques prévoient la participation des personnes, des communautés, des peuples, des nationalités ou des organisations sociales à la formulation, à </w:t>
      </w:r>
      <w:r w:rsidR="009379A7" w:rsidRPr="00EA05B3">
        <w:rPr>
          <w:lang w:val="fr-FR"/>
        </w:rPr>
        <w:t>l’</w:t>
      </w:r>
      <w:r w:rsidR="00D60A11" w:rsidRPr="00EA05B3">
        <w:rPr>
          <w:lang w:val="fr-FR"/>
        </w:rPr>
        <w:t xml:space="preserve">exécution, à </w:t>
      </w:r>
      <w:r w:rsidR="009379A7" w:rsidRPr="00EA05B3">
        <w:rPr>
          <w:lang w:val="fr-FR"/>
        </w:rPr>
        <w:t>l’</w:t>
      </w:r>
      <w:r w:rsidR="00D60A11" w:rsidRPr="00EA05B3">
        <w:rPr>
          <w:lang w:val="fr-FR"/>
        </w:rPr>
        <w:t xml:space="preserve">évaluation et au contrôle des politiques et des services publics. </w:t>
      </w:r>
      <w:r w:rsidR="009379A7" w:rsidRPr="00EA05B3">
        <w:rPr>
          <w:lang w:val="fr-FR"/>
        </w:rPr>
        <w:t>C’</w:t>
      </w:r>
      <w:r w:rsidR="00D60A11" w:rsidRPr="00EA05B3">
        <w:rPr>
          <w:lang w:val="fr-FR"/>
        </w:rPr>
        <w:t xml:space="preserve">est pourquoi diverses institutions aux différents niveaux de </w:t>
      </w:r>
      <w:r w:rsidR="009379A7" w:rsidRPr="00EA05B3">
        <w:rPr>
          <w:lang w:val="fr-FR"/>
        </w:rPr>
        <w:t>l’</w:t>
      </w:r>
      <w:r w:rsidR="00D60A11" w:rsidRPr="00EA05B3">
        <w:rPr>
          <w:lang w:val="fr-FR"/>
        </w:rPr>
        <w:t>État garantissent la participation des citoyens à leurs activités en les informant, en les consultant, en collaborant avec eux ou encore en les associant à la réforme des politiques, des projets, plans et autres mesures.</w:t>
      </w:r>
    </w:p>
    <w:p w:rsidR="00D60A11" w:rsidRPr="00EA05B3" w:rsidRDefault="0027238F" w:rsidP="0027238F">
      <w:pPr>
        <w:pStyle w:val="SingleTxtG"/>
        <w:rPr>
          <w:lang w:val="fr-FR"/>
        </w:rPr>
      </w:pPr>
      <w:r w:rsidRPr="00EA05B3">
        <w:rPr>
          <w:lang w:val="fr-FR"/>
        </w:rPr>
        <w:t>259.</w:t>
      </w:r>
      <w:r w:rsidRPr="00EA05B3">
        <w:rPr>
          <w:lang w:val="fr-FR"/>
        </w:rPr>
        <w:tab/>
      </w:r>
      <w:r w:rsidR="00D60A11" w:rsidRPr="00EA05B3">
        <w:rPr>
          <w:lang w:val="fr-FR"/>
        </w:rPr>
        <w:t xml:space="preserve">Les institutions qui mettent en œuvre les politiques relatives aux droits de </w:t>
      </w:r>
      <w:r w:rsidR="009379A7" w:rsidRPr="00EA05B3">
        <w:rPr>
          <w:lang w:val="fr-FR"/>
        </w:rPr>
        <w:t>l’</w:t>
      </w:r>
      <w:r w:rsidR="00D60A11" w:rsidRPr="00EA05B3">
        <w:rPr>
          <w:lang w:val="fr-FR"/>
        </w:rPr>
        <w:t>homme sont multiples</w:t>
      </w:r>
      <w:r w:rsidR="00B36EE6" w:rsidRPr="00EA05B3">
        <w:rPr>
          <w:lang w:val="fr-FR"/>
        </w:rPr>
        <w:t>;</w:t>
      </w:r>
      <w:r w:rsidR="00D60A11" w:rsidRPr="00EA05B3">
        <w:rPr>
          <w:lang w:val="fr-FR"/>
        </w:rPr>
        <w:t xml:space="preserve"> il existe donc divers programmes institutionnels de formation et de promotion de ces droits, aux différents niveaux de </w:t>
      </w:r>
      <w:r w:rsidR="009379A7" w:rsidRPr="00EA05B3">
        <w:rPr>
          <w:lang w:val="fr-FR"/>
        </w:rPr>
        <w:t>l’</w:t>
      </w:r>
      <w:r w:rsidR="00D60A11" w:rsidRPr="00EA05B3">
        <w:rPr>
          <w:lang w:val="fr-FR"/>
        </w:rPr>
        <w:t xml:space="preserve">État. </w:t>
      </w:r>
      <w:r w:rsidR="009379A7" w:rsidRPr="00EA05B3">
        <w:rPr>
          <w:lang w:val="fr-FR"/>
        </w:rPr>
        <w:t>C’</w:t>
      </w:r>
      <w:r w:rsidR="00D60A11" w:rsidRPr="00EA05B3">
        <w:rPr>
          <w:lang w:val="fr-FR"/>
        </w:rPr>
        <w:t xml:space="preserve">est au Ministère de la justice, des droits de </w:t>
      </w:r>
      <w:r w:rsidR="009379A7" w:rsidRPr="00EA05B3">
        <w:rPr>
          <w:lang w:val="fr-FR"/>
        </w:rPr>
        <w:t>l’</w:t>
      </w:r>
      <w:r w:rsidR="00D60A11" w:rsidRPr="00EA05B3">
        <w:rPr>
          <w:lang w:val="fr-FR"/>
        </w:rPr>
        <w:t xml:space="preserve">homme et des cultes </w:t>
      </w:r>
      <w:r w:rsidR="009379A7" w:rsidRPr="00EA05B3">
        <w:rPr>
          <w:lang w:val="fr-FR"/>
        </w:rPr>
        <w:t>qu’</w:t>
      </w:r>
      <w:r w:rsidR="00D60A11" w:rsidRPr="00EA05B3">
        <w:rPr>
          <w:lang w:val="fr-FR"/>
        </w:rPr>
        <w:t xml:space="preserve">il revient de promouvoir les droits de </w:t>
      </w:r>
      <w:r w:rsidR="009379A7" w:rsidRPr="00EA05B3">
        <w:rPr>
          <w:lang w:val="fr-FR"/>
        </w:rPr>
        <w:t>l’</w:t>
      </w:r>
      <w:r w:rsidR="00D60A11" w:rsidRPr="00EA05B3">
        <w:rPr>
          <w:lang w:val="fr-FR"/>
        </w:rPr>
        <w:t xml:space="preserve">homme dans la société et dans le secteur public. Celui-ci a mis en place un Bureau des citoyens, auquel les personnes, les peuples, les communautés et les nationalités peuvent </w:t>
      </w:r>
      <w:r w:rsidR="009379A7" w:rsidRPr="00EA05B3">
        <w:rPr>
          <w:lang w:val="fr-FR"/>
        </w:rPr>
        <w:t>s’</w:t>
      </w:r>
      <w:r w:rsidR="00D60A11" w:rsidRPr="00EA05B3">
        <w:rPr>
          <w:lang w:val="fr-FR"/>
        </w:rPr>
        <w:t xml:space="preserve">adresser pour </w:t>
      </w:r>
      <w:r w:rsidR="009379A7" w:rsidRPr="00EA05B3">
        <w:rPr>
          <w:lang w:val="fr-FR"/>
        </w:rPr>
        <w:t>s’</w:t>
      </w:r>
      <w:r w:rsidR="00D60A11" w:rsidRPr="00EA05B3">
        <w:rPr>
          <w:lang w:val="fr-FR"/>
        </w:rPr>
        <w:t xml:space="preserve">informer sur les moyens </w:t>
      </w:r>
      <w:r w:rsidR="009379A7" w:rsidRPr="00EA05B3">
        <w:rPr>
          <w:lang w:val="fr-FR"/>
        </w:rPr>
        <w:t>d’</w:t>
      </w:r>
      <w:r w:rsidR="00D60A11" w:rsidRPr="00EA05B3">
        <w:rPr>
          <w:lang w:val="fr-FR"/>
        </w:rPr>
        <w:t xml:space="preserve">exercer leurs droits et </w:t>
      </w:r>
      <w:r w:rsidR="009379A7" w:rsidRPr="00EA05B3">
        <w:rPr>
          <w:lang w:val="fr-FR"/>
        </w:rPr>
        <w:t>d’</w:t>
      </w:r>
      <w:r w:rsidR="00D60A11" w:rsidRPr="00EA05B3">
        <w:rPr>
          <w:lang w:val="fr-FR"/>
        </w:rPr>
        <w:t xml:space="preserve">en exiger le respect. Le Bureau propose des entretiens et distribue de la documentation, y compris des manuels et des brochures explicatives sur des droits particuliers. Il organise aussi des campagnes médiatiques de sensibilisation visant à ce que les citoyens connaissent leurs droits et les fassent valoir. Sur ce point il est nécessaire de mentionner le travail réalisé par la Direction des droits de </w:t>
      </w:r>
      <w:r w:rsidR="009379A7" w:rsidRPr="00EA05B3">
        <w:rPr>
          <w:lang w:val="fr-FR"/>
        </w:rPr>
        <w:t>l’</w:t>
      </w:r>
      <w:r w:rsidR="00D60A11" w:rsidRPr="00EA05B3">
        <w:rPr>
          <w:lang w:val="fr-FR"/>
        </w:rPr>
        <w:t xml:space="preserve">homme du Ministère de la justice, des droits de </w:t>
      </w:r>
      <w:r w:rsidR="009379A7" w:rsidRPr="00EA05B3">
        <w:rPr>
          <w:lang w:val="fr-FR"/>
        </w:rPr>
        <w:t>l’</w:t>
      </w:r>
      <w:r w:rsidR="00D60A11" w:rsidRPr="00EA05B3">
        <w:rPr>
          <w:lang w:val="fr-FR"/>
        </w:rPr>
        <w:t xml:space="preserve">homme et des cultes, en réponse aux recommandations des organes de surveillance de </w:t>
      </w:r>
      <w:r w:rsidR="009379A7" w:rsidRPr="00EA05B3">
        <w:rPr>
          <w:lang w:val="fr-FR"/>
        </w:rPr>
        <w:t>l’</w:t>
      </w:r>
      <w:r w:rsidR="00D60A11" w:rsidRPr="00EA05B3">
        <w:rPr>
          <w:lang w:val="fr-FR"/>
        </w:rPr>
        <w:t xml:space="preserve">application des traités internationaux relatifs aux droits de </w:t>
      </w:r>
      <w:r w:rsidR="009379A7" w:rsidRPr="00EA05B3">
        <w:rPr>
          <w:lang w:val="fr-FR"/>
        </w:rPr>
        <w:t>l’</w:t>
      </w:r>
      <w:r w:rsidR="00D60A11" w:rsidRPr="00EA05B3">
        <w:rPr>
          <w:lang w:val="fr-FR"/>
        </w:rPr>
        <w:t xml:space="preserve">homme. Il se concrétise par des publications (concernant essentiellement la question des femmes, des enfants et des adolescents, en 2013) ainsi que par des campagnes publiques visant à promouvoir les droits de </w:t>
      </w:r>
      <w:r w:rsidR="009379A7" w:rsidRPr="00EA05B3">
        <w:rPr>
          <w:lang w:val="fr-FR"/>
        </w:rPr>
        <w:t>l’</w:t>
      </w:r>
      <w:r w:rsidR="00D60A11" w:rsidRPr="00EA05B3">
        <w:rPr>
          <w:lang w:val="fr-FR"/>
        </w:rPr>
        <w:t xml:space="preserve">homme parmi les fonctionnaires publics pour </w:t>
      </w:r>
      <w:r w:rsidR="009379A7" w:rsidRPr="00EA05B3">
        <w:rPr>
          <w:lang w:val="fr-FR"/>
        </w:rPr>
        <w:t>qu’</w:t>
      </w:r>
      <w:r w:rsidR="00D60A11" w:rsidRPr="00EA05B3">
        <w:rPr>
          <w:lang w:val="fr-FR"/>
        </w:rPr>
        <w:t xml:space="preserve">ils exercent leur mission en connaissant et en respectant pleinement ces droits. En ce qui concerne la formation des agents du secteur public, la Direction des droits de </w:t>
      </w:r>
      <w:r w:rsidR="009379A7" w:rsidRPr="00EA05B3">
        <w:rPr>
          <w:lang w:val="fr-FR"/>
        </w:rPr>
        <w:t>l’</w:t>
      </w:r>
      <w:r w:rsidR="00D60A11" w:rsidRPr="00EA05B3">
        <w:rPr>
          <w:lang w:val="fr-FR"/>
        </w:rPr>
        <w:t>homme a formé 2 507 fonctionnaires en 2012</w:t>
      </w:r>
      <w:r w:rsidR="00B36EE6" w:rsidRPr="00EA05B3">
        <w:rPr>
          <w:lang w:val="fr-FR"/>
        </w:rPr>
        <w:t>;</w:t>
      </w:r>
      <w:r w:rsidR="00D60A11" w:rsidRPr="00EA05B3">
        <w:rPr>
          <w:lang w:val="fr-FR"/>
        </w:rPr>
        <w:t xml:space="preserve"> entre janvier et août 2013, elle a formé 2 313 fonctionnaires appartenant à diverses institutions, telles que la police nationale, la police métropolitaine, le Ministère de la défense, le Ministère des sports, les forces armées, le Centre de formation du personnel pénitentiaire, </w:t>
      </w:r>
      <w:r w:rsidR="008D00D7" w:rsidRPr="00EA05B3">
        <w:rPr>
          <w:lang w:val="fr-FR"/>
        </w:rPr>
        <w:t xml:space="preserve">le Bureau du Procureur général de la </w:t>
      </w:r>
      <w:r w:rsidR="00974092" w:rsidRPr="00EA05B3">
        <w:rPr>
          <w:lang w:val="fr-FR"/>
        </w:rPr>
        <w:t>nation</w:t>
      </w:r>
      <w:r w:rsidR="00D60A11" w:rsidRPr="00EA05B3">
        <w:rPr>
          <w:lang w:val="fr-FR"/>
        </w:rPr>
        <w:t>.</w:t>
      </w:r>
      <w:r w:rsidR="000D57A5" w:rsidRPr="00EA05B3">
        <w:rPr>
          <w:lang w:val="fr-FR"/>
        </w:rPr>
        <w:t xml:space="preserve"> </w:t>
      </w:r>
      <w:r w:rsidR="00D60A11" w:rsidRPr="00EA05B3">
        <w:rPr>
          <w:lang w:val="fr-FR"/>
        </w:rPr>
        <w:t xml:space="preserve">À cet effet, des ateliers basés sur des méthodologies participatives ont traité la question des droits de </w:t>
      </w:r>
      <w:r w:rsidR="009379A7" w:rsidRPr="00EA05B3">
        <w:rPr>
          <w:lang w:val="fr-FR"/>
        </w:rPr>
        <w:t>l’</w:t>
      </w:r>
      <w:r w:rsidR="00D60A11" w:rsidRPr="00EA05B3">
        <w:rPr>
          <w:lang w:val="fr-FR"/>
        </w:rPr>
        <w:t xml:space="preserve">homme de manière transversale et ont abordé des thèmes liés aux obligations internationales, aux fondements des droits de </w:t>
      </w:r>
      <w:r w:rsidR="009379A7" w:rsidRPr="00EA05B3">
        <w:rPr>
          <w:lang w:val="fr-FR"/>
        </w:rPr>
        <w:t>l’</w:t>
      </w:r>
      <w:r w:rsidR="00D60A11" w:rsidRPr="00EA05B3">
        <w:rPr>
          <w:lang w:val="fr-FR"/>
        </w:rPr>
        <w:t xml:space="preserve">homme, au genre, aux droits collectifs, au droit à la santé, entre autres. En 2010, la Direction nationale de formation de la police nationale a mis en place le programme de formation continue intégrale qui a pour objectif de former tous les policiers sur les thèmes de base concernant le travail de la police, en mettant </w:t>
      </w:r>
      <w:r w:rsidR="009379A7" w:rsidRPr="00EA05B3">
        <w:rPr>
          <w:lang w:val="fr-FR"/>
        </w:rPr>
        <w:t>l’</w:t>
      </w:r>
      <w:r w:rsidR="00D60A11" w:rsidRPr="00EA05B3">
        <w:rPr>
          <w:lang w:val="fr-FR"/>
        </w:rPr>
        <w:t xml:space="preserve">accent sur les droits de </w:t>
      </w:r>
      <w:r w:rsidR="009379A7" w:rsidRPr="00EA05B3">
        <w:rPr>
          <w:lang w:val="fr-FR"/>
        </w:rPr>
        <w:t>l’</w:t>
      </w:r>
      <w:r w:rsidR="00D60A11" w:rsidRPr="00EA05B3">
        <w:rPr>
          <w:lang w:val="fr-FR"/>
        </w:rPr>
        <w:t>homme. Ce programme a formé au niveau national</w:t>
      </w:r>
      <w:r w:rsidR="00B36EE6" w:rsidRPr="00EA05B3">
        <w:rPr>
          <w:lang w:val="fr-FR"/>
        </w:rPr>
        <w:t>:</w:t>
      </w:r>
      <w:r w:rsidR="00D60A11" w:rsidRPr="00EA05B3">
        <w:rPr>
          <w:lang w:val="fr-FR"/>
        </w:rPr>
        <w:t xml:space="preserve"> 23 516 fonctionnaires de police en 2011, 17 554 en 2012 et 5 600 entre avril et juillet 2013.</w:t>
      </w:r>
    </w:p>
    <w:p w:rsidR="00D60A11" w:rsidRPr="00EA05B3" w:rsidRDefault="0027238F" w:rsidP="0027238F">
      <w:pPr>
        <w:pStyle w:val="SingleTxtG"/>
        <w:rPr>
          <w:lang w:val="fr-FR"/>
        </w:rPr>
      </w:pPr>
      <w:r w:rsidRPr="00EA05B3">
        <w:rPr>
          <w:lang w:val="fr-FR"/>
        </w:rPr>
        <w:t>260.</w:t>
      </w:r>
      <w:r w:rsidRPr="00EA05B3">
        <w:rPr>
          <w:lang w:val="fr-FR"/>
        </w:rPr>
        <w:tab/>
      </w:r>
      <w:r w:rsidR="00D60A11" w:rsidRPr="00EA05B3">
        <w:rPr>
          <w:lang w:val="fr-FR"/>
        </w:rPr>
        <w:t xml:space="preserve">Il convient de rappeler que la Direction des droits de </w:t>
      </w:r>
      <w:r w:rsidR="009379A7" w:rsidRPr="00EA05B3">
        <w:rPr>
          <w:lang w:val="fr-FR"/>
        </w:rPr>
        <w:t>l’</w:t>
      </w:r>
      <w:r w:rsidR="00D60A11" w:rsidRPr="00EA05B3">
        <w:rPr>
          <w:lang w:val="fr-FR"/>
        </w:rPr>
        <w:t xml:space="preserve">homme a collaboré avec le PCIC </w:t>
      </w:r>
      <w:r w:rsidR="00B53BF7" w:rsidRPr="00EA05B3">
        <w:rPr>
          <w:lang w:val="fr-FR"/>
        </w:rPr>
        <w:t>pour accréditer l</w:t>
      </w:r>
      <w:r w:rsidR="00D60A11" w:rsidRPr="00EA05B3">
        <w:rPr>
          <w:lang w:val="fr-FR"/>
        </w:rPr>
        <w:t>es formateurs qui interviennent dans le cadre de ce programme et actualis</w:t>
      </w:r>
      <w:r w:rsidR="00B53BF7" w:rsidRPr="00EA05B3">
        <w:rPr>
          <w:lang w:val="fr-FR"/>
        </w:rPr>
        <w:t>er</w:t>
      </w:r>
      <w:r w:rsidR="00D60A11" w:rsidRPr="00EA05B3">
        <w:rPr>
          <w:lang w:val="fr-FR"/>
        </w:rPr>
        <w:t xml:space="preserve"> leurs connaissances en matière de droits de </w:t>
      </w:r>
      <w:r w:rsidR="009379A7" w:rsidRPr="00EA05B3">
        <w:rPr>
          <w:lang w:val="fr-FR"/>
        </w:rPr>
        <w:t>l’</w:t>
      </w:r>
      <w:r w:rsidR="00D60A11" w:rsidRPr="00EA05B3">
        <w:rPr>
          <w:lang w:val="fr-FR"/>
        </w:rPr>
        <w:t>homme. Elle a également formé ces formateurs aux problématiques des droits des enfants et des adolescents.</w:t>
      </w:r>
    </w:p>
    <w:p w:rsidR="00D60A11" w:rsidRPr="00EA05B3" w:rsidRDefault="0027238F" w:rsidP="0027238F">
      <w:pPr>
        <w:pStyle w:val="SingleTxtG"/>
        <w:rPr>
          <w:lang w:val="fr-FR"/>
        </w:rPr>
      </w:pPr>
      <w:r w:rsidRPr="00EA05B3">
        <w:rPr>
          <w:lang w:val="fr-FR"/>
        </w:rPr>
        <w:t>261.</w:t>
      </w:r>
      <w:r w:rsidRPr="00EA05B3">
        <w:rPr>
          <w:lang w:val="fr-FR"/>
        </w:rPr>
        <w:tab/>
      </w:r>
      <w:r w:rsidR="00D60A11" w:rsidRPr="00EA05B3">
        <w:rPr>
          <w:lang w:val="fr-FR"/>
        </w:rPr>
        <w:t xml:space="preserve">La Direction des droits de </w:t>
      </w:r>
      <w:r w:rsidR="009379A7" w:rsidRPr="00EA05B3">
        <w:rPr>
          <w:lang w:val="fr-FR"/>
        </w:rPr>
        <w:t>l’</w:t>
      </w:r>
      <w:r w:rsidR="00D60A11" w:rsidRPr="00EA05B3">
        <w:rPr>
          <w:lang w:val="fr-FR"/>
        </w:rPr>
        <w:t xml:space="preserve">homme collabore actuellement avec un certain nombre </w:t>
      </w:r>
      <w:r w:rsidR="009379A7" w:rsidRPr="00EA05B3">
        <w:rPr>
          <w:lang w:val="fr-FR"/>
        </w:rPr>
        <w:t>d’</w:t>
      </w:r>
      <w:r w:rsidR="00D60A11" w:rsidRPr="00EA05B3">
        <w:rPr>
          <w:lang w:val="fr-FR"/>
        </w:rPr>
        <w:t xml:space="preserve">autres institutions à la révision du troisième Manuel des droits de </w:t>
      </w:r>
      <w:r w:rsidR="009379A7" w:rsidRPr="00EA05B3">
        <w:rPr>
          <w:lang w:val="fr-FR"/>
        </w:rPr>
        <w:t>l’</w:t>
      </w:r>
      <w:r w:rsidR="00D60A11" w:rsidRPr="00EA05B3">
        <w:rPr>
          <w:lang w:val="fr-FR"/>
        </w:rPr>
        <w:t xml:space="preserve">homme appliqués aux fonctions de la police. En application de </w:t>
      </w:r>
      <w:r w:rsidR="009379A7" w:rsidRPr="00EA05B3">
        <w:rPr>
          <w:lang w:val="fr-FR"/>
        </w:rPr>
        <w:t>l’</w:t>
      </w:r>
      <w:r w:rsidR="00D60A11" w:rsidRPr="00EA05B3">
        <w:rPr>
          <w:lang w:val="fr-FR"/>
        </w:rPr>
        <w:t xml:space="preserve">arrêt de la Cour interaméricaine des droits de </w:t>
      </w:r>
      <w:r w:rsidR="009379A7" w:rsidRPr="00EA05B3">
        <w:rPr>
          <w:lang w:val="fr-FR"/>
        </w:rPr>
        <w:t>l’</w:t>
      </w:r>
      <w:r w:rsidR="00D60A11" w:rsidRPr="00EA05B3">
        <w:rPr>
          <w:lang w:val="fr-FR"/>
        </w:rPr>
        <w:t xml:space="preserve">homme dans </w:t>
      </w:r>
      <w:r w:rsidR="009379A7" w:rsidRPr="00EA05B3">
        <w:rPr>
          <w:lang w:val="fr-FR"/>
        </w:rPr>
        <w:t>l’</w:t>
      </w:r>
      <w:r w:rsidR="00D60A11" w:rsidRPr="00EA05B3">
        <w:rPr>
          <w:lang w:val="fr-FR"/>
        </w:rPr>
        <w:t xml:space="preserve">affaire </w:t>
      </w:r>
      <w:r w:rsidR="00D60A11" w:rsidRPr="00EA05B3">
        <w:rPr>
          <w:i/>
          <w:lang w:val="fr-FR"/>
        </w:rPr>
        <w:t>Peuple kichwa de Sarayaku</w:t>
      </w:r>
      <w:r w:rsidR="00D60A11" w:rsidRPr="00EA05B3">
        <w:rPr>
          <w:lang w:val="fr-FR"/>
        </w:rPr>
        <w:t xml:space="preserve"> c.</w:t>
      </w:r>
      <w:r w:rsidR="00D60A11" w:rsidRPr="00EA05B3">
        <w:rPr>
          <w:i/>
          <w:lang w:val="fr-FR"/>
        </w:rPr>
        <w:t xml:space="preserve"> Équateur</w:t>
      </w:r>
      <w:r w:rsidR="00D60A11" w:rsidRPr="00EA05B3">
        <w:rPr>
          <w:lang w:val="fr-FR"/>
        </w:rPr>
        <w:t xml:space="preserve">, le Ministère de la justice, des droits de </w:t>
      </w:r>
      <w:r w:rsidR="009379A7" w:rsidRPr="00EA05B3">
        <w:rPr>
          <w:lang w:val="fr-FR"/>
        </w:rPr>
        <w:t>l’</w:t>
      </w:r>
      <w:r w:rsidR="00D60A11" w:rsidRPr="00EA05B3">
        <w:rPr>
          <w:lang w:val="fr-FR"/>
        </w:rPr>
        <w:t xml:space="preserve">homme et des cultes et </w:t>
      </w:r>
      <w:r w:rsidR="009379A7" w:rsidRPr="00EA05B3">
        <w:rPr>
          <w:lang w:val="fr-FR"/>
        </w:rPr>
        <w:t>d’</w:t>
      </w:r>
      <w:r w:rsidR="00D60A11" w:rsidRPr="00EA05B3">
        <w:rPr>
          <w:lang w:val="fr-FR"/>
        </w:rPr>
        <w:t xml:space="preserve">autres institutions publiques, avec </w:t>
      </w:r>
      <w:r w:rsidR="009379A7" w:rsidRPr="00EA05B3">
        <w:rPr>
          <w:lang w:val="fr-FR"/>
        </w:rPr>
        <w:t>l’</w:t>
      </w:r>
      <w:r w:rsidR="00D60A11" w:rsidRPr="00EA05B3">
        <w:rPr>
          <w:lang w:val="fr-FR"/>
        </w:rPr>
        <w:t xml:space="preserve">aide </w:t>
      </w:r>
      <w:r w:rsidR="009379A7" w:rsidRPr="00EA05B3">
        <w:rPr>
          <w:lang w:val="fr-FR"/>
        </w:rPr>
        <w:t>d’</w:t>
      </w:r>
      <w:r w:rsidR="00D60A11" w:rsidRPr="00EA05B3">
        <w:rPr>
          <w:lang w:val="fr-FR"/>
        </w:rPr>
        <w:t>un certain nombre</w:t>
      </w:r>
      <w:r w:rsidR="000D57A5" w:rsidRPr="00EA05B3">
        <w:rPr>
          <w:lang w:val="fr-FR"/>
        </w:rPr>
        <w:t xml:space="preserve"> </w:t>
      </w:r>
      <w:r w:rsidR="009379A7" w:rsidRPr="00EA05B3">
        <w:rPr>
          <w:lang w:val="fr-FR"/>
        </w:rPr>
        <w:t>d’</w:t>
      </w:r>
      <w:r w:rsidR="00D60A11" w:rsidRPr="00EA05B3">
        <w:rPr>
          <w:lang w:val="fr-FR"/>
        </w:rPr>
        <w:t xml:space="preserve">institutions privées, ont formé 145 fonctionnaires, policiers et militaires sur le thème des droits collectifs et de la consultation préalable en prenant appui sur le module de formation aux droits collectifs des peuples et nationalités équatoriennes spécifiquement conçu pour la police nationale et les forces armées. La Direction des droits de </w:t>
      </w:r>
      <w:r w:rsidR="009379A7" w:rsidRPr="00EA05B3">
        <w:rPr>
          <w:lang w:val="fr-FR"/>
        </w:rPr>
        <w:t>l’</w:t>
      </w:r>
      <w:r w:rsidR="00D60A11" w:rsidRPr="00EA05B3">
        <w:rPr>
          <w:lang w:val="fr-FR"/>
        </w:rPr>
        <w:t xml:space="preserve">homme et </w:t>
      </w:r>
      <w:r w:rsidR="009379A7" w:rsidRPr="00EA05B3">
        <w:rPr>
          <w:lang w:val="fr-FR"/>
        </w:rPr>
        <w:t>l’</w:t>
      </w:r>
      <w:r w:rsidR="00D60A11" w:rsidRPr="00EA05B3">
        <w:rPr>
          <w:lang w:val="fr-FR"/>
        </w:rPr>
        <w:t xml:space="preserve">Institut des hautes études nationales (IAEN) met actuellement en œuvre un module de base de </w:t>
      </w:r>
      <w:r w:rsidR="000B5908" w:rsidRPr="00EA05B3">
        <w:rPr>
          <w:lang w:val="fr-FR"/>
        </w:rPr>
        <w:t xml:space="preserve">cinquante </w:t>
      </w:r>
      <w:r w:rsidR="00D60A11" w:rsidRPr="00EA05B3">
        <w:rPr>
          <w:lang w:val="fr-FR"/>
        </w:rPr>
        <w:t xml:space="preserve">heures consacré aux droits de </w:t>
      </w:r>
      <w:r w:rsidR="009379A7" w:rsidRPr="00EA05B3">
        <w:rPr>
          <w:lang w:val="fr-FR"/>
        </w:rPr>
        <w:t>l’</w:t>
      </w:r>
      <w:r w:rsidR="00D60A11" w:rsidRPr="00EA05B3">
        <w:rPr>
          <w:lang w:val="fr-FR"/>
        </w:rPr>
        <w:t xml:space="preserve">homme, destiné à </w:t>
      </w:r>
      <w:r w:rsidR="009379A7" w:rsidRPr="00EA05B3">
        <w:rPr>
          <w:lang w:val="fr-FR"/>
        </w:rPr>
        <w:t>l’</w:t>
      </w:r>
      <w:r w:rsidR="00D60A11" w:rsidRPr="00EA05B3">
        <w:rPr>
          <w:lang w:val="fr-FR"/>
        </w:rPr>
        <w:t>ensemble du service public</w:t>
      </w:r>
      <w:r w:rsidR="00B36EE6" w:rsidRPr="00EA05B3">
        <w:rPr>
          <w:lang w:val="fr-FR"/>
        </w:rPr>
        <w:t>;</w:t>
      </w:r>
      <w:r w:rsidR="00D60A11" w:rsidRPr="00EA05B3">
        <w:rPr>
          <w:lang w:val="fr-FR"/>
        </w:rPr>
        <w:t xml:space="preserve"> il est prévu de former 100 fonctionnaires sur </w:t>
      </w:r>
      <w:r w:rsidR="009379A7" w:rsidRPr="00EA05B3">
        <w:rPr>
          <w:lang w:val="fr-FR"/>
        </w:rPr>
        <w:t>l’</w:t>
      </w:r>
      <w:r w:rsidR="00D60A11" w:rsidRPr="00EA05B3">
        <w:rPr>
          <w:lang w:val="fr-FR"/>
        </w:rPr>
        <w:t xml:space="preserve">ensemble du pays </w:t>
      </w:r>
      <w:r w:rsidR="009379A7" w:rsidRPr="00EA05B3">
        <w:rPr>
          <w:lang w:val="fr-FR"/>
        </w:rPr>
        <w:t>d’</w:t>
      </w:r>
      <w:r w:rsidR="00D60A11" w:rsidRPr="00EA05B3">
        <w:rPr>
          <w:lang w:val="fr-FR"/>
        </w:rPr>
        <w:t xml:space="preserve">ici à fin 2013. </w:t>
      </w:r>
    </w:p>
    <w:p w:rsidR="00D60A11" w:rsidRPr="00EA05B3" w:rsidRDefault="0027238F" w:rsidP="0027238F">
      <w:pPr>
        <w:pStyle w:val="SingleTxtG"/>
        <w:rPr>
          <w:lang w:val="fr-FR"/>
        </w:rPr>
      </w:pPr>
      <w:r w:rsidRPr="00EA05B3">
        <w:rPr>
          <w:lang w:val="fr-FR"/>
        </w:rPr>
        <w:t>262.</w:t>
      </w:r>
      <w:r w:rsidRPr="00EA05B3">
        <w:rPr>
          <w:lang w:val="fr-FR"/>
        </w:rPr>
        <w:tab/>
      </w:r>
      <w:r w:rsidR="00D60A11" w:rsidRPr="00EA05B3">
        <w:rPr>
          <w:lang w:val="fr-FR"/>
        </w:rPr>
        <w:t xml:space="preserve">Il convient également </w:t>
      </w:r>
      <w:r w:rsidR="009379A7" w:rsidRPr="00EA05B3">
        <w:rPr>
          <w:lang w:val="fr-FR"/>
        </w:rPr>
        <w:t>d’</w:t>
      </w:r>
      <w:r w:rsidR="00D60A11" w:rsidRPr="00EA05B3">
        <w:rPr>
          <w:lang w:val="fr-FR"/>
        </w:rPr>
        <w:t xml:space="preserve">insister sur les campagnes médiatiques et les programmes de formation, de spécialisation, </w:t>
      </w:r>
      <w:r w:rsidR="009379A7" w:rsidRPr="00EA05B3">
        <w:rPr>
          <w:lang w:val="fr-FR"/>
        </w:rPr>
        <w:t>d’</w:t>
      </w:r>
      <w:r w:rsidR="00D60A11" w:rsidRPr="00EA05B3">
        <w:rPr>
          <w:lang w:val="fr-FR"/>
        </w:rPr>
        <w:t xml:space="preserve">autonomisation, de conseils et de participation portant sur des questions telles que la traite et le trafic des personnes, les droits des peuples afro-équatoriens, des peuples, communautés et nationalités autochtones, des enfants et des adolescents, des femmes, des personnes handicapées, ou encore des personnes âgées, organisés à </w:t>
      </w:r>
      <w:r w:rsidR="009379A7" w:rsidRPr="00EA05B3">
        <w:rPr>
          <w:lang w:val="fr-FR"/>
        </w:rPr>
        <w:t>l’</w:t>
      </w:r>
      <w:r w:rsidR="00D60A11" w:rsidRPr="00EA05B3">
        <w:rPr>
          <w:lang w:val="fr-FR"/>
        </w:rPr>
        <w:t xml:space="preserve">intention du public ou en interne par diverses institutions comme la </w:t>
      </w:r>
      <w:r w:rsidR="00D60A11" w:rsidRPr="00EA05B3">
        <w:rPr>
          <w:i/>
          <w:lang w:val="fr-FR"/>
        </w:rPr>
        <w:t>Procuraduría General del Estado</w:t>
      </w:r>
      <w:r w:rsidR="00D60A11" w:rsidRPr="00EA05B3">
        <w:rPr>
          <w:lang w:val="fr-FR"/>
        </w:rPr>
        <w:t xml:space="preserve">, le Ministère des relations extérieures et de la mobilité humaine, la </w:t>
      </w:r>
      <w:r w:rsidR="009C0A83" w:rsidRPr="00EA05B3">
        <w:rPr>
          <w:lang w:val="fr-FR"/>
        </w:rPr>
        <w:t>vice</w:t>
      </w:r>
      <w:r w:rsidR="00D60A11" w:rsidRPr="00EA05B3">
        <w:rPr>
          <w:lang w:val="fr-FR"/>
        </w:rPr>
        <w:t>-</w:t>
      </w:r>
      <w:r w:rsidR="009C0A83" w:rsidRPr="00EA05B3">
        <w:rPr>
          <w:lang w:val="fr-FR"/>
        </w:rPr>
        <w:t xml:space="preserve">présidence </w:t>
      </w:r>
      <w:r w:rsidR="00D60A11" w:rsidRPr="00EA05B3">
        <w:rPr>
          <w:lang w:val="fr-FR"/>
        </w:rPr>
        <w:t xml:space="preserve">de la République, le Bureau du Défenseur du peuple, le Ministère de </w:t>
      </w:r>
      <w:r w:rsidR="009379A7" w:rsidRPr="00EA05B3">
        <w:rPr>
          <w:lang w:val="fr-FR"/>
        </w:rPr>
        <w:t>l’</w:t>
      </w:r>
      <w:r w:rsidR="00D60A11" w:rsidRPr="00EA05B3">
        <w:rPr>
          <w:lang w:val="fr-FR"/>
        </w:rPr>
        <w:t xml:space="preserve">environnement, le Ministère du tourisme, le Ministère de </w:t>
      </w:r>
      <w:r w:rsidR="009379A7" w:rsidRPr="00EA05B3">
        <w:rPr>
          <w:lang w:val="fr-FR"/>
        </w:rPr>
        <w:t>l’</w:t>
      </w:r>
      <w:r w:rsidR="00D60A11" w:rsidRPr="00EA05B3">
        <w:rPr>
          <w:lang w:val="fr-FR"/>
        </w:rPr>
        <w:t>intégration économique et sociale, la police nationale, le Vice-</w:t>
      </w:r>
      <w:r w:rsidR="003F4815" w:rsidRPr="00EA05B3">
        <w:rPr>
          <w:lang w:val="fr-FR"/>
        </w:rPr>
        <w:t xml:space="preserve">Ministère </w:t>
      </w:r>
      <w:r w:rsidR="00D60A11" w:rsidRPr="00EA05B3">
        <w:rPr>
          <w:lang w:val="fr-FR"/>
        </w:rPr>
        <w:t>de la mobilité humaine, le Ministère de la culture, les universités publiques et privées, les écoles et collèges, les organisations sociales, les conseils de quartier, les fondations, les mouvements politiques et autres institutions publiques ou privées.</w:t>
      </w:r>
    </w:p>
    <w:p w:rsidR="00D60A11" w:rsidRPr="00EA05B3" w:rsidRDefault="0027238F" w:rsidP="0027238F">
      <w:pPr>
        <w:pStyle w:val="SingleTxtG"/>
        <w:rPr>
          <w:lang w:val="fr-FR"/>
        </w:rPr>
      </w:pPr>
      <w:r w:rsidRPr="00EA05B3">
        <w:rPr>
          <w:lang w:val="fr-FR"/>
        </w:rPr>
        <w:t>263.</w:t>
      </w:r>
      <w:r w:rsidRPr="00EA05B3">
        <w:rPr>
          <w:lang w:val="fr-FR"/>
        </w:rPr>
        <w:tab/>
      </w:r>
      <w:r w:rsidR="00D60A11" w:rsidRPr="00EA05B3">
        <w:rPr>
          <w:lang w:val="fr-FR"/>
        </w:rPr>
        <w:t xml:space="preserve">En ce qui concerne les organes chargés de veiller au respect des droits de </w:t>
      </w:r>
      <w:r w:rsidR="009379A7" w:rsidRPr="00EA05B3">
        <w:rPr>
          <w:lang w:val="fr-FR"/>
        </w:rPr>
        <w:t>l’</w:t>
      </w:r>
      <w:r w:rsidR="00D60A11" w:rsidRPr="00EA05B3">
        <w:rPr>
          <w:lang w:val="fr-FR"/>
        </w:rPr>
        <w:t xml:space="preserve">homme, il a déjà été fait expressément mention des compétences de </w:t>
      </w:r>
      <w:r w:rsidR="009379A7" w:rsidRPr="00EA05B3">
        <w:rPr>
          <w:lang w:val="fr-FR"/>
        </w:rPr>
        <w:t>l’</w:t>
      </w:r>
      <w:r w:rsidR="00D60A11" w:rsidRPr="00EA05B3">
        <w:rPr>
          <w:lang w:val="fr-FR"/>
        </w:rPr>
        <w:t xml:space="preserve">Assemblée nationale en la matière, ainsi que des attributions des différents conseils régionaux, provinciaux, cantonaux, métropolitains et paroissiaux, visant à favoriser la jouissance et </w:t>
      </w:r>
      <w:r w:rsidR="009379A7" w:rsidRPr="00EA05B3">
        <w:rPr>
          <w:lang w:val="fr-FR"/>
        </w:rPr>
        <w:t>l’</w:t>
      </w:r>
      <w:r w:rsidR="00D60A11" w:rsidRPr="00EA05B3">
        <w:rPr>
          <w:lang w:val="fr-FR"/>
        </w:rPr>
        <w:t xml:space="preserve">exercice du droit à la mobilité et de la liberté de mouvement, du droit à </w:t>
      </w:r>
      <w:r w:rsidR="009379A7" w:rsidRPr="00EA05B3">
        <w:rPr>
          <w:lang w:val="fr-FR"/>
        </w:rPr>
        <w:t>l’</w:t>
      </w:r>
      <w:r w:rsidR="00D60A11" w:rsidRPr="00EA05B3">
        <w:rPr>
          <w:lang w:val="fr-FR"/>
        </w:rPr>
        <w:t xml:space="preserve">habitat et au logement, à </w:t>
      </w:r>
      <w:r w:rsidR="009379A7" w:rsidRPr="00EA05B3">
        <w:rPr>
          <w:lang w:val="fr-FR"/>
        </w:rPr>
        <w:t>l’</w:t>
      </w:r>
      <w:r w:rsidR="00D60A11" w:rsidRPr="00EA05B3">
        <w:rPr>
          <w:lang w:val="fr-FR"/>
        </w:rPr>
        <w:t xml:space="preserve">eau et à </w:t>
      </w:r>
      <w:r w:rsidR="009379A7" w:rsidRPr="00EA05B3">
        <w:rPr>
          <w:lang w:val="fr-FR"/>
        </w:rPr>
        <w:t>l’</w:t>
      </w:r>
      <w:r w:rsidR="00D60A11" w:rsidRPr="00EA05B3">
        <w:rPr>
          <w:lang w:val="fr-FR"/>
        </w:rPr>
        <w:t xml:space="preserve">alimentation, à un environnement sain, à la sécurité, à la science et à la culture, parmi </w:t>
      </w:r>
      <w:r w:rsidR="009379A7" w:rsidRPr="00EA05B3">
        <w:rPr>
          <w:lang w:val="fr-FR"/>
        </w:rPr>
        <w:t>d’</w:t>
      </w:r>
      <w:r w:rsidR="00D60A11" w:rsidRPr="00EA05B3">
        <w:rPr>
          <w:lang w:val="fr-FR"/>
        </w:rPr>
        <w:t xml:space="preserve">autres. Ont également été décrites les instances nationales chargées de la promotion et de la protection des droits, comme les conseils nationaux de </w:t>
      </w:r>
      <w:r w:rsidR="009379A7" w:rsidRPr="00EA05B3">
        <w:rPr>
          <w:lang w:val="fr-FR"/>
        </w:rPr>
        <w:t>l’</w:t>
      </w:r>
      <w:r w:rsidR="00D60A11" w:rsidRPr="00EA05B3">
        <w:rPr>
          <w:lang w:val="fr-FR"/>
        </w:rPr>
        <w:t xml:space="preserve">égalité, le Service de </w:t>
      </w:r>
      <w:r w:rsidR="009379A7" w:rsidRPr="00EA05B3">
        <w:rPr>
          <w:lang w:val="fr-FR"/>
        </w:rPr>
        <w:t>l’</w:t>
      </w:r>
      <w:r w:rsidR="00D60A11" w:rsidRPr="00EA05B3">
        <w:rPr>
          <w:lang w:val="fr-FR"/>
        </w:rPr>
        <w:t xml:space="preserve">aide juridictionnelle, le Bureau du Défenseur du peuple. Il convient toutefois de préciser que, conformément à </w:t>
      </w:r>
      <w:r w:rsidR="009379A7" w:rsidRPr="00EA05B3">
        <w:rPr>
          <w:lang w:val="fr-FR"/>
        </w:rPr>
        <w:t>l’</w:t>
      </w:r>
      <w:r w:rsidR="00D60A11" w:rsidRPr="00EA05B3">
        <w:rPr>
          <w:lang w:val="fr-FR"/>
        </w:rPr>
        <w:t>article 158 de la Constitution, ce sont les forces armées et la police nationale qui assument le rôle fondamental de protection des droits, des libertés et des garanties des citoyens.</w:t>
      </w:r>
    </w:p>
    <w:p w:rsidR="00D60A11" w:rsidRPr="00EA05B3" w:rsidRDefault="0027238F" w:rsidP="0027238F">
      <w:pPr>
        <w:pStyle w:val="SingleTxtG"/>
        <w:rPr>
          <w:lang w:val="fr-FR"/>
        </w:rPr>
      </w:pPr>
      <w:r w:rsidRPr="00EA05B3">
        <w:rPr>
          <w:lang w:val="fr-FR"/>
        </w:rPr>
        <w:t>264.</w:t>
      </w:r>
      <w:r w:rsidRPr="00EA05B3">
        <w:rPr>
          <w:lang w:val="fr-FR"/>
        </w:rPr>
        <w:tab/>
      </w:r>
      <w:r w:rsidR="00D60A11" w:rsidRPr="00EA05B3">
        <w:rPr>
          <w:lang w:val="fr-FR"/>
        </w:rPr>
        <w:t xml:space="preserve">En ce qui concerne les crédits prévus au budget de </w:t>
      </w:r>
      <w:r w:rsidR="009379A7" w:rsidRPr="00EA05B3">
        <w:rPr>
          <w:lang w:val="fr-FR"/>
        </w:rPr>
        <w:t>l’</w:t>
      </w:r>
      <w:r w:rsidR="00D60A11" w:rsidRPr="00EA05B3">
        <w:rPr>
          <w:lang w:val="fr-FR"/>
        </w:rPr>
        <w:t xml:space="preserve">État en faveur de la réalisation des droits, les seuls chiffres que </w:t>
      </w:r>
      <w:r w:rsidR="009379A7" w:rsidRPr="00EA05B3">
        <w:rPr>
          <w:lang w:val="fr-FR"/>
        </w:rPr>
        <w:t>l’</w:t>
      </w:r>
      <w:r w:rsidR="00D60A11" w:rsidRPr="00EA05B3">
        <w:rPr>
          <w:lang w:val="fr-FR"/>
        </w:rPr>
        <w:t xml:space="preserve">on puisse établir ont trait aux droits sociaux qui relèvent de la politique nationale, à savoir la protection sociale, le développement urbain et le logement, </w:t>
      </w:r>
      <w:r w:rsidR="009379A7" w:rsidRPr="00EA05B3">
        <w:rPr>
          <w:lang w:val="fr-FR"/>
        </w:rPr>
        <w:t>l’</w:t>
      </w:r>
      <w:r w:rsidR="00D60A11" w:rsidRPr="00EA05B3">
        <w:rPr>
          <w:lang w:val="fr-FR"/>
        </w:rPr>
        <w:t>éducation, la santé et le travail. On trouvera ci-dessous les données dont dispose le Ministère des finances sur le budget annuel du secteur social en 2008 et en 2009</w:t>
      </w:r>
      <w:r w:rsidR="00D60A11" w:rsidRPr="00EA05B3">
        <w:rPr>
          <w:rStyle w:val="FootnoteReference"/>
          <w:lang w:val="fr-FR"/>
        </w:rPr>
        <w:footnoteReference w:id="65"/>
      </w:r>
      <w:r w:rsidR="00D60A11" w:rsidRPr="00EA05B3">
        <w:rPr>
          <w:lang w:val="fr-FR"/>
        </w:rPr>
        <w:t>.</w:t>
      </w:r>
    </w:p>
    <w:p w:rsidR="00D60A11" w:rsidRPr="00EA05B3" w:rsidRDefault="00D60A11" w:rsidP="00EB276C">
      <w:pPr>
        <w:pStyle w:val="H23G"/>
        <w:ind w:left="0" w:firstLine="0"/>
        <w:rPr>
          <w:lang w:val="fr-FR"/>
        </w:rPr>
      </w:pPr>
      <w:bookmarkStart w:id="28" w:name="_Toc392676831"/>
      <w:r w:rsidRPr="00EA05B3">
        <w:rPr>
          <w:lang w:val="fr-FR"/>
        </w:rPr>
        <w:t xml:space="preserve">Budget général de </w:t>
      </w:r>
      <w:r w:rsidR="009379A7" w:rsidRPr="00EA05B3">
        <w:rPr>
          <w:lang w:val="fr-FR"/>
        </w:rPr>
        <w:t>l’</w:t>
      </w:r>
      <w:r w:rsidRPr="00EA05B3">
        <w:rPr>
          <w:lang w:val="fr-FR"/>
        </w:rPr>
        <w:t>État</w:t>
      </w:r>
      <w:bookmarkEnd w:id="28"/>
    </w:p>
    <w:tbl>
      <w:tblPr>
        <w:tblW w:w="9639" w:type="dxa"/>
        <w:tblBorders>
          <w:top w:val="single" w:sz="4" w:space="0" w:color="auto"/>
          <w:bottom w:val="single" w:sz="12" w:space="0" w:color="auto"/>
        </w:tblBorders>
        <w:tblLayout w:type="fixed"/>
        <w:tblCellMar>
          <w:left w:w="0" w:type="dxa"/>
          <w:right w:w="0" w:type="dxa"/>
        </w:tblCellMar>
        <w:tblLook w:val="04A0"/>
      </w:tblPr>
      <w:tblGrid>
        <w:gridCol w:w="1644"/>
        <w:gridCol w:w="1276"/>
        <w:gridCol w:w="1275"/>
        <w:gridCol w:w="1361"/>
        <w:gridCol w:w="1361"/>
        <w:gridCol w:w="1361"/>
        <w:gridCol w:w="1361"/>
      </w:tblGrid>
      <w:tr w:rsidR="00847929" w:rsidRPr="00EA05B3">
        <w:trPr>
          <w:trHeight w:val="240"/>
          <w:tblHeader/>
        </w:trPr>
        <w:tc>
          <w:tcPr>
            <w:tcW w:w="1644" w:type="dxa"/>
            <w:tcBorders>
              <w:top w:val="single" w:sz="4" w:space="0" w:color="auto"/>
              <w:bottom w:val="single" w:sz="12" w:space="0" w:color="auto"/>
            </w:tcBorders>
            <w:shd w:val="clear" w:color="auto" w:fill="auto"/>
            <w:vAlign w:val="bottom"/>
          </w:tcPr>
          <w:p w:rsidR="00D60A11" w:rsidRPr="00EA05B3" w:rsidRDefault="00D60A11" w:rsidP="00EB276C">
            <w:pPr>
              <w:keepNext/>
              <w:spacing w:before="80" w:after="80" w:line="200" w:lineRule="exact"/>
              <w:rPr>
                <w:bCs/>
                <w:i/>
                <w:sz w:val="16"/>
                <w:szCs w:val="24"/>
                <w:lang w:val="fr-FR"/>
              </w:rPr>
            </w:pPr>
          </w:p>
        </w:tc>
        <w:tc>
          <w:tcPr>
            <w:tcW w:w="1276" w:type="dxa"/>
            <w:tcBorders>
              <w:top w:val="single" w:sz="4" w:space="0" w:color="auto"/>
              <w:bottom w:val="single" w:sz="12" w:space="0" w:color="auto"/>
            </w:tcBorders>
            <w:shd w:val="clear" w:color="auto" w:fill="auto"/>
            <w:vAlign w:val="bottom"/>
          </w:tcPr>
          <w:p w:rsidR="00D60A11" w:rsidRPr="00EA05B3" w:rsidRDefault="00D60A11" w:rsidP="00EB276C">
            <w:pPr>
              <w:keepNext/>
              <w:spacing w:before="80" w:after="80" w:line="200" w:lineRule="exact"/>
              <w:jc w:val="right"/>
              <w:rPr>
                <w:bCs/>
                <w:i/>
                <w:sz w:val="16"/>
                <w:szCs w:val="24"/>
                <w:lang w:val="fr-FR"/>
              </w:rPr>
            </w:pPr>
            <w:r w:rsidRPr="00EA05B3">
              <w:rPr>
                <w:i/>
                <w:sz w:val="16"/>
                <w:lang w:val="fr-FR"/>
              </w:rPr>
              <w:t>Dotation initiale</w:t>
            </w:r>
          </w:p>
        </w:tc>
        <w:tc>
          <w:tcPr>
            <w:tcW w:w="1275" w:type="dxa"/>
            <w:tcBorders>
              <w:top w:val="single" w:sz="4" w:space="0" w:color="auto"/>
              <w:bottom w:val="single" w:sz="12" w:space="0" w:color="auto"/>
            </w:tcBorders>
            <w:shd w:val="clear" w:color="auto" w:fill="auto"/>
            <w:vAlign w:val="bottom"/>
          </w:tcPr>
          <w:p w:rsidR="00D60A11" w:rsidRPr="00EA05B3" w:rsidRDefault="00D60A11" w:rsidP="00EB276C">
            <w:pPr>
              <w:keepNext/>
              <w:spacing w:before="80" w:after="80" w:line="200" w:lineRule="exact"/>
              <w:jc w:val="right"/>
              <w:rPr>
                <w:bCs/>
                <w:i/>
                <w:sz w:val="16"/>
                <w:szCs w:val="24"/>
                <w:lang w:val="fr-FR"/>
              </w:rPr>
            </w:pPr>
            <w:r w:rsidRPr="00EA05B3">
              <w:rPr>
                <w:i/>
                <w:sz w:val="16"/>
                <w:lang w:val="fr-FR"/>
              </w:rPr>
              <w:t>Ajustement</w:t>
            </w:r>
          </w:p>
        </w:tc>
        <w:tc>
          <w:tcPr>
            <w:tcW w:w="1361" w:type="dxa"/>
            <w:tcBorders>
              <w:top w:val="single" w:sz="4" w:space="0" w:color="auto"/>
              <w:bottom w:val="single" w:sz="12" w:space="0" w:color="auto"/>
            </w:tcBorders>
            <w:shd w:val="clear" w:color="auto" w:fill="auto"/>
            <w:vAlign w:val="bottom"/>
          </w:tcPr>
          <w:p w:rsidR="00D60A11" w:rsidRPr="00EA05B3" w:rsidRDefault="00D60A11" w:rsidP="00EB276C">
            <w:pPr>
              <w:keepNext/>
              <w:spacing w:before="80" w:after="80" w:line="200" w:lineRule="exact"/>
              <w:jc w:val="right"/>
              <w:rPr>
                <w:bCs/>
                <w:i/>
                <w:sz w:val="16"/>
                <w:szCs w:val="24"/>
                <w:lang w:val="fr-FR"/>
              </w:rPr>
            </w:pPr>
            <w:r w:rsidRPr="00EA05B3">
              <w:rPr>
                <w:i/>
                <w:sz w:val="16"/>
                <w:lang w:val="fr-FR"/>
              </w:rPr>
              <w:t>Engagements approuvés</w:t>
            </w:r>
          </w:p>
        </w:tc>
        <w:tc>
          <w:tcPr>
            <w:tcW w:w="1361" w:type="dxa"/>
            <w:tcBorders>
              <w:top w:val="single" w:sz="4" w:space="0" w:color="auto"/>
              <w:bottom w:val="single" w:sz="12" w:space="0" w:color="auto"/>
            </w:tcBorders>
            <w:shd w:val="clear" w:color="auto" w:fill="auto"/>
            <w:vAlign w:val="bottom"/>
          </w:tcPr>
          <w:p w:rsidR="00D60A11" w:rsidRPr="00EA05B3" w:rsidRDefault="00D60A11" w:rsidP="00EB276C">
            <w:pPr>
              <w:keepNext/>
              <w:spacing w:before="80" w:after="80" w:line="200" w:lineRule="exact"/>
              <w:jc w:val="right"/>
              <w:rPr>
                <w:bCs/>
                <w:i/>
                <w:sz w:val="16"/>
                <w:szCs w:val="24"/>
                <w:lang w:val="fr-FR"/>
              </w:rPr>
            </w:pPr>
            <w:r w:rsidRPr="00EA05B3">
              <w:rPr>
                <w:i/>
                <w:sz w:val="16"/>
                <w:lang w:val="fr-FR"/>
              </w:rPr>
              <w:t>Allocation</w:t>
            </w:r>
          </w:p>
        </w:tc>
        <w:tc>
          <w:tcPr>
            <w:tcW w:w="1361" w:type="dxa"/>
            <w:tcBorders>
              <w:top w:val="single" w:sz="4" w:space="0" w:color="auto"/>
              <w:bottom w:val="single" w:sz="12" w:space="0" w:color="auto"/>
            </w:tcBorders>
            <w:shd w:val="clear" w:color="auto" w:fill="auto"/>
            <w:vAlign w:val="bottom"/>
          </w:tcPr>
          <w:p w:rsidR="00D60A11" w:rsidRPr="00EA05B3" w:rsidRDefault="00D60A11" w:rsidP="00EB276C">
            <w:pPr>
              <w:keepNext/>
              <w:spacing w:before="80" w:after="80" w:line="200" w:lineRule="exact"/>
              <w:jc w:val="right"/>
              <w:rPr>
                <w:bCs/>
                <w:i/>
                <w:sz w:val="16"/>
                <w:szCs w:val="24"/>
                <w:lang w:val="fr-FR"/>
              </w:rPr>
            </w:pPr>
            <w:r w:rsidRPr="00EA05B3">
              <w:rPr>
                <w:i/>
                <w:sz w:val="16"/>
                <w:lang w:val="fr-FR"/>
              </w:rPr>
              <w:t>Versements effectués</w:t>
            </w:r>
          </w:p>
        </w:tc>
        <w:tc>
          <w:tcPr>
            <w:tcW w:w="1361" w:type="dxa"/>
            <w:tcBorders>
              <w:top w:val="single" w:sz="4" w:space="0" w:color="auto"/>
              <w:bottom w:val="single" w:sz="12" w:space="0" w:color="auto"/>
            </w:tcBorders>
            <w:shd w:val="clear" w:color="auto" w:fill="auto"/>
            <w:vAlign w:val="bottom"/>
          </w:tcPr>
          <w:p w:rsidR="00D60A11" w:rsidRPr="00EA05B3" w:rsidRDefault="00D60A11" w:rsidP="00EB276C">
            <w:pPr>
              <w:keepNext/>
              <w:spacing w:before="80" w:after="80" w:line="200" w:lineRule="exact"/>
              <w:jc w:val="right"/>
              <w:rPr>
                <w:bCs/>
                <w:i/>
                <w:sz w:val="16"/>
                <w:szCs w:val="24"/>
                <w:lang w:val="fr-FR"/>
              </w:rPr>
            </w:pPr>
            <w:r w:rsidRPr="00EA05B3">
              <w:rPr>
                <w:i/>
                <w:sz w:val="16"/>
                <w:lang w:val="fr-FR"/>
              </w:rPr>
              <w:t>Dépenses</w:t>
            </w:r>
          </w:p>
        </w:tc>
      </w:tr>
      <w:tr w:rsidR="00847929" w:rsidRPr="00EA05B3">
        <w:trPr>
          <w:trHeight w:val="240"/>
        </w:trPr>
        <w:tc>
          <w:tcPr>
            <w:tcW w:w="9639" w:type="dxa"/>
            <w:gridSpan w:val="7"/>
            <w:tcBorders>
              <w:top w:val="single" w:sz="12" w:space="0" w:color="auto"/>
            </w:tcBorders>
            <w:shd w:val="clear" w:color="auto" w:fill="auto"/>
            <w:vAlign w:val="bottom"/>
          </w:tcPr>
          <w:p w:rsidR="006D4168" w:rsidRPr="00EA05B3" w:rsidRDefault="006D4168" w:rsidP="00EB276C">
            <w:pPr>
              <w:keepNext/>
              <w:spacing w:before="40" w:after="40" w:line="220" w:lineRule="exact"/>
              <w:rPr>
                <w:sz w:val="18"/>
                <w:szCs w:val="18"/>
                <w:lang w:val="fr-FR"/>
              </w:rPr>
            </w:pPr>
            <w:r w:rsidRPr="00EA05B3">
              <w:rPr>
                <w:sz w:val="18"/>
                <w:lang w:val="fr-FR"/>
              </w:rPr>
              <w:t>Exécution financière annuelle/Investissements sectoriels, 2008</w:t>
            </w:r>
          </w:p>
        </w:tc>
      </w:tr>
      <w:tr w:rsidR="00847929" w:rsidRPr="00EA05B3">
        <w:trPr>
          <w:trHeight w:val="240"/>
        </w:trPr>
        <w:tc>
          <w:tcPr>
            <w:tcW w:w="1644" w:type="dxa"/>
            <w:shd w:val="clear" w:color="auto" w:fill="auto"/>
          </w:tcPr>
          <w:p w:rsidR="00D60A11" w:rsidRPr="00EA05B3" w:rsidRDefault="00D60A11">
            <w:pPr>
              <w:spacing w:before="40" w:after="40" w:line="220" w:lineRule="exact"/>
              <w:rPr>
                <w:sz w:val="18"/>
                <w:szCs w:val="18"/>
                <w:lang w:val="fr-FR"/>
              </w:rPr>
            </w:pPr>
            <w:r w:rsidRPr="00EA05B3">
              <w:rPr>
                <w:sz w:val="18"/>
                <w:lang w:val="fr-FR"/>
              </w:rPr>
              <w:t>Protection sociale</w:t>
            </w:r>
          </w:p>
        </w:tc>
        <w:tc>
          <w:tcPr>
            <w:tcW w:w="1276"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91 059 276,47</w:t>
            </w:r>
          </w:p>
        </w:tc>
        <w:tc>
          <w:tcPr>
            <w:tcW w:w="1275"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42 240 314,07</w:t>
            </w:r>
          </w:p>
        </w:tc>
        <w:tc>
          <w:tcPr>
            <w:tcW w:w="1361"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133 299 590,54</w:t>
            </w:r>
          </w:p>
        </w:tc>
        <w:tc>
          <w:tcPr>
            <w:tcW w:w="1361"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115 354 693,40</w:t>
            </w:r>
          </w:p>
        </w:tc>
        <w:tc>
          <w:tcPr>
            <w:tcW w:w="1361"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115 293 417,45</w:t>
            </w:r>
          </w:p>
        </w:tc>
        <w:tc>
          <w:tcPr>
            <w:tcW w:w="1361"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114 401 731,52</w:t>
            </w:r>
          </w:p>
        </w:tc>
      </w:tr>
      <w:tr w:rsidR="00847929" w:rsidRPr="00EA05B3">
        <w:trPr>
          <w:trHeight w:val="240"/>
        </w:trPr>
        <w:tc>
          <w:tcPr>
            <w:tcW w:w="1644" w:type="dxa"/>
            <w:shd w:val="clear" w:color="auto" w:fill="auto"/>
          </w:tcPr>
          <w:p w:rsidR="00D60A11" w:rsidRPr="00EA05B3" w:rsidRDefault="00D60A11">
            <w:pPr>
              <w:spacing w:before="40" w:after="40" w:line="220" w:lineRule="exact"/>
              <w:rPr>
                <w:sz w:val="18"/>
                <w:szCs w:val="18"/>
                <w:lang w:val="fr-FR"/>
              </w:rPr>
            </w:pPr>
            <w:r w:rsidRPr="00EA05B3">
              <w:rPr>
                <w:sz w:val="18"/>
                <w:lang w:val="fr-FR"/>
              </w:rPr>
              <w:t>Développement urbain et logement</w:t>
            </w:r>
          </w:p>
        </w:tc>
        <w:tc>
          <w:tcPr>
            <w:tcW w:w="1276"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362 833 535,25</w:t>
            </w:r>
          </w:p>
        </w:tc>
        <w:tc>
          <w:tcPr>
            <w:tcW w:w="1275"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127 626 274,92</w:t>
            </w:r>
          </w:p>
        </w:tc>
        <w:tc>
          <w:tcPr>
            <w:tcW w:w="1361"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490 459 810,17</w:t>
            </w:r>
          </w:p>
        </w:tc>
        <w:tc>
          <w:tcPr>
            <w:tcW w:w="1361"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451 737 214,67</w:t>
            </w:r>
          </w:p>
        </w:tc>
        <w:tc>
          <w:tcPr>
            <w:tcW w:w="1361"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451 426 969,69</w:t>
            </w:r>
          </w:p>
        </w:tc>
        <w:tc>
          <w:tcPr>
            <w:tcW w:w="1361"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444 140 861,88</w:t>
            </w:r>
          </w:p>
        </w:tc>
      </w:tr>
      <w:tr w:rsidR="00847929" w:rsidRPr="00EA05B3">
        <w:trPr>
          <w:trHeight w:val="240"/>
        </w:trPr>
        <w:tc>
          <w:tcPr>
            <w:tcW w:w="1644" w:type="dxa"/>
            <w:shd w:val="clear" w:color="auto" w:fill="auto"/>
          </w:tcPr>
          <w:p w:rsidR="00D60A11" w:rsidRPr="00EA05B3" w:rsidRDefault="00D60A11">
            <w:pPr>
              <w:spacing w:before="40" w:after="40" w:line="220" w:lineRule="exact"/>
              <w:rPr>
                <w:sz w:val="18"/>
                <w:szCs w:val="18"/>
                <w:lang w:val="fr-FR"/>
              </w:rPr>
            </w:pPr>
            <w:r w:rsidRPr="00EA05B3">
              <w:rPr>
                <w:sz w:val="18"/>
                <w:lang w:val="fr-FR"/>
              </w:rPr>
              <w:t>Éducation</w:t>
            </w:r>
          </w:p>
        </w:tc>
        <w:tc>
          <w:tcPr>
            <w:tcW w:w="1276"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213 211 154,37</w:t>
            </w:r>
          </w:p>
        </w:tc>
        <w:tc>
          <w:tcPr>
            <w:tcW w:w="1275"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252 692 546,20</w:t>
            </w:r>
          </w:p>
        </w:tc>
        <w:tc>
          <w:tcPr>
            <w:tcW w:w="1361"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465 903 700,57</w:t>
            </w:r>
          </w:p>
        </w:tc>
        <w:tc>
          <w:tcPr>
            <w:tcW w:w="1361"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304 004 557,31</w:t>
            </w:r>
          </w:p>
        </w:tc>
        <w:tc>
          <w:tcPr>
            <w:tcW w:w="1361"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303 210 502,17</w:t>
            </w:r>
          </w:p>
        </w:tc>
        <w:tc>
          <w:tcPr>
            <w:tcW w:w="1361"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295 240 689,76</w:t>
            </w:r>
          </w:p>
        </w:tc>
      </w:tr>
      <w:tr w:rsidR="00847929" w:rsidRPr="00EA05B3">
        <w:trPr>
          <w:trHeight w:val="240"/>
        </w:trPr>
        <w:tc>
          <w:tcPr>
            <w:tcW w:w="1644" w:type="dxa"/>
            <w:shd w:val="clear" w:color="auto" w:fill="auto"/>
          </w:tcPr>
          <w:p w:rsidR="00D60A11" w:rsidRPr="00EA05B3" w:rsidRDefault="00D60A11">
            <w:pPr>
              <w:spacing w:before="40" w:after="40" w:line="220" w:lineRule="exact"/>
              <w:rPr>
                <w:sz w:val="18"/>
                <w:szCs w:val="18"/>
                <w:lang w:val="fr-FR"/>
              </w:rPr>
            </w:pPr>
            <w:r w:rsidRPr="00EA05B3">
              <w:rPr>
                <w:sz w:val="18"/>
                <w:lang w:val="fr-FR"/>
              </w:rPr>
              <w:t>Santé</w:t>
            </w:r>
          </w:p>
        </w:tc>
        <w:tc>
          <w:tcPr>
            <w:tcW w:w="1276"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180 526 123,05</w:t>
            </w:r>
          </w:p>
        </w:tc>
        <w:tc>
          <w:tcPr>
            <w:tcW w:w="1275"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5 881 714,43</w:t>
            </w:r>
          </w:p>
        </w:tc>
        <w:tc>
          <w:tcPr>
            <w:tcW w:w="1361"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186 407 837,48</w:t>
            </w:r>
          </w:p>
        </w:tc>
        <w:tc>
          <w:tcPr>
            <w:tcW w:w="1361"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152 589 703,47</w:t>
            </w:r>
          </w:p>
        </w:tc>
        <w:tc>
          <w:tcPr>
            <w:tcW w:w="1361"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152 582 953,47</w:t>
            </w:r>
          </w:p>
        </w:tc>
        <w:tc>
          <w:tcPr>
            <w:tcW w:w="1361"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150 604 002,34</w:t>
            </w:r>
          </w:p>
        </w:tc>
      </w:tr>
      <w:tr w:rsidR="00847929" w:rsidRPr="00EA05B3">
        <w:trPr>
          <w:trHeight w:val="240"/>
        </w:trPr>
        <w:tc>
          <w:tcPr>
            <w:tcW w:w="1644" w:type="dxa"/>
            <w:tcBorders>
              <w:bottom w:val="single" w:sz="4" w:space="0" w:color="auto"/>
            </w:tcBorders>
            <w:shd w:val="clear" w:color="auto" w:fill="auto"/>
          </w:tcPr>
          <w:p w:rsidR="00D60A11" w:rsidRPr="00EA05B3" w:rsidRDefault="00D60A11" w:rsidP="00EB276C">
            <w:pPr>
              <w:keepNext/>
              <w:spacing w:before="40" w:after="40" w:line="220" w:lineRule="exact"/>
              <w:rPr>
                <w:sz w:val="18"/>
                <w:szCs w:val="18"/>
                <w:lang w:val="fr-FR"/>
              </w:rPr>
            </w:pPr>
            <w:r w:rsidRPr="00EA05B3">
              <w:rPr>
                <w:sz w:val="18"/>
                <w:lang w:val="fr-FR"/>
              </w:rPr>
              <w:t>Travail</w:t>
            </w:r>
          </w:p>
        </w:tc>
        <w:tc>
          <w:tcPr>
            <w:tcW w:w="1276" w:type="dxa"/>
            <w:tcBorders>
              <w:bottom w:val="single" w:sz="4" w:space="0" w:color="auto"/>
            </w:tcBorders>
            <w:shd w:val="clear" w:color="auto" w:fill="auto"/>
            <w:vAlign w:val="bottom"/>
          </w:tcPr>
          <w:p w:rsidR="00D60A11" w:rsidRPr="00EA05B3" w:rsidRDefault="00D60A11" w:rsidP="00EB276C">
            <w:pPr>
              <w:keepNext/>
              <w:spacing w:before="40" w:after="40" w:line="220" w:lineRule="exact"/>
              <w:jc w:val="right"/>
              <w:rPr>
                <w:sz w:val="18"/>
                <w:szCs w:val="18"/>
                <w:lang w:val="fr-FR"/>
              </w:rPr>
            </w:pPr>
            <w:r w:rsidRPr="00EA05B3">
              <w:rPr>
                <w:sz w:val="18"/>
                <w:lang w:val="fr-FR"/>
              </w:rPr>
              <w:t>9 280 815,00</w:t>
            </w:r>
          </w:p>
        </w:tc>
        <w:tc>
          <w:tcPr>
            <w:tcW w:w="1275" w:type="dxa"/>
            <w:tcBorders>
              <w:bottom w:val="single" w:sz="4" w:space="0" w:color="auto"/>
            </w:tcBorders>
            <w:shd w:val="clear" w:color="auto" w:fill="auto"/>
            <w:vAlign w:val="bottom"/>
          </w:tcPr>
          <w:p w:rsidR="00D60A11" w:rsidRPr="00EA05B3" w:rsidRDefault="00D60A11" w:rsidP="00EB276C">
            <w:pPr>
              <w:keepNext/>
              <w:spacing w:before="40" w:after="40" w:line="220" w:lineRule="exact"/>
              <w:jc w:val="right"/>
              <w:rPr>
                <w:sz w:val="18"/>
                <w:szCs w:val="18"/>
                <w:lang w:val="fr-FR"/>
              </w:rPr>
            </w:pPr>
            <w:r w:rsidRPr="00EA05B3">
              <w:rPr>
                <w:sz w:val="18"/>
                <w:lang w:val="fr-FR"/>
              </w:rPr>
              <w:t>4 198 335,12</w:t>
            </w:r>
          </w:p>
        </w:tc>
        <w:tc>
          <w:tcPr>
            <w:tcW w:w="1361" w:type="dxa"/>
            <w:tcBorders>
              <w:bottom w:val="single" w:sz="4" w:space="0" w:color="auto"/>
            </w:tcBorders>
            <w:shd w:val="clear" w:color="auto" w:fill="auto"/>
            <w:vAlign w:val="bottom"/>
          </w:tcPr>
          <w:p w:rsidR="00D60A11" w:rsidRPr="00EA05B3" w:rsidRDefault="00D60A11" w:rsidP="00EB276C">
            <w:pPr>
              <w:keepNext/>
              <w:spacing w:before="40" w:after="40" w:line="220" w:lineRule="exact"/>
              <w:jc w:val="right"/>
              <w:rPr>
                <w:sz w:val="18"/>
                <w:szCs w:val="18"/>
                <w:lang w:val="fr-FR"/>
              </w:rPr>
            </w:pPr>
            <w:r w:rsidRPr="00EA05B3">
              <w:rPr>
                <w:sz w:val="18"/>
                <w:lang w:val="fr-FR"/>
              </w:rPr>
              <w:t>13 479 150,12</w:t>
            </w:r>
          </w:p>
        </w:tc>
        <w:tc>
          <w:tcPr>
            <w:tcW w:w="1361" w:type="dxa"/>
            <w:tcBorders>
              <w:bottom w:val="single" w:sz="4" w:space="0" w:color="auto"/>
            </w:tcBorders>
            <w:shd w:val="clear" w:color="auto" w:fill="auto"/>
            <w:vAlign w:val="bottom"/>
          </w:tcPr>
          <w:p w:rsidR="00D60A11" w:rsidRPr="00EA05B3" w:rsidRDefault="00D60A11" w:rsidP="00EB276C">
            <w:pPr>
              <w:keepNext/>
              <w:spacing w:before="40" w:after="40" w:line="220" w:lineRule="exact"/>
              <w:jc w:val="right"/>
              <w:rPr>
                <w:sz w:val="18"/>
                <w:szCs w:val="18"/>
                <w:lang w:val="fr-FR"/>
              </w:rPr>
            </w:pPr>
            <w:r w:rsidRPr="00EA05B3">
              <w:rPr>
                <w:sz w:val="18"/>
                <w:lang w:val="fr-FR"/>
              </w:rPr>
              <w:t>13 071 751,14</w:t>
            </w:r>
          </w:p>
        </w:tc>
        <w:tc>
          <w:tcPr>
            <w:tcW w:w="1361" w:type="dxa"/>
            <w:tcBorders>
              <w:bottom w:val="single" w:sz="4" w:space="0" w:color="auto"/>
            </w:tcBorders>
            <w:shd w:val="clear" w:color="auto" w:fill="auto"/>
            <w:vAlign w:val="bottom"/>
          </w:tcPr>
          <w:p w:rsidR="00D60A11" w:rsidRPr="00EA05B3" w:rsidRDefault="00D60A11" w:rsidP="00EB276C">
            <w:pPr>
              <w:keepNext/>
              <w:spacing w:before="40" w:after="40" w:line="220" w:lineRule="exact"/>
              <w:jc w:val="right"/>
              <w:rPr>
                <w:sz w:val="18"/>
                <w:szCs w:val="18"/>
                <w:lang w:val="fr-FR"/>
              </w:rPr>
            </w:pPr>
            <w:r w:rsidRPr="00EA05B3">
              <w:rPr>
                <w:sz w:val="18"/>
                <w:lang w:val="fr-FR"/>
              </w:rPr>
              <w:t>13 071 751,14</w:t>
            </w:r>
          </w:p>
        </w:tc>
        <w:tc>
          <w:tcPr>
            <w:tcW w:w="1361" w:type="dxa"/>
            <w:tcBorders>
              <w:bottom w:val="single" w:sz="4" w:space="0" w:color="auto"/>
            </w:tcBorders>
            <w:shd w:val="clear" w:color="auto" w:fill="auto"/>
            <w:vAlign w:val="bottom"/>
          </w:tcPr>
          <w:p w:rsidR="00D60A11" w:rsidRPr="00EA05B3" w:rsidRDefault="00D60A11" w:rsidP="00EB276C">
            <w:pPr>
              <w:keepNext/>
              <w:spacing w:before="40" w:after="40" w:line="220" w:lineRule="exact"/>
              <w:jc w:val="right"/>
              <w:rPr>
                <w:sz w:val="18"/>
                <w:szCs w:val="18"/>
                <w:lang w:val="fr-FR"/>
              </w:rPr>
            </w:pPr>
            <w:r w:rsidRPr="00EA05B3">
              <w:rPr>
                <w:sz w:val="18"/>
                <w:lang w:val="fr-FR"/>
              </w:rPr>
              <w:t>12 696 374,87</w:t>
            </w:r>
          </w:p>
        </w:tc>
      </w:tr>
      <w:tr w:rsidR="00847929" w:rsidRPr="00EA05B3">
        <w:trPr>
          <w:trHeight w:val="240"/>
        </w:trPr>
        <w:tc>
          <w:tcPr>
            <w:tcW w:w="1644" w:type="dxa"/>
            <w:tcBorders>
              <w:top w:val="single" w:sz="4" w:space="0" w:color="auto"/>
              <w:bottom w:val="single" w:sz="4" w:space="0" w:color="auto"/>
            </w:tcBorders>
            <w:shd w:val="clear" w:color="auto" w:fill="auto"/>
          </w:tcPr>
          <w:p w:rsidR="00D60A11" w:rsidRPr="00EA05B3" w:rsidRDefault="001B13AB" w:rsidP="00EB276C">
            <w:pPr>
              <w:spacing w:before="80" w:after="80" w:line="220" w:lineRule="exact"/>
              <w:ind w:firstLine="284"/>
              <w:rPr>
                <w:b/>
                <w:bCs/>
                <w:sz w:val="18"/>
                <w:szCs w:val="18"/>
                <w:lang w:val="fr-FR"/>
              </w:rPr>
            </w:pPr>
            <w:r w:rsidRPr="00EA05B3">
              <w:rPr>
                <w:b/>
                <w:sz w:val="18"/>
                <w:lang w:val="fr-FR"/>
              </w:rPr>
              <w:t>Total</w:t>
            </w:r>
          </w:p>
        </w:tc>
        <w:tc>
          <w:tcPr>
            <w:tcW w:w="1276" w:type="dxa"/>
            <w:tcBorders>
              <w:top w:val="single" w:sz="4" w:space="0" w:color="auto"/>
              <w:bottom w:val="single" w:sz="4" w:space="0" w:color="auto"/>
            </w:tcBorders>
            <w:shd w:val="clear" w:color="auto" w:fill="auto"/>
            <w:vAlign w:val="bottom"/>
          </w:tcPr>
          <w:p w:rsidR="00D60A11" w:rsidRPr="00EA05B3" w:rsidRDefault="00D60A11" w:rsidP="00EB276C">
            <w:pPr>
              <w:spacing w:before="80" w:after="80" w:line="220" w:lineRule="exact"/>
              <w:jc w:val="right"/>
              <w:rPr>
                <w:b/>
                <w:bCs/>
                <w:sz w:val="18"/>
                <w:szCs w:val="18"/>
                <w:lang w:val="fr-FR"/>
              </w:rPr>
            </w:pPr>
            <w:r w:rsidRPr="00EA05B3">
              <w:rPr>
                <w:b/>
                <w:sz w:val="18"/>
                <w:lang w:val="fr-FR"/>
              </w:rPr>
              <w:t>856 910 904,14</w:t>
            </w:r>
          </w:p>
        </w:tc>
        <w:tc>
          <w:tcPr>
            <w:tcW w:w="1275" w:type="dxa"/>
            <w:tcBorders>
              <w:top w:val="single" w:sz="4" w:space="0" w:color="auto"/>
              <w:bottom w:val="single" w:sz="4" w:space="0" w:color="auto"/>
            </w:tcBorders>
            <w:shd w:val="clear" w:color="auto" w:fill="auto"/>
            <w:vAlign w:val="bottom"/>
          </w:tcPr>
          <w:p w:rsidR="00D60A11" w:rsidRPr="00EA05B3" w:rsidRDefault="00D60A11" w:rsidP="00EB276C">
            <w:pPr>
              <w:spacing w:before="80" w:after="80" w:line="220" w:lineRule="exact"/>
              <w:jc w:val="right"/>
              <w:rPr>
                <w:b/>
                <w:bCs/>
                <w:sz w:val="18"/>
                <w:szCs w:val="18"/>
                <w:lang w:val="fr-FR"/>
              </w:rPr>
            </w:pPr>
            <w:r w:rsidRPr="00EA05B3">
              <w:rPr>
                <w:b/>
                <w:sz w:val="18"/>
                <w:lang w:val="fr-FR"/>
              </w:rPr>
              <w:t>432 639 184,74</w:t>
            </w:r>
          </w:p>
        </w:tc>
        <w:tc>
          <w:tcPr>
            <w:tcW w:w="1361" w:type="dxa"/>
            <w:tcBorders>
              <w:top w:val="single" w:sz="4" w:space="0" w:color="auto"/>
              <w:bottom w:val="single" w:sz="4" w:space="0" w:color="auto"/>
            </w:tcBorders>
            <w:shd w:val="clear" w:color="auto" w:fill="auto"/>
            <w:vAlign w:val="bottom"/>
          </w:tcPr>
          <w:p w:rsidR="00D60A11" w:rsidRPr="00EA05B3" w:rsidRDefault="00D60A11" w:rsidP="00EB276C">
            <w:pPr>
              <w:spacing w:before="80" w:after="80" w:line="220" w:lineRule="exact"/>
              <w:jc w:val="right"/>
              <w:rPr>
                <w:b/>
                <w:bCs/>
                <w:sz w:val="18"/>
                <w:szCs w:val="18"/>
                <w:lang w:val="fr-FR"/>
              </w:rPr>
            </w:pPr>
            <w:r w:rsidRPr="00EA05B3">
              <w:rPr>
                <w:b/>
                <w:sz w:val="18"/>
                <w:lang w:val="fr-FR"/>
              </w:rPr>
              <w:t>1 289 550 088,88</w:t>
            </w:r>
          </w:p>
        </w:tc>
        <w:tc>
          <w:tcPr>
            <w:tcW w:w="1361" w:type="dxa"/>
            <w:tcBorders>
              <w:top w:val="single" w:sz="4" w:space="0" w:color="auto"/>
              <w:bottom w:val="single" w:sz="4" w:space="0" w:color="auto"/>
            </w:tcBorders>
            <w:shd w:val="clear" w:color="auto" w:fill="auto"/>
            <w:vAlign w:val="bottom"/>
          </w:tcPr>
          <w:p w:rsidR="00D60A11" w:rsidRPr="00EA05B3" w:rsidRDefault="00D60A11" w:rsidP="00EB276C">
            <w:pPr>
              <w:spacing w:before="80" w:after="80" w:line="220" w:lineRule="exact"/>
              <w:jc w:val="right"/>
              <w:rPr>
                <w:b/>
                <w:bCs/>
                <w:sz w:val="18"/>
                <w:szCs w:val="18"/>
                <w:lang w:val="fr-FR"/>
              </w:rPr>
            </w:pPr>
            <w:r w:rsidRPr="00EA05B3">
              <w:rPr>
                <w:b/>
                <w:sz w:val="18"/>
                <w:lang w:val="fr-FR"/>
              </w:rPr>
              <w:t>1 036 757 919,99</w:t>
            </w:r>
          </w:p>
        </w:tc>
        <w:tc>
          <w:tcPr>
            <w:tcW w:w="1361" w:type="dxa"/>
            <w:tcBorders>
              <w:top w:val="single" w:sz="4" w:space="0" w:color="auto"/>
              <w:bottom w:val="single" w:sz="4" w:space="0" w:color="auto"/>
            </w:tcBorders>
            <w:shd w:val="clear" w:color="auto" w:fill="auto"/>
            <w:vAlign w:val="bottom"/>
          </w:tcPr>
          <w:p w:rsidR="00D60A11" w:rsidRPr="00EA05B3" w:rsidRDefault="00D60A11" w:rsidP="00EB276C">
            <w:pPr>
              <w:spacing w:before="80" w:after="80" w:line="220" w:lineRule="exact"/>
              <w:jc w:val="right"/>
              <w:rPr>
                <w:b/>
                <w:bCs/>
                <w:sz w:val="18"/>
                <w:szCs w:val="18"/>
                <w:lang w:val="fr-FR"/>
              </w:rPr>
            </w:pPr>
            <w:r w:rsidRPr="00EA05B3">
              <w:rPr>
                <w:b/>
                <w:sz w:val="18"/>
                <w:lang w:val="fr-FR"/>
              </w:rPr>
              <w:t>1 035 585 593,92</w:t>
            </w:r>
          </w:p>
        </w:tc>
        <w:tc>
          <w:tcPr>
            <w:tcW w:w="1361" w:type="dxa"/>
            <w:tcBorders>
              <w:top w:val="single" w:sz="4" w:space="0" w:color="auto"/>
              <w:bottom w:val="single" w:sz="4" w:space="0" w:color="auto"/>
            </w:tcBorders>
            <w:shd w:val="clear" w:color="auto" w:fill="auto"/>
            <w:vAlign w:val="bottom"/>
          </w:tcPr>
          <w:p w:rsidR="00D60A11" w:rsidRPr="00EA05B3" w:rsidRDefault="00D60A11" w:rsidP="00EB276C">
            <w:pPr>
              <w:spacing w:before="80" w:after="80" w:line="220" w:lineRule="exact"/>
              <w:jc w:val="right"/>
              <w:rPr>
                <w:b/>
                <w:bCs/>
                <w:sz w:val="18"/>
                <w:szCs w:val="18"/>
                <w:lang w:val="fr-FR"/>
              </w:rPr>
            </w:pPr>
            <w:r w:rsidRPr="00EA05B3">
              <w:rPr>
                <w:b/>
                <w:sz w:val="18"/>
                <w:lang w:val="fr-FR"/>
              </w:rPr>
              <w:t>1 017 083 660,37</w:t>
            </w:r>
          </w:p>
        </w:tc>
      </w:tr>
      <w:tr w:rsidR="00847929" w:rsidRPr="00EA05B3">
        <w:trPr>
          <w:trHeight w:val="240"/>
        </w:trPr>
        <w:tc>
          <w:tcPr>
            <w:tcW w:w="9639" w:type="dxa"/>
            <w:gridSpan w:val="7"/>
            <w:tcBorders>
              <w:top w:val="single" w:sz="4" w:space="0" w:color="auto"/>
            </w:tcBorders>
            <w:shd w:val="clear" w:color="auto" w:fill="auto"/>
            <w:vAlign w:val="bottom"/>
          </w:tcPr>
          <w:p w:rsidR="006D4168" w:rsidRPr="00EA05B3" w:rsidRDefault="006D4168" w:rsidP="00EB276C">
            <w:pPr>
              <w:keepNext/>
              <w:spacing w:before="40" w:after="40" w:line="220" w:lineRule="exact"/>
              <w:rPr>
                <w:sz w:val="18"/>
                <w:szCs w:val="18"/>
                <w:lang w:val="fr-FR"/>
              </w:rPr>
            </w:pPr>
            <w:r w:rsidRPr="00EA05B3">
              <w:rPr>
                <w:sz w:val="18"/>
                <w:lang w:val="fr-FR"/>
              </w:rPr>
              <w:t>Exécution financière annuelle/Investissements sectoriels, 2009</w:t>
            </w:r>
          </w:p>
        </w:tc>
      </w:tr>
      <w:tr w:rsidR="00847929" w:rsidRPr="00EA05B3">
        <w:trPr>
          <w:trHeight w:val="240"/>
        </w:trPr>
        <w:tc>
          <w:tcPr>
            <w:tcW w:w="1644" w:type="dxa"/>
            <w:shd w:val="clear" w:color="auto" w:fill="auto"/>
          </w:tcPr>
          <w:p w:rsidR="00D60A11" w:rsidRPr="00EA05B3" w:rsidRDefault="00D60A11">
            <w:pPr>
              <w:spacing w:before="40" w:after="40" w:line="220" w:lineRule="exact"/>
              <w:rPr>
                <w:sz w:val="18"/>
                <w:szCs w:val="18"/>
                <w:lang w:val="fr-FR"/>
              </w:rPr>
            </w:pPr>
            <w:r w:rsidRPr="00EA05B3">
              <w:rPr>
                <w:sz w:val="18"/>
                <w:lang w:val="fr-FR"/>
              </w:rPr>
              <w:t>Protection sociale</w:t>
            </w:r>
          </w:p>
        </w:tc>
        <w:tc>
          <w:tcPr>
            <w:tcW w:w="1276"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 xml:space="preserve">144 411 428,32 </w:t>
            </w:r>
          </w:p>
        </w:tc>
        <w:tc>
          <w:tcPr>
            <w:tcW w:w="1275"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 xml:space="preserve">74 219 045,14 </w:t>
            </w:r>
          </w:p>
        </w:tc>
        <w:tc>
          <w:tcPr>
            <w:tcW w:w="1361"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 xml:space="preserve">218 630 473,46 </w:t>
            </w:r>
          </w:p>
        </w:tc>
        <w:tc>
          <w:tcPr>
            <w:tcW w:w="1361"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 xml:space="preserve">85 634 579,42 </w:t>
            </w:r>
          </w:p>
        </w:tc>
        <w:tc>
          <w:tcPr>
            <w:tcW w:w="1361"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 xml:space="preserve">73 717 627,63 </w:t>
            </w:r>
          </w:p>
        </w:tc>
        <w:tc>
          <w:tcPr>
            <w:tcW w:w="1361"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 xml:space="preserve">68 355 583,45 </w:t>
            </w:r>
          </w:p>
        </w:tc>
      </w:tr>
      <w:tr w:rsidR="00847929" w:rsidRPr="00EA05B3">
        <w:trPr>
          <w:trHeight w:val="240"/>
        </w:trPr>
        <w:tc>
          <w:tcPr>
            <w:tcW w:w="1644" w:type="dxa"/>
            <w:shd w:val="clear" w:color="auto" w:fill="auto"/>
          </w:tcPr>
          <w:p w:rsidR="00D60A11" w:rsidRPr="00EA05B3" w:rsidRDefault="00D60A11">
            <w:pPr>
              <w:spacing w:before="40" w:after="40" w:line="220" w:lineRule="exact"/>
              <w:rPr>
                <w:sz w:val="18"/>
                <w:szCs w:val="18"/>
                <w:lang w:val="fr-FR"/>
              </w:rPr>
            </w:pPr>
            <w:r w:rsidRPr="00EA05B3">
              <w:rPr>
                <w:sz w:val="18"/>
                <w:lang w:val="fr-FR"/>
              </w:rPr>
              <w:t>Développement urbain et logement</w:t>
            </w:r>
          </w:p>
        </w:tc>
        <w:tc>
          <w:tcPr>
            <w:tcW w:w="1276"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 xml:space="preserve">382 648 734,77 </w:t>
            </w:r>
          </w:p>
        </w:tc>
        <w:tc>
          <w:tcPr>
            <w:tcW w:w="1275"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 xml:space="preserve">-240 808 287,18 </w:t>
            </w:r>
          </w:p>
        </w:tc>
        <w:tc>
          <w:tcPr>
            <w:tcW w:w="1361"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 xml:space="preserve">141 840 447,59 </w:t>
            </w:r>
          </w:p>
        </w:tc>
        <w:tc>
          <w:tcPr>
            <w:tcW w:w="1361"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 xml:space="preserve">94 087 162,90 </w:t>
            </w:r>
          </w:p>
        </w:tc>
        <w:tc>
          <w:tcPr>
            <w:tcW w:w="1361"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 xml:space="preserve">84 012 784,73 </w:t>
            </w:r>
          </w:p>
        </w:tc>
        <w:tc>
          <w:tcPr>
            <w:tcW w:w="1361"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 xml:space="preserve">81 531 592,28 </w:t>
            </w:r>
          </w:p>
        </w:tc>
      </w:tr>
      <w:tr w:rsidR="00847929" w:rsidRPr="00EA05B3">
        <w:trPr>
          <w:trHeight w:val="240"/>
        </w:trPr>
        <w:tc>
          <w:tcPr>
            <w:tcW w:w="1644" w:type="dxa"/>
            <w:shd w:val="clear" w:color="auto" w:fill="auto"/>
          </w:tcPr>
          <w:p w:rsidR="00D60A11" w:rsidRPr="00EA05B3" w:rsidRDefault="00D60A11">
            <w:pPr>
              <w:spacing w:before="40" w:after="40" w:line="220" w:lineRule="exact"/>
              <w:rPr>
                <w:sz w:val="18"/>
                <w:szCs w:val="18"/>
                <w:lang w:val="fr-FR"/>
              </w:rPr>
            </w:pPr>
            <w:r w:rsidRPr="00EA05B3">
              <w:rPr>
                <w:sz w:val="18"/>
                <w:lang w:val="fr-FR"/>
              </w:rPr>
              <w:t>Éducation</w:t>
            </w:r>
          </w:p>
        </w:tc>
        <w:tc>
          <w:tcPr>
            <w:tcW w:w="1276"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 xml:space="preserve">411 203 312,80 </w:t>
            </w:r>
          </w:p>
        </w:tc>
        <w:tc>
          <w:tcPr>
            <w:tcW w:w="1275"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 xml:space="preserve">-169 570 501,21 </w:t>
            </w:r>
          </w:p>
        </w:tc>
        <w:tc>
          <w:tcPr>
            <w:tcW w:w="1361"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 xml:space="preserve">241 632 811,59 </w:t>
            </w:r>
          </w:p>
        </w:tc>
        <w:tc>
          <w:tcPr>
            <w:tcW w:w="1361"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 xml:space="preserve">107 773 382,04 </w:t>
            </w:r>
          </w:p>
        </w:tc>
        <w:tc>
          <w:tcPr>
            <w:tcW w:w="1361"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 xml:space="preserve">74 103 905,54 </w:t>
            </w:r>
          </w:p>
        </w:tc>
        <w:tc>
          <w:tcPr>
            <w:tcW w:w="1361"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 xml:space="preserve">72 188 894,57 </w:t>
            </w:r>
          </w:p>
        </w:tc>
      </w:tr>
      <w:tr w:rsidR="00847929" w:rsidRPr="00EA05B3">
        <w:trPr>
          <w:trHeight w:val="240"/>
        </w:trPr>
        <w:tc>
          <w:tcPr>
            <w:tcW w:w="1644" w:type="dxa"/>
            <w:shd w:val="clear" w:color="auto" w:fill="auto"/>
          </w:tcPr>
          <w:p w:rsidR="00D60A11" w:rsidRPr="00EA05B3" w:rsidRDefault="00D60A11">
            <w:pPr>
              <w:spacing w:before="40" w:after="40" w:line="220" w:lineRule="exact"/>
              <w:rPr>
                <w:sz w:val="18"/>
                <w:szCs w:val="18"/>
                <w:lang w:val="fr-FR"/>
              </w:rPr>
            </w:pPr>
            <w:r w:rsidRPr="00EA05B3">
              <w:rPr>
                <w:sz w:val="18"/>
                <w:lang w:val="fr-FR"/>
              </w:rPr>
              <w:t>Santé</w:t>
            </w:r>
          </w:p>
        </w:tc>
        <w:tc>
          <w:tcPr>
            <w:tcW w:w="1276"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 xml:space="preserve">243 763 058,63 </w:t>
            </w:r>
          </w:p>
        </w:tc>
        <w:tc>
          <w:tcPr>
            <w:tcW w:w="1275"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 xml:space="preserve">-131 561 925,26 </w:t>
            </w:r>
          </w:p>
        </w:tc>
        <w:tc>
          <w:tcPr>
            <w:tcW w:w="1361"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 xml:space="preserve">112 201 133,37 </w:t>
            </w:r>
          </w:p>
        </w:tc>
        <w:tc>
          <w:tcPr>
            <w:tcW w:w="1361" w:type="dxa"/>
            <w:shd w:val="clear" w:color="auto" w:fill="auto"/>
            <w:vAlign w:val="bottom"/>
          </w:tcPr>
          <w:p w:rsidR="00D60A11" w:rsidRPr="00EA05B3" w:rsidRDefault="006D4168" w:rsidP="00EB276C">
            <w:pPr>
              <w:spacing w:before="40" w:after="40" w:line="220" w:lineRule="exact"/>
              <w:jc w:val="right"/>
              <w:rPr>
                <w:sz w:val="18"/>
                <w:szCs w:val="18"/>
                <w:lang w:val="fr-FR"/>
              </w:rPr>
            </w:pPr>
            <w:r w:rsidRPr="00EA05B3">
              <w:rPr>
                <w:sz w:val="18"/>
                <w:lang w:val="fr-FR"/>
              </w:rPr>
              <w:t xml:space="preserve">62 389 119,45 </w:t>
            </w:r>
          </w:p>
        </w:tc>
        <w:tc>
          <w:tcPr>
            <w:tcW w:w="1361"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 xml:space="preserve">49 275 640,07 </w:t>
            </w:r>
          </w:p>
        </w:tc>
        <w:tc>
          <w:tcPr>
            <w:tcW w:w="1361" w:type="dxa"/>
            <w:shd w:val="clear" w:color="auto" w:fill="auto"/>
            <w:vAlign w:val="bottom"/>
          </w:tcPr>
          <w:p w:rsidR="00D60A11" w:rsidRPr="00EA05B3" w:rsidRDefault="00D60A11" w:rsidP="00EB276C">
            <w:pPr>
              <w:spacing w:before="40" w:after="40" w:line="220" w:lineRule="exact"/>
              <w:jc w:val="right"/>
              <w:rPr>
                <w:sz w:val="18"/>
                <w:szCs w:val="18"/>
                <w:lang w:val="fr-FR"/>
              </w:rPr>
            </w:pPr>
            <w:r w:rsidRPr="00EA05B3">
              <w:rPr>
                <w:sz w:val="18"/>
                <w:lang w:val="fr-FR"/>
              </w:rPr>
              <w:t xml:space="preserve">38 459 873,18 </w:t>
            </w:r>
          </w:p>
        </w:tc>
      </w:tr>
      <w:tr w:rsidR="00847929" w:rsidRPr="00EA05B3">
        <w:trPr>
          <w:trHeight w:val="240"/>
        </w:trPr>
        <w:tc>
          <w:tcPr>
            <w:tcW w:w="1644" w:type="dxa"/>
            <w:tcBorders>
              <w:bottom w:val="single" w:sz="4" w:space="0" w:color="auto"/>
            </w:tcBorders>
            <w:shd w:val="clear" w:color="auto" w:fill="auto"/>
          </w:tcPr>
          <w:p w:rsidR="00D60A11" w:rsidRPr="00EA05B3" w:rsidRDefault="00D60A11" w:rsidP="00EB276C">
            <w:pPr>
              <w:keepNext/>
              <w:spacing w:before="40" w:after="40" w:line="220" w:lineRule="exact"/>
              <w:rPr>
                <w:sz w:val="18"/>
                <w:szCs w:val="18"/>
                <w:lang w:val="fr-FR"/>
              </w:rPr>
            </w:pPr>
            <w:r w:rsidRPr="00EA05B3">
              <w:rPr>
                <w:sz w:val="18"/>
                <w:lang w:val="fr-FR"/>
              </w:rPr>
              <w:t>Travail</w:t>
            </w:r>
          </w:p>
        </w:tc>
        <w:tc>
          <w:tcPr>
            <w:tcW w:w="1276" w:type="dxa"/>
            <w:tcBorders>
              <w:bottom w:val="single" w:sz="4" w:space="0" w:color="auto"/>
            </w:tcBorders>
            <w:shd w:val="clear" w:color="auto" w:fill="auto"/>
            <w:vAlign w:val="bottom"/>
          </w:tcPr>
          <w:p w:rsidR="00D60A11" w:rsidRPr="00EA05B3" w:rsidRDefault="00D60A11" w:rsidP="00EB276C">
            <w:pPr>
              <w:keepNext/>
              <w:spacing w:before="40" w:after="40" w:line="220" w:lineRule="exact"/>
              <w:jc w:val="right"/>
              <w:rPr>
                <w:sz w:val="18"/>
                <w:szCs w:val="18"/>
                <w:lang w:val="fr-FR"/>
              </w:rPr>
            </w:pPr>
            <w:r w:rsidRPr="00EA05B3">
              <w:rPr>
                <w:sz w:val="18"/>
                <w:lang w:val="fr-FR"/>
              </w:rPr>
              <w:t xml:space="preserve">12 116 236,26 </w:t>
            </w:r>
          </w:p>
        </w:tc>
        <w:tc>
          <w:tcPr>
            <w:tcW w:w="1275" w:type="dxa"/>
            <w:tcBorders>
              <w:bottom w:val="single" w:sz="4" w:space="0" w:color="auto"/>
            </w:tcBorders>
            <w:shd w:val="clear" w:color="auto" w:fill="auto"/>
            <w:vAlign w:val="bottom"/>
          </w:tcPr>
          <w:p w:rsidR="00D60A11" w:rsidRPr="00EA05B3" w:rsidRDefault="00D60A11" w:rsidP="00EB276C">
            <w:pPr>
              <w:keepNext/>
              <w:spacing w:before="40" w:after="40" w:line="220" w:lineRule="exact"/>
              <w:jc w:val="right"/>
              <w:rPr>
                <w:sz w:val="18"/>
                <w:szCs w:val="18"/>
                <w:lang w:val="fr-FR"/>
              </w:rPr>
            </w:pPr>
            <w:r w:rsidRPr="00EA05B3">
              <w:rPr>
                <w:sz w:val="18"/>
                <w:lang w:val="fr-FR"/>
              </w:rPr>
              <w:t xml:space="preserve">3 747 986,34 </w:t>
            </w:r>
          </w:p>
        </w:tc>
        <w:tc>
          <w:tcPr>
            <w:tcW w:w="1361" w:type="dxa"/>
            <w:tcBorders>
              <w:bottom w:val="single" w:sz="4" w:space="0" w:color="auto"/>
            </w:tcBorders>
            <w:shd w:val="clear" w:color="auto" w:fill="auto"/>
            <w:vAlign w:val="bottom"/>
          </w:tcPr>
          <w:p w:rsidR="00D60A11" w:rsidRPr="00EA05B3" w:rsidRDefault="00D60A11" w:rsidP="00EB276C">
            <w:pPr>
              <w:keepNext/>
              <w:spacing w:before="40" w:after="40" w:line="220" w:lineRule="exact"/>
              <w:jc w:val="right"/>
              <w:rPr>
                <w:sz w:val="18"/>
                <w:szCs w:val="18"/>
                <w:lang w:val="fr-FR"/>
              </w:rPr>
            </w:pPr>
            <w:r w:rsidRPr="00EA05B3">
              <w:rPr>
                <w:sz w:val="18"/>
                <w:lang w:val="fr-FR"/>
              </w:rPr>
              <w:t xml:space="preserve">15 864 222,60 </w:t>
            </w:r>
          </w:p>
        </w:tc>
        <w:tc>
          <w:tcPr>
            <w:tcW w:w="1361" w:type="dxa"/>
            <w:tcBorders>
              <w:bottom w:val="single" w:sz="4" w:space="0" w:color="auto"/>
            </w:tcBorders>
            <w:shd w:val="clear" w:color="auto" w:fill="auto"/>
            <w:vAlign w:val="bottom"/>
          </w:tcPr>
          <w:p w:rsidR="00D60A11" w:rsidRPr="00EA05B3" w:rsidRDefault="00D60A11" w:rsidP="00EB276C">
            <w:pPr>
              <w:keepNext/>
              <w:spacing w:before="40" w:after="40" w:line="220" w:lineRule="exact"/>
              <w:jc w:val="right"/>
              <w:rPr>
                <w:sz w:val="18"/>
                <w:szCs w:val="18"/>
                <w:lang w:val="fr-FR"/>
              </w:rPr>
            </w:pPr>
            <w:r w:rsidRPr="00EA05B3">
              <w:rPr>
                <w:sz w:val="18"/>
                <w:lang w:val="fr-FR"/>
              </w:rPr>
              <w:t xml:space="preserve">5 441 002,50 </w:t>
            </w:r>
          </w:p>
        </w:tc>
        <w:tc>
          <w:tcPr>
            <w:tcW w:w="1361" w:type="dxa"/>
            <w:tcBorders>
              <w:bottom w:val="single" w:sz="4" w:space="0" w:color="auto"/>
            </w:tcBorders>
            <w:shd w:val="clear" w:color="auto" w:fill="auto"/>
            <w:vAlign w:val="bottom"/>
          </w:tcPr>
          <w:p w:rsidR="00D60A11" w:rsidRPr="00EA05B3" w:rsidRDefault="00D60A11" w:rsidP="00EB276C">
            <w:pPr>
              <w:keepNext/>
              <w:spacing w:before="40" w:after="40" w:line="220" w:lineRule="exact"/>
              <w:jc w:val="right"/>
              <w:rPr>
                <w:sz w:val="18"/>
                <w:szCs w:val="18"/>
                <w:lang w:val="fr-FR"/>
              </w:rPr>
            </w:pPr>
            <w:r w:rsidRPr="00EA05B3">
              <w:rPr>
                <w:sz w:val="18"/>
                <w:lang w:val="fr-FR"/>
              </w:rPr>
              <w:t xml:space="preserve">5 290 368,88 </w:t>
            </w:r>
          </w:p>
        </w:tc>
        <w:tc>
          <w:tcPr>
            <w:tcW w:w="1361" w:type="dxa"/>
            <w:tcBorders>
              <w:bottom w:val="single" w:sz="4" w:space="0" w:color="auto"/>
            </w:tcBorders>
            <w:shd w:val="clear" w:color="auto" w:fill="auto"/>
            <w:vAlign w:val="bottom"/>
          </w:tcPr>
          <w:p w:rsidR="00D60A11" w:rsidRPr="00EA05B3" w:rsidRDefault="00D60A11" w:rsidP="00EB276C">
            <w:pPr>
              <w:keepNext/>
              <w:spacing w:before="40" w:after="40" w:line="220" w:lineRule="exact"/>
              <w:jc w:val="right"/>
              <w:rPr>
                <w:sz w:val="18"/>
                <w:szCs w:val="18"/>
                <w:lang w:val="fr-FR"/>
              </w:rPr>
            </w:pPr>
            <w:r w:rsidRPr="00EA05B3">
              <w:rPr>
                <w:sz w:val="18"/>
                <w:lang w:val="fr-FR"/>
              </w:rPr>
              <w:t xml:space="preserve">5 008 983,97 </w:t>
            </w:r>
          </w:p>
        </w:tc>
      </w:tr>
      <w:tr w:rsidR="00847929" w:rsidRPr="00EA05B3">
        <w:trPr>
          <w:trHeight w:val="240"/>
        </w:trPr>
        <w:tc>
          <w:tcPr>
            <w:tcW w:w="1644" w:type="dxa"/>
            <w:tcBorders>
              <w:top w:val="single" w:sz="4" w:space="0" w:color="auto"/>
              <w:bottom w:val="single" w:sz="12" w:space="0" w:color="auto"/>
            </w:tcBorders>
            <w:shd w:val="clear" w:color="auto" w:fill="auto"/>
          </w:tcPr>
          <w:p w:rsidR="00D60A11" w:rsidRPr="00EA05B3" w:rsidRDefault="001B13AB" w:rsidP="00EB276C">
            <w:pPr>
              <w:spacing w:before="80" w:after="80" w:line="220" w:lineRule="exact"/>
              <w:ind w:firstLine="284"/>
              <w:rPr>
                <w:b/>
                <w:bCs/>
                <w:sz w:val="18"/>
                <w:szCs w:val="18"/>
                <w:lang w:val="fr-FR"/>
              </w:rPr>
            </w:pPr>
            <w:r w:rsidRPr="00EA05B3">
              <w:rPr>
                <w:b/>
                <w:sz w:val="18"/>
                <w:lang w:val="fr-FR"/>
              </w:rPr>
              <w:t>Total</w:t>
            </w:r>
          </w:p>
        </w:tc>
        <w:tc>
          <w:tcPr>
            <w:tcW w:w="1276" w:type="dxa"/>
            <w:tcBorders>
              <w:top w:val="single" w:sz="4" w:space="0" w:color="auto"/>
              <w:bottom w:val="single" w:sz="12" w:space="0" w:color="auto"/>
            </w:tcBorders>
            <w:shd w:val="clear" w:color="auto" w:fill="auto"/>
            <w:vAlign w:val="bottom"/>
          </w:tcPr>
          <w:p w:rsidR="00D60A11" w:rsidRPr="00EA05B3" w:rsidRDefault="00D60A11" w:rsidP="00EB276C">
            <w:pPr>
              <w:spacing w:before="80" w:after="80" w:line="220" w:lineRule="exact"/>
              <w:jc w:val="right"/>
              <w:rPr>
                <w:b/>
                <w:bCs/>
                <w:sz w:val="18"/>
                <w:szCs w:val="18"/>
                <w:lang w:val="fr-FR"/>
              </w:rPr>
            </w:pPr>
            <w:r w:rsidRPr="00EA05B3">
              <w:rPr>
                <w:b/>
                <w:sz w:val="18"/>
                <w:lang w:val="fr-FR"/>
              </w:rPr>
              <w:t>1 194 142 770,78</w:t>
            </w:r>
          </w:p>
        </w:tc>
        <w:tc>
          <w:tcPr>
            <w:tcW w:w="1275" w:type="dxa"/>
            <w:tcBorders>
              <w:top w:val="single" w:sz="4" w:space="0" w:color="auto"/>
              <w:bottom w:val="single" w:sz="12" w:space="0" w:color="auto"/>
            </w:tcBorders>
            <w:shd w:val="clear" w:color="auto" w:fill="auto"/>
            <w:vAlign w:val="bottom"/>
          </w:tcPr>
          <w:p w:rsidR="00D60A11" w:rsidRPr="00EA05B3" w:rsidRDefault="00D60A11" w:rsidP="00EB276C">
            <w:pPr>
              <w:spacing w:before="80" w:after="80" w:line="220" w:lineRule="exact"/>
              <w:jc w:val="right"/>
              <w:rPr>
                <w:b/>
                <w:bCs/>
                <w:sz w:val="18"/>
                <w:szCs w:val="18"/>
                <w:lang w:val="fr-FR"/>
              </w:rPr>
            </w:pPr>
            <w:r w:rsidRPr="00EA05B3">
              <w:rPr>
                <w:b/>
                <w:sz w:val="18"/>
                <w:lang w:val="fr-FR"/>
              </w:rPr>
              <w:t>-463 973 682,17</w:t>
            </w:r>
          </w:p>
        </w:tc>
        <w:tc>
          <w:tcPr>
            <w:tcW w:w="1361" w:type="dxa"/>
            <w:tcBorders>
              <w:top w:val="single" w:sz="4" w:space="0" w:color="auto"/>
              <w:bottom w:val="single" w:sz="12" w:space="0" w:color="auto"/>
            </w:tcBorders>
            <w:shd w:val="clear" w:color="auto" w:fill="auto"/>
            <w:vAlign w:val="bottom"/>
          </w:tcPr>
          <w:p w:rsidR="00D60A11" w:rsidRPr="00EA05B3" w:rsidRDefault="00D60A11" w:rsidP="00EB276C">
            <w:pPr>
              <w:spacing w:before="80" w:after="80" w:line="220" w:lineRule="exact"/>
              <w:jc w:val="right"/>
              <w:rPr>
                <w:b/>
                <w:bCs/>
                <w:sz w:val="18"/>
                <w:szCs w:val="18"/>
                <w:lang w:val="fr-FR"/>
              </w:rPr>
            </w:pPr>
            <w:r w:rsidRPr="00EA05B3">
              <w:rPr>
                <w:b/>
                <w:sz w:val="18"/>
                <w:lang w:val="fr-FR"/>
              </w:rPr>
              <w:t>730 169 088,61</w:t>
            </w:r>
          </w:p>
        </w:tc>
        <w:tc>
          <w:tcPr>
            <w:tcW w:w="1361" w:type="dxa"/>
            <w:tcBorders>
              <w:top w:val="single" w:sz="4" w:space="0" w:color="auto"/>
              <w:bottom w:val="single" w:sz="12" w:space="0" w:color="auto"/>
            </w:tcBorders>
            <w:shd w:val="clear" w:color="auto" w:fill="auto"/>
            <w:vAlign w:val="bottom"/>
          </w:tcPr>
          <w:p w:rsidR="00D60A11" w:rsidRPr="00EA05B3" w:rsidRDefault="00D60A11" w:rsidP="00EB276C">
            <w:pPr>
              <w:spacing w:before="80" w:after="80" w:line="220" w:lineRule="exact"/>
              <w:jc w:val="right"/>
              <w:rPr>
                <w:b/>
                <w:bCs/>
                <w:sz w:val="18"/>
                <w:szCs w:val="18"/>
                <w:lang w:val="fr-FR"/>
              </w:rPr>
            </w:pPr>
            <w:r w:rsidRPr="00EA05B3">
              <w:rPr>
                <w:b/>
                <w:sz w:val="18"/>
                <w:lang w:val="fr-FR"/>
              </w:rPr>
              <w:t>355 325 246,31</w:t>
            </w:r>
          </w:p>
        </w:tc>
        <w:tc>
          <w:tcPr>
            <w:tcW w:w="1361" w:type="dxa"/>
            <w:tcBorders>
              <w:top w:val="single" w:sz="4" w:space="0" w:color="auto"/>
              <w:bottom w:val="single" w:sz="12" w:space="0" w:color="auto"/>
            </w:tcBorders>
            <w:shd w:val="clear" w:color="auto" w:fill="auto"/>
            <w:vAlign w:val="bottom"/>
          </w:tcPr>
          <w:p w:rsidR="00D60A11" w:rsidRPr="00EA05B3" w:rsidRDefault="00D60A11" w:rsidP="00EB276C">
            <w:pPr>
              <w:spacing w:before="80" w:after="80" w:line="220" w:lineRule="exact"/>
              <w:jc w:val="right"/>
              <w:rPr>
                <w:b/>
                <w:bCs/>
                <w:sz w:val="18"/>
                <w:szCs w:val="18"/>
                <w:lang w:val="fr-FR"/>
              </w:rPr>
            </w:pPr>
            <w:r w:rsidRPr="00EA05B3">
              <w:rPr>
                <w:b/>
                <w:sz w:val="18"/>
                <w:lang w:val="fr-FR"/>
              </w:rPr>
              <w:t>268 400 326,85</w:t>
            </w:r>
          </w:p>
        </w:tc>
        <w:tc>
          <w:tcPr>
            <w:tcW w:w="1361" w:type="dxa"/>
            <w:tcBorders>
              <w:top w:val="single" w:sz="4" w:space="0" w:color="auto"/>
              <w:bottom w:val="single" w:sz="12" w:space="0" w:color="auto"/>
            </w:tcBorders>
            <w:shd w:val="clear" w:color="auto" w:fill="auto"/>
            <w:vAlign w:val="bottom"/>
          </w:tcPr>
          <w:p w:rsidR="00D60A11" w:rsidRPr="00EA05B3" w:rsidRDefault="00D60A11" w:rsidP="00EB276C">
            <w:pPr>
              <w:spacing w:before="80" w:after="80" w:line="220" w:lineRule="exact"/>
              <w:jc w:val="right"/>
              <w:rPr>
                <w:b/>
                <w:bCs/>
                <w:sz w:val="18"/>
                <w:szCs w:val="18"/>
                <w:lang w:val="fr-FR"/>
              </w:rPr>
            </w:pPr>
            <w:r w:rsidRPr="00EA05B3">
              <w:rPr>
                <w:b/>
                <w:sz w:val="18"/>
                <w:lang w:val="fr-FR"/>
              </w:rPr>
              <w:t>265 544 927,45</w:t>
            </w:r>
          </w:p>
        </w:tc>
      </w:tr>
    </w:tbl>
    <w:p w:rsidR="00D60A11" w:rsidRPr="00EA05B3" w:rsidRDefault="000D57A5" w:rsidP="005059C0">
      <w:pPr>
        <w:pStyle w:val="H1G"/>
        <w:rPr>
          <w:lang w:val="fr-FR"/>
        </w:rPr>
      </w:pPr>
      <w:bookmarkStart w:id="29" w:name="_Toc392676790"/>
      <w:r w:rsidRPr="00EA05B3">
        <w:rPr>
          <w:lang w:val="fr-FR"/>
        </w:rPr>
        <w:tab/>
        <w:t xml:space="preserve">D. </w:t>
      </w:r>
      <w:r w:rsidRPr="00EA05B3">
        <w:rPr>
          <w:lang w:val="fr-FR"/>
        </w:rPr>
        <w:tab/>
      </w:r>
      <w:r w:rsidR="005059C0" w:rsidRPr="00EA05B3">
        <w:rPr>
          <w:lang w:val="fr-FR"/>
        </w:rPr>
        <w:t xml:space="preserve">Rapports élaborés </w:t>
      </w:r>
      <w:r w:rsidR="00FC23E5" w:rsidRPr="00EA05B3">
        <w:rPr>
          <w:lang w:val="fr-FR"/>
        </w:rPr>
        <w:t>conformément aux</w:t>
      </w:r>
      <w:r w:rsidR="005059C0" w:rsidRPr="00EA05B3">
        <w:rPr>
          <w:lang w:val="fr-FR"/>
        </w:rPr>
        <w:t xml:space="preserve"> obligations internationales</w:t>
      </w:r>
      <w:bookmarkEnd w:id="29"/>
    </w:p>
    <w:p w:rsidR="00D60A11" w:rsidRPr="00EA05B3" w:rsidRDefault="0027238F" w:rsidP="0027238F">
      <w:pPr>
        <w:pStyle w:val="SingleTxtG"/>
        <w:rPr>
          <w:lang w:val="fr-FR"/>
        </w:rPr>
      </w:pPr>
      <w:r w:rsidRPr="00EA05B3">
        <w:rPr>
          <w:lang w:val="fr-FR"/>
        </w:rPr>
        <w:t>265.</w:t>
      </w:r>
      <w:r w:rsidRPr="00EA05B3">
        <w:rPr>
          <w:lang w:val="fr-FR"/>
        </w:rPr>
        <w:tab/>
      </w:r>
      <w:r w:rsidR="00D60A11" w:rsidRPr="00EA05B3">
        <w:rPr>
          <w:lang w:val="fr-FR"/>
        </w:rPr>
        <w:t xml:space="preserve">En application du décret exécutif </w:t>
      </w:r>
      <w:r w:rsidR="001B13AB" w:rsidRPr="00EA05B3">
        <w:rPr>
          <w:lang w:val="fr-FR"/>
        </w:rPr>
        <w:t>n</w:t>
      </w:r>
      <w:r w:rsidR="001B13AB" w:rsidRPr="00EA05B3">
        <w:rPr>
          <w:vertAlign w:val="superscript"/>
          <w:lang w:val="fr-FR"/>
        </w:rPr>
        <w:t>o</w:t>
      </w:r>
      <w:r w:rsidR="001B13AB" w:rsidRPr="00EA05B3">
        <w:rPr>
          <w:lang w:val="fr-FR"/>
        </w:rPr>
        <w:t> </w:t>
      </w:r>
      <w:r w:rsidR="00D60A11" w:rsidRPr="00EA05B3">
        <w:rPr>
          <w:lang w:val="fr-FR"/>
        </w:rPr>
        <w:t>1317 de septembre 2008, il incombe au Ministère des relations extérieures et de la mobilité humaine e</w:t>
      </w:r>
      <w:r w:rsidR="00C664DD" w:rsidRPr="00EA05B3">
        <w:rPr>
          <w:lang w:val="fr-FR"/>
        </w:rPr>
        <w:t>t</w:t>
      </w:r>
      <w:r w:rsidR="00D60A11" w:rsidRPr="00EA05B3">
        <w:rPr>
          <w:lang w:val="fr-FR"/>
        </w:rPr>
        <w:t xml:space="preserve"> au Ministère de la justice, des droits de </w:t>
      </w:r>
      <w:r w:rsidR="009379A7" w:rsidRPr="00EA05B3">
        <w:rPr>
          <w:lang w:val="fr-FR"/>
        </w:rPr>
        <w:t>l’</w:t>
      </w:r>
      <w:r w:rsidR="00D60A11" w:rsidRPr="00EA05B3">
        <w:rPr>
          <w:lang w:val="fr-FR"/>
        </w:rPr>
        <w:t xml:space="preserve">homme et des cultes </w:t>
      </w:r>
      <w:r w:rsidR="009379A7" w:rsidRPr="00EA05B3">
        <w:rPr>
          <w:lang w:val="fr-FR"/>
        </w:rPr>
        <w:t>d’</w:t>
      </w:r>
      <w:r w:rsidR="00D60A11" w:rsidRPr="00EA05B3">
        <w:rPr>
          <w:lang w:val="fr-FR"/>
        </w:rPr>
        <w:t xml:space="preserve">établir les rapports destinés aux organes créés en vertu </w:t>
      </w:r>
      <w:r w:rsidR="009379A7" w:rsidRPr="00EA05B3">
        <w:rPr>
          <w:lang w:val="fr-FR"/>
        </w:rPr>
        <w:t>d’</w:t>
      </w:r>
      <w:r w:rsidR="00D60A11" w:rsidRPr="00EA05B3">
        <w:rPr>
          <w:lang w:val="fr-FR"/>
        </w:rPr>
        <w:t xml:space="preserve">instruments internationaux relatifs aux droits de </w:t>
      </w:r>
      <w:r w:rsidR="009379A7" w:rsidRPr="00EA05B3">
        <w:rPr>
          <w:lang w:val="fr-FR"/>
        </w:rPr>
        <w:t>l’</w:t>
      </w:r>
      <w:r w:rsidR="00D60A11" w:rsidRPr="00EA05B3">
        <w:rPr>
          <w:lang w:val="fr-FR"/>
        </w:rPr>
        <w:t>homme.</w:t>
      </w:r>
      <w:r w:rsidR="000D57A5" w:rsidRPr="00EA05B3">
        <w:rPr>
          <w:lang w:val="fr-FR"/>
        </w:rPr>
        <w:t xml:space="preserve"> </w:t>
      </w:r>
      <w:r w:rsidR="00D60A11" w:rsidRPr="00EA05B3">
        <w:rPr>
          <w:lang w:val="fr-FR"/>
        </w:rPr>
        <w:t xml:space="preserve">Conformément à </w:t>
      </w:r>
      <w:r w:rsidR="009379A7" w:rsidRPr="00EA05B3">
        <w:rPr>
          <w:lang w:val="fr-FR"/>
        </w:rPr>
        <w:t>l’</w:t>
      </w:r>
      <w:r w:rsidR="00D60A11" w:rsidRPr="00EA05B3">
        <w:rPr>
          <w:lang w:val="fr-FR"/>
        </w:rPr>
        <w:t xml:space="preserve">article 2.7 dudit décret, le </w:t>
      </w:r>
      <w:r w:rsidR="00C664DD" w:rsidRPr="00EA05B3">
        <w:rPr>
          <w:lang w:val="fr-FR"/>
        </w:rPr>
        <w:t>Ministère de la justice</w:t>
      </w:r>
      <w:r w:rsidR="00D60A11" w:rsidRPr="00EA05B3">
        <w:rPr>
          <w:lang w:val="fr-FR"/>
        </w:rPr>
        <w:t xml:space="preserve"> est chargé, en collaboration avec le Ministère des relations extérieures et de la mobilité humaine, de </w:t>
      </w:r>
      <w:r w:rsidR="009379A7" w:rsidRPr="00EA05B3">
        <w:rPr>
          <w:lang w:val="fr-FR"/>
        </w:rPr>
        <w:t>l’</w:t>
      </w:r>
      <w:r w:rsidR="00D60A11" w:rsidRPr="00EA05B3">
        <w:rPr>
          <w:lang w:val="fr-FR"/>
        </w:rPr>
        <w:t xml:space="preserve">élaboration et de </w:t>
      </w:r>
      <w:r w:rsidR="009379A7" w:rsidRPr="00EA05B3">
        <w:rPr>
          <w:lang w:val="fr-FR"/>
        </w:rPr>
        <w:t>l’</w:t>
      </w:r>
      <w:r w:rsidR="00D60A11" w:rsidRPr="00EA05B3">
        <w:rPr>
          <w:lang w:val="fr-FR"/>
        </w:rPr>
        <w:t xml:space="preserve">approbation des rapports destinés aux comités et autres organes conventionnels, dans le cadre de la coordination des politiques publiques. Les rapports en question sont présentés par le Ministère des relations extérieures aux organismes compétents. </w:t>
      </w:r>
    </w:p>
    <w:p w:rsidR="00D60A11" w:rsidRPr="00EA05B3" w:rsidRDefault="005059C0" w:rsidP="005059C0">
      <w:pPr>
        <w:pStyle w:val="H1G"/>
        <w:rPr>
          <w:lang w:val="fr-FR"/>
        </w:rPr>
      </w:pPr>
      <w:bookmarkStart w:id="30" w:name="_Toc392676791"/>
      <w:r w:rsidRPr="00EA05B3">
        <w:rPr>
          <w:lang w:val="fr-FR"/>
        </w:rPr>
        <w:tab/>
        <w:t>E.</w:t>
      </w:r>
      <w:r w:rsidRPr="00EA05B3">
        <w:rPr>
          <w:lang w:val="fr-FR"/>
        </w:rPr>
        <w:tab/>
        <w:t>Suite donnée aux conférences internationales</w:t>
      </w:r>
      <w:bookmarkEnd w:id="30"/>
      <w:r w:rsidRPr="00EA05B3">
        <w:rPr>
          <w:lang w:val="fr-FR"/>
        </w:rPr>
        <w:t xml:space="preserve"> </w:t>
      </w:r>
    </w:p>
    <w:p w:rsidR="00D60A11" w:rsidRPr="00EA05B3" w:rsidRDefault="0027238F" w:rsidP="0027238F">
      <w:pPr>
        <w:pStyle w:val="SingleTxtG"/>
        <w:rPr>
          <w:lang w:val="fr-FR"/>
        </w:rPr>
      </w:pPr>
      <w:r w:rsidRPr="00EA05B3">
        <w:rPr>
          <w:lang w:val="fr-FR"/>
        </w:rPr>
        <w:t>266.</w:t>
      </w:r>
      <w:r w:rsidRPr="00EA05B3">
        <w:rPr>
          <w:lang w:val="fr-FR"/>
        </w:rPr>
        <w:tab/>
      </w:r>
      <w:r w:rsidR="009379A7" w:rsidRPr="00EA05B3">
        <w:rPr>
          <w:lang w:val="fr-FR"/>
        </w:rPr>
        <w:t>L’</w:t>
      </w:r>
      <w:r w:rsidR="00D60A11" w:rsidRPr="00EA05B3">
        <w:rPr>
          <w:lang w:val="fr-FR"/>
        </w:rPr>
        <w:t xml:space="preserve">Équateur a participé à la Conférence </w:t>
      </w:r>
      <w:r w:rsidR="009379A7" w:rsidRPr="00EA05B3">
        <w:rPr>
          <w:lang w:val="fr-FR"/>
        </w:rPr>
        <w:t>d’</w:t>
      </w:r>
      <w:r w:rsidR="00D60A11" w:rsidRPr="00EA05B3">
        <w:rPr>
          <w:lang w:val="fr-FR"/>
        </w:rPr>
        <w:t>examen de Durban, tenue à Genève en avril 2009, et y a exposé les principaux progrès réalisés pour tenter de mettre fin à la discrimination raciale.</w:t>
      </w:r>
    </w:p>
    <w:p w:rsidR="00D60A11" w:rsidRPr="00EA05B3" w:rsidRDefault="005059C0" w:rsidP="005059C0">
      <w:pPr>
        <w:pStyle w:val="H1G"/>
        <w:rPr>
          <w:lang w:val="fr-FR"/>
        </w:rPr>
      </w:pPr>
      <w:bookmarkStart w:id="31" w:name="_Toc392676792"/>
      <w:r w:rsidRPr="00EA05B3">
        <w:rPr>
          <w:lang w:val="fr-FR"/>
        </w:rPr>
        <w:tab/>
        <w:t>F.</w:t>
      </w:r>
      <w:r w:rsidRPr="00EA05B3">
        <w:rPr>
          <w:lang w:val="fr-FR"/>
        </w:rPr>
        <w:tab/>
        <w:t xml:space="preserve">Mesures concernant la non-discrimination et </w:t>
      </w:r>
      <w:r w:rsidR="009379A7" w:rsidRPr="00EA05B3">
        <w:rPr>
          <w:lang w:val="fr-FR"/>
        </w:rPr>
        <w:t>l’</w:t>
      </w:r>
      <w:r w:rsidRPr="00EA05B3">
        <w:rPr>
          <w:lang w:val="fr-FR"/>
        </w:rPr>
        <w:t>égalité</w:t>
      </w:r>
      <w:bookmarkEnd w:id="31"/>
    </w:p>
    <w:p w:rsidR="00D60A11" w:rsidRPr="00EA05B3" w:rsidRDefault="0027238F" w:rsidP="0027238F">
      <w:pPr>
        <w:pStyle w:val="SingleTxtG"/>
        <w:rPr>
          <w:lang w:val="fr-FR"/>
        </w:rPr>
      </w:pPr>
      <w:r w:rsidRPr="00EA05B3">
        <w:rPr>
          <w:lang w:val="fr-FR"/>
        </w:rPr>
        <w:t>267.</w:t>
      </w:r>
      <w:r w:rsidRPr="00EA05B3">
        <w:rPr>
          <w:lang w:val="fr-FR"/>
        </w:rPr>
        <w:tab/>
      </w:r>
      <w:r w:rsidR="00D60A11" w:rsidRPr="00EA05B3">
        <w:rPr>
          <w:lang w:val="fr-FR"/>
        </w:rPr>
        <w:t xml:space="preserve">Comme on </w:t>
      </w:r>
      <w:r w:rsidR="009379A7" w:rsidRPr="00EA05B3">
        <w:rPr>
          <w:lang w:val="fr-FR"/>
        </w:rPr>
        <w:t>l’</w:t>
      </w:r>
      <w:r w:rsidR="00D60A11" w:rsidRPr="00EA05B3">
        <w:rPr>
          <w:lang w:val="fr-FR"/>
        </w:rPr>
        <w:t xml:space="preserve">a vu, la Constitution énonce les principes qui régissent </w:t>
      </w:r>
      <w:r w:rsidR="009379A7" w:rsidRPr="00EA05B3">
        <w:rPr>
          <w:lang w:val="fr-FR"/>
        </w:rPr>
        <w:t>l’</w:t>
      </w:r>
      <w:r w:rsidR="00D60A11" w:rsidRPr="00EA05B3">
        <w:rPr>
          <w:lang w:val="fr-FR"/>
        </w:rPr>
        <w:t xml:space="preserve">interprétation des droits, parmi lesquels les principes </w:t>
      </w:r>
      <w:r w:rsidR="009379A7" w:rsidRPr="00EA05B3">
        <w:rPr>
          <w:lang w:val="fr-FR"/>
        </w:rPr>
        <w:t>d’</w:t>
      </w:r>
      <w:r w:rsidR="00D60A11" w:rsidRPr="00EA05B3">
        <w:rPr>
          <w:lang w:val="fr-FR"/>
        </w:rPr>
        <w:t xml:space="preserve">égalité et de non-discrimination, lesquels sont définis à </w:t>
      </w:r>
      <w:r w:rsidR="009379A7" w:rsidRPr="00EA05B3">
        <w:rPr>
          <w:lang w:val="fr-FR"/>
        </w:rPr>
        <w:t>l’</w:t>
      </w:r>
      <w:r w:rsidR="00D60A11" w:rsidRPr="00EA05B3">
        <w:rPr>
          <w:lang w:val="fr-FR"/>
        </w:rPr>
        <w:t xml:space="preserve">article 11.2. Le texte énumère un certain nombre </w:t>
      </w:r>
      <w:r w:rsidR="009379A7" w:rsidRPr="00EA05B3">
        <w:rPr>
          <w:lang w:val="fr-FR"/>
        </w:rPr>
        <w:t>d’</w:t>
      </w:r>
      <w:r w:rsidR="00D60A11" w:rsidRPr="00EA05B3">
        <w:rPr>
          <w:lang w:val="fr-FR"/>
        </w:rPr>
        <w:t xml:space="preserve">attributs, innés ou non, qui font partie de </w:t>
      </w:r>
      <w:r w:rsidR="009379A7" w:rsidRPr="00EA05B3">
        <w:rPr>
          <w:lang w:val="fr-FR"/>
        </w:rPr>
        <w:t>l’</w:t>
      </w:r>
      <w:r w:rsidR="00D60A11" w:rsidRPr="00EA05B3">
        <w:rPr>
          <w:lang w:val="fr-FR"/>
        </w:rPr>
        <w:t xml:space="preserve">identité ou de la personnalité de </w:t>
      </w:r>
      <w:r w:rsidR="009379A7" w:rsidRPr="00EA05B3">
        <w:rPr>
          <w:lang w:val="fr-FR"/>
        </w:rPr>
        <w:t>l’</w:t>
      </w:r>
      <w:r w:rsidR="00D60A11" w:rsidRPr="00EA05B3">
        <w:rPr>
          <w:lang w:val="fr-FR"/>
        </w:rPr>
        <w:t xml:space="preserve">individu, comme la nationalité, </w:t>
      </w:r>
      <w:r w:rsidR="009379A7" w:rsidRPr="00EA05B3">
        <w:rPr>
          <w:lang w:val="fr-FR"/>
        </w:rPr>
        <w:t>l’</w:t>
      </w:r>
      <w:r w:rsidR="00D60A11" w:rsidRPr="00EA05B3">
        <w:rPr>
          <w:lang w:val="fr-FR"/>
        </w:rPr>
        <w:t xml:space="preserve">identité ethnique, la religion, </w:t>
      </w:r>
      <w:r w:rsidR="009379A7" w:rsidRPr="00EA05B3">
        <w:rPr>
          <w:lang w:val="fr-FR"/>
        </w:rPr>
        <w:t>l’</w:t>
      </w:r>
      <w:r w:rsidR="00D60A11" w:rsidRPr="00EA05B3">
        <w:rPr>
          <w:lang w:val="fr-FR"/>
        </w:rPr>
        <w:t xml:space="preserve">identité de genre, le sexe, les antécédents judiciaires, mais indique aussi sans équivoque que toute discrimination fondée sur un signe distinctif, personnel ou collectif, temporaire ou permanent, qui aurait pour but ou pour effet </w:t>
      </w:r>
      <w:r w:rsidR="009379A7" w:rsidRPr="00EA05B3">
        <w:rPr>
          <w:lang w:val="fr-FR"/>
        </w:rPr>
        <w:t>d’</w:t>
      </w:r>
      <w:r w:rsidR="00D60A11" w:rsidRPr="00EA05B3">
        <w:rPr>
          <w:lang w:val="fr-FR"/>
        </w:rPr>
        <w:t xml:space="preserve">entraver ou </w:t>
      </w:r>
      <w:r w:rsidR="009379A7" w:rsidRPr="00EA05B3">
        <w:rPr>
          <w:lang w:val="fr-FR"/>
        </w:rPr>
        <w:t>d’</w:t>
      </w:r>
      <w:r w:rsidR="00D60A11" w:rsidRPr="00EA05B3">
        <w:rPr>
          <w:lang w:val="fr-FR"/>
        </w:rPr>
        <w:t xml:space="preserve">empêcher la reconnaissance, la jouissance ou </w:t>
      </w:r>
      <w:r w:rsidR="009379A7" w:rsidRPr="00EA05B3">
        <w:rPr>
          <w:lang w:val="fr-FR"/>
        </w:rPr>
        <w:t>l’</w:t>
      </w:r>
      <w:r w:rsidR="00D60A11" w:rsidRPr="00EA05B3">
        <w:rPr>
          <w:lang w:val="fr-FR"/>
        </w:rPr>
        <w:t xml:space="preserve">exercice des droits consacrés par la Constitution et les instruments internationaux est interdite. Il prévoit aussi que la loi punit toute forme de discrimination et que </w:t>
      </w:r>
      <w:r w:rsidR="009379A7" w:rsidRPr="00EA05B3">
        <w:rPr>
          <w:lang w:val="fr-FR"/>
        </w:rPr>
        <w:t>l’</w:t>
      </w:r>
      <w:r w:rsidR="00D60A11" w:rsidRPr="00EA05B3">
        <w:rPr>
          <w:lang w:val="fr-FR"/>
        </w:rPr>
        <w:t xml:space="preserve">État adopte des mesures </w:t>
      </w:r>
      <w:r w:rsidR="009379A7" w:rsidRPr="00EA05B3">
        <w:rPr>
          <w:lang w:val="fr-FR"/>
        </w:rPr>
        <w:t>d’</w:t>
      </w:r>
      <w:r w:rsidR="00D60A11" w:rsidRPr="00EA05B3">
        <w:rPr>
          <w:lang w:val="fr-FR"/>
        </w:rPr>
        <w:t xml:space="preserve">action positive afin de favoriser </w:t>
      </w:r>
      <w:r w:rsidR="009379A7" w:rsidRPr="00EA05B3">
        <w:rPr>
          <w:lang w:val="fr-FR"/>
        </w:rPr>
        <w:t>l’</w:t>
      </w:r>
      <w:r w:rsidR="00D60A11" w:rsidRPr="00EA05B3">
        <w:rPr>
          <w:lang w:val="fr-FR"/>
        </w:rPr>
        <w:t xml:space="preserve">égalité réelle des détenteurs de droits victimes </w:t>
      </w:r>
      <w:r w:rsidR="009379A7" w:rsidRPr="00EA05B3">
        <w:rPr>
          <w:lang w:val="fr-FR"/>
        </w:rPr>
        <w:t>d’</w:t>
      </w:r>
      <w:r w:rsidR="00D60A11" w:rsidRPr="00EA05B3">
        <w:rPr>
          <w:lang w:val="fr-FR"/>
        </w:rPr>
        <w:t xml:space="preserve">inégalités. Parmi les droits à la liberté figure également le droit à </w:t>
      </w:r>
      <w:r w:rsidR="009379A7" w:rsidRPr="00EA05B3">
        <w:rPr>
          <w:lang w:val="fr-FR"/>
        </w:rPr>
        <w:t>l’</w:t>
      </w:r>
      <w:r w:rsidR="00D60A11" w:rsidRPr="00EA05B3">
        <w:rPr>
          <w:lang w:val="fr-FR"/>
        </w:rPr>
        <w:t xml:space="preserve">égalité formelle, à </w:t>
      </w:r>
      <w:r w:rsidR="009379A7" w:rsidRPr="00EA05B3">
        <w:rPr>
          <w:lang w:val="fr-FR"/>
        </w:rPr>
        <w:t>l’</w:t>
      </w:r>
      <w:r w:rsidR="00D60A11" w:rsidRPr="00EA05B3">
        <w:rPr>
          <w:lang w:val="fr-FR"/>
        </w:rPr>
        <w:t xml:space="preserve">égalité matérielle et à la non-discrimination, qui est énoncé à </w:t>
      </w:r>
      <w:r w:rsidR="009379A7" w:rsidRPr="00EA05B3">
        <w:rPr>
          <w:lang w:val="fr-FR"/>
        </w:rPr>
        <w:t>l’</w:t>
      </w:r>
      <w:r w:rsidR="00D60A11" w:rsidRPr="00EA05B3">
        <w:rPr>
          <w:lang w:val="fr-FR"/>
        </w:rPr>
        <w:t>article 66.4.</w:t>
      </w:r>
    </w:p>
    <w:p w:rsidR="00D60A11" w:rsidRPr="00EA05B3" w:rsidRDefault="0027238F" w:rsidP="0027238F">
      <w:pPr>
        <w:pStyle w:val="SingleTxtG"/>
        <w:rPr>
          <w:lang w:val="fr-FR"/>
        </w:rPr>
      </w:pPr>
      <w:r w:rsidRPr="00EA05B3">
        <w:rPr>
          <w:lang w:val="fr-FR"/>
        </w:rPr>
        <w:t>268.</w:t>
      </w:r>
      <w:r w:rsidRPr="00EA05B3">
        <w:rPr>
          <w:lang w:val="fr-FR"/>
        </w:rPr>
        <w:tab/>
      </w:r>
      <w:r w:rsidR="00D60A11" w:rsidRPr="00EA05B3">
        <w:rPr>
          <w:lang w:val="fr-FR"/>
        </w:rPr>
        <w:t xml:space="preserve">Sur la base de ces principes, les lois, les politiques, la jurisprudence et autres manifestations de la puissance publique doivent favoriser des mesures </w:t>
      </w:r>
      <w:r w:rsidR="009379A7" w:rsidRPr="00EA05B3">
        <w:rPr>
          <w:lang w:val="fr-FR"/>
        </w:rPr>
        <w:t>d’</w:t>
      </w:r>
      <w:r w:rsidR="00D60A11" w:rsidRPr="00EA05B3">
        <w:rPr>
          <w:lang w:val="fr-FR"/>
        </w:rPr>
        <w:t xml:space="preserve">égalité et </w:t>
      </w:r>
      <w:r w:rsidR="009379A7" w:rsidRPr="00EA05B3">
        <w:rPr>
          <w:lang w:val="fr-FR"/>
        </w:rPr>
        <w:t>d’</w:t>
      </w:r>
      <w:r w:rsidR="00D60A11" w:rsidRPr="00EA05B3">
        <w:rPr>
          <w:lang w:val="fr-FR"/>
        </w:rPr>
        <w:t xml:space="preserve">action positive en faveur des personnes victimes de discrimination ou </w:t>
      </w:r>
      <w:r w:rsidR="009379A7" w:rsidRPr="00EA05B3">
        <w:rPr>
          <w:lang w:val="fr-FR"/>
        </w:rPr>
        <w:t>d’</w:t>
      </w:r>
      <w:r w:rsidR="00D60A11" w:rsidRPr="00EA05B3">
        <w:rPr>
          <w:lang w:val="fr-FR"/>
        </w:rPr>
        <w:t xml:space="preserve">inégalités dans </w:t>
      </w:r>
      <w:r w:rsidR="009379A7" w:rsidRPr="00EA05B3">
        <w:rPr>
          <w:lang w:val="fr-FR"/>
        </w:rPr>
        <w:t>l’</w:t>
      </w:r>
      <w:r w:rsidR="00D60A11" w:rsidRPr="00EA05B3">
        <w:rPr>
          <w:lang w:val="fr-FR"/>
        </w:rPr>
        <w:t xml:space="preserve">exercice de leurs droits. En matière législative, </w:t>
      </w:r>
      <w:r w:rsidR="009379A7" w:rsidRPr="00EA05B3">
        <w:rPr>
          <w:lang w:val="fr-FR"/>
        </w:rPr>
        <w:t>l’</w:t>
      </w:r>
      <w:r w:rsidR="00D60A11" w:rsidRPr="00EA05B3">
        <w:rPr>
          <w:lang w:val="fr-FR"/>
        </w:rPr>
        <w:t xml:space="preserve">Assemblée constituante, comme la Commission de la législation et du contrôle − institution qui était investie des pouvoirs de </w:t>
      </w:r>
      <w:r w:rsidR="009379A7" w:rsidRPr="00EA05B3">
        <w:rPr>
          <w:lang w:val="fr-FR"/>
        </w:rPr>
        <w:t>l’</w:t>
      </w:r>
      <w:r w:rsidR="00D60A11" w:rsidRPr="00EA05B3">
        <w:rPr>
          <w:lang w:val="fr-FR"/>
        </w:rPr>
        <w:t>Assemblée nationale jus</w:t>
      </w:r>
      <w:r w:rsidR="009379A7" w:rsidRPr="00EA05B3">
        <w:rPr>
          <w:lang w:val="fr-FR"/>
        </w:rPr>
        <w:t>qu’</w:t>
      </w:r>
      <w:r w:rsidR="00D60A11" w:rsidRPr="00EA05B3">
        <w:rPr>
          <w:lang w:val="fr-FR"/>
        </w:rPr>
        <w:t xml:space="preserve">à la formation de cette dernière en août 2009 −, ont été à </w:t>
      </w:r>
      <w:r w:rsidR="009379A7" w:rsidRPr="00EA05B3">
        <w:rPr>
          <w:lang w:val="fr-FR"/>
        </w:rPr>
        <w:t>l’</w:t>
      </w:r>
      <w:r w:rsidR="00D60A11" w:rsidRPr="00EA05B3">
        <w:rPr>
          <w:lang w:val="fr-FR"/>
        </w:rPr>
        <w:t xml:space="preserve">origine des lois fondamentales en faveur de </w:t>
      </w:r>
      <w:r w:rsidR="009379A7" w:rsidRPr="00EA05B3">
        <w:rPr>
          <w:lang w:val="fr-FR"/>
        </w:rPr>
        <w:t>l’</w:t>
      </w:r>
      <w:r w:rsidR="00D60A11" w:rsidRPr="00EA05B3">
        <w:rPr>
          <w:lang w:val="fr-FR"/>
        </w:rPr>
        <w:t xml:space="preserve">égalité, comme par exemple la loi de réforme sur </w:t>
      </w:r>
      <w:r w:rsidR="009379A7" w:rsidRPr="00EA05B3">
        <w:rPr>
          <w:lang w:val="fr-FR"/>
        </w:rPr>
        <w:t>l’</w:t>
      </w:r>
      <w:r w:rsidR="00D60A11" w:rsidRPr="00EA05B3">
        <w:rPr>
          <w:lang w:val="fr-FR"/>
        </w:rPr>
        <w:t xml:space="preserve">égalité fiscale, la loi organique relative aux élections et aux organisations politiques, la loi organique de réforme de la loi organique relative à la fonction publique, la carrière dans </w:t>
      </w:r>
      <w:r w:rsidR="009379A7" w:rsidRPr="00EA05B3">
        <w:rPr>
          <w:lang w:val="fr-FR"/>
        </w:rPr>
        <w:t>l’</w:t>
      </w:r>
      <w:r w:rsidR="00D60A11" w:rsidRPr="00EA05B3">
        <w:rPr>
          <w:lang w:val="fr-FR"/>
        </w:rPr>
        <w:t xml:space="preserve">administration et </w:t>
      </w:r>
      <w:r w:rsidR="009379A7" w:rsidRPr="00EA05B3">
        <w:rPr>
          <w:lang w:val="fr-FR"/>
        </w:rPr>
        <w:t>l’</w:t>
      </w:r>
      <w:r w:rsidR="00D60A11" w:rsidRPr="00EA05B3">
        <w:rPr>
          <w:lang w:val="fr-FR"/>
        </w:rPr>
        <w:t xml:space="preserve">unification et </w:t>
      </w:r>
      <w:r w:rsidR="009379A7" w:rsidRPr="00EA05B3">
        <w:rPr>
          <w:lang w:val="fr-FR"/>
        </w:rPr>
        <w:t>l’</w:t>
      </w:r>
      <w:r w:rsidR="00D60A11" w:rsidRPr="00EA05B3">
        <w:rPr>
          <w:lang w:val="fr-FR"/>
        </w:rPr>
        <w:t>homologation des rémunérations dans le secteur public et du Code du travail, la loi organique relative à la souveraineté alimentaire ou encore la loi de réforme du Code de procédure pénale.</w:t>
      </w:r>
    </w:p>
    <w:p w:rsidR="00D60A11" w:rsidRPr="00EA05B3" w:rsidRDefault="0027238F" w:rsidP="0027238F">
      <w:pPr>
        <w:pStyle w:val="SingleTxtG"/>
        <w:rPr>
          <w:lang w:val="fr-FR"/>
        </w:rPr>
      </w:pPr>
      <w:r w:rsidRPr="00EA05B3">
        <w:rPr>
          <w:lang w:val="fr-FR"/>
        </w:rPr>
        <w:t>269.</w:t>
      </w:r>
      <w:r w:rsidRPr="00EA05B3">
        <w:rPr>
          <w:lang w:val="fr-FR"/>
        </w:rPr>
        <w:tab/>
      </w:r>
      <w:r w:rsidR="00D60A11" w:rsidRPr="00EA05B3">
        <w:rPr>
          <w:lang w:val="fr-FR"/>
        </w:rPr>
        <w:t>Ces lois visent les objectifs suivants</w:t>
      </w:r>
      <w:r w:rsidR="00B36EE6" w:rsidRPr="00EA05B3">
        <w:rPr>
          <w:lang w:val="fr-FR"/>
        </w:rPr>
        <w:t>:</w:t>
      </w:r>
      <w:r w:rsidR="00D60A11" w:rsidRPr="00EA05B3">
        <w:rPr>
          <w:lang w:val="fr-FR"/>
        </w:rPr>
        <w:t xml:space="preserve"> répartition équitable des richesses par la fiscalité et </w:t>
      </w:r>
      <w:r w:rsidR="009379A7" w:rsidRPr="00EA05B3">
        <w:rPr>
          <w:lang w:val="fr-FR"/>
        </w:rPr>
        <w:t>l’</w:t>
      </w:r>
      <w:r w:rsidR="00D60A11" w:rsidRPr="00EA05B3">
        <w:rPr>
          <w:lang w:val="fr-FR"/>
        </w:rPr>
        <w:t>application du principe de proportionnalité, afin que ceux dont les revenus sont les plus élevés soient davantage taxés</w:t>
      </w:r>
      <w:r w:rsidR="00B36EE6" w:rsidRPr="00EA05B3">
        <w:rPr>
          <w:lang w:val="fr-FR"/>
        </w:rPr>
        <w:t>;</w:t>
      </w:r>
      <w:r w:rsidR="00D60A11" w:rsidRPr="00EA05B3">
        <w:rPr>
          <w:lang w:val="fr-FR"/>
        </w:rPr>
        <w:t xml:space="preserve"> accès aux facteurs de production pour les paysans et autres personnes travaillant dans le secteur de </w:t>
      </w:r>
      <w:r w:rsidR="009379A7" w:rsidRPr="00EA05B3">
        <w:rPr>
          <w:lang w:val="fr-FR"/>
        </w:rPr>
        <w:t>l’</w:t>
      </w:r>
      <w:r w:rsidR="00D60A11" w:rsidRPr="00EA05B3">
        <w:rPr>
          <w:lang w:val="fr-FR"/>
        </w:rPr>
        <w:t>agriculture ou de la pêche</w:t>
      </w:r>
      <w:r w:rsidR="00B36EE6" w:rsidRPr="00EA05B3">
        <w:rPr>
          <w:lang w:val="fr-FR"/>
        </w:rPr>
        <w:t>;</w:t>
      </w:r>
      <w:r w:rsidR="00D60A11" w:rsidRPr="00EA05B3">
        <w:rPr>
          <w:lang w:val="fr-FR"/>
        </w:rPr>
        <w:t xml:space="preserve"> instauration de mesures autres que la prison et nouvelle définition des infractions afin </w:t>
      </w:r>
      <w:r w:rsidR="009379A7" w:rsidRPr="00EA05B3">
        <w:rPr>
          <w:lang w:val="fr-FR"/>
        </w:rPr>
        <w:t>d’</w:t>
      </w:r>
      <w:r w:rsidR="00D60A11" w:rsidRPr="00EA05B3">
        <w:rPr>
          <w:lang w:val="fr-FR"/>
        </w:rPr>
        <w:t xml:space="preserve">empêcher les peines </w:t>
      </w:r>
      <w:r w:rsidR="009379A7" w:rsidRPr="00EA05B3">
        <w:rPr>
          <w:lang w:val="fr-FR"/>
        </w:rPr>
        <w:t>d’</w:t>
      </w:r>
      <w:r w:rsidR="00D60A11" w:rsidRPr="00EA05B3">
        <w:rPr>
          <w:lang w:val="fr-FR"/>
        </w:rPr>
        <w:t>emprisonnement pour pauvreté</w:t>
      </w:r>
      <w:r w:rsidR="00B36EE6" w:rsidRPr="00EA05B3">
        <w:rPr>
          <w:lang w:val="fr-FR"/>
        </w:rPr>
        <w:t>;</w:t>
      </w:r>
      <w:r w:rsidR="00D60A11" w:rsidRPr="00EA05B3">
        <w:rPr>
          <w:lang w:val="fr-FR"/>
        </w:rPr>
        <w:t xml:space="preserve"> congé de maternité rémunéré de douze semaines pour les travailleuses et congé de paternité rémunéré de dix jours. Toutefois, </w:t>
      </w:r>
      <w:r w:rsidR="009379A7" w:rsidRPr="00EA05B3">
        <w:rPr>
          <w:lang w:val="fr-FR"/>
        </w:rPr>
        <w:t>l’</w:t>
      </w:r>
      <w:r w:rsidR="00D60A11" w:rsidRPr="00EA05B3">
        <w:rPr>
          <w:lang w:val="fr-FR"/>
        </w:rPr>
        <w:t xml:space="preserve">une des plus importantes réformes concerne </w:t>
      </w:r>
      <w:r w:rsidR="009379A7" w:rsidRPr="00EA05B3">
        <w:rPr>
          <w:lang w:val="fr-FR"/>
        </w:rPr>
        <w:t>l’</w:t>
      </w:r>
      <w:r w:rsidR="00D60A11" w:rsidRPr="00EA05B3">
        <w:rPr>
          <w:lang w:val="fr-FR"/>
        </w:rPr>
        <w:t xml:space="preserve">incorporation du crime motivé par la haine dans le Code pénal, en application de </w:t>
      </w:r>
      <w:r w:rsidR="009379A7" w:rsidRPr="00EA05B3">
        <w:rPr>
          <w:lang w:val="fr-FR"/>
        </w:rPr>
        <w:t>l’</w:t>
      </w:r>
      <w:r w:rsidR="00D60A11" w:rsidRPr="00EA05B3">
        <w:rPr>
          <w:lang w:val="fr-FR"/>
        </w:rPr>
        <w:t xml:space="preserve">article 81 de la Constitution qui prévoit que la loi doit établir des procédures spéciales accélérées permettant de poursuivre et de punir les auteurs </w:t>
      </w:r>
      <w:r w:rsidR="009379A7" w:rsidRPr="00EA05B3">
        <w:rPr>
          <w:lang w:val="fr-FR"/>
        </w:rPr>
        <w:t>d’</w:t>
      </w:r>
      <w:r w:rsidR="00D60A11" w:rsidRPr="00EA05B3">
        <w:rPr>
          <w:lang w:val="fr-FR"/>
        </w:rPr>
        <w:t xml:space="preserve">infractions de violence dans la famille, de violence sexuelle, de crimes motivés par la haine et </w:t>
      </w:r>
      <w:r w:rsidR="009379A7" w:rsidRPr="00EA05B3">
        <w:rPr>
          <w:lang w:val="fr-FR"/>
        </w:rPr>
        <w:t>d’</w:t>
      </w:r>
      <w:r w:rsidR="00D60A11" w:rsidRPr="00EA05B3">
        <w:rPr>
          <w:lang w:val="fr-FR"/>
        </w:rPr>
        <w:t xml:space="preserve">infractions commises contre des enfants, des adolescents, des jeunes, des personnes handicapées, des personnes âgées et des personnes qui ont besoin </w:t>
      </w:r>
      <w:r w:rsidR="009379A7" w:rsidRPr="00EA05B3">
        <w:rPr>
          <w:lang w:val="fr-FR"/>
        </w:rPr>
        <w:t>d’</w:t>
      </w:r>
      <w:r w:rsidR="00D60A11" w:rsidRPr="00EA05B3">
        <w:rPr>
          <w:lang w:val="fr-FR"/>
        </w:rPr>
        <w:t>une protection spéciale. Ce même article dispose que des procureurs et des défenseurs spécialisés dans ce type affaires seront nommés, conformément à la loi.</w:t>
      </w:r>
    </w:p>
    <w:p w:rsidR="001B13AB" w:rsidRPr="00EA05B3" w:rsidRDefault="001B13AB" w:rsidP="001B13AB">
      <w:pPr>
        <w:pStyle w:val="SingleTxtG"/>
        <w:rPr>
          <w:lang w:val="fr-FR"/>
        </w:rPr>
      </w:pPr>
      <w:r w:rsidRPr="00EA05B3">
        <w:rPr>
          <w:lang w:val="fr-FR"/>
        </w:rPr>
        <w:t>270.</w:t>
      </w:r>
      <w:r w:rsidRPr="00EA05B3">
        <w:rPr>
          <w:lang w:val="fr-FR"/>
        </w:rPr>
        <w:tab/>
      </w:r>
      <w:r w:rsidR="00D60A11" w:rsidRPr="00EA05B3">
        <w:rPr>
          <w:lang w:val="fr-FR"/>
        </w:rPr>
        <w:t>En effet, le Code pénal prévoit aujour</w:t>
      </w:r>
      <w:r w:rsidR="009379A7" w:rsidRPr="00EA05B3">
        <w:rPr>
          <w:lang w:val="fr-FR"/>
        </w:rPr>
        <w:t>d’</w:t>
      </w:r>
      <w:r w:rsidR="00D60A11" w:rsidRPr="00EA05B3">
        <w:rPr>
          <w:lang w:val="fr-FR"/>
        </w:rPr>
        <w:t xml:space="preserve">hui que quiconque a été agressé ou inquiété en raison de son appartenance à un groupe déterminé peut déposer plainte auprès </w:t>
      </w:r>
      <w:r w:rsidR="008D00D7" w:rsidRPr="00EA05B3">
        <w:rPr>
          <w:lang w:val="fr-FR"/>
        </w:rPr>
        <w:t xml:space="preserve">du Bureau du Procureur général de la </w:t>
      </w:r>
      <w:r w:rsidR="003F4815" w:rsidRPr="00EA05B3">
        <w:rPr>
          <w:lang w:val="fr-FR"/>
        </w:rPr>
        <w:t>nation</w:t>
      </w:r>
      <w:r w:rsidR="00D60A11" w:rsidRPr="00EA05B3">
        <w:rPr>
          <w:lang w:val="fr-FR"/>
        </w:rPr>
        <w:t xml:space="preserve">. Plus précisément, le meurtre, motivé par la haine ou le mépris envers la race, la religion, </w:t>
      </w:r>
      <w:r w:rsidR="009379A7" w:rsidRPr="00EA05B3">
        <w:rPr>
          <w:lang w:val="fr-FR"/>
        </w:rPr>
        <w:t>l’</w:t>
      </w:r>
      <w:r w:rsidR="00D60A11" w:rsidRPr="00EA05B3">
        <w:rPr>
          <w:lang w:val="fr-FR"/>
        </w:rPr>
        <w:t xml:space="preserve">origine nationale ou ethnique, </w:t>
      </w:r>
      <w:r w:rsidR="009379A7" w:rsidRPr="00EA05B3">
        <w:rPr>
          <w:lang w:val="fr-FR"/>
        </w:rPr>
        <w:t>l’</w:t>
      </w:r>
      <w:r w:rsidR="00D60A11" w:rsidRPr="00EA05B3">
        <w:rPr>
          <w:lang w:val="fr-FR"/>
        </w:rPr>
        <w:t xml:space="preserve">orientation sexuelle, </w:t>
      </w:r>
      <w:r w:rsidR="009379A7" w:rsidRPr="00EA05B3">
        <w:rPr>
          <w:lang w:val="fr-FR"/>
        </w:rPr>
        <w:t>l’</w:t>
      </w:r>
      <w:r w:rsidR="00D60A11" w:rsidRPr="00EA05B3">
        <w:rPr>
          <w:lang w:val="fr-FR"/>
        </w:rPr>
        <w:t xml:space="preserve">identité de genre, </w:t>
      </w:r>
      <w:r w:rsidR="009379A7" w:rsidRPr="00EA05B3">
        <w:rPr>
          <w:lang w:val="fr-FR"/>
        </w:rPr>
        <w:t>l’</w:t>
      </w:r>
      <w:r w:rsidR="00D60A11" w:rsidRPr="00EA05B3">
        <w:rPr>
          <w:lang w:val="fr-FR"/>
        </w:rPr>
        <w:t xml:space="preserve">âge, </w:t>
      </w:r>
      <w:r w:rsidR="009379A7" w:rsidRPr="00EA05B3">
        <w:rPr>
          <w:lang w:val="fr-FR"/>
        </w:rPr>
        <w:t>l’</w:t>
      </w:r>
      <w:r w:rsidR="00D60A11" w:rsidRPr="00EA05B3">
        <w:rPr>
          <w:lang w:val="fr-FR"/>
        </w:rPr>
        <w:t xml:space="preserve">état civil ou le handicap, est puni </w:t>
      </w:r>
      <w:r w:rsidR="009379A7" w:rsidRPr="00EA05B3">
        <w:rPr>
          <w:lang w:val="fr-FR"/>
        </w:rPr>
        <w:t>d’</w:t>
      </w:r>
      <w:r w:rsidR="00D60A11" w:rsidRPr="00EA05B3">
        <w:rPr>
          <w:lang w:val="fr-FR"/>
        </w:rPr>
        <w:t xml:space="preserve">une peine maximale de seize à vingt-cinq ans </w:t>
      </w:r>
      <w:r w:rsidR="009379A7" w:rsidRPr="00EA05B3">
        <w:rPr>
          <w:lang w:val="fr-FR"/>
        </w:rPr>
        <w:t>d’</w:t>
      </w:r>
      <w:r w:rsidR="00D60A11" w:rsidRPr="00EA05B3">
        <w:rPr>
          <w:lang w:val="fr-FR"/>
        </w:rPr>
        <w:t xml:space="preserve">emprisonnement. </w:t>
      </w:r>
      <w:r w:rsidR="009379A7" w:rsidRPr="00EA05B3">
        <w:rPr>
          <w:lang w:val="fr-FR"/>
        </w:rPr>
        <w:t>L’</w:t>
      </w:r>
      <w:r w:rsidR="00D60A11" w:rsidRPr="00EA05B3">
        <w:rPr>
          <w:lang w:val="fr-FR"/>
        </w:rPr>
        <w:t xml:space="preserve">incitation publique à la haine ou au mépris ou à toute forme de violence morale ou physique contre une ou plusieurs personnes fondée sur la couleur de peau, la race, le sexe, la religion, </w:t>
      </w:r>
      <w:r w:rsidR="009379A7" w:rsidRPr="00EA05B3">
        <w:rPr>
          <w:lang w:val="fr-FR"/>
        </w:rPr>
        <w:t>l’</w:t>
      </w:r>
      <w:r w:rsidR="00D60A11" w:rsidRPr="00EA05B3">
        <w:rPr>
          <w:lang w:val="fr-FR"/>
        </w:rPr>
        <w:t xml:space="preserve">origine nationale ou ethnique, </w:t>
      </w:r>
      <w:r w:rsidR="009379A7" w:rsidRPr="00EA05B3">
        <w:rPr>
          <w:lang w:val="fr-FR"/>
        </w:rPr>
        <w:t>l’</w:t>
      </w:r>
      <w:r w:rsidR="00D60A11" w:rsidRPr="00EA05B3">
        <w:rPr>
          <w:lang w:val="fr-FR"/>
        </w:rPr>
        <w:t xml:space="preserve">orientation sexuelle ou </w:t>
      </w:r>
      <w:r w:rsidR="009379A7" w:rsidRPr="00EA05B3">
        <w:rPr>
          <w:lang w:val="fr-FR"/>
        </w:rPr>
        <w:t>l’</w:t>
      </w:r>
      <w:r w:rsidR="00D60A11" w:rsidRPr="00EA05B3">
        <w:rPr>
          <w:lang w:val="fr-FR"/>
        </w:rPr>
        <w:t xml:space="preserve">identité sexuelle, </w:t>
      </w:r>
      <w:r w:rsidR="009379A7" w:rsidRPr="00EA05B3">
        <w:rPr>
          <w:lang w:val="fr-FR"/>
        </w:rPr>
        <w:t>l’</w:t>
      </w:r>
      <w:r w:rsidR="00D60A11" w:rsidRPr="00EA05B3">
        <w:rPr>
          <w:lang w:val="fr-FR"/>
        </w:rPr>
        <w:t xml:space="preserve">âge, </w:t>
      </w:r>
      <w:r w:rsidR="009379A7" w:rsidRPr="00EA05B3">
        <w:rPr>
          <w:lang w:val="fr-FR"/>
        </w:rPr>
        <w:t>l’</w:t>
      </w:r>
      <w:r w:rsidR="00D60A11" w:rsidRPr="00EA05B3">
        <w:rPr>
          <w:lang w:val="fr-FR"/>
        </w:rPr>
        <w:t xml:space="preserve">état civil ou le handicap est également érigée en infraction pénale et punie </w:t>
      </w:r>
      <w:r w:rsidR="009379A7" w:rsidRPr="00EA05B3">
        <w:rPr>
          <w:lang w:val="fr-FR"/>
        </w:rPr>
        <w:t>d’</w:t>
      </w:r>
      <w:r w:rsidR="00D60A11" w:rsidRPr="00EA05B3">
        <w:rPr>
          <w:lang w:val="fr-FR"/>
        </w:rPr>
        <w:t xml:space="preserve">une peine de six mois à trois ans </w:t>
      </w:r>
      <w:r w:rsidR="009379A7" w:rsidRPr="00EA05B3">
        <w:rPr>
          <w:lang w:val="fr-FR"/>
        </w:rPr>
        <w:t>d’</w:t>
      </w:r>
      <w:r w:rsidR="00D60A11" w:rsidRPr="00EA05B3">
        <w:rPr>
          <w:lang w:val="fr-FR"/>
        </w:rPr>
        <w:t xml:space="preserve">emprisonnement. Par ailleurs, quiconque commet un acte de violence morale ou physique motivé par la haine est passible </w:t>
      </w:r>
      <w:r w:rsidR="009379A7" w:rsidRPr="00EA05B3">
        <w:rPr>
          <w:lang w:val="fr-FR"/>
        </w:rPr>
        <w:t>d’</w:t>
      </w:r>
      <w:r w:rsidR="00D60A11" w:rsidRPr="00EA05B3">
        <w:rPr>
          <w:lang w:val="fr-FR"/>
        </w:rPr>
        <w:t xml:space="preserve">une peine de six mois à deux ans </w:t>
      </w:r>
      <w:r w:rsidR="009379A7" w:rsidRPr="00EA05B3">
        <w:rPr>
          <w:lang w:val="fr-FR"/>
        </w:rPr>
        <w:t>d’</w:t>
      </w:r>
      <w:r w:rsidR="00D60A11" w:rsidRPr="00EA05B3">
        <w:rPr>
          <w:lang w:val="fr-FR"/>
        </w:rPr>
        <w:t>emprisonnement</w:t>
      </w:r>
      <w:r w:rsidR="00332F53" w:rsidRPr="00EA05B3">
        <w:rPr>
          <w:lang w:val="fr-FR"/>
        </w:rPr>
        <w:t>.</w:t>
      </w:r>
      <w:r w:rsidR="009C0A83" w:rsidRPr="00EA05B3">
        <w:rPr>
          <w:lang w:val="fr-FR"/>
        </w:rPr>
        <w:t xml:space="preserve"> </w:t>
      </w:r>
      <w:r w:rsidR="00D60A11" w:rsidRPr="00EA05B3">
        <w:rPr>
          <w:lang w:val="fr-FR"/>
        </w:rPr>
        <w:t xml:space="preserve">Il convient également de mentionner </w:t>
      </w:r>
      <w:r w:rsidR="009379A7" w:rsidRPr="00EA05B3">
        <w:rPr>
          <w:lang w:val="fr-FR"/>
        </w:rPr>
        <w:t>l’</w:t>
      </w:r>
      <w:r w:rsidR="00D60A11" w:rsidRPr="00EA05B3">
        <w:rPr>
          <w:lang w:val="fr-FR"/>
        </w:rPr>
        <w:t xml:space="preserve">infraction pénale que commet celui qui, dans </w:t>
      </w:r>
      <w:r w:rsidR="009379A7" w:rsidRPr="00EA05B3">
        <w:rPr>
          <w:lang w:val="fr-FR"/>
        </w:rPr>
        <w:t>l’</w:t>
      </w:r>
      <w:r w:rsidR="00D60A11" w:rsidRPr="00EA05B3">
        <w:rPr>
          <w:lang w:val="fr-FR"/>
        </w:rPr>
        <w:t xml:space="preserve">exercice de ses activités professionnelles ou commerciales, refuse de fournir un service ou une prestation, ou exclut, lèse, ignore ou restreint les droits constitutionnels </w:t>
      </w:r>
      <w:r w:rsidR="009379A7" w:rsidRPr="00EA05B3">
        <w:rPr>
          <w:lang w:val="fr-FR"/>
        </w:rPr>
        <w:t>d’</w:t>
      </w:r>
      <w:r w:rsidR="00D60A11" w:rsidRPr="00EA05B3">
        <w:rPr>
          <w:lang w:val="fr-FR"/>
        </w:rPr>
        <w:t>une personne pour des raisons liées à la couleur de sa peau, à sa race, à sa religion, à son origine nationale ou ethnique, à son orientation ou son identité sexuelle, à son âge, à son état civil ou à son handicap</w:t>
      </w:r>
      <w:r w:rsidR="00B36EE6" w:rsidRPr="00EA05B3">
        <w:rPr>
          <w:lang w:val="fr-FR"/>
        </w:rPr>
        <w:t>;</w:t>
      </w:r>
      <w:r w:rsidR="00D60A11" w:rsidRPr="00EA05B3">
        <w:rPr>
          <w:lang w:val="fr-FR"/>
        </w:rPr>
        <w:t xml:space="preserve"> sont également visés les fonctionnaires qui refusent </w:t>
      </w:r>
      <w:r w:rsidR="009379A7" w:rsidRPr="00EA05B3">
        <w:rPr>
          <w:lang w:val="fr-FR"/>
        </w:rPr>
        <w:t>d’</w:t>
      </w:r>
      <w:r w:rsidR="00D60A11" w:rsidRPr="00EA05B3">
        <w:rPr>
          <w:lang w:val="fr-FR"/>
        </w:rPr>
        <w:t>effectuer une démarche ou de fournir un</w:t>
      </w:r>
      <w:r w:rsidR="00283DBD" w:rsidRPr="00EA05B3">
        <w:rPr>
          <w:lang w:val="fr-FR"/>
        </w:rPr>
        <w:t> </w:t>
      </w:r>
      <w:r w:rsidR="00D60A11" w:rsidRPr="00EA05B3">
        <w:rPr>
          <w:lang w:val="fr-FR"/>
        </w:rPr>
        <w:t>service ou tardent à le faire lors</w:t>
      </w:r>
      <w:r w:rsidR="009379A7" w:rsidRPr="00EA05B3">
        <w:rPr>
          <w:lang w:val="fr-FR"/>
        </w:rPr>
        <w:t>qu’</w:t>
      </w:r>
      <w:r w:rsidR="00D60A11" w:rsidRPr="00EA05B3">
        <w:rPr>
          <w:lang w:val="fr-FR"/>
        </w:rPr>
        <w:t xml:space="preserve">il </w:t>
      </w:r>
      <w:r w:rsidR="009379A7" w:rsidRPr="00EA05B3">
        <w:rPr>
          <w:lang w:val="fr-FR"/>
        </w:rPr>
        <w:t>s’</w:t>
      </w:r>
      <w:r w:rsidR="00D60A11" w:rsidRPr="00EA05B3">
        <w:rPr>
          <w:lang w:val="fr-FR"/>
        </w:rPr>
        <w:t xml:space="preserve">agit </w:t>
      </w:r>
      <w:r w:rsidR="009379A7" w:rsidRPr="00EA05B3">
        <w:rPr>
          <w:lang w:val="fr-FR"/>
        </w:rPr>
        <w:t>d’</w:t>
      </w:r>
      <w:r w:rsidR="00D60A11" w:rsidRPr="00EA05B3">
        <w:rPr>
          <w:lang w:val="fr-FR"/>
        </w:rPr>
        <w:t xml:space="preserve">une personne aux caractéristiques mentionnées ci-dessus. Ces infractions pénales sont punies </w:t>
      </w:r>
      <w:r w:rsidR="009379A7" w:rsidRPr="00EA05B3">
        <w:rPr>
          <w:lang w:val="fr-FR"/>
        </w:rPr>
        <w:t>d’</w:t>
      </w:r>
      <w:r w:rsidR="00D60A11" w:rsidRPr="00EA05B3">
        <w:rPr>
          <w:lang w:val="fr-FR"/>
        </w:rPr>
        <w:t xml:space="preserve">une peine </w:t>
      </w:r>
      <w:r w:rsidR="009379A7" w:rsidRPr="00EA05B3">
        <w:rPr>
          <w:lang w:val="fr-FR"/>
        </w:rPr>
        <w:t>d’</w:t>
      </w:r>
      <w:r w:rsidR="00D60A11" w:rsidRPr="00EA05B3">
        <w:rPr>
          <w:lang w:val="fr-FR"/>
        </w:rPr>
        <w:t xml:space="preserve">un à trois ans </w:t>
      </w:r>
      <w:r w:rsidR="009379A7" w:rsidRPr="00EA05B3">
        <w:rPr>
          <w:lang w:val="fr-FR"/>
        </w:rPr>
        <w:t>d’</w:t>
      </w:r>
      <w:r w:rsidR="00D60A11" w:rsidRPr="00EA05B3">
        <w:rPr>
          <w:lang w:val="fr-FR"/>
        </w:rPr>
        <w:t xml:space="preserve">emprisonnement, à laquelle </w:t>
      </w:r>
      <w:r w:rsidR="009379A7" w:rsidRPr="00EA05B3">
        <w:rPr>
          <w:lang w:val="fr-FR"/>
        </w:rPr>
        <w:t>s’</w:t>
      </w:r>
      <w:r w:rsidR="00D60A11" w:rsidRPr="00EA05B3">
        <w:rPr>
          <w:lang w:val="fr-FR"/>
        </w:rPr>
        <w:t xml:space="preserve">ajoute, pour les fonctionnaires, </w:t>
      </w:r>
      <w:r w:rsidR="009379A7" w:rsidRPr="00EA05B3">
        <w:rPr>
          <w:lang w:val="fr-FR"/>
        </w:rPr>
        <w:t>l’</w:t>
      </w:r>
      <w:r w:rsidR="00D60A11" w:rsidRPr="00EA05B3">
        <w:rPr>
          <w:lang w:val="fr-FR"/>
        </w:rPr>
        <w:t xml:space="preserve">interdiction </w:t>
      </w:r>
      <w:r w:rsidR="009379A7" w:rsidRPr="00EA05B3">
        <w:rPr>
          <w:lang w:val="fr-FR"/>
        </w:rPr>
        <w:t>d’</w:t>
      </w:r>
      <w:r w:rsidR="00D60A11" w:rsidRPr="00EA05B3">
        <w:rPr>
          <w:lang w:val="fr-FR"/>
        </w:rPr>
        <w:t>exercer une charge publique durant leur emprisonnement.</w:t>
      </w:r>
    </w:p>
    <w:p w:rsidR="00381C24" w:rsidRPr="00EA05B3" w:rsidRDefault="001B13AB" w:rsidP="001B13AB">
      <w:pPr>
        <w:pStyle w:val="SingleTxtG"/>
        <w:suppressAutoHyphens/>
        <w:spacing w:before="240" w:after="0"/>
        <w:jc w:val="center"/>
        <w:rPr>
          <w:u w:val="single"/>
          <w:lang w:val="fr-FR"/>
        </w:rPr>
      </w:pPr>
      <w:r w:rsidRPr="00EA05B3">
        <w:rPr>
          <w:u w:val="single"/>
          <w:lang w:val="fr-FR"/>
        </w:rPr>
        <w:tab/>
      </w:r>
      <w:r w:rsidRPr="00EA05B3">
        <w:rPr>
          <w:u w:val="single"/>
          <w:lang w:val="fr-FR"/>
        </w:rPr>
        <w:tab/>
      </w:r>
      <w:r w:rsidRPr="00EA05B3">
        <w:rPr>
          <w:u w:val="single"/>
          <w:lang w:val="fr-FR"/>
        </w:rPr>
        <w:tab/>
      </w:r>
    </w:p>
    <w:sectPr w:rsidR="00381C24" w:rsidRPr="00EA05B3" w:rsidSect="00D5342B">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9F6" w:rsidRDefault="009969F6">
      <w:r>
        <w:separator/>
      </w:r>
    </w:p>
  </w:endnote>
  <w:endnote w:type="continuationSeparator" w:id="0">
    <w:p w:rsidR="009969F6" w:rsidRDefault="009969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8B" w:rsidRPr="008148C3" w:rsidRDefault="008F6A8B" w:rsidP="0082562C">
    <w:pPr>
      <w:pStyle w:val="Footer"/>
      <w:tabs>
        <w:tab w:val="right" w:pos="9599"/>
      </w:tabs>
      <w:rPr>
        <w:szCs w:val="16"/>
      </w:rPr>
    </w:pPr>
    <w:r>
      <w:rPr>
        <w:rStyle w:val="PageNumber"/>
      </w:rPr>
      <w:fldChar w:fldCharType="begin"/>
    </w:r>
    <w:r>
      <w:rPr>
        <w:rStyle w:val="PageNumber"/>
      </w:rPr>
      <w:instrText xml:space="preserve"> PAGE </w:instrText>
    </w:r>
    <w:r>
      <w:rPr>
        <w:rStyle w:val="PageNumber"/>
      </w:rPr>
      <w:fldChar w:fldCharType="separate"/>
    </w:r>
    <w:r w:rsidR="00223616">
      <w:rPr>
        <w:rStyle w:val="PageNumber"/>
        <w:noProof/>
      </w:rPr>
      <w:t>2</w:t>
    </w:r>
    <w:r>
      <w:rPr>
        <w:rStyle w:val="PageNumber"/>
      </w:rPr>
      <w:fldChar w:fldCharType="end"/>
    </w:r>
    <w:r>
      <w:tab/>
    </w:r>
    <w:r w:rsidRPr="00663C5C">
      <w:rPr>
        <w:szCs w:val="16"/>
      </w:rPr>
      <w:t>GE.15-16632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8B" w:rsidRPr="00980462" w:rsidRDefault="008F6A8B" w:rsidP="0082562C">
    <w:pPr>
      <w:pStyle w:val="Footer"/>
      <w:tabs>
        <w:tab w:val="right" w:pos="9599"/>
      </w:tabs>
    </w:pPr>
    <w:r w:rsidRPr="00663C5C">
      <w:rPr>
        <w:szCs w:val="16"/>
      </w:rPr>
      <w:t>GE.15-16632  (EXT)</w:t>
    </w:r>
    <w:r>
      <w:tab/>
    </w:r>
    <w:r w:rsidRPr="0082562C">
      <w:rPr>
        <w:b/>
      </w:rPr>
      <w:fldChar w:fldCharType="begin"/>
    </w:r>
    <w:r w:rsidRPr="0082562C">
      <w:rPr>
        <w:b/>
      </w:rPr>
      <w:instrText xml:space="preserve"> PAGE  \* MERGEFORMAT </w:instrText>
    </w:r>
    <w:r w:rsidRPr="0082562C">
      <w:rPr>
        <w:b/>
      </w:rPr>
      <w:fldChar w:fldCharType="separate"/>
    </w:r>
    <w:r w:rsidR="00223616">
      <w:rPr>
        <w:b/>
        <w:noProof/>
      </w:rPr>
      <w:t>51</w:t>
    </w:r>
    <w:r w:rsidRPr="0082562C">
      <w:rPr>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8B" w:rsidRDefault="008F6A8B" w:rsidP="00383F0C">
    <w:pPr>
      <w:pStyle w:val="Footer"/>
      <w:spacing w:before="240"/>
      <w:rPr>
        <w:sz w:val="20"/>
      </w:rPr>
    </w:pPr>
    <w:r>
      <w:rPr>
        <w:noProof/>
        <w:sz w:val="20"/>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GE.15-16632  (EXT)</w:t>
    </w:r>
  </w:p>
  <w:p w:rsidR="00383F0C" w:rsidRPr="00383F0C" w:rsidRDefault="00383F0C" w:rsidP="00383F0C">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pict>
        <v:shape id="_x0000_s2051" type="#_x0000_t75" style="position:absolute;margin-left:432.25pt;margin-top:632.1pt;width:50.25pt;height:50.25pt;z-index:2;mso-position-horizontal-relative:margin;mso-position-vertical-relative:margin">
          <v:imagedata r:id="rId2" o:title="2015&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9F6" w:rsidRPr="001075E9" w:rsidRDefault="009969F6" w:rsidP="00A12110">
      <w:pPr>
        <w:tabs>
          <w:tab w:val="right" w:pos="2155"/>
        </w:tabs>
        <w:spacing w:after="80" w:line="240" w:lineRule="auto"/>
        <w:ind w:left="680"/>
        <w:rPr>
          <w:u w:val="single"/>
        </w:rPr>
      </w:pPr>
      <w:r>
        <w:rPr>
          <w:u w:val="single"/>
        </w:rPr>
        <w:tab/>
      </w:r>
    </w:p>
  </w:footnote>
  <w:footnote w:type="continuationSeparator" w:id="0">
    <w:p w:rsidR="009969F6" w:rsidRDefault="009969F6" w:rsidP="00A12110">
      <w:pPr>
        <w:spacing w:after="80"/>
        <w:ind w:left="680"/>
      </w:pPr>
      <w:r>
        <w:t>______________</w:t>
      </w:r>
    </w:p>
  </w:footnote>
  <w:footnote w:type="continuationNotice" w:id="1">
    <w:p w:rsidR="009969F6" w:rsidRDefault="009969F6"/>
  </w:footnote>
  <w:footnote w:id="2">
    <w:p w:rsidR="008F6A8B" w:rsidRPr="00EA05B3" w:rsidRDefault="008F6A8B" w:rsidP="001952D0">
      <w:pPr>
        <w:pStyle w:val="FootnoteText"/>
        <w:rPr>
          <w:szCs w:val="18"/>
          <w:lang w:val="fr-FR"/>
        </w:rPr>
      </w:pPr>
      <w:r w:rsidRPr="00EA05B3">
        <w:rPr>
          <w:lang w:val="fr-FR"/>
        </w:rPr>
        <w:tab/>
      </w:r>
      <w:r w:rsidRPr="00EA05B3">
        <w:rPr>
          <w:rStyle w:val="FootnoteReference"/>
          <w:sz w:val="20"/>
          <w:vertAlign w:val="baseline"/>
          <w:lang w:val="fr-FR"/>
        </w:rPr>
        <w:t>*</w:t>
      </w:r>
      <w:r w:rsidRPr="00EA05B3">
        <w:rPr>
          <w:lang w:val="fr-FR"/>
        </w:rPr>
        <w:tab/>
        <w:t>Le présent document n’a pas fait l’objet d’une relecture sur le fond par les services d’édition.</w:t>
      </w:r>
    </w:p>
  </w:footnote>
  <w:footnote w:id="3">
    <w:p w:rsidR="008F6A8B" w:rsidRPr="00EA05B3" w:rsidRDefault="008F6A8B" w:rsidP="00175F0E">
      <w:pPr>
        <w:pStyle w:val="FootnoteText"/>
        <w:rPr>
          <w:lang w:val="fr-FR"/>
        </w:rPr>
      </w:pPr>
      <w:r w:rsidRPr="00EA05B3">
        <w:rPr>
          <w:lang w:val="fr-FR"/>
        </w:rPr>
        <w:tab/>
      </w:r>
      <w:r w:rsidRPr="00EA05B3">
        <w:rPr>
          <w:rStyle w:val="FootnoteReference"/>
          <w:lang w:val="fr-FR"/>
        </w:rPr>
        <w:footnoteRef/>
      </w:r>
      <w:r w:rsidRPr="00EA05B3">
        <w:rPr>
          <w:lang w:val="fr-FR"/>
        </w:rPr>
        <w:tab/>
        <w:t>http://decretos.cege.gob.ec/decretos/.</w:t>
      </w:r>
    </w:p>
  </w:footnote>
  <w:footnote w:id="4">
    <w:p w:rsidR="008F6A8B" w:rsidRPr="00EA05B3" w:rsidRDefault="008F6A8B" w:rsidP="00175F0E">
      <w:pPr>
        <w:pStyle w:val="FootnoteText"/>
        <w:rPr>
          <w:lang w:val="fr-FR"/>
        </w:rPr>
      </w:pPr>
      <w:r w:rsidRPr="00EA05B3">
        <w:rPr>
          <w:lang w:val="fr-FR"/>
        </w:rPr>
        <w:tab/>
      </w:r>
      <w:r w:rsidRPr="00EA05B3">
        <w:rPr>
          <w:rStyle w:val="FootnoteReference"/>
          <w:lang w:val="fr-FR"/>
        </w:rPr>
        <w:footnoteRef/>
      </w:r>
      <w:r w:rsidRPr="00EA05B3">
        <w:rPr>
          <w:lang w:val="fr-FR"/>
        </w:rPr>
        <w:tab/>
        <w:t>http://www.asambleanacional.gob.ec/sites/default/files/documents/old/constitucion.</w:t>
      </w:r>
    </w:p>
  </w:footnote>
  <w:footnote w:id="5">
    <w:p w:rsidR="008F6A8B" w:rsidRPr="00EA05B3" w:rsidRDefault="008F6A8B" w:rsidP="003E36CD">
      <w:pPr>
        <w:pStyle w:val="FootnoteText"/>
        <w:rPr>
          <w:lang w:val="fr-FR"/>
        </w:rPr>
      </w:pPr>
      <w:r w:rsidRPr="00EA05B3">
        <w:rPr>
          <w:lang w:val="fr-FR"/>
        </w:rPr>
        <w:tab/>
      </w:r>
      <w:r w:rsidRPr="00EA05B3">
        <w:rPr>
          <w:rStyle w:val="FootnoteReference"/>
          <w:lang w:val="fr-FR"/>
        </w:rPr>
        <w:footnoteRef/>
      </w:r>
      <w:r w:rsidRPr="00EA05B3">
        <w:rPr>
          <w:lang w:val="fr-FR"/>
        </w:rPr>
        <w:tab/>
        <w:t>L’Équateur est composé des régions suivantes: Costa, Sierra, Oriente et Galápagos. Les provinces de la Costa sont: Esmeraldas, Manabí, Santo Domingo de los Tsáchilas, Santa Elena, Guayas, Los Ríos et El Oro. Celles de la Sierra sont: Carchi, Imbabura, Pichincha, Cotopaxi, Tungurahua, Bolívar, Chimborazo, Cañar, Azuay et Loja. La région Oriente regroupe six provinces: Sucumbíos, Napo, Orellana, Pastaza, Morona Santiago et Zamora Chinchipe. La région des îles compte une seule province, celle des Galápagos.</w:t>
      </w:r>
    </w:p>
  </w:footnote>
  <w:footnote w:id="6">
    <w:p w:rsidR="008F6A8B" w:rsidRPr="00EA05B3" w:rsidRDefault="008F6A8B" w:rsidP="003E36CD">
      <w:pPr>
        <w:pStyle w:val="FootnoteText"/>
        <w:rPr>
          <w:lang w:val="fr-FR"/>
        </w:rPr>
      </w:pPr>
      <w:r w:rsidRPr="00EA05B3">
        <w:rPr>
          <w:lang w:val="fr-FR"/>
        </w:rPr>
        <w:tab/>
      </w:r>
      <w:r w:rsidRPr="00EA05B3">
        <w:rPr>
          <w:rStyle w:val="FootnoteReference"/>
          <w:lang w:val="fr-FR"/>
        </w:rPr>
        <w:footnoteRef/>
      </w:r>
      <w:r w:rsidRPr="00EA05B3">
        <w:rPr>
          <w:lang w:val="fr-FR"/>
        </w:rPr>
        <w:tab/>
        <w:t>Température moyenne de 23 °C et précipitations irrégulières d’environ 1 500 mm par an.</w:t>
      </w:r>
    </w:p>
  </w:footnote>
  <w:footnote w:id="7">
    <w:p w:rsidR="008F6A8B" w:rsidRPr="00EA05B3" w:rsidRDefault="008F6A8B" w:rsidP="003E36CD">
      <w:pPr>
        <w:pStyle w:val="FootnoteText"/>
        <w:rPr>
          <w:lang w:val="fr-FR"/>
        </w:rPr>
      </w:pPr>
      <w:r w:rsidRPr="00EA05B3">
        <w:rPr>
          <w:lang w:val="fr-FR"/>
        </w:rPr>
        <w:tab/>
      </w:r>
      <w:r w:rsidRPr="00EA05B3">
        <w:rPr>
          <w:rStyle w:val="FootnoteReference"/>
          <w:lang w:val="fr-FR"/>
        </w:rPr>
        <w:footnoteRef/>
      </w:r>
      <w:r w:rsidRPr="00EA05B3">
        <w:rPr>
          <w:lang w:val="fr-FR"/>
        </w:rPr>
        <w:tab/>
        <w:t>Température moyenne de 23 à 24 °C et précipitations comprises entre 126 et 500 mm par an.</w:t>
      </w:r>
    </w:p>
  </w:footnote>
  <w:footnote w:id="8">
    <w:p w:rsidR="008F6A8B" w:rsidRPr="00EA05B3" w:rsidRDefault="008F6A8B" w:rsidP="003E36CD">
      <w:pPr>
        <w:pStyle w:val="FootnoteText"/>
        <w:rPr>
          <w:lang w:val="fr-FR"/>
        </w:rPr>
      </w:pPr>
      <w:r w:rsidRPr="00EA05B3">
        <w:rPr>
          <w:lang w:val="fr-FR"/>
        </w:rPr>
        <w:tab/>
      </w:r>
      <w:r w:rsidRPr="00EA05B3">
        <w:rPr>
          <w:rStyle w:val="FootnoteReference"/>
          <w:lang w:val="fr-FR"/>
        </w:rPr>
        <w:footnoteRef/>
      </w:r>
      <w:r w:rsidRPr="00EA05B3">
        <w:rPr>
          <w:lang w:val="fr-FR"/>
        </w:rPr>
        <w:tab/>
        <w:t>Température moyenne de 26 °C et précipitations comprises entre 500 et 1 000 mm par an.</w:t>
      </w:r>
    </w:p>
  </w:footnote>
  <w:footnote w:id="9">
    <w:p w:rsidR="008F6A8B" w:rsidRPr="00EA05B3" w:rsidRDefault="008F6A8B" w:rsidP="003E36CD">
      <w:pPr>
        <w:pStyle w:val="FootnoteText"/>
        <w:rPr>
          <w:lang w:val="fr-FR"/>
        </w:rPr>
      </w:pPr>
      <w:r w:rsidRPr="00EA05B3">
        <w:rPr>
          <w:lang w:val="fr-FR"/>
        </w:rPr>
        <w:tab/>
      </w:r>
      <w:r w:rsidRPr="00EA05B3">
        <w:rPr>
          <w:rStyle w:val="FootnoteReference"/>
          <w:lang w:val="fr-FR"/>
        </w:rPr>
        <w:footnoteRef/>
      </w:r>
      <w:r w:rsidRPr="00EA05B3">
        <w:rPr>
          <w:lang w:val="fr-FR"/>
        </w:rPr>
        <w:tab/>
        <w:t>Température moyenne de 23 à 27 °C et précipitations comprises entre 1 000 et 2 000 mm par an.</w:t>
      </w:r>
    </w:p>
  </w:footnote>
  <w:footnote w:id="10">
    <w:p w:rsidR="008F6A8B" w:rsidRPr="00EA05B3" w:rsidRDefault="008F6A8B" w:rsidP="003E36CD">
      <w:pPr>
        <w:pStyle w:val="FootnoteText"/>
        <w:rPr>
          <w:lang w:val="fr-FR"/>
        </w:rPr>
      </w:pPr>
      <w:r w:rsidRPr="00EA05B3">
        <w:rPr>
          <w:lang w:val="fr-FR"/>
        </w:rPr>
        <w:tab/>
      </w:r>
      <w:r w:rsidRPr="00EA05B3">
        <w:rPr>
          <w:rStyle w:val="FootnoteReference"/>
          <w:lang w:val="fr-FR"/>
        </w:rPr>
        <w:footnoteRef/>
      </w:r>
      <w:r w:rsidRPr="00EA05B3">
        <w:rPr>
          <w:lang w:val="fr-FR"/>
        </w:rPr>
        <w:tab/>
        <w:t>Température de 25 °C quasiment constante et précipitations comprises entre 3 000 et 6 000 mm par an.</w:t>
      </w:r>
    </w:p>
  </w:footnote>
  <w:footnote w:id="11">
    <w:p w:rsidR="008F6A8B" w:rsidRPr="00EA05B3" w:rsidRDefault="008F6A8B" w:rsidP="008F6A8B">
      <w:pPr>
        <w:pStyle w:val="FootnoteText"/>
        <w:rPr>
          <w:lang w:val="fr-FR"/>
        </w:rPr>
      </w:pPr>
      <w:r w:rsidRPr="00EA05B3">
        <w:rPr>
          <w:lang w:val="fr-FR"/>
        </w:rPr>
        <w:tab/>
      </w:r>
      <w:r w:rsidRPr="00EA05B3">
        <w:rPr>
          <w:rStyle w:val="FootnoteReference"/>
          <w:lang w:val="fr-FR"/>
        </w:rPr>
        <w:footnoteRef/>
      </w:r>
      <w:r w:rsidRPr="00EA05B3">
        <w:rPr>
          <w:lang w:val="fr-FR"/>
        </w:rPr>
        <w:tab/>
        <w:t>Correspond aux altitudes comprises entre 500 et 1 500 m où la saison des pluies dure toute l’année, le niveau des précipitations annuelles étant compris entre 2 000 et 4 000 mm.</w:t>
      </w:r>
    </w:p>
  </w:footnote>
  <w:footnote w:id="12">
    <w:p w:rsidR="008F6A8B" w:rsidRPr="00EA05B3" w:rsidRDefault="008F6A8B" w:rsidP="003E36CD">
      <w:pPr>
        <w:pStyle w:val="FootnoteText"/>
        <w:rPr>
          <w:lang w:val="fr-FR"/>
        </w:rPr>
      </w:pPr>
      <w:r w:rsidRPr="00EA05B3">
        <w:rPr>
          <w:lang w:val="fr-FR"/>
        </w:rPr>
        <w:tab/>
      </w:r>
      <w:r w:rsidRPr="00EA05B3">
        <w:rPr>
          <w:rStyle w:val="FootnoteReference"/>
          <w:lang w:val="fr-FR"/>
        </w:rPr>
        <w:footnoteRef/>
      </w:r>
      <w:r w:rsidRPr="00EA05B3">
        <w:rPr>
          <w:lang w:val="fr-FR"/>
        </w:rPr>
        <w:tab/>
        <w:t>Température moyenne de 12° à 20 °C et précipitations comprises entre 500 et 2 000 mm par an.</w:t>
      </w:r>
    </w:p>
  </w:footnote>
  <w:footnote w:id="13">
    <w:p w:rsidR="008F6A8B" w:rsidRPr="00EA05B3" w:rsidRDefault="008F6A8B" w:rsidP="003E36CD">
      <w:pPr>
        <w:pStyle w:val="FootnoteText"/>
        <w:rPr>
          <w:lang w:val="fr-FR"/>
        </w:rPr>
      </w:pPr>
      <w:r w:rsidRPr="00EA05B3">
        <w:rPr>
          <w:lang w:val="fr-FR"/>
        </w:rPr>
        <w:tab/>
      </w:r>
      <w:r w:rsidRPr="00EA05B3">
        <w:rPr>
          <w:rStyle w:val="FootnoteReference"/>
          <w:lang w:val="fr-FR"/>
        </w:rPr>
        <w:footnoteRef/>
      </w:r>
      <w:r w:rsidRPr="00EA05B3">
        <w:rPr>
          <w:lang w:val="fr-FR"/>
        </w:rPr>
        <w:tab/>
        <w:t>Température moyenne de 12° à 20 °C et précipitations inférieures à 500 mm par an.</w:t>
      </w:r>
    </w:p>
  </w:footnote>
  <w:footnote w:id="14">
    <w:p w:rsidR="008F6A8B" w:rsidRPr="00EA05B3" w:rsidRDefault="008F6A8B" w:rsidP="003E36CD">
      <w:pPr>
        <w:pStyle w:val="FootnoteText"/>
        <w:rPr>
          <w:lang w:val="fr-FR"/>
        </w:rPr>
      </w:pPr>
      <w:r w:rsidRPr="00EA05B3">
        <w:rPr>
          <w:lang w:val="fr-FR"/>
        </w:rPr>
        <w:tab/>
      </w:r>
      <w:r w:rsidRPr="00EA05B3">
        <w:rPr>
          <w:rStyle w:val="FootnoteReference"/>
          <w:lang w:val="fr-FR"/>
        </w:rPr>
        <w:footnoteRef/>
      </w:r>
      <w:r w:rsidRPr="00EA05B3">
        <w:rPr>
          <w:lang w:val="fr-FR"/>
        </w:rPr>
        <w:tab/>
        <w:t>Température moyenne de 4° à 8 °C et précipitations légères mais prolongées comprises entre 800 et 1 000 mm par an.</w:t>
      </w:r>
    </w:p>
  </w:footnote>
  <w:footnote w:id="15">
    <w:p w:rsidR="008F6A8B" w:rsidRPr="00EA05B3" w:rsidRDefault="008F6A8B" w:rsidP="003E36CD">
      <w:pPr>
        <w:pStyle w:val="FootnoteText"/>
        <w:rPr>
          <w:lang w:val="fr-FR"/>
        </w:rPr>
      </w:pPr>
      <w:r w:rsidRPr="00EA05B3">
        <w:rPr>
          <w:lang w:val="fr-FR"/>
        </w:rPr>
        <w:tab/>
      </w:r>
      <w:r w:rsidRPr="00EA05B3">
        <w:rPr>
          <w:rStyle w:val="FootnoteReference"/>
          <w:lang w:val="fr-FR"/>
        </w:rPr>
        <w:footnoteRef/>
      </w:r>
      <w:r w:rsidRPr="00EA05B3">
        <w:rPr>
          <w:lang w:val="fr-FR"/>
        </w:rPr>
        <w:tab/>
        <w:t xml:space="preserve">Plan national du bien-vivre 2013-2017 (PNBV), Objectifs, p. 52, 55, 58, 61, 64, 67, 70, 73, 76, 80, 83, 86. </w:t>
      </w:r>
    </w:p>
  </w:footnote>
  <w:footnote w:id="16">
    <w:p w:rsidR="008F6A8B" w:rsidRPr="00EA05B3" w:rsidRDefault="008F6A8B" w:rsidP="003E36CD">
      <w:pPr>
        <w:pStyle w:val="FootnoteText"/>
        <w:rPr>
          <w:lang w:val="fr-FR" w:eastAsia="es-EC"/>
        </w:rPr>
      </w:pPr>
      <w:r w:rsidRPr="00EA05B3">
        <w:rPr>
          <w:lang w:val="fr-FR"/>
        </w:rPr>
        <w:tab/>
      </w:r>
      <w:r w:rsidRPr="00EA05B3">
        <w:rPr>
          <w:rStyle w:val="FootnoteReference"/>
          <w:lang w:val="fr-FR"/>
        </w:rPr>
        <w:footnoteRef/>
      </w:r>
      <w:r w:rsidRPr="00EA05B3">
        <w:rPr>
          <w:lang w:val="fr-FR"/>
        </w:rPr>
        <w:tab/>
        <w:t>Titre II, chap. 6 (Droits relatifs à la liberté), art. 66 – Sont reconnus et garantis à tous les citoyens, [...] 4. Le droit à l’égalité formelle, à l’égalité matérielle et à la non-discrimination.</w:t>
      </w:r>
    </w:p>
  </w:footnote>
  <w:footnote w:id="17">
    <w:p w:rsidR="008F6A8B" w:rsidRPr="00EA05B3" w:rsidRDefault="008F6A8B" w:rsidP="003E36CD">
      <w:pPr>
        <w:pStyle w:val="FootnoteText"/>
        <w:rPr>
          <w:lang w:val="fr-FR"/>
        </w:rPr>
      </w:pPr>
      <w:r w:rsidRPr="00EA05B3">
        <w:rPr>
          <w:lang w:val="fr-FR"/>
        </w:rPr>
        <w:tab/>
      </w:r>
      <w:r w:rsidRPr="00EA05B3">
        <w:rPr>
          <w:rStyle w:val="FootnoteReference"/>
          <w:lang w:val="fr-FR"/>
        </w:rPr>
        <w:footnoteRef/>
      </w:r>
      <w:r w:rsidRPr="00EA05B3">
        <w:rPr>
          <w:lang w:val="fr-FR"/>
        </w:rPr>
        <w:tab/>
        <w:t>Titre III, chap. 2 (Politiques publiques, services publics et participation des citoyens), art. 85 – La formulation, l’exécution, l’évaluation et le contrôle des politiques publiques et des services publics destinés à garantir la protection des droits énoncés dans la Constitution sont régis par les dispositions ci-après: 1. Les politiques publiques, la fourniture de biens et la prestation de services publics sont axées sur la réalisation du bien-vivre et de tous les droits, et reposent sur le principe de solidarité. 2. Sans préjudice de la primauté de l’intérêt général sur l’intérêt particulier, quand les effets de l’exécution des politiques publiques ou de la fourniture de biens ou de la prestation de services publics portent atteinte ou menacent de porter atteinte aux droits constitutionnels, ces politiques, cette fourniture ou ces prestations doivent être conçues différemment ou d’autres mesures doivent être adoptées pour écarter cette menace. 3. L’État garantit une répartition équitable et solidaire du budget aux fins de l’exécution des politiques publiques et de la fourniture de biens et de la prestation de services publics. La participation des personnes, des communautés, des peuples et des nationalités à la formulation, à l’exécution, à l’évaluation et au contrôle des politiques publiques et des services publics est garantie.</w:t>
      </w:r>
    </w:p>
  </w:footnote>
  <w:footnote w:id="18">
    <w:p w:rsidR="008F6A8B" w:rsidRPr="00EA05B3" w:rsidRDefault="008F6A8B" w:rsidP="003E36CD">
      <w:pPr>
        <w:pStyle w:val="FootnoteText"/>
        <w:rPr>
          <w:lang w:val="fr-FR" w:eastAsia="es-EC"/>
        </w:rPr>
      </w:pPr>
      <w:r w:rsidRPr="00EA05B3">
        <w:rPr>
          <w:lang w:val="fr-FR"/>
        </w:rPr>
        <w:tab/>
      </w:r>
      <w:r w:rsidRPr="00EA05B3">
        <w:rPr>
          <w:rStyle w:val="FootnoteReference"/>
          <w:lang w:val="fr-FR"/>
        </w:rPr>
        <w:footnoteRef/>
      </w:r>
      <w:r w:rsidRPr="00EA05B3">
        <w:rPr>
          <w:lang w:val="fr-FR"/>
        </w:rPr>
        <w:tab/>
        <w:t>Titre VI, chap. 2 (Planification participative pour le développement), art. 279 – Le Système national décentralisé de planification participative est chargé de planifier le développement. Il comporte un Conseil national de planification, au sein duquel sont représentés les divers niveaux de gouvernement ainsi que les citoyens, et un secrétariat technique qui assure les fonctions de coordination. Ce conseil, présidé par le Président de la République, est chargé de définir les lignes directrices et les politiques d’orientation du système et d’approuver le Plan national de développement. Les conseils de planification des gouvernements autonomes décentralisés sont présidés par leurs plus hauts représentants et composés conformément aux dispositions de la loi. Les conseils citoyens sont des instances de délibération et proposent les lignes directrices et les consensus stratégiques à long terme pour orienter le développement national.</w:t>
      </w:r>
    </w:p>
  </w:footnote>
  <w:footnote w:id="19">
    <w:p w:rsidR="008F6A8B" w:rsidRPr="00EA05B3" w:rsidRDefault="008F6A8B" w:rsidP="003E36CD">
      <w:pPr>
        <w:pStyle w:val="FootnoteText"/>
        <w:rPr>
          <w:lang w:val="fr-FR"/>
        </w:rPr>
      </w:pPr>
      <w:r w:rsidRPr="00EA05B3">
        <w:rPr>
          <w:lang w:val="fr-FR"/>
        </w:rPr>
        <w:tab/>
      </w:r>
      <w:r w:rsidRPr="00EA05B3">
        <w:rPr>
          <w:rStyle w:val="FootnoteReference"/>
          <w:lang w:val="fr-FR"/>
        </w:rPr>
        <w:footnoteRef/>
      </w:r>
      <w:r w:rsidRPr="00EA05B3">
        <w:rPr>
          <w:lang w:val="fr-FR"/>
        </w:rPr>
        <w:tab/>
        <w:t>SENPLADES, 2007. http://www.planificacion.gob.ec/plan-nacional-de-desarrollo-2007-2010/.</w:t>
      </w:r>
    </w:p>
  </w:footnote>
  <w:footnote w:id="20">
    <w:p w:rsidR="008F6A8B" w:rsidRPr="00EA05B3" w:rsidRDefault="008F6A8B" w:rsidP="00172E41">
      <w:pPr>
        <w:pStyle w:val="FootnoteText"/>
        <w:rPr>
          <w:lang w:val="fr-FR"/>
        </w:rPr>
      </w:pPr>
      <w:r w:rsidRPr="00EA05B3">
        <w:rPr>
          <w:lang w:val="fr-FR"/>
        </w:rPr>
        <w:tab/>
      </w:r>
      <w:r w:rsidRPr="00EA05B3">
        <w:rPr>
          <w:rStyle w:val="FootnoteReference"/>
          <w:lang w:val="fr-FR"/>
        </w:rPr>
        <w:footnoteRef/>
      </w:r>
      <w:r w:rsidRPr="00EA05B3">
        <w:rPr>
          <w:lang w:val="fr-FR"/>
        </w:rPr>
        <w:tab/>
        <w:t>SENPLADES, 2009. http://www.planificacion.gob.ec/plan-nacional-para-el-buen-vivir-2013-2013/.</w:t>
      </w:r>
    </w:p>
  </w:footnote>
  <w:footnote w:id="21">
    <w:p w:rsidR="008F6A8B" w:rsidRPr="00EA05B3" w:rsidRDefault="008F6A8B" w:rsidP="00172E41">
      <w:pPr>
        <w:pStyle w:val="FootnoteText"/>
        <w:rPr>
          <w:lang w:val="fr-FR"/>
        </w:rPr>
      </w:pPr>
      <w:r w:rsidRPr="00EA05B3">
        <w:rPr>
          <w:lang w:val="fr-FR"/>
        </w:rPr>
        <w:tab/>
      </w:r>
      <w:r w:rsidRPr="00EA05B3">
        <w:rPr>
          <w:rStyle w:val="FootnoteReference"/>
          <w:lang w:val="fr-FR"/>
        </w:rPr>
        <w:footnoteRef/>
      </w:r>
      <w:r w:rsidRPr="00EA05B3">
        <w:rPr>
          <w:lang w:val="fr-FR"/>
        </w:rPr>
        <w:tab/>
        <w:t>SENPLADES, 2013. http://www.buenvivir.gob.ec/.</w:t>
      </w:r>
    </w:p>
  </w:footnote>
  <w:footnote w:id="22">
    <w:p w:rsidR="008F6A8B" w:rsidRPr="00EA05B3" w:rsidRDefault="008F6A8B" w:rsidP="00172E41">
      <w:pPr>
        <w:pStyle w:val="FootnoteText"/>
        <w:rPr>
          <w:sz w:val="16"/>
          <w:szCs w:val="16"/>
          <w:lang w:val="fr-FR"/>
        </w:rPr>
      </w:pPr>
      <w:r w:rsidRPr="00EA05B3">
        <w:rPr>
          <w:lang w:val="fr-FR"/>
        </w:rPr>
        <w:tab/>
      </w:r>
      <w:r w:rsidRPr="00EA05B3">
        <w:rPr>
          <w:rStyle w:val="FootnoteReference"/>
          <w:lang w:val="fr-FR"/>
        </w:rPr>
        <w:footnoteRef/>
      </w:r>
      <w:r w:rsidRPr="00EA05B3">
        <w:rPr>
          <w:lang w:val="fr-FR"/>
        </w:rPr>
        <w:tab/>
        <w:t>Plan national pour le bien-vivre, Objectifs nationaux pour le bien-vivre, p. 45 à 86.</w:t>
      </w:r>
    </w:p>
  </w:footnote>
  <w:footnote w:id="23">
    <w:p w:rsidR="008F6A8B" w:rsidRPr="00EA05B3" w:rsidRDefault="008F6A8B" w:rsidP="00563B9D">
      <w:pPr>
        <w:pStyle w:val="FootnoteText"/>
        <w:rPr>
          <w:lang w:val="fr-FR" w:eastAsia="es-EC"/>
        </w:rPr>
      </w:pPr>
      <w:r w:rsidRPr="00EA05B3">
        <w:rPr>
          <w:lang w:val="fr-FR"/>
        </w:rPr>
        <w:tab/>
      </w:r>
      <w:r w:rsidRPr="00EA05B3">
        <w:rPr>
          <w:rStyle w:val="FootnoteReference"/>
          <w:lang w:val="fr-FR"/>
        </w:rPr>
        <w:footnoteRef/>
      </w:r>
      <w:r w:rsidRPr="00EA05B3">
        <w:rPr>
          <w:lang w:val="fr-FR"/>
        </w:rPr>
        <w:tab/>
        <w:t>Atlas des inégalités – Tableau 1: Taux net de scolarisation dans l’enseignement primaire en fonction des zones (rurales ou urbaines), 2001 et 2010, p. 56.</w:t>
      </w:r>
    </w:p>
  </w:footnote>
  <w:footnote w:id="24">
    <w:p w:rsidR="008F6A8B" w:rsidRPr="00EA05B3" w:rsidRDefault="008F6A8B" w:rsidP="00563B9D">
      <w:pPr>
        <w:pStyle w:val="FootnoteText"/>
        <w:rPr>
          <w:lang w:val="fr-FR" w:eastAsia="es-EC"/>
        </w:rPr>
      </w:pPr>
      <w:r w:rsidRPr="00EA05B3">
        <w:rPr>
          <w:lang w:val="fr-FR"/>
        </w:rPr>
        <w:tab/>
      </w:r>
      <w:r w:rsidRPr="00EA05B3">
        <w:rPr>
          <w:rStyle w:val="FootnoteReference"/>
          <w:lang w:val="fr-FR"/>
        </w:rPr>
        <w:footnoteRef/>
      </w:r>
      <w:r w:rsidRPr="00EA05B3">
        <w:rPr>
          <w:lang w:val="fr-FR"/>
        </w:rPr>
        <w:tab/>
        <w:t>Atlas des inégalités – Taux net de scolarisation dans l’enseignement primaire en fonction de l’appartenance ethnique et du sexe, 2001 et 2010 – Taux net de scolarisation dans l’enseignement primaire en fonction de l’appartenance ethnique et du sexe, 2001 et 2010, p. 57.</w:t>
      </w:r>
    </w:p>
  </w:footnote>
  <w:footnote w:id="25">
    <w:p w:rsidR="008F6A8B" w:rsidRPr="00EA05B3" w:rsidRDefault="008F6A8B" w:rsidP="00563B9D">
      <w:pPr>
        <w:pStyle w:val="FootnoteText"/>
        <w:rPr>
          <w:lang w:val="fr-FR"/>
        </w:rPr>
      </w:pPr>
      <w:r w:rsidRPr="00EA05B3">
        <w:rPr>
          <w:lang w:val="fr-FR"/>
        </w:rPr>
        <w:tab/>
      </w:r>
      <w:r w:rsidRPr="00EA05B3">
        <w:rPr>
          <w:rStyle w:val="FootnoteReference"/>
          <w:lang w:val="fr-FR"/>
        </w:rPr>
        <w:footnoteRef/>
      </w:r>
      <w:r w:rsidRPr="00EA05B3">
        <w:rPr>
          <w:lang w:val="fr-FR"/>
        </w:rPr>
        <w:tab/>
        <w:t>http://www.inclusion.gob.ec/programas-y-servicios/servicio-de-proteccion-social/.</w:t>
      </w:r>
    </w:p>
  </w:footnote>
  <w:footnote w:id="26">
    <w:p w:rsidR="008F6A8B" w:rsidRPr="00EA05B3" w:rsidRDefault="008F6A8B" w:rsidP="00672E3B">
      <w:pPr>
        <w:pStyle w:val="FootnoteText"/>
        <w:rPr>
          <w:lang w:val="fr-FR"/>
        </w:rPr>
      </w:pPr>
      <w:r w:rsidRPr="00EA05B3">
        <w:rPr>
          <w:lang w:val="fr-FR"/>
        </w:rPr>
        <w:tab/>
      </w:r>
      <w:r w:rsidRPr="00EA05B3">
        <w:rPr>
          <w:rStyle w:val="FootnoteReference"/>
          <w:lang w:val="fr-FR"/>
        </w:rPr>
        <w:footnoteRef/>
      </w:r>
      <w:r w:rsidRPr="00EA05B3">
        <w:rPr>
          <w:lang w:val="fr-FR"/>
        </w:rPr>
        <w:tab/>
        <w:t>http://planipolis.iiep.unesco.org/upload/Ecuador/EcuadorPlanDecenaldeEducacionSpa.pdf.</w:t>
      </w:r>
    </w:p>
  </w:footnote>
  <w:footnote w:id="27">
    <w:p w:rsidR="008F6A8B" w:rsidRPr="00EA05B3" w:rsidRDefault="008F6A8B" w:rsidP="00672E3B">
      <w:pPr>
        <w:pStyle w:val="FootnoteText"/>
        <w:rPr>
          <w:lang w:val="fr-FR"/>
        </w:rPr>
      </w:pPr>
      <w:r w:rsidRPr="00EA05B3">
        <w:rPr>
          <w:lang w:val="fr-FR"/>
        </w:rPr>
        <w:tab/>
      </w:r>
      <w:r w:rsidRPr="00EA05B3">
        <w:rPr>
          <w:rStyle w:val="FootnoteReference"/>
          <w:lang w:val="fr-FR"/>
        </w:rPr>
        <w:footnoteRef/>
      </w:r>
      <w:r w:rsidRPr="00EA05B3">
        <w:rPr>
          <w:lang w:val="fr-FR"/>
        </w:rPr>
        <w:tab/>
        <w:t>http://educacion.gob.ec/wp-content/uploads/downloads/2012/08/LOEI.pdf.</w:t>
      </w:r>
    </w:p>
  </w:footnote>
  <w:footnote w:id="28">
    <w:p w:rsidR="008F6A8B" w:rsidRPr="00EA05B3" w:rsidRDefault="008F6A8B" w:rsidP="00672E3B">
      <w:pPr>
        <w:pStyle w:val="FootnoteText"/>
        <w:rPr>
          <w:lang w:val="fr-FR"/>
        </w:rPr>
      </w:pPr>
      <w:r w:rsidRPr="00EA05B3">
        <w:rPr>
          <w:lang w:val="fr-FR"/>
        </w:rPr>
        <w:tab/>
      </w:r>
      <w:r w:rsidRPr="00EA05B3">
        <w:rPr>
          <w:rStyle w:val="FootnoteReference"/>
          <w:lang w:val="fr-FR"/>
        </w:rPr>
        <w:footnoteRef/>
      </w:r>
      <w:r w:rsidRPr="00EA05B3">
        <w:rPr>
          <w:lang w:val="fr-FR"/>
        </w:rPr>
        <w:tab/>
        <w:t xml:space="preserve">Atlas des inégalités – Taux d’analphabétisme de la population de plus de 15 ans, en fonction du sexe et des zones (rurales ou urbaines), 2001 et 2010, p. 66. </w:t>
      </w:r>
    </w:p>
  </w:footnote>
  <w:footnote w:id="29">
    <w:p w:rsidR="008F6A8B" w:rsidRPr="00EA05B3" w:rsidRDefault="008F6A8B">
      <w:pPr>
        <w:pStyle w:val="FootnoteText"/>
        <w:rPr>
          <w:szCs w:val="18"/>
          <w:lang w:val="fr-FR"/>
        </w:rPr>
      </w:pPr>
      <w:r w:rsidRPr="00EA05B3">
        <w:rPr>
          <w:lang w:val="fr-FR"/>
        </w:rPr>
        <w:tab/>
      </w:r>
      <w:r w:rsidRPr="00EA05B3">
        <w:rPr>
          <w:rStyle w:val="FootnoteReference"/>
          <w:lang w:val="fr-FR"/>
        </w:rPr>
        <w:footnoteRef/>
      </w:r>
      <w:r w:rsidRPr="00EA05B3">
        <w:rPr>
          <w:lang w:val="fr-FR"/>
        </w:rPr>
        <w:tab/>
        <w:t xml:space="preserve">Ibid., p. 67. </w:t>
      </w:r>
    </w:p>
  </w:footnote>
  <w:footnote w:id="30">
    <w:p w:rsidR="008F6A8B" w:rsidRPr="00EA05B3" w:rsidRDefault="008F6A8B" w:rsidP="00672E3B">
      <w:pPr>
        <w:pStyle w:val="FootnoteText"/>
        <w:rPr>
          <w:lang w:val="fr-FR"/>
        </w:rPr>
      </w:pPr>
      <w:r w:rsidRPr="00EA05B3">
        <w:rPr>
          <w:lang w:val="fr-FR"/>
        </w:rPr>
        <w:tab/>
      </w:r>
      <w:r w:rsidRPr="00EA05B3">
        <w:rPr>
          <w:rStyle w:val="FootnoteReference"/>
          <w:lang w:val="fr-FR"/>
        </w:rPr>
        <w:footnoteRef/>
      </w:r>
      <w:r w:rsidRPr="00EA05B3">
        <w:rPr>
          <w:lang w:val="fr-FR"/>
        </w:rPr>
        <w:tab/>
      </w:r>
      <w:hyperlink r:id="rId1">
        <w:r w:rsidRPr="00EA05B3">
          <w:rPr>
            <w:rStyle w:val="Emphasis"/>
            <w:i w:val="0"/>
            <w:lang w:val="fr-FR"/>
          </w:rPr>
          <w:t>CEPALSTAT,</w:t>
        </w:r>
        <w:r w:rsidRPr="00EA05B3">
          <w:rPr>
            <w:rStyle w:val="Hyperlink"/>
            <w:color w:val="auto"/>
            <w:u w:val="none"/>
            <w:lang w:val="fr-FR"/>
          </w:rPr>
          <w:t xml:space="preserve"> Statistiques sur l’Amérique latine et les Caraïbes </w:t>
        </w:r>
      </w:hyperlink>
      <w:r w:rsidRPr="00EA05B3">
        <w:rPr>
          <w:lang w:val="fr-FR"/>
        </w:rPr>
        <w:t>http://estadisticas.cepal.org/cepalstat/</w:t>
      </w:r>
      <w:r w:rsidRPr="00EA05B3">
        <w:rPr>
          <w:lang w:val="fr-FR"/>
        </w:rPr>
        <w:br/>
        <w:t>WEB_CEPALSTAT/Portada.asp.</w:t>
      </w:r>
    </w:p>
  </w:footnote>
  <w:footnote w:id="31">
    <w:p w:rsidR="008F6A8B" w:rsidRPr="00EA05B3" w:rsidRDefault="008F6A8B" w:rsidP="00672E3B">
      <w:pPr>
        <w:pStyle w:val="FootnoteText"/>
        <w:rPr>
          <w:lang w:val="fr-FR"/>
        </w:rPr>
      </w:pPr>
      <w:r w:rsidRPr="00EA05B3">
        <w:rPr>
          <w:lang w:val="fr-FR"/>
        </w:rPr>
        <w:tab/>
      </w:r>
      <w:r w:rsidRPr="00EA05B3">
        <w:rPr>
          <w:rStyle w:val="FootnoteReference"/>
          <w:lang w:val="fr-FR"/>
        </w:rPr>
        <w:footnoteRef/>
      </w:r>
      <w:r w:rsidRPr="00EA05B3">
        <w:rPr>
          <w:lang w:val="fr-FR"/>
        </w:rPr>
        <w:tab/>
        <w:t>Atlas des inégalités – Indicateurs démographiques, p. 80.</w:t>
      </w:r>
    </w:p>
  </w:footnote>
  <w:footnote w:id="32">
    <w:p w:rsidR="008F6A8B" w:rsidRPr="00EA05B3" w:rsidRDefault="008F6A8B" w:rsidP="00672E3B">
      <w:pPr>
        <w:pStyle w:val="FootnoteText"/>
        <w:rPr>
          <w:bCs/>
          <w:lang w:val="fr-FR" w:eastAsia="es-EC"/>
        </w:rPr>
      </w:pPr>
      <w:r w:rsidRPr="00EA05B3">
        <w:rPr>
          <w:lang w:val="fr-FR"/>
        </w:rPr>
        <w:tab/>
      </w:r>
      <w:r w:rsidRPr="00EA05B3">
        <w:rPr>
          <w:rStyle w:val="FootnoteReference"/>
          <w:lang w:val="fr-FR"/>
        </w:rPr>
        <w:footnoteRef/>
      </w:r>
      <w:r w:rsidRPr="00EA05B3">
        <w:rPr>
          <w:lang w:val="fr-FR"/>
        </w:rPr>
        <w:tab/>
        <w:t>Atlas des inégalités – Tableau 6: Malnutrition chronique des enfants de moins de 5 ans par région en fonction des zones (rurales ou urbaines), 2006, p. 80.</w:t>
      </w:r>
    </w:p>
  </w:footnote>
  <w:footnote w:id="33">
    <w:p w:rsidR="008F6A8B" w:rsidRPr="00EA05B3" w:rsidRDefault="008F6A8B" w:rsidP="00672E3B">
      <w:pPr>
        <w:pStyle w:val="FootnoteText"/>
        <w:rPr>
          <w:lang w:val="fr-FR"/>
        </w:rPr>
      </w:pPr>
      <w:r w:rsidRPr="00EA05B3">
        <w:rPr>
          <w:lang w:val="fr-FR"/>
        </w:rPr>
        <w:tab/>
      </w:r>
      <w:r w:rsidRPr="00EA05B3">
        <w:rPr>
          <w:rStyle w:val="FootnoteReference"/>
          <w:lang w:val="fr-FR"/>
        </w:rPr>
        <w:footnoteRef/>
      </w:r>
      <w:r w:rsidRPr="00EA05B3">
        <w:rPr>
          <w:lang w:val="fr-FR"/>
        </w:rPr>
        <w:tab/>
        <w:t>Atlas des inégalités – Données démographiques, p. 80.</w:t>
      </w:r>
    </w:p>
  </w:footnote>
  <w:footnote w:id="34">
    <w:p w:rsidR="008F6A8B" w:rsidRPr="00EA05B3" w:rsidRDefault="008F6A8B" w:rsidP="00672E3B">
      <w:pPr>
        <w:pStyle w:val="FootnoteText"/>
        <w:rPr>
          <w:lang w:val="fr-FR"/>
        </w:rPr>
      </w:pPr>
      <w:r w:rsidRPr="00EA05B3">
        <w:rPr>
          <w:lang w:val="fr-FR"/>
        </w:rPr>
        <w:tab/>
      </w:r>
      <w:r w:rsidRPr="00EA05B3">
        <w:rPr>
          <w:rStyle w:val="FootnoteReference"/>
          <w:lang w:val="fr-FR"/>
        </w:rPr>
        <w:footnoteRef/>
      </w:r>
      <w:r w:rsidRPr="00EA05B3">
        <w:rPr>
          <w:lang w:val="fr-FR"/>
        </w:rPr>
        <w:tab/>
        <w:t>http://www.salud.gob.ec/estrategia-nacional-intersectorial-de-planificacion-familiar-y-prevencion-de-embarazos-en-adolescentes/.</w:t>
      </w:r>
    </w:p>
  </w:footnote>
  <w:footnote w:id="35">
    <w:p w:rsidR="008F6A8B" w:rsidRPr="00EA05B3" w:rsidRDefault="008F6A8B" w:rsidP="00672E3B">
      <w:pPr>
        <w:pStyle w:val="FootnoteText"/>
        <w:rPr>
          <w:lang w:val="fr-FR"/>
        </w:rPr>
      </w:pPr>
      <w:r w:rsidRPr="00EA05B3">
        <w:rPr>
          <w:lang w:val="fr-FR"/>
        </w:rPr>
        <w:tab/>
      </w:r>
      <w:r w:rsidRPr="00EA05B3">
        <w:rPr>
          <w:rStyle w:val="FootnoteReference"/>
          <w:lang w:val="fr-FR"/>
        </w:rPr>
        <w:footnoteRef/>
      </w:r>
      <w:r w:rsidRPr="00EA05B3">
        <w:rPr>
          <w:lang w:val="fr-FR"/>
        </w:rPr>
        <w:tab/>
        <w:t>http://decretos.cege.gob.ec/decretos/.</w:t>
      </w:r>
    </w:p>
  </w:footnote>
  <w:footnote w:id="36">
    <w:p w:rsidR="008F6A8B" w:rsidRPr="00EA05B3" w:rsidRDefault="008F6A8B" w:rsidP="00672E3B">
      <w:pPr>
        <w:pStyle w:val="FootnoteText"/>
        <w:rPr>
          <w:lang w:val="fr-FR"/>
        </w:rPr>
      </w:pPr>
      <w:r w:rsidRPr="00EA05B3">
        <w:rPr>
          <w:lang w:val="fr-FR"/>
        </w:rPr>
        <w:tab/>
      </w:r>
      <w:r w:rsidRPr="00EA05B3">
        <w:rPr>
          <w:rStyle w:val="FootnoteReference"/>
          <w:lang w:val="fr-FR"/>
        </w:rPr>
        <w:footnoteRef/>
      </w:r>
      <w:r w:rsidRPr="00EA05B3">
        <w:rPr>
          <w:lang w:val="fr-FR"/>
        </w:rPr>
        <w:tab/>
        <w:t xml:space="preserve">SENPLADES, 2009. </w:t>
      </w:r>
      <w:hyperlink r:id="rId2">
        <w:r w:rsidRPr="00EA05B3">
          <w:rPr>
            <w:lang w:val="fr-FR"/>
          </w:rPr>
          <w:t>http://www.planificacion.gob.ec/plan-nacional-para-el-buen-vivir-2013-2013/</w:t>
        </w:r>
      </w:hyperlink>
      <w:r w:rsidRPr="00EA05B3">
        <w:rPr>
          <w:lang w:val="fr-FR"/>
        </w:rPr>
        <w:t>.</w:t>
      </w:r>
    </w:p>
  </w:footnote>
  <w:footnote w:id="37">
    <w:p w:rsidR="008F6A8B" w:rsidRPr="00EA05B3" w:rsidRDefault="008F6A8B" w:rsidP="00672E3B">
      <w:pPr>
        <w:pStyle w:val="FootnoteText"/>
        <w:rPr>
          <w:lang w:val="fr-FR"/>
        </w:rPr>
      </w:pPr>
      <w:r w:rsidRPr="00EA05B3">
        <w:rPr>
          <w:lang w:val="fr-FR"/>
        </w:rPr>
        <w:tab/>
      </w:r>
      <w:r w:rsidRPr="00EA05B3">
        <w:rPr>
          <w:rStyle w:val="FootnoteReference"/>
          <w:lang w:val="fr-FR"/>
        </w:rPr>
        <w:footnoteRef/>
      </w:r>
      <w:r w:rsidRPr="00EA05B3">
        <w:rPr>
          <w:lang w:val="fr-FR"/>
        </w:rPr>
        <w:tab/>
        <w:t>SENPLADES, 2013. http://www.buenvivir.gob.ec/.</w:t>
      </w:r>
    </w:p>
  </w:footnote>
  <w:footnote w:id="38">
    <w:p w:rsidR="008F6A8B" w:rsidRPr="00EA05B3" w:rsidRDefault="008F6A8B" w:rsidP="00672E3B">
      <w:pPr>
        <w:pStyle w:val="FootnoteText"/>
        <w:rPr>
          <w:lang w:val="fr-FR" w:eastAsia="es-EC"/>
        </w:rPr>
      </w:pPr>
      <w:r w:rsidRPr="00EA05B3">
        <w:rPr>
          <w:lang w:val="fr-FR"/>
        </w:rPr>
        <w:tab/>
      </w:r>
      <w:r w:rsidRPr="00EA05B3">
        <w:rPr>
          <w:rStyle w:val="FootnoteReference"/>
          <w:lang w:val="fr-FR"/>
        </w:rPr>
        <w:footnoteRef/>
      </w:r>
      <w:r w:rsidRPr="00EA05B3">
        <w:rPr>
          <w:lang w:val="fr-FR"/>
        </w:rPr>
        <w:tab/>
        <w:t>Art. 46. – L’État doit notamment adopter des mesures pour garantir aux enfants et aux adolescents ce qui suit: 1. Prise en charge des enfants de moins de 6 ans, en ce qui concerne l’alimentation, la santé, l’éducation et les soins quotidiens dans le cadre de la protection intégrale de leurs droits. 2. Protection spéciale contre toute forme d’exploitation par le travail ou d’exploitation économique. Le travail des mineurs de moins de 15 ans est interdit et des politiques d’élimination progressive du travail des enfants doivent être mises en place. Le travail des adolescents doit rester une exception et ne doit en aucun cas porter atteinte à leur droit à l’éducation ni être réalisé dans des conditions nocives ou dangereuses pour leur santé ou leur développement personnel. Leur travail et leurs activités doivent être respectés, reconnus et soutenus, dès lors qu’ils ne portent pas atteinte à leur formation et à leur développement intégral.</w:t>
      </w:r>
    </w:p>
  </w:footnote>
  <w:footnote w:id="39">
    <w:p w:rsidR="008F6A8B" w:rsidRPr="00EA05B3" w:rsidRDefault="008F6A8B" w:rsidP="00672E3B">
      <w:pPr>
        <w:pStyle w:val="FootnoteText"/>
        <w:rPr>
          <w:lang w:val="fr-FR"/>
        </w:rPr>
      </w:pPr>
      <w:r w:rsidRPr="00EA05B3">
        <w:rPr>
          <w:lang w:val="fr-FR"/>
        </w:rPr>
        <w:tab/>
      </w:r>
      <w:r w:rsidRPr="00EA05B3">
        <w:rPr>
          <w:rStyle w:val="FootnoteReference"/>
          <w:lang w:val="fr-FR"/>
        </w:rPr>
        <w:footnoteRef/>
      </w:r>
      <w:r w:rsidRPr="00EA05B3">
        <w:rPr>
          <w:lang w:val="fr-FR"/>
        </w:rPr>
        <w:tab/>
        <w:t>http://www.ilo.org/dyn/normlex/es/f?p=NORMLEXPUB:12100:0::NO::P12100_</w:t>
      </w:r>
      <w:r w:rsidRPr="00EA05B3">
        <w:rPr>
          <w:lang w:val="fr-FR"/>
        </w:rPr>
        <w:br/>
        <w:t>INSTRUMENT_ID:312283.</w:t>
      </w:r>
    </w:p>
  </w:footnote>
  <w:footnote w:id="40">
    <w:p w:rsidR="008F6A8B" w:rsidRPr="00EA05B3" w:rsidRDefault="008F6A8B" w:rsidP="00672E3B">
      <w:pPr>
        <w:pStyle w:val="FootnoteText"/>
        <w:rPr>
          <w:lang w:val="fr-FR"/>
        </w:rPr>
      </w:pPr>
      <w:r w:rsidRPr="00EA05B3">
        <w:rPr>
          <w:lang w:val="fr-FR"/>
        </w:rPr>
        <w:tab/>
      </w:r>
      <w:r w:rsidRPr="00EA05B3">
        <w:rPr>
          <w:rStyle w:val="FootnoteReference"/>
          <w:lang w:val="fr-FR"/>
        </w:rPr>
        <w:footnoteRef/>
      </w:r>
      <w:r w:rsidRPr="00EA05B3">
        <w:rPr>
          <w:lang w:val="fr-FR"/>
        </w:rPr>
        <w:tab/>
        <w:t>http://www.ilo.org/dyn/normlex/es/f?p=NORMLEXPUB:12100:0::NO:12100:P12100_</w:t>
      </w:r>
      <w:r w:rsidRPr="00EA05B3">
        <w:rPr>
          <w:lang w:val="fr-FR"/>
        </w:rPr>
        <w:br/>
        <w:t>INSTRUMENT_ID:312327:NO.</w:t>
      </w:r>
    </w:p>
  </w:footnote>
  <w:footnote w:id="41">
    <w:p w:rsidR="008F6A8B" w:rsidRPr="00EA05B3" w:rsidRDefault="008F6A8B" w:rsidP="006D6231">
      <w:pPr>
        <w:pStyle w:val="FootnoteText"/>
        <w:rPr>
          <w:lang w:val="fr-FR"/>
        </w:rPr>
      </w:pPr>
      <w:r w:rsidRPr="00EA05B3">
        <w:rPr>
          <w:lang w:val="fr-FR"/>
        </w:rPr>
        <w:tab/>
      </w:r>
      <w:r w:rsidRPr="00EA05B3">
        <w:rPr>
          <w:rStyle w:val="FootnoteReference"/>
          <w:lang w:val="fr-FR"/>
        </w:rPr>
        <w:footnoteRef/>
      </w:r>
      <w:r w:rsidRPr="00EA05B3">
        <w:rPr>
          <w:lang w:val="fr-FR"/>
        </w:rPr>
        <w:tab/>
        <w:t>SENPLADES, 2007. http://www.planificacion.gob.ec/plan-nacional-de-desarrollo-2007-2010/.</w:t>
      </w:r>
    </w:p>
  </w:footnote>
  <w:footnote w:id="42">
    <w:p w:rsidR="008F6A8B" w:rsidRPr="00EA05B3" w:rsidRDefault="008F6A8B" w:rsidP="006D6231">
      <w:pPr>
        <w:pStyle w:val="FootnoteText"/>
        <w:rPr>
          <w:lang w:val="fr-FR"/>
        </w:rPr>
      </w:pPr>
      <w:r w:rsidRPr="00EA05B3">
        <w:rPr>
          <w:lang w:val="fr-FR"/>
        </w:rPr>
        <w:tab/>
      </w:r>
      <w:r w:rsidRPr="00EA05B3">
        <w:rPr>
          <w:rStyle w:val="FootnoteReference"/>
          <w:lang w:val="fr-FR"/>
        </w:rPr>
        <w:footnoteRef/>
      </w:r>
      <w:r w:rsidRPr="00EA05B3">
        <w:rPr>
          <w:lang w:val="fr-FR"/>
        </w:rPr>
        <w:tab/>
        <w:t>SENPLADES, 2009. http://www.planificacion.gob.ec/plan-nacional-para-el-buen-vivir-2013-2013/.</w:t>
      </w:r>
    </w:p>
  </w:footnote>
  <w:footnote w:id="43">
    <w:p w:rsidR="008F6A8B" w:rsidRPr="00EA05B3" w:rsidRDefault="008F6A8B" w:rsidP="006D6231">
      <w:pPr>
        <w:pStyle w:val="FootnoteText"/>
        <w:rPr>
          <w:lang w:val="fr-FR"/>
        </w:rPr>
      </w:pPr>
      <w:r w:rsidRPr="00EA05B3">
        <w:rPr>
          <w:lang w:val="fr-FR"/>
        </w:rPr>
        <w:tab/>
      </w:r>
      <w:r w:rsidRPr="00EA05B3">
        <w:rPr>
          <w:rStyle w:val="FootnoteReference"/>
          <w:lang w:val="fr-FR"/>
        </w:rPr>
        <w:footnoteRef/>
      </w:r>
      <w:r w:rsidRPr="00EA05B3">
        <w:rPr>
          <w:lang w:val="fr-FR"/>
        </w:rPr>
        <w:tab/>
        <w:t>Atlas des inégalités – Enfants de 15 ans qui travaillent, en fonction des zones (rurales ou urbaines), 2001 et 2010, p. 148.</w:t>
      </w:r>
    </w:p>
  </w:footnote>
  <w:footnote w:id="44">
    <w:p w:rsidR="008F6A8B" w:rsidRPr="00EA05B3" w:rsidRDefault="008F6A8B" w:rsidP="006D6231">
      <w:pPr>
        <w:pStyle w:val="FootnoteText"/>
        <w:rPr>
          <w:szCs w:val="18"/>
          <w:lang w:val="fr-FR"/>
        </w:rPr>
      </w:pPr>
      <w:r w:rsidRPr="00EA05B3">
        <w:rPr>
          <w:lang w:val="fr-FR"/>
        </w:rPr>
        <w:tab/>
      </w:r>
      <w:r w:rsidRPr="00EA05B3">
        <w:rPr>
          <w:rStyle w:val="FootnoteReference"/>
          <w:lang w:val="fr-FR"/>
        </w:rPr>
        <w:footnoteRef/>
      </w:r>
      <w:r w:rsidRPr="00EA05B3">
        <w:rPr>
          <w:lang w:val="fr-FR"/>
        </w:rPr>
        <w:tab/>
        <w:t>Atlas des inégalités – Travail des enfants et éducation, p. 149.</w:t>
      </w:r>
    </w:p>
  </w:footnote>
  <w:footnote w:id="45">
    <w:p w:rsidR="008F6A8B" w:rsidRPr="00EA05B3" w:rsidRDefault="008F6A8B">
      <w:pPr>
        <w:pStyle w:val="FootnoteText"/>
        <w:rPr>
          <w:lang w:val="fr-FR"/>
        </w:rPr>
      </w:pPr>
      <w:r w:rsidRPr="00EA05B3">
        <w:rPr>
          <w:lang w:val="fr-FR"/>
        </w:rPr>
        <w:tab/>
      </w:r>
      <w:r w:rsidRPr="00EA05B3">
        <w:rPr>
          <w:rStyle w:val="FootnoteReference"/>
          <w:lang w:val="fr-FR"/>
        </w:rPr>
        <w:footnoteRef/>
      </w:r>
      <w:r w:rsidRPr="00EA05B3">
        <w:rPr>
          <w:lang w:val="fr-FR"/>
        </w:rPr>
        <w:tab/>
        <w:t>Ibid.</w:t>
      </w:r>
    </w:p>
  </w:footnote>
  <w:footnote w:id="46">
    <w:p w:rsidR="008F6A8B" w:rsidRPr="00EA05B3" w:rsidRDefault="008F6A8B" w:rsidP="005059C0">
      <w:pPr>
        <w:pStyle w:val="FootnoteText"/>
        <w:rPr>
          <w:szCs w:val="18"/>
          <w:lang w:val="fr-FR"/>
        </w:rPr>
      </w:pPr>
      <w:r w:rsidRPr="00EA05B3">
        <w:rPr>
          <w:lang w:val="fr-FR"/>
        </w:rPr>
        <w:tab/>
      </w:r>
      <w:r w:rsidRPr="00EA05B3">
        <w:rPr>
          <w:rStyle w:val="FootnoteReference"/>
          <w:lang w:val="fr-FR"/>
        </w:rPr>
        <w:footnoteRef/>
      </w:r>
      <w:r w:rsidRPr="00EA05B3">
        <w:rPr>
          <w:lang w:val="fr-FR"/>
        </w:rPr>
        <w:tab/>
        <w:t>http://www.planificacion.gob.ec/wp-content/uploads/downloads/2012/07/</w:t>
      </w:r>
      <w:r w:rsidRPr="00EA05B3">
        <w:rPr>
          <w:lang w:val="fr-FR"/>
        </w:rPr>
        <w:br/>
        <w:t>Plan national pour le bien-vivre, p. 80.</w:t>
      </w:r>
    </w:p>
  </w:footnote>
  <w:footnote w:id="47">
    <w:p w:rsidR="008F6A8B" w:rsidRPr="00EA05B3" w:rsidRDefault="008F6A8B" w:rsidP="005059C0">
      <w:pPr>
        <w:pStyle w:val="FootnoteText"/>
        <w:rPr>
          <w:lang w:val="fr-FR"/>
        </w:rPr>
      </w:pPr>
      <w:r w:rsidRPr="00EA05B3">
        <w:rPr>
          <w:lang w:val="fr-FR"/>
        </w:rPr>
        <w:tab/>
      </w:r>
      <w:r w:rsidRPr="00EA05B3">
        <w:rPr>
          <w:rStyle w:val="FootnoteReference"/>
          <w:lang w:val="fr-FR"/>
        </w:rPr>
        <w:footnoteRef/>
      </w:r>
      <w:r w:rsidRPr="00EA05B3">
        <w:rPr>
          <w:lang w:val="fr-FR"/>
        </w:rPr>
        <w:tab/>
        <w:t>http://www.ecuadorlegalonline.com/laboral/salario-minimo-2013/.</w:t>
      </w:r>
    </w:p>
  </w:footnote>
  <w:footnote w:id="48">
    <w:p w:rsidR="008F6A8B" w:rsidRPr="00EA05B3" w:rsidRDefault="008F6A8B" w:rsidP="005059C0">
      <w:pPr>
        <w:pStyle w:val="FootnoteText"/>
        <w:rPr>
          <w:szCs w:val="18"/>
          <w:lang w:val="fr-FR"/>
        </w:rPr>
      </w:pPr>
      <w:r w:rsidRPr="00EA05B3">
        <w:rPr>
          <w:lang w:val="fr-FR"/>
        </w:rPr>
        <w:tab/>
      </w:r>
      <w:r w:rsidRPr="00EA05B3">
        <w:rPr>
          <w:rStyle w:val="FootnoteReference"/>
          <w:lang w:val="fr-FR"/>
        </w:rPr>
        <w:footnoteRef/>
      </w:r>
      <w:r w:rsidRPr="00EA05B3">
        <w:rPr>
          <w:lang w:val="fr-FR"/>
        </w:rPr>
        <w:tab/>
        <w:t>Le Conseil sectoriel de la production, de l’emploi et de la compétitivité, créé par le décret exécutif n</w:t>
      </w:r>
      <w:r w:rsidRPr="00EA05B3">
        <w:rPr>
          <w:vertAlign w:val="superscript"/>
          <w:lang w:val="fr-FR"/>
        </w:rPr>
        <w:t>o</w:t>
      </w:r>
      <w:r w:rsidRPr="00EA05B3">
        <w:rPr>
          <w:lang w:val="fr-FR"/>
        </w:rPr>
        <w:t> 726 et présidé par le Ministre de la production, de l’emploi et de la compétitivité, réunit des représentants de diverses instances qui révisent, articulent, coordonnent, harmonisent et approuvent les politiques publiques nationales relatives à la production et à l’industrie.</w:t>
      </w:r>
    </w:p>
  </w:footnote>
  <w:footnote w:id="49">
    <w:p w:rsidR="008F6A8B" w:rsidRPr="00EA05B3" w:rsidRDefault="008F6A8B" w:rsidP="0005370C">
      <w:pPr>
        <w:pStyle w:val="FootnoteText"/>
        <w:rPr>
          <w:szCs w:val="18"/>
          <w:lang w:val="fr-FR"/>
        </w:rPr>
      </w:pPr>
      <w:r w:rsidRPr="00EA05B3">
        <w:rPr>
          <w:lang w:val="fr-FR"/>
        </w:rPr>
        <w:tab/>
      </w:r>
      <w:r w:rsidRPr="00EA05B3">
        <w:rPr>
          <w:rStyle w:val="FootnoteReference"/>
          <w:lang w:val="fr-FR"/>
        </w:rPr>
        <w:footnoteRef/>
      </w:r>
      <w:r w:rsidRPr="00EA05B3">
        <w:rPr>
          <w:lang w:val="fr-FR"/>
        </w:rPr>
        <w:tab/>
      </w:r>
      <w:r w:rsidR="0005370C" w:rsidRPr="00EA05B3">
        <w:rPr>
          <w:lang w:val="fr-FR"/>
        </w:rPr>
        <w:t>http://www.produccion.gob.ec/wp-content/uploads/downloads/2012/07/Agenda_Productiva</w:t>
      </w:r>
      <w:r w:rsidR="0005370C" w:rsidRPr="00EA05B3">
        <w:rPr>
          <w:lang w:val="fr-FR"/>
        </w:rPr>
        <w:br/>
      </w:r>
      <w:r w:rsidRPr="00EA05B3">
        <w:rPr>
          <w:lang w:val="fr-FR"/>
        </w:rPr>
        <w:t>%5B1 %5D.pdf</w:t>
      </w:r>
      <w:r w:rsidRPr="00EA05B3">
        <w:rPr>
          <w:szCs w:val="18"/>
          <w:lang w:val="fr-FR"/>
        </w:rPr>
        <w:t>.</w:t>
      </w:r>
    </w:p>
  </w:footnote>
  <w:footnote w:id="50">
    <w:p w:rsidR="008F6A8B" w:rsidRPr="00EA05B3" w:rsidRDefault="008F6A8B" w:rsidP="005059C0">
      <w:pPr>
        <w:pStyle w:val="FootnoteText"/>
        <w:rPr>
          <w:bCs/>
          <w:szCs w:val="18"/>
          <w:lang w:val="fr-FR" w:eastAsia="es-EC"/>
        </w:rPr>
      </w:pPr>
      <w:r w:rsidRPr="00EA05B3">
        <w:rPr>
          <w:lang w:val="fr-FR"/>
        </w:rPr>
        <w:tab/>
      </w:r>
      <w:r w:rsidRPr="00EA05B3">
        <w:rPr>
          <w:rStyle w:val="FootnoteReference"/>
          <w:lang w:val="fr-FR"/>
        </w:rPr>
        <w:footnoteRef/>
      </w:r>
      <w:r w:rsidRPr="00EA05B3">
        <w:rPr>
          <w:lang w:val="fr-FR"/>
        </w:rPr>
        <w:tab/>
        <w:t>Atlas des inégalités – Conditions de travail de la population active, p. 123.</w:t>
      </w:r>
    </w:p>
  </w:footnote>
  <w:footnote w:id="51">
    <w:p w:rsidR="008F6A8B" w:rsidRPr="00EA05B3" w:rsidRDefault="008F6A8B" w:rsidP="005059C0">
      <w:pPr>
        <w:pStyle w:val="FootnoteText"/>
        <w:rPr>
          <w:lang w:val="fr-FR"/>
        </w:rPr>
      </w:pPr>
      <w:r w:rsidRPr="00EA05B3">
        <w:rPr>
          <w:lang w:val="fr-FR"/>
        </w:rPr>
        <w:tab/>
      </w:r>
      <w:r w:rsidRPr="00EA05B3">
        <w:rPr>
          <w:rStyle w:val="FootnoteReference"/>
          <w:lang w:val="fr-FR"/>
        </w:rPr>
        <w:footnoteRef/>
      </w:r>
      <w:r w:rsidRPr="00EA05B3">
        <w:rPr>
          <w:lang w:val="fr-FR"/>
        </w:rPr>
        <w:tab/>
        <w:t>Atlas des inégalités – Travail approprié, p. 123.</w:t>
      </w:r>
    </w:p>
  </w:footnote>
  <w:footnote w:id="52">
    <w:p w:rsidR="008F6A8B" w:rsidRPr="00EA05B3" w:rsidRDefault="008F6A8B" w:rsidP="005059C0">
      <w:pPr>
        <w:pStyle w:val="FootnoteText"/>
        <w:rPr>
          <w:szCs w:val="18"/>
          <w:lang w:val="fr-FR"/>
        </w:rPr>
      </w:pPr>
      <w:r w:rsidRPr="00EA05B3">
        <w:rPr>
          <w:lang w:val="fr-FR"/>
        </w:rPr>
        <w:tab/>
      </w:r>
      <w:r w:rsidRPr="00EA05B3">
        <w:rPr>
          <w:rStyle w:val="FootnoteReference"/>
          <w:lang w:val="fr-FR"/>
        </w:rPr>
        <w:footnoteRef/>
      </w:r>
      <w:r w:rsidRPr="00EA05B3">
        <w:rPr>
          <w:lang w:val="fr-FR"/>
        </w:rPr>
        <w:tab/>
        <w:t>Atlas des inégalités – Emploi et personnes handicapées, p. 138 et 139.</w:t>
      </w:r>
    </w:p>
  </w:footnote>
  <w:footnote w:id="53">
    <w:p w:rsidR="008F6A8B" w:rsidRPr="00EA05B3" w:rsidRDefault="008F6A8B" w:rsidP="005059C0">
      <w:pPr>
        <w:pStyle w:val="FootnoteText"/>
        <w:rPr>
          <w:szCs w:val="18"/>
          <w:lang w:val="fr-FR"/>
        </w:rPr>
      </w:pPr>
      <w:r w:rsidRPr="00EA05B3">
        <w:rPr>
          <w:lang w:val="fr-FR"/>
        </w:rPr>
        <w:tab/>
      </w:r>
      <w:r w:rsidRPr="00EA05B3">
        <w:rPr>
          <w:rStyle w:val="FootnoteReference"/>
          <w:lang w:val="fr-FR"/>
        </w:rPr>
        <w:footnoteRef/>
      </w:r>
      <w:r w:rsidRPr="00EA05B3">
        <w:rPr>
          <w:lang w:val="fr-FR"/>
        </w:rPr>
        <w:tab/>
        <w:t xml:space="preserve">Atlas des inégalités – Chômage pour cause d’incapacité permanente dans la population active, 2010, p. 138. </w:t>
      </w:r>
    </w:p>
  </w:footnote>
  <w:footnote w:id="54">
    <w:p w:rsidR="008F6A8B" w:rsidRPr="00EA05B3" w:rsidRDefault="008F6A8B" w:rsidP="005059C0">
      <w:pPr>
        <w:pStyle w:val="FootnoteText"/>
        <w:rPr>
          <w:szCs w:val="18"/>
          <w:lang w:val="fr-FR"/>
        </w:rPr>
      </w:pPr>
      <w:r w:rsidRPr="00EA05B3">
        <w:rPr>
          <w:lang w:val="fr-FR"/>
        </w:rPr>
        <w:tab/>
      </w:r>
      <w:r w:rsidRPr="00EA05B3">
        <w:rPr>
          <w:rStyle w:val="FootnoteReference"/>
          <w:lang w:val="fr-FR"/>
        </w:rPr>
        <w:footnoteRef/>
      </w:r>
      <w:r w:rsidRPr="00EA05B3">
        <w:rPr>
          <w:lang w:val="fr-FR"/>
        </w:rPr>
        <w:tab/>
        <w:t>Art. 34. Le droit à la sécurité sociale est un droit indérogeable et constitue un devoir et une responsabilité majeure pour l’État. La sécurité sociale est gouvernée par les principes suivants: solidarité, caractère obligatoire, universalité, équité, efficacité, subsidiarité, suffisance, transparence et participation, pour assurer la prise en charge des besoins individuels et collectifs. L’État garantit et rend effectif le plein exercice du droit à la sécurité sociale, y compris pour les personnes qui exercent un travail non rémunéré au foyer, des activités d’autosubsistance en milieu rural ou toute autre forme de travail autonome, ainsi que pour les personnes au chômage.</w:t>
      </w:r>
    </w:p>
  </w:footnote>
  <w:footnote w:id="55">
    <w:p w:rsidR="008F6A8B" w:rsidRPr="00EA05B3" w:rsidRDefault="008F6A8B" w:rsidP="005059C0">
      <w:pPr>
        <w:pStyle w:val="FootnoteText"/>
        <w:rPr>
          <w:bCs/>
          <w:szCs w:val="18"/>
          <w:lang w:val="fr-FR" w:eastAsia="es-EC"/>
        </w:rPr>
      </w:pPr>
      <w:r w:rsidRPr="00EA05B3">
        <w:rPr>
          <w:lang w:val="fr-FR"/>
        </w:rPr>
        <w:tab/>
      </w:r>
      <w:r w:rsidRPr="00EA05B3">
        <w:rPr>
          <w:rStyle w:val="FootnoteReference"/>
          <w:lang w:val="fr-FR"/>
        </w:rPr>
        <w:footnoteRef/>
      </w:r>
      <w:r w:rsidRPr="00EA05B3">
        <w:rPr>
          <w:lang w:val="fr-FR"/>
        </w:rPr>
        <w:tab/>
        <w:t>Atlas des inégalités – Emploi et personnes handicapées, p. 138 et 139, Sécurité sociale et retraite, p. 193.</w:t>
      </w:r>
    </w:p>
  </w:footnote>
  <w:footnote w:id="56">
    <w:p w:rsidR="008F6A8B" w:rsidRPr="00EA05B3" w:rsidRDefault="008F6A8B" w:rsidP="005059C0">
      <w:pPr>
        <w:pStyle w:val="FootnoteText"/>
        <w:rPr>
          <w:bCs/>
          <w:color w:val="000000"/>
          <w:szCs w:val="18"/>
          <w:lang w:val="fr-FR" w:eastAsia="es-EC"/>
        </w:rPr>
      </w:pPr>
      <w:r w:rsidRPr="00EA05B3">
        <w:rPr>
          <w:lang w:val="fr-FR"/>
        </w:rPr>
        <w:tab/>
      </w:r>
      <w:r w:rsidRPr="00EA05B3">
        <w:rPr>
          <w:rStyle w:val="FootnoteReference"/>
          <w:lang w:val="fr-FR"/>
        </w:rPr>
        <w:footnoteRef/>
      </w:r>
      <w:r w:rsidRPr="00EA05B3">
        <w:rPr>
          <w:lang w:val="fr-FR"/>
        </w:rPr>
        <w:tab/>
        <w:t>Atlas des inégalités – Graphique 15: Personnes âgées de 65 ans et plus qui perçoivent une retraite en fonction des zones (rurales ou urbaines), 2001 et 2010, p. 140.</w:t>
      </w:r>
    </w:p>
  </w:footnote>
  <w:footnote w:id="57">
    <w:p w:rsidR="008F6A8B" w:rsidRPr="00EA05B3" w:rsidRDefault="008F6A8B" w:rsidP="005059C0">
      <w:pPr>
        <w:pStyle w:val="FootnoteText"/>
        <w:rPr>
          <w:szCs w:val="18"/>
          <w:lang w:val="fr-FR" w:eastAsia="es-EC"/>
        </w:rPr>
      </w:pPr>
      <w:r w:rsidRPr="00EA05B3">
        <w:rPr>
          <w:lang w:val="fr-FR"/>
        </w:rPr>
        <w:tab/>
      </w:r>
      <w:r w:rsidRPr="00EA05B3">
        <w:rPr>
          <w:rStyle w:val="FootnoteReference"/>
          <w:lang w:val="fr-FR"/>
        </w:rPr>
        <w:footnoteRef/>
      </w:r>
      <w:r w:rsidRPr="00EA05B3">
        <w:rPr>
          <w:lang w:val="fr-FR"/>
        </w:rPr>
        <w:tab/>
        <w:t>Art. 333. Le travail non rémunéré consistant à accomplir au foyer les activités d’autosubsistance et de soins à la personne est reconnu comme un travail productif. L’État est tenu de promouvoir un régime de travail qui soit compatible avec les besoins de soins des personnes et qui encourage les services, les infrastructures et les horaires de travail adaptés, de créer des services de prise en charge des enfants, des personnes handicapées et tous autres services utiles pour que les travailleurs puissent accomplir leurs activités professionnelles et de promouvoir la responsabilité conjointe et réciproque des hommes et des femmes en ce qui concerne les tâches domestiques et les obligations familiales. La protection apportée par la sécurité sociale sera progressivement étendue aux personnes qui prennent en charge le travail familial non rémunéré au foyer, conformément aux dispositions générales du système et de la loi.</w:t>
      </w:r>
    </w:p>
  </w:footnote>
  <w:footnote w:id="58">
    <w:p w:rsidR="008F6A8B" w:rsidRPr="00EA05B3" w:rsidRDefault="008F6A8B">
      <w:pPr>
        <w:pStyle w:val="FootnoteText"/>
        <w:rPr>
          <w:szCs w:val="18"/>
          <w:lang w:val="fr-FR"/>
        </w:rPr>
      </w:pPr>
      <w:r w:rsidRPr="00EA05B3">
        <w:rPr>
          <w:lang w:val="fr-FR"/>
        </w:rPr>
        <w:tab/>
      </w:r>
      <w:r w:rsidRPr="00EA05B3">
        <w:rPr>
          <w:rStyle w:val="FootnoteReference"/>
          <w:lang w:val="fr-FR"/>
        </w:rPr>
        <w:footnoteRef/>
      </w:r>
      <w:r w:rsidRPr="00EA05B3">
        <w:rPr>
          <w:lang w:val="fr-FR"/>
        </w:rPr>
        <w:tab/>
        <w:t xml:space="preserve">Atlas des inégalités – Tableau 1: Déficit qualitatif des logements (en %) par région en fonction des zones (rurales ou urbaines), 1982-2010. </w:t>
      </w:r>
    </w:p>
  </w:footnote>
  <w:footnote w:id="59">
    <w:p w:rsidR="008F6A8B" w:rsidRPr="00EA05B3" w:rsidRDefault="008F6A8B" w:rsidP="005059C0">
      <w:pPr>
        <w:pStyle w:val="FootnoteText"/>
        <w:rPr>
          <w:szCs w:val="18"/>
          <w:lang w:val="fr-FR"/>
        </w:rPr>
      </w:pPr>
      <w:r w:rsidRPr="00EA05B3">
        <w:rPr>
          <w:lang w:val="fr-FR"/>
        </w:rPr>
        <w:tab/>
      </w:r>
      <w:r w:rsidRPr="00EA05B3">
        <w:rPr>
          <w:rStyle w:val="FootnoteReference"/>
          <w:lang w:val="fr-FR"/>
        </w:rPr>
        <w:footnoteRef/>
      </w:r>
      <w:r w:rsidRPr="00EA05B3">
        <w:rPr>
          <w:lang w:val="fr-FR"/>
        </w:rPr>
        <w:tab/>
        <w:t>Plan national pour le bien-vivre 2013-2017 – 5.1.2. Technologie, innovation et connaissance, p. 40.</w:t>
      </w:r>
    </w:p>
  </w:footnote>
  <w:footnote w:id="60">
    <w:p w:rsidR="008F6A8B" w:rsidRPr="00EA05B3" w:rsidRDefault="008F6A8B" w:rsidP="005059C0">
      <w:pPr>
        <w:pStyle w:val="FootnoteText"/>
        <w:rPr>
          <w:lang w:val="fr-FR"/>
        </w:rPr>
      </w:pPr>
      <w:r w:rsidRPr="00EA05B3">
        <w:rPr>
          <w:lang w:val="fr-FR"/>
        </w:rPr>
        <w:tab/>
      </w:r>
      <w:r w:rsidRPr="00EA05B3">
        <w:rPr>
          <w:rStyle w:val="FootnoteReference"/>
          <w:lang w:val="fr-FR"/>
        </w:rPr>
        <w:footnoteRef/>
      </w:r>
      <w:r w:rsidRPr="00EA05B3">
        <w:rPr>
          <w:lang w:val="fr-FR"/>
        </w:rPr>
        <w:tab/>
        <w:t xml:space="preserve">Titre II, chap. 7 (Droits de la nature), art. 71 – La nature ou </w:t>
      </w:r>
      <w:r w:rsidRPr="00EA05B3">
        <w:rPr>
          <w:i/>
          <w:lang w:val="fr-FR"/>
        </w:rPr>
        <w:t>Pachamama</w:t>
      </w:r>
      <w:r w:rsidRPr="00EA05B3">
        <w:rPr>
          <w:lang w:val="fr-FR"/>
        </w:rPr>
        <w:t>, lieu de reproduction et de réalisation de la vie, a droit au respect intégral de son existence, du maintien et de la régénération de ses cycles de vie, de sa structure, de ses fonctions et de ses processus évolutifs. Toute personne, communauté, peuple ou nationalité peut exiger que l’autorité publique respecte les droits de la nature. Ces droits seront appliqués et interprétés selon les principes établis par la Constitution, le cas échéant. L’État encourage les personnes physiques ou morales et les collectivités à protéger la nature et soutient la promotion du respect de tous les éléments qui constituent les écosystèmes.</w:t>
      </w:r>
    </w:p>
  </w:footnote>
  <w:footnote w:id="61">
    <w:p w:rsidR="008F6A8B" w:rsidRPr="00EA05B3" w:rsidRDefault="008F6A8B" w:rsidP="00EB276C">
      <w:pPr>
        <w:pStyle w:val="FootnoteText"/>
        <w:rPr>
          <w:lang w:val="fr-FR"/>
        </w:rPr>
      </w:pPr>
      <w:r w:rsidRPr="00EA05B3">
        <w:rPr>
          <w:lang w:val="fr-FR"/>
        </w:rPr>
        <w:tab/>
      </w:r>
      <w:r w:rsidRPr="00EA05B3">
        <w:rPr>
          <w:rStyle w:val="FootnoteReference"/>
          <w:lang w:val="fr-FR"/>
        </w:rPr>
        <w:footnoteRef/>
      </w:r>
      <w:r w:rsidRPr="00EA05B3">
        <w:rPr>
          <w:lang w:val="fr-FR"/>
        </w:rPr>
        <w:tab/>
        <w:t>PNUD, 2012.</w:t>
      </w:r>
    </w:p>
  </w:footnote>
  <w:footnote w:id="62">
    <w:p w:rsidR="008F6A8B" w:rsidRPr="00EA05B3" w:rsidRDefault="008F6A8B">
      <w:pPr>
        <w:pStyle w:val="FootnoteText"/>
        <w:rPr>
          <w:lang w:val="fr-FR"/>
        </w:rPr>
      </w:pPr>
      <w:r w:rsidRPr="00EA05B3">
        <w:rPr>
          <w:lang w:val="fr-FR"/>
        </w:rPr>
        <w:tab/>
      </w:r>
      <w:r w:rsidRPr="00EA05B3">
        <w:rPr>
          <w:vertAlign w:val="superscript"/>
          <w:lang w:val="fr-FR"/>
        </w:rPr>
        <w:footnoteRef/>
      </w:r>
      <w:r w:rsidRPr="00EA05B3">
        <w:rPr>
          <w:lang w:val="fr-FR"/>
        </w:rPr>
        <w:tab/>
        <w:t>Voir annexe 2.</w:t>
      </w:r>
    </w:p>
  </w:footnote>
  <w:footnote w:id="63">
    <w:p w:rsidR="008F6A8B" w:rsidRPr="00EA05B3" w:rsidRDefault="008F6A8B">
      <w:pPr>
        <w:pStyle w:val="FootnoteText"/>
        <w:rPr>
          <w:szCs w:val="18"/>
          <w:lang w:val="fr-FR"/>
        </w:rPr>
      </w:pPr>
      <w:r w:rsidRPr="00EA05B3">
        <w:rPr>
          <w:lang w:val="fr-FR"/>
        </w:rPr>
        <w:tab/>
      </w:r>
      <w:r w:rsidRPr="00EA05B3">
        <w:rPr>
          <w:rStyle w:val="FootnoteReference"/>
          <w:lang w:val="fr-FR"/>
        </w:rPr>
        <w:footnoteRef/>
      </w:r>
      <w:r w:rsidRPr="00EA05B3">
        <w:rPr>
          <w:lang w:val="fr-FR"/>
        </w:rPr>
        <w:tab/>
      </w:r>
      <w:hyperlink r:id="rId3">
        <w:r w:rsidRPr="00EA05B3">
          <w:rPr>
            <w:rStyle w:val="Hyperlink"/>
            <w:color w:val="auto"/>
            <w:u w:val="none"/>
            <w:lang w:val="fr-FR"/>
          </w:rPr>
          <w:t>Convention supprimant l’exigence de la légalisation des actes publics étrangers</w:t>
        </w:r>
      </w:hyperlink>
      <w:r w:rsidRPr="00EA05B3">
        <w:rPr>
          <w:lang w:val="fr-FR"/>
        </w:rPr>
        <w:t xml:space="preserve">; </w:t>
      </w:r>
      <w:hyperlink r:id="rId4">
        <w:r w:rsidRPr="00EA05B3">
          <w:rPr>
            <w:rStyle w:val="Hyperlink"/>
            <w:color w:val="auto"/>
            <w:u w:val="none"/>
            <w:lang w:val="fr-FR"/>
          </w:rPr>
          <w:t>Convention sur les aspects civils de l’enlèvement international d’enfants</w:t>
        </w:r>
      </w:hyperlink>
      <w:r w:rsidRPr="00EA05B3">
        <w:rPr>
          <w:lang w:val="fr-FR"/>
        </w:rPr>
        <w:t xml:space="preserve">; </w:t>
      </w:r>
      <w:hyperlink r:id="rId5">
        <w:r w:rsidRPr="00EA05B3">
          <w:rPr>
            <w:rStyle w:val="Hyperlink"/>
            <w:color w:val="auto"/>
            <w:u w:val="none"/>
            <w:lang w:val="fr-FR"/>
          </w:rPr>
          <w:t>Convention de la Haye sur la protection des enfants et la coopération en matière d’adoption internationale</w:t>
        </w:r>
      </w:hyperlink>
      <w:r w:rsidRPr="00EA05B3">
        <w:rPr>
          <w:lang w:val="fr-FR"/>
        </w:rPr>
        <w:t xml:space="preserve">; </w:t>
      </w:r>
      <w:hyperlink r:id="rId6">
        <w:r w:rsidRPr="00EA05B3">
          <w:rPr>
            <w:rStyle w:val="Hyperlink"/>
            <w:color w:val="auto"/>
            <w:u w:val="none"/>
            <w:lang w:val="fr-FR"/>
          </w:rPr>
          <w:t>Convention concernant la compétence, la loi applicable, la reconnaissance, l’exécution et la coopération en matière de responsabilité parentale et de mesures de protection des enfants</w:t>
        </w:r>
      </w:hyperlink>
      <w:r w:rsidRPr="00EA05B3">
        <w:rPr>
          <w:lang w:val="fr-FR"/>
        </w:rPr>
        <w:t>.</w:t>
      </w:r>
    </w:p>
  </w:footnote>
  <w:footnote w:id="64">
    <w:p w:rsidR="008F6A8B" w:rsidRPr="00EA05B3" w:rsidRDefault="008F6A8B" w:rsidP="00EB276C">
      <w:pPr>
        <w:pStyle w:val="FootnoteText"/>
        <w:rPr>
          <w:lang w:val="fr-FR"/>
        </w:rPr>
      </w:pPr>
      <w:r w:rsidRPr="00EA05B3">
        <w:rPr>
          <w:lang w:val="fr-FR"/>
        </w:rPr>
        <w:tab/>
      </w:r>
      <w:r w:rsidRPr="002E6C77">
        <w:rPr>
          <w:rStyle w:val="FootnoteReference"/>
          <w:szCs w:val="18"/>
          <w:lang w:val="fr-FR"/>
        </w:rPr>
        <w:footnoteRef/>
      </w:r>
      <w:r w:rsidRPr="00EA05B3">
        <w:rPr>
          <w:lang w:val="fr-FR"/>
        </w:rPr>
        <w:tab/>
        <w:t>Le Président de la République, l’économiste Rafael Correa Delgado, par le décret n</w:t>
      </w:r>
      <w:r w:rsidRPr="00EA05B3">
        <w:rPr>
          <w:vertAlign w:val="superscript"/>
          <w:lang w:val="fr-FR"/>
        </w:rPr>
        <w:t>o</w:t>
      </w:r>
      <w:r w:rsidRPr="00EA05B3">
        <w:rPr>
          <w:lang w:val="fr-FR"/>
        </w:rPr>
        <w:t> 20 du 10 juin 2013 «transforme le Secrétariat national des migrants en Vice-Ministère de la mobilité humaine, l’intègre à la structure administrative du Ministère des relations extérieures et lui confie toutes les compétences, attributions, programmes, projets et ressources qui étaient les siens avant l’entrée en vigueur du présent décret exécutif».</w:t>
      </w:r>
    </w:p>
  </w:footnote>
  <w:footnote w:id="65">
    <w:p w:rsidR="008F6A8B" w:rsidRPr="00EA05B3" w:rsidRDefault="008F6A8B" w:rsidP="00301DCD">
      <w:pPr>
        <w:pStyle w:val="FootnoteText"/>
        <w:rPr>
          <w:lang w:val="fr-FR"/>
        </w:rPr>
      </w:pPr>
      <w:r w:rsidRPr="00EA05B3">
        <w:rPr>
          <w:lang w:val="fr-FR"/>
        </w:rPr>
        <w:tab/>
      </w:r>
      <w:r w:rsidRPr="00EA05B3">
        <w:rPr>
          <w:rStyle w:val="FootnoteReference"/>
          <w:lang w:val="fr-FR"/>
        </w:rPr>
        <w:footnoteRef/>
      </w:r>
      <w:r w:rsidRPr="00EA05B3">
        <w:rPr>
          <w:lang w:val="fr-FR"/>
        </w:rPr>
        <w:tab/>
        <w:t>Ces données proviennent du Rapport de la République de l’Équateur sur les droits des jeunes, tels qu’ils sont consacrés par la Convention ibéro-américaine sur les droits des jeunes (CIDJ).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8B" w:rsidRPr="0021171E" w:rsidRDefault="008F6A8B" w:rsidP="0021171E">
    <w:pPr>
      <w:pStyle w:val="Header"/>
    </w:pPr>
    <w:r>
      <w:t>HRI/CORE/ECU/2015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8B" w:rsidRPr="0021171E" w:rsidRDefault="008F6A8B" w:rsidP="0021171E">
    <w:pPr>
      <w:pStyle w:val="Header"/>
      <w:jc w:val="right"/>
    </w:pPr>
    <w:r>
      <w:t>HRI/CORE/ECU/2015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1021D"/>
    <w:multiLevelType w:val="hybridMultilevel"/>
    <w:tmpl w:val="A4EA30A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00C41DAF"/>
    <w:multiLevelType w:val="hybridMultilevel"/>
    <w:tmpl w:val="CFB6058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029C574A"/>
    <w:multiLevelType w:val="hybridMultilevel"/>
    <w:tmpl w:val="E5884E60"/>
    <w:lvl w:ilvl="0" w:tplc="26E0DBC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0BA860FD"/>
    <w:multiLevelType w:val="hybridMultilevel"/>
    <w:tmpl w:val="28DE403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1F401178"/>
    <w:multiLevelType w:val="hybridMultilevel"/>
    <w:tmpl w:val="535EBF7E"/>
    <w:lvl w:ilvl="0" w:tplc="3C96B08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2476765D"/>
    <w:multiLevelType w:val="hybridMultilevel"/>
    <w:tmpl w:val="25B8526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2C7674E1"/>
    <w:multiLevelType w:val="hybridMultilevel"/>
    <w:tmpl w:val="DF205C9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2CBD0A32"/>
    <w:multiLevelType w:val="hybridMultilevel"/>
    <w:tmpl w:val="A5FC60BE"/>
    <w:lvl w:ilvl="0" w:tplc="64D4708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306B2D8A"/>
    <w:multiLevelType w:val="hybridMultilevel"/>
    <w:tmpl w:val="64883364"/>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9">
    <w:nsid w:val="31792A4A"/>
    <w:multiLevelType w:val="hybridMultilevel"/>
    <w:tmpl w:val="01BE34D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2CD6F4C"/>
    <w:multiLevelType w:val="hybridMultilevel"/>
    <w:tmpl w:val="15B080A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43AF4313"/>
    <w:multiLevelType w:val="hybridMultilevel"/>
    <w:tmpl w:val="5E04428E"/>
    <w:lvl w:ilvl="0" w:tplc="A21CAE8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nsid w:val="49254A8B"/>
    <w:multiLevelType w:val="hybridMultilevel"/>
    <w:tmpl w:val="1A6AB9E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4">
    <w:nsid w:val="55C93ACD"/>
    <w:multiLevelType w:val="hybridMultilevel"/>
    <w:tmpl w:val="18F25700"/>
    <w:lvl w:ilvl="0" w:tplc="868ACF58">
      <w:start w:val="1"/>
      <w:numFmt w:val="upperRoman"/>
      <w:lvlText w:val="%1."/>
      <w:lvlJc w:val="left"/>
      <w:pPr>
        <w:ind w:left="1287" w:hanging="720"/>
      </w:pPr>
      <w:rPr>
        <w:rFonts w:hint="default"/>
      </w:rPr>
    </w:lvl>
    <w:lvl w:ilvl="1" w:tplc="ECD68A40">
      <w:start w:val="1"/>
      <w:numFmt w:val="decimal"/>
      <w:lvlText w:val="%2."/>
      <w:lvlJc w:val="left"/>
      <w:pPr>
        <w:ind w:left="1842" w:hanging="555"/>
      </w:pPr>
      <w:rPr>
        <w:rFonts w:hint="default"/>
        <w:b w:val="0"/>
        <w:i w:val="0"/>
        <w:color w:val="auto"/>
        <w:sz w:val="20"/>
        <w:szCs w:val="20"/>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nsid w:val="5E412A85"/>
    <w:multiLevelType w:val="hybridMultilevel"/>
    <w:tmpl w:val="7136BAB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62F10AA1"/>
    <w:multiLevelType w:val="hybridMultilevel"/>
    <w:tmpl w:val="E68AF37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64376FCC"/>
    <w:multiLevelType w:val="hybridMultilevel"/>
    <w:tmpl w:val="71E4AE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680E28B4"/>
    <w:multiLevelType w:val="hybridMultilevel"/>
    <w:tmpl w:val="1446319A"/>
    <w:lvl w:ilvl="0" w:tplc="8188CF88">
      <w:start w:val="2"/>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0">
    <w:nsid w:val="69245D83"/>
    <w:multiLevelType w:val="hybridMultilevel"/>
    <w:tmpl w:val="64A2377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6AFD3DE4"/>
    <w:multiLevelType w:val="hybridMultilevel"/>
    <w:tmpl w:val="569E52D4"/>
    <w:lvl w:ilvl="0" w:tplc="CFEC0FBA">
      <w:start w:val="1"/>
      <w:numFmt w:val="bullet"/>
      <w:pStyle w:val="Bullet1G"/>
      <w:lvlText w:val="•"/>
      <w:lvlJc w:val="left"/>
      <w:pPr>
        <w:tabs>
          <w:tab w:val="num" w:pos="1701"/>
        </w:tabs>
        <w:ind w:left="1701" w:hanging="170"/>
      </w:pPr>
      <w:rPr>
        <w:rFonts w:ascii="Times New Roman" w:hAnsi="Times New Roman" w:cs="Times New Roman" w:hint="default"/>
      </w:rPr>
    </w:lvl>
    <w:lvl w:ilvl="1" w:tplc="97229306" w:tentative="1">
      <w:start w:val="1"/>
      <w:numFmt w:val="bullet"/>
      <w:lvlText w:val="o"/>
      <w:lvlJc w:val="left"/>
      <w:pPr>
        <w:tabs>
          <w:tab w:val="num" w:pos="1440"/>
        </w:tabs>
        <w:ind w:left="1440" w:hanging="360"/>
      </w:pPr>
      <w:rPr>
        <w:rFonts w:ascii="Courier New" w:hAnsi="Courier New" w:hint="default"/>
      </w:rPr>
    </w:lvl>
    <w:lvl w:ilvl="2" w:tplc="DD14F892" w:tentative="1">
      <w:start w:val="1"/>
      <w:numFmt w:val="bullet"/>
      <w:lvlText w:val=""/>
      <w:lvlJc w:val="left"/>
      <w:pPr>
        <w:tabs>
          <w:tab w:val="num" w:pos="2160"/>
        </w:tabs>
        <w:ind w:left="2160" w:hanging="360"/>
      </w:pPr>
      <w:rPr>
        <w:rFonts w:ascii="Wingdings" w:hAnsi="Wingdings" w:hint="default"/>
      </w:rPr>
    </w:lvl>
    <w:lvl w:ilvl="3" w:tplc="B732AE88" w:tentative="1">
      <w:start w:val="1"/>
      <w:numFmt w:val="bullet"/>
      <w:lvlText w:val=""/>
      <w:lvlJc w:val="left"/>
      <w:pPr>
        <w:tabs>
          <w:tab w:val="num" w:pos="2880"/>
        </w:tabs>
        <w:ind w:left="2880" w:hanging="360"/>
      </w:pPr>
      <w:rPr>
        <w:rFonts w:ascii="Symbol" w:hAnsi="Symbol" w:hint="default"/>
      </w:rPr>
    </w:lvl>
    <w:lvl w:ilvl="4" w:tplc="43C8D196" w:tentative="1">
      <w:start w:val="1"/>
      <w:numFmt w:val="bullet"/>
      <w:lvlText w:val="o"/>
      <w:lvlJc w:val="left"/>
      <w:pPr>
        <w:tabs>
          <w:tab w:val="num" w:pos="3600"/>
        </w:tabs>
        <w:ind w:left="3600" w:hanging="360"/>
      </w:pPr>
      <w:rPr>
        <w:rFonts w:ascii="Courier New" w:hAnsi="Courier New" w:hint="default"/>
      </w:rPr>
    </w:lvl>
    <w:lvl w:ilvl="5" w:tplc="F8CC43FC" w:tentative="1">
      <w:start w:val="1"/>
      <w:numFmt w:val="bullet"/>
      <w:lvlText w:val=""/>
      <w:lvlJc w:val="left"/>
      <w:pPr>
        <w:tabs>
          <w:tab w:val="num" w:pos="4320"/>
        </w:tabs>
        <w:ind w:left="4320" w:hanging="360"/>
      </w:pPr>
      <w:rPr>
        <w:rFonts w:ascii="Wingdings" w:hAnsi="Wingdings" w:hint="default"/>
      </w:rPr>
    </w:lvl>
    <w:lvl w:ilvl="6" w:tplc="9B5EFAD6" w:tentative="1">
      <w:start w:val="1"/>
      <w:numFmt w:val="bullet"/>
      <w:lvlText w:val=""/>
      <w:lvlJc w:val="left"/>
      <w:pPr>
        <w:tabs>
          <w:tab w:val="num" w:pos="5040"/>
        </w:tabs>
        <w:ind w:left="5040" w:hanging="360"/>
      </w:pPr>
      <w:rPr>
        <w:rFonts w:ascii="Symbol" w:hAnsi="Symbol" w:hint="default"/>
      </w:rPr>
    </w:lvl>
    <w:lvl w:ilvl="7" w:tplc="903CF8A4" w:tentative="1">
      <w:start w:val="1"/>
      <w:numFmt w:val="bullet"/>
      <w:lvlText w:val="o"/>
      <w:lvlJc w:val="left"/>
      <w:pPr>
        <w:tabs>
          <w:tab w:val="num" w:pos="5760"/>
        </w:tabs>
        <w:ind w:left="5760" w:hanging="360"/>
      </w:pPr>
      <w:rPr>
        <w:rFonts w:ascii="Courier New" w:hAnsi="Courier New" w:hint="default"/>
      </w:rPr>
    </w:lvl>
    <w:lvl w:ilvl="8" w:tplc="550C4104" w:tentative="1">
      <w:start w:val="1"/>
      <w:numFmt w:val="bullet"/>
      <w:lvlText w:val=""/>
      <w:lvlJc w:val="left"/>
      <w:pPr>
        <w:tabs>
          <w:tab w:val="num" w:pos="6480"/>
        </w:tabs>
        <w:ind w:left="6480" w:hanging="360"/>
      </w:pPr>
      <w:rPr>
        <w:rFonts w:ascii="Wingdings" w:hAnsi="Wingdings" w:hint="default"/>
      </w:rPr>
    </w:lvl>
  </w:abstractNum>
  <w:abstractNum w:abstractNumId="32">
    <w:nsid w:val="6B4A3B93"/>
    <w:multiLevelType w:val="hybridMultilevel"/>
    <w:tmpl w:val="6732749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nsid w:val="6C0F3AE4"/>
    <w:multiLevelType w:val="hybridMultilevel"/>
    <w:tmpl w:val="181C34D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6E395B9E"/>
    <w:multiLevelType w:val="hybridMultilevel"/>
    <w:tmpl w:val="13981FE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56E53B6"/>
    <w:multiLevelType w:val="multilevel"/>
    <w:tmpl w:val="82D6DC66"/>
    <w:lvl w:ilvl="0">
      <w:start w:val="1"/>
      <w:numFmt w:val="decimal"/>
      <w:lvlText w:val="%1."/>
      <w:lvlJc w:val="left"/>
      <w:pPr>
        <w:ind w:left="720" w:hanging="360"/>
      </w:pPr>
      <w:rPr>
        <w:rFonts w:ascii="Times New Roman" w:hAnsi="Times New Roman" w:cs="Times New Roman" w:hint="default"/>
        <w:sz w:val="26"/>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7BE0677"/>
    <w:multiLevelType w:val="hybridMultilevel"/>
    <w:tmpl w:val="7CB0DFF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1"/>
  </w:num>
  <w:num w:numId="2">
    <w:abstractNumId w:val="20"/>
  </w:num>
  <w:num w:numId="3">
    <w:abstractNumId w:val="38"/>
  </w:num>
  <w:num w:numId="4">
    <w:abstractNumId w:val="35"/>
  </w:num>
  <w:num w:numId="5">
    <w:abstractNumId w:val="2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36"/>
  </w:num>
  <w:num w:numId="18">
    <w:abstractNumId w:val="23"/>
  </w:num>
  <w:num w:numId="19">
    <w:abstractNumId w:val="33"/>
  </w:num>
  <w:num w:numId="20">
    <w:abstractNumId w:val="21"/>
  </w:num>
  <w:num w:numId="21">
    <w:abstractNumId w:val="11"/>
  </w:num>
  <w:num w:numId="22">
    <w:abstractNumId w:val="34"/>
  </w:num>
  <w:num w:numId="23">
    <w:abstractNumId w:val="32"/>
  </w:num>
  <w:num w:numId="24">
    <w:abstractNumId w:val="13"/>
  </w:num>
  <w:num w:numId="25">
    <w:abstractNumId w:val="19"/>
  </w:num>
  <w:num w:numId="26">
    <w:abstractNumId w:val="10"/>
  </w:num>
  <w:num w:numId="27">
    <w:abstractNumId w:val="37"/>
  </w:num>
  <w:num w:numId="28">
    <w:abstractNumId w:val="28"/>
  </w:num>
  <w:num w:numId="29">
    <w:abstractNumId w:val="27"/>
  </w:num>
  <w:num w:numId="30">
    <w:abstractNumId w:val="15"/>
  </w:num>
  <w:num w:numId="31">
    <w:abstractNumId w:val="30"/>
  </w:num>
  <w:num w:numId="32">
    <w:abstractNumId w:val="18"/>
  </w:num>
  <w:num w:numId="33">
    <w:abstractNumId w:val="22"/>
  </w:num>
  <w:num w:numId="34">
    <w:abstractNumId w:val="29"/>
  </w:num>
  <w:num w:numId="35">
    <w:abstractNumId w:val="12"/>
  </w:num>
  <w:num w:numId="36">
    <w:abstractNumId w:val="25"/>
  </w:num>
  <w:num w:numId="37">
    <w:abstractNumId w:val="14"/>
  </w:num>
  <w:num w:numId="38">
    <w:abstractNumId w:val="24"/>
  </w:num>
  <w:num w:numId="39">
    <w:abstractNumId w:val="1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stylePaneFormatFilter w:val="3001"/>
  <w:revisionView w:markup="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6B3E"/>
    <w:rsid w:val="00000F00"/>
    <w:rsid w:val="00004458"/>
    <w:rsid w:val="000044A6"/>
    <w:rsid w:val="00017ADA"/>
    <w:rsid w:val="000225F6"/>
    <w:rsid w:val="000262D8"/>
    <w:rsid w:val="00026A7C"/>
    <w:rsid w:val="00033EE1"/>
    <w:rsid w:val="000344E1"/>
    <w:rsid w:val="00035FF5"/>
    <w:rsid w:val="000412FD"/>
    <w:rsid w:val="00043FF2"/>
    <w:rsid w:val="00047943"/>
    <w:rsid w:val="000519A8"/>
    <w:rsid w:val="0005370C"/>
    <w:rsid w:val="00053BDA"/>
    <w:rsid w:val="00053D47"/>
    <w:rsid w:val="00055A96"/>
    <w:rsid w:val="00060497"/>
    <w:rsid w:val="0006245C"/>
    <w:rsid w:val="000624BC"/>
    <w:rsid w:val="000631FF"/>
    <w:rsid w:val="00065D74"/>
    <w:rsid w:val="000709AA"/>
    <w:rsid w:val="000748EE"/>
    <w:rsid w:val="00076F11"/>
    <w:rsid w:val="00081777"/>
    <w:rsid w:val="00083126"/>
    <w:rsid w:val="00091091"/>
    <w:rsid w:val="000A08F1"/>
    <w:rsid w:val="000A2120"/>
    <w:rsid w:val="000A337D"/>
    <w:rsid w:val="000A3D4A"/>
    <w:rsid w:val="000A3EF2"/>
    <w:rsid w:val="000B22EA"/>
    <w:rsid w:val="000B57E7"/>
    <w:rsid w:val="000B5908"/>
    <w:rsid w:val="000B6AF9"/>
    <w:rsid w:val="000B7B6D"/>
    <w:rsid w:val="000D39B1"/>
    <w:rsid w:val="000D57A5"/>
    <w:rsid w:val="000E632B"/>
    <w:rsid w:val="000E63AA"/>
    <w:rsid w:val="000F09DF"/>
    <w:rsid w:val="000F61B2"/>
    <w:rsid w:val="00100AC4"/>
    <w:rsid w:val="001075E9"/>
    <w:rsid w:val="00112633"/>
    <w:rsid w:val="00124364"/>
    <w:rsid w:val="001256EA"/>
    <w:rsid w:val="001272CC"/>
    <w:rsid w:val="00134C32"/>
    <w:rsid w:val="00144C91"/>
    <w:rsid w:val="00146606"/>
    <w:rsid w:val="00147F1A"/>
    <w:rsid w:val="00151DBA"/>
    <w:rsid w:val="001530F5"/>
    <w:rsid w:val="001560AB"/>
    <w:rsid w:val="00157CDB"/>
    <w:rsid w:val="001611AC"/>
    <w:rsid w:val="00162563"/>
    <w:rsid w:val="00163C61"/>
    <w:rsid w:val="001673B6"/>
    <w:rsid w:val="00172E41"/>
    <w:rsid w:val="00175F0E"/>
    <w:rsid w:val="00180183"/>
    <w:rsid w:val="0018649F"/>
    <w:rsid w:val="001875D8"/>
    <w:rsid w:val="00192B77"/>
    <w:rsid w:val="001952D0"/>
    <w:rsid w:val="00196389"/>
    <w:rsid w:val="001A2D08"/>
    <w:rsid w:val="001A33AC"/>
    <w:rsid w:val="001A4FF8"/>
    <w:rsid w:val="001B13AB"/>
    <w:rsid w:val="001B1440"/>
    <w:rsid w:val="001C0900"/>
    <w:rsid w:val="001C7A89"/>
    <w:rsid w:val="001E6015"/>
    <w:rsid w:val="001F4D06"/>
    <w:rsid w:val="001F6762"/>
    <w:rsid w:val="001F78FE"/>
    <w:rsid w:val="00200073"/>
    <w:rsid w:val="00200FCB"/>
    <w:rsid w:val="002068E6"/>
    <w:rsid w:val="0021171E"/>
    <w:rsid w:val="00221A2D"/>
    <w:rsid w:val="00223616"/>
    <w:rsid w:val="00224F8C"/>
    <w:rsid w:val="00232430"/>
    <w:rsid w:val="00233BB0"/>
    <w:rsid w:val="00240478"/>
    <w:rsid w:val="00251A23"/>
    <w:rsid w:val="002547FF"/>
    <w:rsid w:val="00257D20"/>
    <w:rsid w:val="00271519"/>
    <w:rsid w:val="0027238F"/>
    <w:rsid w:val="00283DBD"/>
    <w:rsid w:val="00284ACA"/>
    <w:rsid w:val="00286E82"/>
    <w:rsid w:val="00292EE6"/>
    <w:rsid w:val="00294519"/>
    <w:rsid w:val="0029657A"/>
    <w:rsid w:val="002A21C0"/>
    <w:rsid w:val="002A2EFC"/>
    <w:rsid w:val="002B0F41"/>
    <w:rsid w:val="002B70BC"/>
    <w:rsid w:val="002C0E18"/>
    <w:rsid w:val="002C7FF0"/>
    <w:rsid w:val="002D5213"/>
    <w:rsid w:val="002D5AAC"/>
    <w:rsid w:val="002D6D93"/>
    <w:rsid w:val="002E6A41"/>
    <w:rsid w:val="002E6C77"/>
    <w:rsid w:val="002F288B"/>
    <w:rsid w:val="002F7C7A"/>
    <w:rsid w:val="00301299"/>
    <w:rsid w:val="00301DCD"/>
    <w:rsid w:val="00302EC4"/>
    <w:rsid w:val="00317F5E"/>
    <w:rsid w:val="00322004"/>
    <w:rsid w:val="003273A2"/>
    <w:rsid w:val="00332F53"/>
    <w:rsid w:val="00336F45"/>
    <w:rsid w:val="003402C2"/>
    <w:rsid w:val="00342CAF"/>
    <w:rsid w:val="0034462B"/>
    <w:rsid w:val="003452F9"/>
    <w:rsid w:val="00367667"/>
    <w:rsid w:val="003707E6"/>
    <w:rsid w:val="00380A06"/>
    <w:rsid w:val="00381C24"/>
    <w:rsid w:val="00383AE8"/>
    <w:rsid w:val="00383F0C"/>
    <w:rsid w:val="0038472E"/>
    <w:rsid w:val="00390E49"/>
    <w:rsid w:val="00392E5D"/>
    <w:rsid w:val="00393173"/>
    <w:rsid w:val="00393BCE"/>
    <w:rsid w:val="00394F37"/>
    <w:rsid w:val="003956C3"/>
    <w:rsid w:val="003958D0"/>
    <w:rsid w:val="003968DB"/>
    <w:rsid w:val="00397CFD"/>
    <w:rsid w:val="00397E5D"/>
    <w:rsid w:val="003B00E5"/>
    <w:rsid w:val="003B02CF"/>
    <w:rsid w:val="003B06DA"/>
    <w:rsid w:val="003B69E2"/>
    <w:rsid w:val="003C2EA8"/>
    <w:rsid w:val="003C3377"/>
    <w:rsid w:val="003C4602"/>
    <w:rsid w:val="003E0AD6"/>
    <w:rsid w:val="003E36CD"/>
    <w:rsid w:val="003F2080"/>
    <w:rsid w:val="003F38ED"/>
    <w:rsid w:val="003F4815"/>
    <w:rsid w:val="003F5FE8"/>
    <w:rsid w:val="00404F22"/>
    <w:rsid w:val="00406921"/>
    <w:rsid w:val="00413E29"/>
    <w:rsid w:val="004149E1"/>
    <w:rsid w:val="00414A16"/>
    <w:rsid w:val="00427F10"/>
    <w:rsid w:val="00434F3E"/>
    <w:rsid w:val="00444FAB"/>
    <w:rsid w:val="00453603"/>
    <w:rsid w:val="00454CFE"/>
    <w:rsid w:val="00454E07"/>
    <w:rsid w:val="00457944"/>
    <w:rsid w:val="00460AF1"/>
    <w:rsid w:val="00463BD1"/>
    <w:rsid w:val="00465412"/>
    <w:rsid w:val="004665C3"/>
    <w:rsid w:val="004705A5"/>
    <w:rsid w:val="00472315"/>
    <w:rsid w:val="00474A51"/>
    <w:rsid w:val="00481689"/>
    <w:rsid w:val="004A1A32"/>
    <w:rsid w:val="004A1FF4"/>
    <w:rsid w:val="004A6FBB"/>
    <w:rsid w:val="004D2189"/>
    <w:rsid w:val="004D2C10"/>
    <w:rsid w:val="004D2D4D"/>
    <w:rsid w:val="004D3D0B"/>
    <w:rsid w:val="004D45DB"/>
    <w:rsid w:val="004D5212"/>
    <w:rsid w:val="004D5418"/>
    <w:rsid w:val="004D6071"/>
    <w:rsid w:val="004E23CD"/>
    <w:rsid w:val="004E6F91"/>
    <w:rsid w:val="004E7373"/>
    <w:rsid w:val="004E7E80"/>
    <w:rsid w:val="0050005C"/>
    <w:rsid w:val="0050108D"/>
    <w:rsid w:val="005059C0"/>
    <w:rsid w:val="005079E5"/>
    <w:rsid w:val="005113EA"/>
    <w:rsid w:val="005135D9"/>
    <w:rsid w:val="00515B0A"/>
    <w:rsid w:val="005221C5"/>
    <w:rsid w:val="00537986"/>
    <w:rsid w:val="0055308E"/>
    <w:rsid w:val="00555F97"/>
    <w:rsid w:val="00556197"/>
    <w:rsid w:val="00563B9D"/>
    <w:rsid w:val="005665ED"/>
    <w:rsid w:val="00572E19"/>
    <w:rsid w:val="0058246A"/>
    <w:rsid w:val="00590621"/>
    <w:rsid w:val="00590D4E"/>
    <w:rsid w:val="00595675"/>
    <w:rsid w:val="005A0251"/>
    <w:rsid w:val="005A1AA8"/>
    <w:rsid w:val="005A3509"/>
    <w:rsid w:val="005A3D11"/>
    <w:rsid w:val="005A715C"/>
    <w:rsid w:val="005B222B"/>
    <w:rsid w:val="005B4570"/>
    <w:rsid w:val="005C43E4"/>
    <w:rsid w:val="005C686E"/>
    <w:rsid w:val="005D17E3"/>
    <w:rsid w:val="005D24BB"/>
    <w:rsid w:val="005E3963"/>
    <w:rsid w:val="005E4278"/>
    <w:rsid w:val="005E67B8"/>
    <w:rsid w:val="005F0861"/>
    <w:rsid w:val="005F0B42"/>
    <w:rsid w:val="005F36F6"/>
    <w:rsid w:val="005F5693"/>
    <w:rsid w:val="00602E3F"/>
    <w:rsid w:val="006202C4"/>
    <w:rsid w:val="00620BE7"/>
    <w:rsid w:val="00623D55"/>
    <w:rsid w:val="00630EC6"/>
    <w:rsid w:val="00632EB6"/>
    <w:rsid w:val="006365BE"/>
    <w:rsid w:val="00644F20"/>
    <w:rsid w:val="00646BB6"/>
    <w:rsid w:val="00647D3B"/>
    <w:rsid w:val="00653273"/>
    <w:rsid w:val="00660AC1"/>
    <w:rsid w:val="00663271"/>
    <w:rsid w:val="00663C5C"/>
    <w:rsid w:val="00665D4A"/>
    <w:rsid w:val="00666938"/>
    <w:rsid w:val="00672E3B"/>
    <w:rsid w:val="00674845"/>
    <w:rsid w:val="00675399"/>
    <w:rsid w:val="00683051"/>
    <w:rsid w:val="006834FF"/>
    <w:rsid w:val="006850E0"/>
    <w:rsid w:val="00687FBC"/>
    <w:rsid w:val="00690062"/>
    <w:rsid w:val="006A7312"/>
    <w:rsid w:val="006A764B"/>
    <w:rsid w:val="006B2DA4"/>
    <w:rsid w:val="006B743E"/>
    <w:rsid w:val="006C1EF8"/>
    <w:rsid w:val="006C4E18"/>
    <w:rsid w:val="006D4168"/>
    <w:rsid w:val="006D4D43"/>
    <w:rsid w:val="006D6231"/>
    <w:rsid w:val="006D6B3E"/>
    <w:rsid w:val="006D7C1C"/>
    <w:rsid w:val="006D7D9F"/>
    <w:rsid w:val="006E25BB"/>
    <w:rsid w:val="006E6B29"/>
    <w:rsid w:val="006F35EE"/>
    <w:rsid w:val="007021FF"/>
    <w:rsid w:val="0070788E"/>
    <w:rsid w:val="00711CB0"/>
    <w:rsid w:val="00726894"/>
    <w:rsid w:val="00726F51"/>
    <w:rsid w:val="007358B2"/>
    <w:rsid w:val="007410B9"/>
    <w:rsid w:val="00757357"/>
    <w:rsid w:val="00764249"/>
    <w:rsid w:val="00775A4C"/>
    <w:rsid w:val="007775BF"/>
    <w:rsid w:val="0079249F"/>
    <w:rsid w:val="00793C91"/>
    <w:rsid w:val="007972A8"/>
    <w:rsid w:val="007A4C4D"/>
    <w:rsid w:val="007B29AD"/>
    <w:rsid w:val="007B7817"/>
    <w:rsid w:val="007C4E11"/>
    <w:rsid w:val="007C67D4"/>
    <w:rsid w:val="007D1A71"/>
    <w:rsid w:val="007E2774"/>
    <w:rsid w:val="007E302E"/>
    <w:rsid w:val="007E75F0"/>
    <w:rsid w:val="007E7907"/>
    <w:rsid w:val="007F3659"/>
    <w:rsid w:val="00810AF4"/>
    <w:rsid w:val="008148C3"/>
    <w:rsid w:val="00822B6B"/>
    <w:rsid w:val="008233D7"/>
    <w:rsid w:val="00824FE9"/>
    <w:rsid w:val="0082562C"/>
    <w:rsid w:val="0082699E"/>
    <w:rsid w:val="00834B71"/>
    <w:rsid w:val="00837160"/>
    <w:rsid w:val="00844407"/>
    <w:rsid w:val="00847929"/>
    <w:rsid w:val="008504FF"/>
    <w:rsid w:val="0085125E"/>
    <w:rsid w:val="00860F69"/>
    <w:rsid w:val="00863740"/>
    <w:rsid w:val="0086445C"/>
    <w:rsid w:val="00864A40"/>
    <w:rsid w:val="00876266"/>
    <w:rsid w:val="00881B36"/>
    <w:rsid w:val="00882CFE"/>
    <w:rsid w:val="008853FE"/>
    <w:rsid w:val="00886494"/>
    <w:rsid w:val="00891431"/>
    <w:rsid w:val="00892428"/>
    <w:rsid w:val="00894101"/>
    <w:rsid w:val="008A0698"/>
    <w:rsid w:val="008A08D7"/>
    <w:rsid w:val="008C1073"/>
    <w:rsid w:val="008D00D7"/>
    <w:rsid w:val="008D69A9"/>
    <w:rsid w:val="008F6A8B"/>
    <w:rsid w:val="008F7D5A"/>
    <w:rsid w:val="00906890"/>
    <w:rsid w:val="00910500"/>
    <w:rsid w:val="00917B13"/>
    <w:rsid w:val="009229E8"/>
    <w:rsid w:val="009251B0"/>
    <w:rsid w:val="0092704E"/>
    <w:rsid w:val="00930293"/>
    <w:rsid w:val="00936237"/>
    <w:rsid w:val="009378B5"/>
    <w:rsid w:val="009379A7"/>
    <w:rsid w:val="0095120E"/>
    <w:rsid w:val="00951972"/>
    <w:rsid w:val="0095674E"/>
    <w:rsid w:val="00960EC6"/>
    <w:rsid w:val="0096216B"/>
    <w:rsid w:val="00972285"/>
    <w:rsid w:val="00974092"/>
    <w:rsid w:val="00980462"/>
    <w:rsid w:val="00990876"/>
    <w:rsid w:val="009932F2"/>
    <w:rsid w:val="009952CE"/>
    <w:rsid w:val="009969F6"/>
    <w:rsid w:val="00996BF2"/>
    <w:rsid w:val="00996F78"/>
    <w:rsid w:val="009C0A83"/>
    <w:rsid w:val="009C1439"/>
    <w:rsid w:val="009C3E58"/>
    <w:rsid w:val="009C5BB8"/>
    <w:rsid w:val="009C7EF8"/>
    <w:rsid w:val="009E64EB"/>
    <w:rsid w:val="00A12110"/>
    <w:rsid w:val="00A13901"/>
    <w:rsid w:val="00A15364"/>
    <w:rsid w:val="00A16AB5"/>
    <w:rsid w:val="00A20C1A"/>
    <w:rsid w:val="00A232B3"/>
    <w:rsid w:val="00A2371A"/>
    <w:rsid w:val="00A4115F"/>
    <w:rsid w:val="00A502DB"/>
    <w:rsid w:val="00A553F0"/>
    <w:rsid w:val="00A57181"/>
    <w:rsid w:val="00A80C38"/>
    <w:rsid w:val="00A9086B"/>
    <w:rsid w:val="00A917B3"/>
    <w:rsid w:val="00A926E0"/>
    <w:rsid w:val="00A94D6D"/>
    <w:rsid w:val="00A94FAD"/>
    <w:rsid w:val="00AA11F3"/>
    <w:rsid w:val="00AA4352"/>
    <w:rsid w:val="00AB09A1"/>
    <w:rsid w:val="00AB4B51"/>
    <w:rsid w:val="00AB70A7"/>
    <w:rsid w:val="00AC5391"/>
    <w:rsid w:val="00AC77CF"/>
    <w:rsid w:val="00AD4AA1"/>
    <w:rsid w:val="00AD52D9"/>
    <w:rsid w:val="00AD52F8"/>
    <w:rsid w:val="00AE17A1"/>
    <w:rsid w:val="00AE743A"/>
    <w:rsid w:val="00AE7874"/>
    <w:rsid w:val="00AF63E2"/>
    <w:rsid w:val="00AF7C87"/>
    <w:rsid w:val="00B02DF1"/>
    <w:rsid w:val="00B07F48"/>
    <w:rsid w:val="00B10CC7"/>
    <w:rsid w:val="00B15670"/>
    <w:rsid w:val="00B22789"/>
    <w:rsid w:val="00B230DA"/>
    <w:rsid w:val="00B24A25"/>
    <w:rsid w:val="00B304D1"/>
    <w:rsid w:val="00B31173"/>
    <w:rsid w:val="00B31513"/>
    <w:rsid w:val="00B35206"/>
    <w:rsid w:val="00B36EE6"/>
    <w:rsid w:val="00B43F85"/>
    <w:rsid w:val="00B47418"/>
    <w:rsid w:val="00B53BF7"/>
    <w:rsid w:val="00B5556F"/>
    <w:rsid w:val="00B57EFB"/>
    <w:rsid w:val="00B62458"/>
    <w:rsid w:val="00B660F1"/>
    <w:rsid w:val="00B73899"/>
    <w:rsid w:val="00B73D8E"/>
    <w:rsid w:val="00B95DD0"/>
    <w:rsid w:val="00BA56B6"/>
    <w:rsid w:val="00BA6C95"/>
    <w:rsid w:val="00BB2F80"/>
    <w:rsid w:val="00BB6203"/>
    <w:rsid w:val="00BC1EA9"/>
    <w:rsid w:val="00BD33EE"/>
    <w:rsid w:val="00BF024B"/>
    <w:rsid w:val="00BF429E"/>
    <w:rsid w:val="00C00856"/>
    <w:rsid w:val="00C12D18"/>
    <w:rsid w:val="00C12E1B"/>
    <w:rsid w:val="00C13132"/>
    <w:rsid w:val="00C164D6"/>
    <w:rsid w:val="00C20962"/>
    <w:rsid w:val="00C22774"/>
    <w:rsid w:val="00C24133"/>
    <w:rsid w:val="00C33E5B"/>
    <w:rsid w:val="00C40EEF"/>
    <w:rsid w:val="00C4146B"/>
    <w:rsid w:val="00C44CCD"/>
    <w:rsid w:val="00C50345"/>
    <w:rsid w:val="00C50E3E"/>
    <w:rsid w:val="00C60F0C"/>
    <w:rsid w:val="00C664DD"/>
    <w:rsid w:val="00C704FF"/>
    <w:rsid w:val="00C805C9"/>
    <w:rsid w:val="00C861AB"/>
    <w:rsid w:val="00C8704E"/>
    <w:rsid w:val="00C879FE"/>
    <w:rsid w:val="00C9348E"/>
    <w:rsid w:val="00C941CB"/>
    <w:rsid w:val="00C95A3A"/>
    <w:rsid w:val="00CA1679"/>
    <w:rsid w:val="00CA326C"/>
    <w:rsid w:val="00CA3B99"/>
    <w:rsid w:val="00CA6349"/>
    <w:rsid w:val="00CB503D"/>
    <w:rsid w:val="00CB7F2E"/>
    <w:rsid w:val="00CC027F"/>
    <w:rsid w:val="00CC3CD1"/>
    <w:rsid w:val="00CD36F3"/>
    <w:rsid w:val="00CE0CD4"/>
    <w:rsid w:val="00CE5D33"/>
    <w:rsid w:val="00CE6452"/>
    <w:rsid w:val="00CE7907"/>
    <w:rsid w:val="00CF1395"/>
    <w:rsid w:val="00CF13A4"/>
    <w:rsid w:val="00CF1456"/>
    <w:rsid w:val="00D059ED"/>
    <w:rsid w:val="00D05D0D"/>
    <w:rsid w:val="00D07131"/>
    <w:rsid w:val="00D13F7D"/>
    <w:rsid w:val="00D2037A"/>
    <w:rsid w:val="00D26F11"/>
    <w:rsid w:val="00D33641"/>
    <w:rsid w:val="00D33D63"/>
    <w:rsid w:val="00D4001E"/>
    <w:rsid w:val="00D425E2"/>
    <w:rsid w:val="00D5342B"/>
    <w:rsid w:val="00D60A11"/>
    <w:rsid w:val="00D6197F"/>
    <w:rsid w:val="00D657D9"/>
    <w:rsid w:val="00D83AD8"/>
    <w:rsid w:val="00D87F3B"/>
    <w:rsid w:val="00D90138"/>
    <w:rsid w:val="00D923BA"/>
    <w:rsid w:val="00D92C0A"/>
    <w:rsid w:val="00DA08F0"/>
    <w:rsid w:val="00DA487E"/>
    <w:rsid w:val="00DA5D55"/>
    <w:rsid w:val="00DB0F4A"/>
    <w:rsid w:val="00DB6076"/>
    <w:rsid w:val="00DB6EE1"/>
    <w:rsid w:val="00DC025F"/>
    <w:rsid w:val="00DC036C"/>
    <w:rsid w:val="00DC7E27"/>
    <w:rsid w:val="00DD1E77"/>
    <w:rsid w:val="00DE6046"/>
    <w:rsid w:val="00DF20EE"/>
    <w:rsid w:val="00DF4191"/>
    <w:rsid w:val="00E023B2"/>
    <w:rsid w:val="00E11972"/>
    <w:rsid w:val="00E11C94"/>
    <w:rsid w:val="00E13377"/>
    <w:rsid w:val="00E17493"/>
    <w:rsid w:val="00E17D97"/>
    <w:rsid w:val="00E234AD"/>
    <w:rsid w:val="00E2391B"/>
    <w:rsid w:val="00E25054"/>
    <w:rsid w:val="00E27B39"/>
    <w:rsid w:val="00E30373"/>
    <w:rsid w:val="00E34D9C"/>
    <w:rsid w:val="00E35A7C"/>
    <w:rsid w:val="00E40314"/>
    <w:rsid w:val="00E43F9C"/>
    <w:rsid w:val="00E44B3D"/>
    <w:rsid w:val="00E455AD"/>
    <w:rsid w:val="00E63C9A"/>
    <w:rsid w:val="00E67254"/>
    <w:rsid w:val="00E67C27"/>
    <w:rsid w:val="00E73F76"/>
    <w:rsid w:val="00E82545"/>
    <w:rsid w:val="00E84299"/>
    <w:rsid w:val="00E905BF"/>
    <w:rsid w:val="00E96256"/>
    <w:rsid w:val="00E96F0F"/>
    <w:rsid w:val="00E977DA"/>
    <w:rsid w:val="00EA05B3"/>
    <w:rsid w:val="00EA5973"/>
    <w:rsid w:val="00EA5A97"/>
    <w:rsid w:val="00EA79F7"/>
    <w:rsid w:val="00EB276C"/>
    <w:rsid w:val="00EB3D87"/>
    <w:rsid w:val="00EC2B66"/>
    <w:rsid w:val="00EC2B77"/>
    <w:rsid w:val="00ED0699"/>
    <w:rsid w:val="00ED2C90"/>
    <w:rsid w:val="00ED744B"/>
    <w:rsid w:val="00EF1360"/>
    <w:rsid w:val="00EF3220"/>
    <w:rsid w:val="00EF48F8"/>
    <w:rsid w:val="00EF4D88"/>
    <w:rsid w:val="00EF5A2B"/>
    <w:rsid w:val="00EF7E1E"/>
    <w:rsid w:val="00F03A36"/>
    <w:rsid w:val="00F1346C"/>
    <w:rsid w:val="00F15795"/>
    <w:rsid w:val="00F17241"/>
    <w:rsid w:val="00F202FC"/>
    <w:rsid w:val="00F206A9"/>
    <w:rsid w:val="00F2520F"/>
    <w:rsid w:val="00F32DF1"/>
    <w:rsid w:val="00F5254B"/>
    <w:rsid w:val="00F52E7F"/>
    <w:rsid w:val="00F53DC6"/>
    <w:rsid w:val="00F61C0B"/>
    <w:rsid w:val="00F80811"/>
    <w:rsid w:val="00F81950"/>
    <w:rsid w:val="00F85BC0"/>
    <w:rsid w:val="00F922D6"/>
    <w:rsid w:val="00F94155"/>
    <w:rsid w:val="00FA18D4"/>
    <w:rsid w:val="00FA7D8E"/>
    <w:rsid w:val="00FB60D1"/>
    <w:rsid w:val="00FC23E5"/>
    <w:rsid w:val="00FD0043"/>
    <w:rsid w:val="00FD2EF7"/>
    <w:rsid w:val="00FE04AD"/>
    <w:rsid w:val="00FF4A14"/>
    <w:rsid w:val="00FF5615"/>
    <w:rsid w:val="00FF5D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footer" w:uiPriority="99"/>
    <w:lsdException w:name="caption" w:semiHidden="0" w:uiPriority="35" w:unhideWhenUsed="0" w:qFormat="1"/>
    <w:lsdException w:name="table of figures" w:uiPriority="99"/>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D0"/>
    <w:pPr>
      <w:spacing w:line="240" w:lineRule="atLeast"/>
    </w:pPr>
    <w:rPr>
      <w:lang w:val="es-ES" w:eastAsia="es-ES"/>
    </w:rPr>
  </w:style>
  <w:style w:type="paragraph" w:styleId="Heading1">
    <w:name w:val="heading 1"/>
    <w:aliases w:val="Table_G"/>
    <w:basedOn w:val="SingleTxtG"/>
    <w:next w:val="SingleTxtG"/>
    <w:link w:val="Heading1Char"/>
    <w:uiPriority w:val="9"/>
    <w:qFormat/>
    <w:rsid w:val="001952D0"/>
    <w:pPr>
      <w:keepNext/>
      <w:spacing w:after="0" w:line="240" w:lineRule="auto"/>
      <w:outlineLvl w:val="0"/>
    </w:pPr>
    <w:rPr>
      <w:bCs/>
      <w:szCs w:val="32"/>
    </w:rPr>
  </w:style>
  <w:style w:type="paragraph" w:styleId="Heading2">
    <w:name w:val="heading 2"/>
    <w:basedOn w:val="Normal"/>
    <w:next w:val="Normal"/>
    <w:link w:val="Heading2Char"/>
    <w:uiPriority w:val="9"/>
    <w:qFormat/>
    <w:rsid w:val="001952D0"/>
    <w:pPr>
      <w:keepNext/>
      <w:outlineLvl w:val="1"/>
    </w:pPr>
    <w:rPr>
      <w:bCs/>
      <w:iCs/>
      <w:szCs w:val="28"/>
    </w:rPr>
  </w:style>
  <w:style w:type="paragraph" w:styleId="Heading3">
    <w:name w:val="heading 3"/>
    <w:basedOn w:val="Normal"/>
    <w:next w:val="Normal"/>
    <w:link w:val="Heading3Char"/>
    <w:uiPriority w:val="9"/>
    <w:qFormat/>
    <w:rsid w:val="001952D0"/>
    <w:pPr>
      <w:keepNext/>
      <w:spacing w:before="240" w:after="60"/>
      <w:outlineLvl w:val="2"/>
    </w:pPr>
    <w:rPr>
      <w:rFonts w:ascii="Arial" w:hAnsi="Arial"/>
      <w:b/>
      <w:bCs/>
      <w:sz w:val="26"/>
      <w:szCs w:val="26"/>
    </w:rPr>
  </w:style>
  <w:style w:type="paragraph" w:styleId="Heading4">
    <w:name w:val="heading 4"/>
    <w:basedOn w:val="Normal"/>
    <w:next w:val="Normal"/>
    <w:qFormat/>
    <w:rsid w:val="001952D0"/>
    <w:pPr>
      <w:keepNext/>
      <w:spacing w:before="240" w:after="60"/>
      <w:outlineLvl w:val="3"/>
    </w:pPr>
    <w:rPr>
      <w:b/>
      <w:bCs/>
      <w:sz w:val="28"/>
      <w:szCs w:val="28"/>
    </w:rPr>
  </w:style>
  <w:style w:type="paragraph" w:styleId="Heading5">
    <w:name w:val="heading 5"/>
    <w:basedOn w:val="Normal"/>
    <w:next w:val="Normal"/>
    <w:link w:val="Heading5Char"/>
    <w:qFormat/>
    <w:rsid w:val="001952D0"/>
    <w:pPr>
      <w:spacing w:before="240" w:after="60"/>
      <w:outlineLvl w:val="4"/>
    </w:pPr>
    <w:rPr>
      <w:b/>
      <w:bCs/>
      <w:i/>
      <w:iCs/>
      <w:sz w:val="26"/>
      <w:szCs w:val="26"/>
    </w:rPr>
  </w:style>
  <w:style w:type="paragraph" w:styleId="Heading6">
    <w:name w:val="heading 6"/>
    <w:basedOn w:val="Normal"/>
    <w:next w:val="Normal"/>
    <w:qFormat/>
    <w:rsid w:val="001952D0"/>
    <w:pPr>
      <w:spacing w:before="240" w:after="60"/>
      <w:outlineLvl w:val="5"/>
    </w:pPr>
    <w:rPr>
      <w:b/>
      <w:bCs/>
      <w:sz w:val="22"/>
      <w:szCs w:val="22"/>
    </w:rPr>
  </w:style>
  <w:style w:type="paragraph" w:styleId="Heading7">
    <w:name w:val="heading 7"/>
    <w:basedOn w:val="Normal"/>
    <w:next w:val="Normal"/>
    <w:qFormat/>
    <w:rsid w:val="001952D0"/>
    <w:pPr>
      <w:spacing w:before="240" w:after="60"/>
      <w:outlineLvl w:val="6"/>
    </w:pPr>
    <w:rPr>
      <w:sz w:val="24"/>
      <w:szCs w:val="24"/>
    </w:rPr>
  </w:style>
  <w:style w:type="paragraph" w:styleId="Heading8">
    <w:name w:val="heading 8"/>
    <w:basedOn w:val="Normal"/>
    <w:next w:val="Normal"/>
    <w:qFormat/>
    <w:rsid w:val="001952D0"/>
    <w:pPr>
      <w:spacing w:before="240" w:after="60"/>
      <w:outlineLvl w:val="7"/>
    </w:pPr>
    <w:rPr>
      <w:i/>
      <w:iCs/>
      <w:sz w:val="24"/>
      <w:szCs w:val="24"/>
    </w:rPr>
  </w:style>
  <w:style w:type="paragraph" w:styleId="Heading9">
    <w:name w:val="heading 9"/>
    <w:basedOn w:val="Normal"/>
    <w:next w:val="Normal"/>
    <w:qFormat/>
    <w:rsid w:val="001952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1952D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1952D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1952D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1952D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1952D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1952D0"/>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rsid w:val="001952D0"/>
    <w:pPr>
      <w:spacing w:after="120"/>
      <w:ind w:left="1134" w:right="1134"/>
      <w:jc w:val="both"/>
    </w:pPr>
  </w:style>
  <w:style w:type="paragraph" w:customStyle="1" w:styleId="SLG">
    <w:name w:val="__S_L_G"/>
    <w:basedOn w:val="Normal"/>
    <w:next w:val="Normal"/>
    <w:rsid w:val="001952D0"/>
    <w:pPr>
      <w:keepNext/>
      <w:keepLines/>
      <w:spacing w:before="240" w:after="240" w:line="580" w:lineRule="exact"/>
      <w:ind w:left="1134" w:right="1134"/>
    </w:pPr>
    <w:rPr>
      <w:b/>
      <w:sz w:val="56"/>
    </w:rPr>
  </w:style>
  <w:style w:type="paragraph" w:customStyle="1" w:styleId="SMG">
    <w:name w:val="__S_M_G"/>
    <w:basedOn w:val="Normal"/>
    <w:next w:val="Normal"/>
    <w:rsid w:val="001952D0"/>
    <w:pPr>
      <w:keepNext/>
      <w:keepLines/>
      <w:suppressAutoHyphens/>
      <w:spacing w:before="240" w:after="240" w:line="420" w:lineRule="exact"/>
      <w:ind w:left="1134" w:right="1134"/>
    </w:pPr>
    <w:rPr>
      <w:b/>
      <w:sz w:val="40"/>
    </w:rPr>
  </w:style>
  <w:style w:type="paragraph" w:customStyle="1" w:styleId="SSG">
    <w:name w:val="__S_S_G"/>
    <w:basedOn w:val="Normal"/>
    <w:next w:val="Normal"/>
    <w:rsid w:val="001952D0"/>
    <w:pPr>
      <w:keepNext/>
      <w:keepLines/>
      <w:spacing w:before="240" w:after="240" w:line="300" w:lineRule="exact"/>
      <w:ind w:left="1134" w:right="1134"/>
    </w:pPr>
    <w:rPr>
      <w:b/>
      <w:sz w:val="28"/>
    </w:rPr>
  </w:style>
  <w:style w:type="paragraph" w:customStyle="1" w:styleId="XLargeG">
    <w:name w:val="__XLarge_G"/>
    <w:basedOn w:val="Normal"/>
    <w:next w:val="Normal"/>
    <w:rsid w:val="001952D0"/>
    <w:pPr>
      <w:keepNext/>
      <w:keepLines/>
      <w:spacing w:before="240" w:after="240" w:line="420" w:lineRule="exact"/>
      <w:ind w:left="1134" w:right="1134"/>
    </w:pPr>
    <w:rPr>
      <w:b/>
      <w:sz w:val="40"/>
    </w:rPr>
  </w:style>
  <w:style w:type="paragraph" w:customStyle="1" w:styleId="Bullet1G">
    <w:name w:val="_Bullet 1_G"/>
    <w:basedOn w:val="Normal"/>
    <w:rsid w:val="001952D0"/>
    <w:pPr>
      <w:numPr>
        <w:numId w:val="1"/>
      </w:numPr>
      <w:spacing w:after="120"/>
      <w:ind w:right="1134"/>
      <w:jc w:val="both"/>
    </w:pPr>
    <w:rPr>
      <w:lang w:eastAsia="en-US"/>
    </w:rPr>
  </w:style>
  <w:style w:type="paragraph" w:customStyle="1" w:styleId="Bullet2G">
    <w:name w:val="_Bullet 2_G"/>
    <w:basedOn w:val="Normal"/>
    <w:rsid w:val="001952D0"/>
    <w:pPr>
      <w:numPr>
        <w:numId w:val="2"/>
      </w:numPr>
      <w:spacing w:after="120"/>
      <w:ind w:right="1134"/>
      <w:jc w:val="both"/>
    </w:pPr>
  </w:style>
  <w:style w:type="numbering" w:styleId="111111">
    <w:name w:val="Outline List 2"/>
    <w:basedOn w:val="NoList"/>
    <w:semiHidden/>
    <w:rsid w:val="001952D0"/>
    <w:pPr>
      <w:numPr>
        <w:numId w:val="3"/>
      </w:numPr>
    </w:pPr>
  </w:style>
  <w:style w:type="numbering" w:styleId="1ai">
    <w:name w:val="Outline List 1"/>
    <w:basedOn w:val="NoList"/>
    <w:semiHidden/>
    <w:rsid w:val="001952D0"/>
    <w:pPr>
      <w:numPr>
        <w:numId w:val="4"/>
      </w:numPr>
    </w:pPr>
  </w:style>
  <w:style w:type="character" w:styleId="HTMLAcronym">
    <w:name w:val="HTML Acronym"/>
    <w:basedOn w:val="DefaultParagraphFont"/>
    <w:semiHidden/>
    <w:rsid w:val="001952D0"/>
  </w:style>
  <w:style w:type="numbering" w:styleId="ArticleSection">
    <w:name w:val="Outline List 3"/>
    <w:basedOn w:val="NoList"/>
    <w:semiHidden/>
    <w:rsid w:val="001952D0"/>
    <w:pPr>
      <w:numPr>
        <w:numId w:val="5"/>
      </w:numPr>
    </w:pPr>
  </w:style>
  <w:style w:type="paragraph" w:styleId="Closing">
    <w:name w:val="Closing"/>
    <w:basedOn w:val="Normal"/>
    <w:semiHidden/>
    <w:rsid w:val="001952D0"/>
    <w:pPr>
      <w:ind w:left="4252"/>
    </w:pPr>
  </w:style>
  <w:style w:type="character" w:styleId="HTMLCite">
    <w:name w:val="HTML Cite"/>
    <w:semiHidden/>
    <w:rsid w:val="001952D0"/>
    <w:rPr>
      <w:i/>
      <w:iCs/>
    </w:rPr>
  </w:style>
  <w:style w:type="character" w:styleId="HTMLCode">
    <w:name w:val="HTML Code"/>
    <w:semiHidden/>
    <w:rsid w:val="001952D0"/>
    <w:rPr>
      <w:rFonts w:ascii="Courier New" w:hAnsi="Courier New" w:cs="Courier New"/>
      <w:sz w:val="20"/>
      <w:szCs w:val="20"/>
    </w:rPr>
  </w:style>
  <w:style w:type="paragraph" w:styleId="ListContinue">
    <w:name w:val="List Continue"/>
    <w:basedOn w:val="Normal"/>
    <w:semiHidden/>
    <w:rsid w:val="001952D0"/>
    <w:pPr>
      <w:spacing w:after="120"/>
      <w:ind w:left="283"/>
    </w:pPr>
  </w:style>
  <w:style w:type="paragraph" w:styleId="ListContinue2">
    <w:name w:val="List Continue 2"/>
    <w:basedOn w:val="Normal"/>
    <w:semiHidden/>
    <w:rsid w:val="001952D0"/>
    <w:pPr>
      <w:spacing w:after="120"/>
      <w:ind w:left="566"/>
    </w:pPr>
  </w:style>
  <w:style w:type="paragraph" w:styleId="ListContinue3">
    <w:name w:val="List Continue 3"/>
    <w:basedOn w:val="Normal"/>
    <w:semiHidden/>
    <w:rsid w:val="001952D0"/>
    <w:pPr>
      <w:spacing w:after="120"/>
      <w:ind w:left="849"/>
    </w:pPr>
  </w:style>
  <w:style w:type="paragraph" w:styleId="ListContinue4">
    <w:name w:val="List Continue 4"/>
    <w:basedOn w:val="Normal"/>
    <w:semiHidden/>
    <w:rsid w:val="001952D0"/>
    <w:pPr>
      <w:spacing w:after="120"/>
      <w:ind w:left="1132"/>
    </w:pPr>
  </w:style>
  <w:style w:type="paragraph" w:styleId="ListContinue5">
    <w:name w:val="List Continue 5"/>
    <w:basedOn w:val="Normal"/>
    <w:semiHidden/>
    <w:rsid w:val="001952D0"/>
    <w:pPr>
      <w:spacing w:after="120"/>
      <w:ind w:left="1415"/>
    </w:pPr>
  </w:style>
  <w:style w:type="character" w:styleId="HTMLDefinition">
    <w:name w:val="HTML Definition"/>
    <w:semiHidden/>
    <w:rsid w:val="001952D0"/>
    <w:rPr>
      <w:i/>
      <w:iCs/>
    </w:rPr>
  </w:style>
  <w:style w:type="paragraph" w:styleId="HTMLAddress">
    <w:name w:val="HTML Address"/>
    <w:basedOn w:val="Normal"/>
    <w:semiHidden/>
    <w:rsid w:val="001952D0"/>
    <w:rPr>
      <w:i/>
      <w:iCs/>
    </w:rPr>
  </w:style>
  <w:style w:type="paragraph" w:styleId="EnvelopeAddress">
    <w:name w:val="envelope address"/>
    <w:basedOn w:val="Normal"/>
    <w:semiHidden/>
    <w:rsid w:val="001952D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1952D0"/>
    <w:rPr>
      <w:rFonts w:ascii="Courier New" w:hAnsi="Courier New" w:cs="Courier New"/>
    </w:rPr>
  </w:style>
  <w:style w:type="paragraph" w:styleId="MessageHeader">
    <w:name w:val="Message Header"/>
    <w:basedOn w:val="Normal"/>
    <w:semiHidden/>
    <w:rsid w:val="001952D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1952D0"/>
  </w:style>
  <w:style w:type="paragraph" w:styleId="Header">
    <w:name w:val="header"/>
    <w:aliases w:val="6_G"/>
    <w:basedOn w:val="Normal"/>
    <w:next w:val="Normal"/>
    <w:link w:val="HeaderChar"/>
    <w:uiPriority w:val="99"/>
    <w:rsid w:val="001952D0"/>
    <w:pPr>
      <w:pBdr>
        <w:bottom w:val="single" w:sz="4" w:space="4" w:color="auto"/>
      </w:pBdr>
      <w:spacing w:line="240" w:lineRule="auto"/>
    </w:pPr>
    <w:rPr>
      <w:b/>
      <w:sz w:val="18"/>
    </w:rPr>
  </w:style>
  <w:style w:type="character" w:styleId="Emphasis">
    <w:name w:val="Emphasis"/>
    <w:uiPriority w:val="20"/>
    <w:qFormat/>
    <w:rsid w:val="001952D0"/>
    <w:rPr>
      <w:i/>
      <w:iCs/>
    </w:rPr>
  </w:style>
  <w:style w:type="paragraph" w:styleId="Date">
    <w:name w:val="Date"/>
    <w:basedOn w:val="Normal"/>
    <w:next w:val="Normal"/>
    <w:semiHidden/>
    <w:rsid w:val="001952D0"/>
  </w:style>
  <w:style w:type="paragraph" w:styleId="Signature">
    <w:name w:val="Signature"/>
    <w:basedOn w:val="Normal"/>
    <w:semiHidden/>
    <w:rsid w:val="001952D0"/>
    <w:pPr>
      <w:ind w:left="4252"/>
    </w:pPr>
  </w:style>
  <w:style w:type="paragraph" w:styleId="E-mailSignature">
    <w:name w:val="E-mail Signature"/>
    <w:basedOn w:val="Normal"/>
    <w:semiHidden/>
    <w:rsid w:val="001952D0"/>
  </w:style>
  <w:style w:type="character" w:styleId="Hyperlink">
    <w:name w:val="Hyperlink"/>
    <w:uiPriority w:val="99"/>
    <w:rsid w:val="001952D0"/>
    <w:rPr>
      <w:color w:val="0000FF"/>
      <w:u w:val="single"/>
    </w:rPr>
  </w:style>
  <w:style w:type="character" w:styleId="FollowedHyperlink">
    <w:name w:val="FollowedHyperlink"/>
    <w:semiHidden/>
    <w:rsid w:val="001952D0"/>
    <w:rPr>
      <w:color w:val="800080"/>
      <w:u w:val="single"/>
    </w:rPr>
  </w:style>
  <w:style w:type="paragraph" w:styleId="HTMLPreformatted">
    <w:name w:val="HTML Preformatted"/>
    <w:basedOn w:val="Normal"/>
    <w:semiHidden/>
    <w:rsid w:val="001952D0"/>
    <w:rPr>
      <w:rFonts w:ascii="Courier New" w:hAnsi="Courier New" w:cs="Courier New"/>
    </w:rPr>
  </w:style>
  <w:style w:type="paragraph" w:styleId="List">
    <w:name w:val="List"/>
    <w:basedOn w:val="Normal"/>
    <w:semiHidden/>
    <w:rsid w:val="001952D0"/>
    <w:pPr>
      <w:ind w:left="283" w:hanging="283"/>
    </w:pPr>
  </w:style>
  <w:style w:type="paragraph" w:styleId="List2">
    <w:name w:val="List 2"/>
    <w:basedOn w:val="Normal"/>
    <w:semiHidden/>
    <w:rsid w:val="001952D0"/>
    <w:pPr>
      <w:ind w:left="566" w:hanging="283"/>
    </w:pPr>
  </w:style>
  <w:style w:type="paragraph" w:styleId="List3">
    <w:name w:val="List 3"/>
    <w:basedOn w:val="Normal"/>
    <w:semiHidden/>
    <w:rsid w:val="001952D0"/>
    <w:pPr>
      <w:ind w:left="849" w:hanging="283"/>
    </w:pPr>
  </w:style>
  <w:style w:type="paragraph" w:styleId="List4">
    <w:name w:val="List 4"/>
    <w:basedOn w:val="Normal"/>
    <w:semiHidden/>
    <w:rsid w:val="001952D0"/>
    <w:pPr>
      <w:ind w:left="1132" w:hanging="283"/>
    </w:pPr>
  </w:style>
  <w:style w:type="paragraph" w:styleId="List5">
    <w:name w:val="List 5"/>
    <w:basedOn w:val="Normal"/>
    <w:semiHidden/>
    <w:rsid w:val="001952D0"/>
    <w:pPr>
      <w:ind w:left="1415" w:hanging="283"/>
    </w:pPr>
  </w:style>
  <w:style w:type="paragraph" w:styleId="ListNumber">
    <w:name w:val="List Number"/>
    <w:basedOn w:val="Normal"/>
    <w:semiHidden/>
    <w:rsid w:val="001952D0"/>
    <w:pPr>
      <w:numPr>
        <w:numId w:val="6"/>
      </w:numPr>
    </w:pPr>
  </w:style>
  <w:style w:type="paragraph" w:styleId="ListNumber2">
    <w:name w:val="List Number 2"/>
    <w:basedOn w:val="Normal"/>
    <w:semiHidden/>
    <w:rsid w:val="001952D0"/>
    <w:pPr>
      <w:numPr>
        <w:numId w:val="7"/>
      </w:numPr>
    </w:pPr>
  </w:style>
  <w:style w:type="paragraph" w:styleId="ListNumber3">
    <w:name w:val="List Number 3"/>
    <w:basedOn w:val="Normal"/>
    <w:semiHidden/>
    <w:rsid w:val="001952D0"/>
    <w:pPr>
      <w:numPr>
        <w:numId w:val="8"/>
      </w:numPr>
    </w:pPr>
  </w:style>
  <w:style w:type="paragraph" w:styleId="ListNumber4">
    <w:name w:val="List Number 4"/>
    <w:basedOn w:val="Normal"/>
    <w:semiHidden/>
    <w:rsid w:val="001952D0"/>
    <w:pPr>
      <w:numPr>
        <w:numId w:val="9"/>
      </w:numPr>
    </w:pPr>
  </w:style>
  <w:style w:type="paragraph" w:styleId="ListNumber5">
    <w:name w:val="List Number 5"/>
    <w:basedOn w:val="Normal"/>
    <w:semiHidden/>
    <w:rsid w:val="001952D0"/>
    <w:pPr>
      <w:numPr>
        <w:numId w:val="10"/>
      </w:numPr>
    </w:pPr>
  </w:style>
  <w:style w:type="paragraph" w:styleId="ListBullet">
    <w:name w:val="List Bullet"/>
    <w:basedOn w:val="Normal"/>
    <w:semiHidden/>
    <w:rsid w:val="001952D0"/>
    <w:pPr>
      <w:numPr>
        <w:numId w:val="11"/>
      </w:numPr>
    </w:pPr>
  </w:style>
  <w:style w:type="paragraph" w:styleId="ListBullet2">
    <w:name w:val="List Bullet 2"/>
    <w:basedOn w:val="Normal"/>
    <w:semiHidden/>
    <w:rsid w:val="001952D0"/>
    <w:pPr>
      <w:numPr>
        <w:numId w:val="12"/>
      </w:numPr>
    </w:pPr>
  </w:style>
  <w:style w:type="paragraph" w:styleId="ListBullet3">
    <w:name w:val="List Bullet 3"/>
    <w:basedOn w:val="Normal"/>
    <w:semiHidden/>
    <w:rsid w:val="001952D0"/>
    <w:pPr>
      <w:numPr>
        <w:numId w:val="13"/>
      </w:numPr>
    </w:pPr>
  </w:style>
  <w:style w:type="paragraph" w:styleId="ListBullet4">
    <w:name w:val="List Bullet 4"/>
    <w:basedOn w:val="Normal"/>
    <w:semiHidden/>
    <w:rsid w:val="001952D0"/>
    <w:pPr>
      <w:numPr>
        <w:numId w:val="14"/>
      </w:numPr>
    </w:pPr>
  </w:style>
  <w:style w:type="paragraph" w:styleId="ListBullet5">
    <w:name w:val="List Bullet 5"/>
    <w:basedOn w:val="Normal"/>
    <w:semiHidden/>
    <w:rsid w:val="001952D0"/>
    <w:pPr>
      <w:numPr>
        <w:numId w:val="15"/>
      </w:numPr>
    </w:pPr>
  </w:style>
  <w:style w:type="character" w:styleId="HTMLTypewriter">
    <w:name w:val="HTML Typewriter"/>
    <w:semiHidden/>
    <w:rsid w:val="001952D0"/>
    <w:rPr>
      <w:rFonts w:ascii="Courier New" w:hAnsi="Courier New" w:cs="Courier New"/>
      <w:sz w:val="20"/>
      <w:szCs w:val="20"/>
    </w:rPr>
  </w:style>
  <w:style w:type="paragraph" w:styleId="NormalWeb">
    <w:name w:val="Normal (Web)"/>
    <w:basedOn w:val="Normal"/>
    <w:semiHidden/>
    <w:rsid w:val="001952D0"/>
    <w:rPr>
      <w:sz w:val="24"/>
      <w:szCs w:val="24"/>
    </w:rPr>
  </w:style>
  <w:style w:type="character" w:styleId="LineNumber">
    <w:name w:val="line number"/>
    <w:basedOn w:val="DefaultParagraphFont"/>
    <w:semiHidden/>
    <w:rsid w:val="001952D0"/>
  </w:style>
  <w:style w:type="character" w:styleId="PageNumber">
    <w:name w:val="page number"/>
    <w:aliases w:val="7_G"/>
    <w:rsid w:val="001952D0"/>
    <w:rPr>
      <w:b/>
      <w:sz w:val="18"/>
    </w:rPr>
  </w:style>
  <w:style w:type="paragraph" w:styleId="Footer">
    <w:name w:val="footer"/>
    <w:aliases w:val="3_G"/>
    <w:basedOn w:val="Normal"/>
    <w:next w:val="Normal"/>
    <w:link w:val="FooterChar"/>
    <w:uiPriority w:val="99"/>
    <w:rsid w:val="001952D0"/>
    <w:rPr>
      <w:sz w:val="16"/>
    </w:rPr>
  </w:style>
  <w:style w:type="character" w:styleId="FootnoteReference">
    <w:name w:val="footnote reference"/>
    <w:aliases w:val="4_G"/>
    <w:qFormat/>
    <w:rsid w:val="009C5BB8"/>
    <w:rPr>
      <w:rFonts w:ascii="Times New Roman" w:hAnsi="Times New Roman"/>
      <w:sz w:val="18"/>
      <w:vertAlign w:val="superscript"/>
    </w:rPr>
  </w:style>
  <w:style w:type="character" w:styleId="EndnoteReference">
    <w:name w:val="endnote reference"/>
    <w:aliases w:val="1_G"/>
    <w:rsid w:val="001952D0"/>
    <w:rPr>
      <w:rFonts w:ascii="Times New Roman" w:hAnsi="Times New Roman"/>
      <w:sz w:val="18"/>
      <w:vertAlign w:val="superscript"/>
    </w:rPr>
  </w:style>
  <w:style w:type="paragraph" w:styleId="EnvelopeReturn">
    <w:name w:val="envelope return"/>
    <w:basedOn w:val="Normal"/>
    <w:semiHidden/>
    <w:rsid w:val="001952D0"/>
    <w:rPr>
      <w:rFonts w:ascii="Arial" w:hAnsi="Arial" w:cs="Arial"/>
    </w:rPr>
  </w:style>
  <w:style w:type="paragraph" w:styleId="Salutation">
    <w:name w:val="Salutation"/>
    <w:basedOn w:val="Normal"/>
    <w:next w:val="Normal"/>
    <w:semiHidden/>
    <w:rsid w:val="001952D0"/>
  </w:style>
  <w:style w:type="paragraph" w:styleId="BodyTextIndent2">
    <w:name w:val="Body Text Indent 2"/>
    <w:basedOn w:val="Normal"/>
    <w:semiHidden/>
    <w:rsid w:val="001952D0"/>
    <w:pPr>
      <w:spacing w:after="120" w:line="480" w:lineRule="auto"/>
      <w:ind w:left="283"/>
    </w:pPr>
  </w:style>
  <w:style w:type="paragraph" w:styleId="BodyTextIndent3">
    <w:name w:val="Body Text Indent 3"/>
    <w:basedOn w:val="Normal"/>
    <w:semiHidden/>
    <w:rsid w:val="001952D0"/>
    <w:pPr>
      <w:spacing w:after="120"/>
      <w:ind w:left="283"/>
    </w:pPr>
    <w:rPr>
      <w:sz w:val="16"/>
      <w:szCs w:val="16"/>
    </w:rPr>
  </w:style>
  <w:style w:type="paragraph" w:styleId="BodyTextIndent">
    <w:name w:val="Body Text Indent"/>
    <w:basedOn w:val="Normal"/>
    <w:semiHidden/>
    <w:rsid w:val="001952D0"/>
    <w:pPr>
      <w:spacing w:after="120"/>
      <w:ind w:left="283"/>
    </w:pPr>
  </w:style>
  <w:style w:type="paragraph" w:styleId="NormalIndent">
    <w:name w:val="Normal Indent"/>
    <w:basedOn w:val="Normal"/>
    <w:semiHidden/>
    <w:rsid w:val="001952D0"/>
    <w:pPr>
      <w:ind w:left="567"/>
    </w:pPr>
  </w:style>
  <w:style w:type="paragraph" w:styleId="Subtitle">
    <w:name w:val="Subtitle"/>
    <w:basedOn w:val="Normal"/>
    <w:qFormat/>
    <w:rsid w:val="001952D0"/>
    <w:pPr>
      <w:spacing w:after="60"/>
      <w:jc w:val="center"/>
      <w:outlineLvl w:val="1"/>
    </w:pPr>
    <w:rPr>
      <w:rFonts w:ascii="Arial" w:hAnsi="Arial" w:cs="Arial"/>
      <w:sz w:val="24"/>
      <w:szCs w:val="24"/>
    </w:rPr>
  </w:style>
  <w:style w:type="table" w:styleId="TableSimple1">
    <w:name w:val="Table Simple 1"/>
    <w:basedOn w:val="TableNormal"/>
    <w:semiHidden/>
    <w:rsid w:val="001952D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952D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952D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952D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952D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952D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952D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1952D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952D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952D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952D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952D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rsid w:val="001952D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1952D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952D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952D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952D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952D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952D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952D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952D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1952D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952D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952D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1952D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952D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952D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952D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952D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952D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952D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952D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1952D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1952D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1952D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1952D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952D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952D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1952D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952D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952D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1952D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952D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952D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1952D0"/>
    <w:rPr>
      <w:rFonts w:ascii="Courier New" w:hAnsi="Courier New" w:cs="Courier New"/>
      <w:sz w:val="20"/>
      <w:szCs w:val="20"/>
    </w:rPr>
  </w:style>
  <w:style w:type="paragraph" w:styleId="BlockText">
    <w:name w:val="Block Text"/>
    <w:basedOn w:val="Normal"/>
    <w:semiHidden/>
    <w:rsid w:val="001952D0"/>
    <w:pPr>
      <w:spacing w:after="120"/>
      <w:ind w:left="1440" w:right="1440"/>
    </w:pPr>
  </w:style>
  <w:style w:type="character" w:styleId="Strong">
    <w:name w:val="Strong"/>
    <w:qFormat/>
    <w:rsid w:val="001952D0"/>
    <w:rPr>
      <w:b/>
      <w:bCs/>
    </w:rPr>
  </w:style>
  <w:style w:type="paragraph" w:styleId="BodyText">
    <w:name w:val="Body Text"/>
    <w:basedOn w:val="Normal"/>
    <w:semiHidden/>
    <w:rsid w:val="001952D0"/>
    <w:pPr>
      <w:spacing w:after="120"/>
    </w:pPr>
  </w:style>
  <w:style w:type="paragraph" w:styleId="BodyText2">
    <w:name w:val="Body Text 2"/>
    <w:basedOn w:val="Normal"/>
    <w:semiHidden/>
    <w:rsid w:val="001952D0"/>
    <w:pPr>
      <w:spacing w:after="120" w:line="480" w:lineRule="auto"/>
    </w:pPr>
  </w:style>
  <w:style w:type="paragraph" w:styleId="BodyText3">
    <w:name w:val="Body Text 3"/>
    <w:basedOn w:val="Normal"/>
    <w:semiHidden/>
    <w:rsid w:val="001952D0"/>
    <w:pPr>
      <w:spacing w:after="120"/>
    </w:pPr>
    <w:rPr>
      <w:sz w:val="16"/>
      <w:szCs w:val="16"/>
    </w:rPr>
  </w:style>
  <w:style w:type="paragraph" w:styleId="BodyTextFirstIndent">
    <w:name w:val="Body Text First Indent"/>
    <w:basedOn w:val="BodyText"/>
    <w:semiHidden/>
    <w:rsid w:val="001952D0"/>
    <w:pPr>
      <w:ind w:firstLine="210"/>
    </w:pPr>
  </w:style>
  <w:style w:type="paragraph" w:styleId="BodyTextFirstIndent2">
    <w:name w:val="Body Text First Indent 2"/>
    <w:basedOn w:val="BodyTextIndent"/>
    <w:semiHidden/>
    <w:rsid w:val="001952D0"/>
    <w:pPr>
      <w:ind w:firstLine="210"/>
    </w:pPr>
  </w:style>
  <w:style w:type="paragraph" w:styleId="FootnoteText">
    <w:name w:val="footnote text"/>
    <w:aliases w:val="5_G"/>
    <w:basedOn w:val="Normal"/>
    <w:link w:val="FootnoteTextChar"/>
    <w:qFormat/>
    <w:rsid w:val="009C5BB8"/>
    <w:pPr>
      <w:tabs>
        <w:tab w:val="right" w:pos="1021"/>
      </w:tabs>
      <w:suppressAutoHyphens/>
      <w:kinsoku w:val="0"/>
      <w:overflowPunct w:val="0"/>
      <w:autoSpaceDE w:val="0"/>
      <w:autoSpaceDN w:val="0"/>
      <w:adjustRightInd w:val="0"/>
      <w:snapToGrid w:val="0"/>
      <w:spacing w:line="220" w:lineRule="exact"/>
      <w:ind w:left="1134" w:right="1134" w:hanging="1134"/>
    </w:pPr>
    <w:rPr>
      <w:rFonts w:eastAsia="Calibri"/>
      <w:sz w:val="18"/>
      <w:lang w:eastAsia="en-US"/>
    </w:rPr>
  </w:style>
  <w:style w:type="paragraph" w:styleId="EndnoteText">
    <w:name w:val="endnote text"/>
    <w:aliases w:val="2_G"/>
    <w:basedOn w:val="FootnoteText"/>
    <w:rsid w:val="001952D0"/>
  </w:style>
  <w:style w:type="paragraph" w:styleId="PlainText">
    <w:name w:val="Plain Text"/>
    <w:basedOn w:val="Normal"/>
    <w:semiHidden/>
    <w:rsid w:val="001952D0"/>
    <w:rPr>
      <w:rFonts w:ascii="Courier New" w:hAnsi="Courier New" w:cs="Courier New"/>
    </w:rPr>
  </w:style>
  <w:style w:type="paragraph" w:styleId="Title">
    <w:name w:val="Title"/>
    <w:basedOn w:val="Normal"/>
    <w:qFormat/>
    <w:rsid w:val="001952D0"/>
    <w:pPr>
      <w:spacing w:before="240" w:after="60"/>
      <w:jc w:val="center"/>
      <w:outlineLvl w:val="0"/>
    </w:pPr>
    <w:rPr>
      <w:rFonts w:ascii="Arial" w:hAnsi="Arial" w:cs="Arial"/>
      <w:b/>
      <w:bCs/>
      <w:kern w:val="28"/>
      <w:sz w:val="32"/>
      <w:szCs w:val="32"/>
    </w:rPr>
  </w:style>
  <w:style w:type="character" w:styleId="HTMLVariable">
    <w:name w:val="HTML Variable"/>
    <w:semiHidden/>
    <w:rsid w:val="001952D0"/>
    <w:rPr>
      <w:i/>
      <w:iCs/>
    </w:rPr>
  </w:style>
  <w:style w:type="paragraph" w:customStyle="1" w:styleId="Sinespaciado">
    <w:name w:val="Sin espaciado"/>
    <w:qFormat/>
    <w:rsid w:val="00D60A11"/>
    <w:pPr>
      <w:ind w:firstLine="709"/>
      <w:jc w:val="both"/>
    </w:pPr>
    <w:rPr>
      <w:rFonts w:eastAsia="Calibri"/>
      <w:sz w:val="24"/>
      <w:szCs w:val="22"/>
      <w:lang w:val="es-EC"/>
    </w:rPr>
  </w:style>
  <w:style w:type="character" w:customStyle="1" w:styleId="HeaderChar">
    <w:name w:val="Header Char"/>
    <w:aliases w:val="6_G Char"/>
    <w:link w:val="Header"/>
    <w:uiPriority w:val="99"/>
    <w:rsid w:val="00D60A11"/>
    <w:rPr>
      <w:b/>
      <w:sz w:val="18"/>
      <w:lang w:val="es-ES" w:eastAsia="es-ES"/>
    </w:rPr>
  </w:style>
  <w:style w:type="character" w:customStyle="1" w:styleId="FooterChar">
    <w:name w:val="Footer Char"/>
    <w:aliases w:val="3_G Char"/>
    <w:link w:val="Footer"/>
    <w:uiPriority w:val="99"/>
    <w:rsid w:val="00D60A11"/>
    <w:rPr>
      <w:sz w:val="16"/>
      <w:lang w:val="es-ES" w:eastAsia="es-ES"/>
    </w:rPr>
  </w:style>
  <w:style w:type="character" w:customStyle="1" w:styleId="FootnoteTextChar">
    <w:name w:val="Footnote Text Char"/>
    <w:aliases w:val="5_G Char"/>
    <w:link w:val="FootnoteText"/>
    <w:rsid w:val="00D60A11"/>
    <w:rPr>
      <w:rFonts w:eastAsia="Calibri"/>
      <w:sz w:val="18"/>
      <w:lang w:eastAsia="en-US"/>
    </w:rPr>
  </w:style>
  <w:style w:type="character" w:customStyle="1" w:styleId="Heading5Char">
    <w:name w:val="Heading 5 Char"/>
    <w:link w:val="Heading5"/>
    <w:rsid w:val="00D60A11"/>
    <w:rPr>
      <w:b/>
      <w:bCs/>
      <w:i/>
      <w:iCs/>
      <w:sz w:val="26"/>
      <w:szCs w:val="26"/>
      <w:lang w:val="es-ES" w:eastAsia="es-ES"/>
    </w:rPr>
  </w:style>
  <w:style w:type="character" w:styleId="CommentReference">
    <w:name w:val="annotation reference"/>
    <w:rsid w:val="00D60A11"/>
    <w:rPr>
      <w:sz w:val="16"/>
      <w:szCs w:val="16"/>
    </w:rPr>
  </w:style>
  <w:style w:type="paragraph" w:styleId="CommentText">
    <w:name w:val="annotation text"/>
    <w:basedOn w:val="Normal"/>
    <w:link w:val="CommentTextChar"/>
    <w:rsid w:val="00D60A11"/>
    <w:pPr>
      <w:suppressAutoHyphens/>
      <w:autoSpaceDN w:val="0"/>
      <w:textAlignment w:val="baseline"/>
    </w:pPr>
  </w:style>
  <w:style w:type="character" w:customStyle="1" w:styleId="CommentTextChar">
    <w:name w:val="Comment Text Char"/>
    <w:link w:val="CommentText"/>
    <w:rsid w:val="00D60A11"/>
    <w:rPr>
      <w:lang w:val="es-ES" w:eastAsia="es-ES"/>
    </w:rPr>
  </w:style>
  <w:style w:type="character" w:customStyle="1" w:styleId="TextocomentarioCar">
    <w:name w:val="Texto comentario Car"/>
    <w:uiPriority w:val="99"/>
    <w:semiHidden/>
    <w:rsid w:val="00D60A11"/>
    <w:rPr>
      <w:rFonts w:ascii="Times New Roman" w:hAnsi="Times New Roman"/>
      <w:lang w:eastAsia="en-US"/>
    </w:rPr>
  </w:style>
  <w:style w:type="paragraph" w:styleId="BalloonText">
    <w:name w:val="Balloon Text"/>
    <w:basedOn w:val="Normal"/>
    <w:link w:val="BalloonTextChar"/>
    <w:uiPriority w:val="99"/>
    <w:unhideWhenUsed/>
    <w:rsid w:val="00D60A11"/>
    <w:pPr>
      <w:spacing w:line="240" w:lineRule="auto"/>
      <w:ind w:firstLine="709"/>
      <w:jc w:val="both"/>
    </w:pPr>
    <w:rPr>
      <w:rFonts w:ascii="Tahoma" w:eastAsia="Calibri" w:hAnsi="Tahoma"/>
      <w:sz w:val="16"/>
      <w:szCs w:val="16"/>
      <w:lang w:eastAsia="en-US"/>
    </w:rPr>
  </w:style>
  <w:style w:type="character" w:customStyle="1" w:styleId="BalloonTextChar">
    <w:name w:val="Balloon Text Char"/>
    <w:link w:val="BalloonText"/>
    <w:uiPriority w:val="99"/>
    <w:rsid w:val="00D60A11"/>
    <w:rPr>
      <w:rFonts w:ascii="Tahoma" w:eastAsia="Calibri" w:hAnsi="Tahoma"/>
      <w:sz w:val="16"/>
      <w:szCs w:val="16"/>
      <w:lang w:eastAsia="en-US"/>
    </w:rPr>
  </w:style>
  <w:style w:type="paragraph" w:customStyle="1" w:styleId="Default">
    <w:name w:val="Default"/>
    <w:rsid w:val="00D60A11"/>
    <w:pPr>
      <w:autoSpaceDE w:val="0"/>
      <w:autoSpaceDN w:val="0"/>
      <w:adjustRightInd w:val="0"/>
    </w:pPr>
    <w:rPr>
      <w:color w:val="000000"/>
      <w:sz w:val="24"/>
      <w:szCs w:val="24"/>
      <w:lang w:val="es-EC" w:eastAsia="es-EC"/>
    </w:rPr>
  </w:style>
  <w:style w:type="character" w:customStyle="1" w:styleId="Heading1Char">
    <w:name w:val="Heading 1 Char"/>
    <w:aliases w:val="Table_G Char"/>
    <w:link w:val="Heading1"/>
    <w:uiPriority w:val="9"/>
    <w:rsid w:val="00D60A11"/>
    <w:rPr>
      <w:rFonts w:cs="Arial"/>
      <w:bCs/>
      <w:szCs w:val="32"/>
      <w:lang w:val="es-ES" w:eastAsia="es-ES"/>
    </w:rPr>
  </w:style>
  <w:style w:type="character" w:customStyle="1" w:styleId="Heading3Char">
    <w:name w:val="Heading 3 Char"/>
    <w:link w:val="Heading3"/>
    <w:uiPriority w:val="9"/>
    <w:rsid w:val="00D60A11"/>
    <w:rPr>
      <w:rFonts w:ascii="Arial" w:hAnsi="Arial" w:cs="Arial"/>
      <w:b/>
      <w:bCs/>
      <w:sz w:val="26"/>
      <w:szCs w:val="26"/>
      <w:lang w:val="es-ES" w:eastAsia="es-ES"/>
    </w:rPr>
  </w:style>
  <w:style w:type="character" w:customStyle="1" w:styleId="Heading2Char">
    <w:name w:val="Heading 2 Char"/>
    <w:link w:val="Heading2"/>
    <w:uiPriority w:val="9"/>
    <w:rsid w:val="00D60A11"/>
    <w:rPr>
      <w:rFonts w:cs="Arial"/>
      <w:bCs/>
      <w:iCs/>
      <w:szCs w:val="28"/>
      <w:lang w:val="es-ES" w:eastAsia="es-ES"/>
    </w:rPr>
  </w:style>
  <w:style w:type="paragraph" w:styleId="Caption">
    <w:name w:val="caption"/>
    <w:basedOn w:val="Normal"/>
    <w:next w:val="Normal"/>
    <w:uiPriority w:val="35"/>
    <w:qFormat/>
    <w:rsid w:val="00D60A11"/>
    <w:pPr>
      <w:spacing w:after="240" w:line="360" w:lineRule="auto"/>
      <w:ind w:firstLine="709"/>
      <w:jc w:val="both"/>
    </w:pPr>
    <w:rPr>
      <w:rFonts w:eastAsia="Calibri"/>
      <w:b/>
      <w:bCs/>
      <w:lang w:val="es-EC" w:eastAsia="en-US"/>
    </w:rPr>
  </w:style>
  <w:style w:type="paragraph" w:styleId="TOC1">
    <w:name w:val="toc 1"/>
    <w:basedOn w:val="Normal"/>
    <w:next w:val="Normal"/>
    <w:autoRedefine/>
    <w:uiPriority w:val="39"/>
    <w:unhideWhenUsed/>
    <w:rsid w:val="00D60A11"/>
    <w:pPr>
      <w:spacing w:before="120" w:after="120" w:line="360" w:lineRule="auto"/>
      <w:ind w:firstLine="709"/>
    </w:pPr>
    <w:rPr>
      <w:rFonts w:ascii="Calibri" w:eastAsia="Calibri" w:hAnsi="Calibri"/>
      <w:b/>
      <w:bCs/>
      <w:caps/>
      <w:lang w:val="es-EC" w:eastAsia="en-US"/>
    </w:rPr>
  </w:style>
  <w:style w:type="paragraph" w:styleId="TOC2">
    <w:name w:val="toc 2"/>
    <w:basedOn w:val="Normal"/>
    <w:next w:val="Normal"/>
    <w:autoRedefine/>
    <w:uiPriority w:val="39"/>
    <w:unhideWhenUsed/>
    <w:rsid w:val="00D60A11"/>
    <w:pPr>
      <w:spacing w:line="360" w:lineRule="auto"/>
      <w:ind w:left="240" w:firstLine="709"/>
    </w:pPr>
    <w:rPr>
      <w:rFonts w:ascii="Calibri" w:eastAsia="Calibri" w:hAnsi="Calibri"/>
      <w:smallCaps/>
      <w:lang w:val="es-EC" w:eastAsia="en-US"/>
    </w:rPr>
  </w:style>
  <w:style w:type="paragraph" w:styleId="TOC3">
    <w:name w:val="toc 3"/>
    <w:basedOn w:val="Normal"/>
    <w:next w:val="Normal"/>
    <w:autoRedefine/>
    <w:uiPriority w:val="39"/>
    <w:unhideWhenUsed/>
    <w:rsid w:val="00D60A11"/>
    <w:pPr>
      <w:spacing w:line="360" w:lineRule="auto"/>
      <w:ind w:left="480" w:firstLine="709"/>
    </w:pPr>
    <w:rPr>
      <w:rFonts w:ascii="Calibri" w:eastAsia="Calibri" w:hAnsi="Calibri"/>
      <w:i/>
      <w:iCs/>
      <w:lang w:val="es-EC" w:eastAsia="en-US"/>
    </w:rPr>
  </w:style>
  <w:style w:type="paragraph" w:styleId="TOC4">
    <w:name w:val="toc 4"/>
    <w:basedOn w:val="Normal"/>
    <w:next w:val="Normal"/>
    <w:autoRedefine/>
    <w:uiPriority w:val="39"/>
    <w:unhideWhenUsed/>
    <w:rsid w:val="00D60A11"/>
    <w:pPr>
      <w:spacing w:line="360" w:lineRule="auto"/>
      <w:ind w:left="720" w:firstLine="709"/>
    </w:pPr>
    <w:rPr>
      <w:rFonts w:ascii="Calibri" w:eastAsia="Calibri" w:hAnsi="Calibri"/>
      <w:sz w:val="18"/>
      <w:szCs w:val="18"/>
      <w:lang w:val="es-EC" w:eastAsia="en-US"/>
    </w:rPr>
  </w:style>
  <w:style w:type="paragraph" w:styleId="TOC5">
    <w:name w:val="toc 5"/>
    <w:basedOn w:val="Normal"/>
    <w:next w:val="Normal"/>
    <w:autoRedefine/>
    <w:uiPriority w:val="39"/>
    <w:unhideWhenUsed/>
    <w:rsid w:val="00D60A11"/>
    <w:pPr>
      <w:spacing w:line="360" w:lineRule="auto"/>
      <w:ind w:left="960" w:firstLine="709"/>
    </w:pPr>
    <w:rPr>
      <w:rFonts w:ascii="Calibri" w:eastAsia="Calibri" w:hAnsi="Calibri"/>
      <w:sz w:val="18"/>
      <w:szCs w:val="18"/>
      <w:lang w:val="es-EC" w:eastAsia="en-US"/>
    </w:rPr>
  </w:style>
  <w:style w:type="paragraph" w:styleId="TOC6">
    <w:name w:val="toc 6"/>
    <w:basedOn w:val="Normal"/>
    <w:next w:val="Normal"/>
    <w:autoRedefine/>
    <w:uiPriority w:val="39"/>
    <w:unhideWhenUsed/>
    <w:rsid w:val="00D60A11"/>
    <w:pPr>
      <w:spacing w:line="360" w:lineRule="auto"/>
      <w:ind w:left="1200" w:firstLine="709"/>
    </w:pPr>
    <w:rPr>
      <w:rFonts w:ascii="Calibri" w:eastAsia="Calibri" w:hAnsi="Calibri"/>
      <w:sz w:val="18"/>
      <w:szCs w:val="18"/>
      <w:lang w:val="es-EC" w:eastAsia="en-US"/>
    </w:rPr>
  </w:style>
  <w:style w:type="paragraph" w:styleId="TOC7">
    <w:name w:val="toc 7"/>
    <w:basedOn w:val="Normal"/>
    <w:next w:val="Normal"/>
    <w:autoRedefine/>
    <w:uiPriority w:val="39"/>
    <w:unhideWhenUsed/>
    <w:rsid w:val="00D60A11"/>
    <w:pPr>
      <w:spacing w:line="360" w:lineRule="auto"/>
      <w:ind w:left="1440" w:firstLine="709"/>
    </w:pPr>
    <w:rPr>
      <w:rFonts w:ascii="Calibri" w:eastAsia="Calibri" w:hAnsi="Calibri"/>
      <w:sz w:val="18"/>
      <w:szCs w:val="18"/>
      <w:lang w:val="es-EC" w:eastAsia="en-US"/>
    </w:rPr>
  </w:style>
  <w:style w:type="paragraph" w:styleId="TOC8">
    <w:name w:val="toc 8"/>
    <w:basedOn w:val="Normal"/>
    <w:next w:val="Normal"/>
    <w:autoRedefine/>
    <w:uiPriority w:val="39"/>
    <w:unhideWhenUsed/>
    <w:rsid w:val="00D60A11"/>
    <w:pPr>
      <w:spacing w:line="360" w:lineRule="auto"/>
      <w:ind w:left="1680" w:firstLine="709"/>
    </w:pPr>
    <w:rPr>
      <w:rFonts w:ascii="Calibri" w:eastAsia="Calibri" w:hAnsi="Calibri"/>
      <w:sz w:val="18"/>
      <w:szCs w:val="18"/>
      <w:lang w:val="es-EC" w:eastAsia="en-US"/>
    </w:rPr>
  </w:style>
  <w:style w:type="paragraph" w:styleId="TOC9">
    <w:name w:val="toc 9"/>
    <w:basedOn w:val="Normal"/>
    <w:next w:val="Normal"/>
    <w:autoRedefine/>
    <w:uiPriority w:val="39"/>
    <w:unhideWhenUsed/>
    <w:rsid w:val="00D60A11"/>
    <w:pPr>
      <w:spacing w:line="360" w:lineRule="auto"/>
      <w:ind w:left="1920" w:firstLine="709"/>
    </w:pPr>
    <w:rPr>
      <w:rFonts w:ascii="Calibri" w:eastAsia="Calibri" w:hAnsi="Calibri"/>
      <w:sz w:val="18"/>
      <w:szCs w:val="18"/>
      <w:lang w:val="es-EC" w:eastAsia="en-US"/>
    </w:rPr>
  </w:style>
  <w:style w:type="paragraph" w:styleId="TableofFigures">
    <w:name w:val="table of figures"/>
    <w:basedOn w:val="Normal"/>
    <w:next w:val="Normal"/>
    <w:uiPriority w:val="99"/>
    <w:unhideWhenUsed/>
    <w:rsid w:val="00D60A11"/>
    <w:pPr>
      <w:spacing w:line="360" w:lineRule="auto"/>
      <w:ind w:left="480" w:hanging="480"/>
    </w:pPr>
    <w:rPr>
      <w:rFonts w:ascii="Calibri" w:eastAsia="Calibri" w:hAnsi="Calibri"/>
      <w:smallCaps/>
      <w:lang w:val="es-EC" w:eastAsia="en-US"/>
    </w:rPr>
  </w:style>
  <w:style w:type="paragraph" w:styleId="CommentSubject">
    <w:name w:val="annotation subject"/>
    <w:basedOn w:val="CommentText"/>
    <w:next w:val="CommentText"/>
    <w:link w:val="CommentSubjectChar"/>
    <w:uiPriority w:val="99"/>
    <w:unhideWhenUsed/>
    <w:rsid w:val="00D60A11"/>
    <w:pPr>
      <w:suppressAutoHyphens w:val="0"/>
      <w:autoSpaceDN/>
      <w:spacing w:after="240" w:line="360" w:lineRule="auto"/>
      <w:ind w:firstLine="709"/>
      <w:jc w:val="both"/>
      <w:textAlignment w:val="auto"/>
    </w:pPr>
    <w:rPr>
      <w:b/>
      <w:bCs/>
      <w:lang w:val="es-EC" w:eastAsia="en-US"/>
    </w:rPr>
  </w:style>
  <w:style w:type="character" w:customStyle="1" w:styleId="CommentSubjectChar">
    <w:name w:val="Comment Subject Char"/>
    <w:link w:val="CommentSubject"/>
    <w:uiPriority w:val="99"/>
    <w:rsid w:val="00D60A11"/>
    <w:rPr>
      <w:b/>
      <w:bCs/>
      <w:lang w:val="es-EC" w:eastAsia="en-US"/>
    </w:rPr>
  </w:style>
  <w:style w:type="paragraph" w:styleId="Revision">
    <w:name w:val="Revision"/>
    <w:hidden/>
    <w:uiPriority w:val="99"/>
    <w:semiHidden/>
    <w:rsid w:val="004D5212"/>
    <w:rPr>
      <w:lang w:val="en-GB" w:eastAsia="en-GB"/>
    </w:rPr>
  </w:style>
</w:styles>
</file>

<file path=word/webSettings.xml><?xml version="1.0" encoding="utf-8"?>
<w:webSettings xmlns:r="http://schemas.openxmlformats.org/officeDocument/2006/relationships" xmlns:w="http://schemas.openxmlformats.org/wordprocessingml/2006/main">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hcch.net/index_es.php?act=conventions.text&amp;cid=41" TargetMode="External"/><Relationship Id="rId2" Type="http://schemas.openxmlformats.org/officeDocument/2006/relationships/hyperlink" Target="http://www.planificacion.gob.ec/plan-nacional-para-el-buen-vivir-2013-2013/" TargetMode="External"/><Relationship Id="rId1" Type="http://schemas.openxmlformats.org/officeDocument/2006/relationships/hyperlink" Target="http://www.google.com.ec/url?sa=t&amp;rct=j&amp;q=&amp;esrc=s&amp;source=web&amp;cd=1&amp;am" TargetMode="External"/><Relationship Id="rId6" Type="http://schemas.openxmlformats.org/officeDocument/2006/relationships/hyperlink" Target="http://www.hcch.net/index_es.php?act=conventions.text&amp;cid=70" TargetMode="External"/><Relationship Id="rId5" Type="http://schemas.openxmlformats.org/officeDocument/2006/relationships/hyperlink" Target="http://www.hcch.net/index_es.php?act=conventions.text&amp;cid=69" TargetMode="External"/><Relationship Id="rId4" Type="http://schemas.openxmlformats.org/officeDocument/2006/relationships/hyperlink" Target="http://www.hcch.net/index_es.php?act=conventions.text&amp;cid=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52</Pages>
  <Words>25127</Words>
  <Characters>143226</Characters>
  <Application>Microsoft Office Outlook</Application>
  <DocSecurity>4</DocSecurity>
  <Lines>1193</Lines>
  <Paragraphs>336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168017</CharactersWithSpaces>
  <SharedDoc>false</SharedDoc>
  <HLinks>
    <vt:vector size="36" baseType="variant">
      <vt:variant>
        <vt:i4>3670025</vt:i4>
      </vt:variant>
      <vt:variant>
        <vt:i4>15</vt:i4>
      </vt:variant>
      <vt:variant>
        <vt:i4>0</vt:i4>
      </vt:variant>
      <vt:variant>
        <vt:i4>5</vt:i4>
      </vt:variant>
      <vt:variant>
        <vt:lpwstr>http://www.hcch.net/index_es.php?act=conventions.text&amp;cid=70</vt:lpwstr>
      </vt:variant>
      <vt:variant>
        <vt:lpwstr/>
      </vt:variant>
      <vt:variant>
        <vt:i4>3211272</vt:i4>
      </vt:variant>
      <vt:variant>
        <vt:i4>12</vt:i4>
      </vt:variant>
      <vt:variant>
        <vt:i4>0</vt:i4>
      </vt:variant>
      <vt:variant>
        <vt:i4>5</vt:i4>
      </vt:variant>
      <vt:variant>
        <vt:lpwstr>http://www.hcch.net/index_es.php?act=conventions.text&amp;cid=69</vt:lpwstr>
      </vt:variant>
      <vt:variant>
        <vt:lpwstr/>
      </vt:variant>
      <vt:variant>
        <vt:i4>3932172</vt:i4>
      </vt:variant>
      <vt:variant>
        <vt:i4>9</vt:i4>
      </vt:variant>
      <vt:variant>
        <vt:i4>0</vt:i4>
      </vt:variant>
      <vt:variant>
        <vt:i4>5</vt:i4>
      </vt:variant>
      <vt:variant>
        <vt:lpwstr>http://www.hcch.net/index_es.php?act=conventions.text&amp;cid=24</vt:lpwstr>
      </vt:variant>
      <vt:variant>
        <vt:lpwstr/>
      </vt:variant>
      <vt:variant>
        <vt:i4>3735562</vt:i4>
      </vt:variant>
      <vt:variant>
        <vt:i4>6</vt:i4>
      </vt:variant>
      <vt:variant>
        <vt:i4>0</vt:i4>
      </vt:variant>
      <vt:variant>
        <vt:i4>5</vt:i4>
      </vt:variant>
      <vt:variant>
        <vt:lpwstr>http://www.hcch.net/index_es.php?act=conventions.text&amp;cid=41</vt:lpwstr>
      </vt:variant>
      <vt:variant>
        <vt:lpwstr/>
      </vt:variant>
      <vt:variant>
        <vt:i4>3342373</vt:i4>
      </vt:variant>
      <vt:variant>
        <vt:i4>3</vt:i4>
      </vt:variant>
      <vt:variant>
        <vt:i4>0</vt:i4>
      </vt:variant>
      <vt:variant>
        <vt:i4>5</vt:i4>
      </vt:variant>
      <vt:variant>
        <vt:lpwstr>http://www.planificacion.gob.ec/plan-nacional-para-el-buen-vivir-2013-2013/</vt:lpwstr>
      </vt:variant>
      <vt:variant>
        <vt:lpwstr/>
      </vt:variant>
      <vt:variant>
        <vt:i4>196694</vt:i4>
      </vt:variant>
      <vt:variant>
        <vt:i4>0</vt:i4>
      </vt:variant>
      <vt:variant>
        <vt:i4>0</vt:i4>
      </vt:variant>
      <vt:variant>
        <vt:i4>5</vt:i4>
      </vt:variant>
      <vt:variant>
        <vt:lpwstr>http://www.google.com.ec/url?sa=t&amp;rct=j&amp;q=&amp;esrc=s&amp;source=web&amp;cd=1&amp;am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2016-03-17T12:03:00Z</cp:lastPrinted>
  <dcterms:created xsi:type="dcterms:W3CDTF">2016-03-22T08:38:00Z</dcterms:created>
  <dcterms:modified xsi:type="dcterms:W3CDTF">2016-03-22T09:15:00Z</dcterms:modified>
</cp:coreProperties>
</file>