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14:paraId="4D642772" w14:textId="77777777" w:rsidTr="003A3D90">
        <w:trPr>
          <w:trHeight w:hRule="exact" w:val="851"/>
        </w:trPr>
        <w:tc>
          <w:tcPr>
            <w:tcW w:w="142" w:type="dxa"/>
            <w:tcBorders>
              <w:bottom w:val="single" w:sz="4" w:space="0" w:color="auto"/>
            </w:tcBorders>
          </w:tcPr>
          <w:p w14:paraId="13CB0A20" w14:textId="77777777" w:rsidR="002D5AAC" w:rsidRDefault="002D5AAC" w:rsidP="00D937B5">
            <w:pPr>
              <w:kinsoku w:val="0"/>
              <w:overflowPunct w:val="0"/>
              <w:autoSpaceDE w:val="0"/>
              <w:autoSpaceDN w:val="0"/>
              <w:adjustRightInd w:val="0"/>
              <w:snapToGrid w:val="0"/>
            </w:pPr>
          </w:p>
        </w:tc>
        <w:tc>
          <w:tcPr>
            <w:tcW w:w="4820" w:type="dxa"/>
            <w:gridSpan w:val="2"/>
            <w:tcBorders>
              <w:bottom w:val="single" w:sz="4" w:space="0" w:color="auto"/>
            </w:tcBorders>
            <w:vAlign w:val="bottom"/>
          </w:tcPr>
          <w:p w14:paraId="6F502F7C" w14:textId="77777777" w:rsidR="002D5AAC" w:rsidRPr="00BD33EE" w:rsidRDefault="00DF71B9" w:rsidP="003A3D90">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14:paraId="723A9B49" w14:textId="77777777" w:rsidR="002D5AAC" w:rsidRDefault="00D937B5" w:rsidP="00D937B5">
            <w:pPr>
              <w:jc w:val="right"/>
            </w:pPr>
            <w:r w:rsidRPr="00D937B5">
              <w:rPr>
                <w:sz w:val="40"/>
              </w:rPr>
              <w:t>HRI</w:t>
            </w:r>
            <w:r>
              <w:t>/CORE/CRI/2019</w:t>
            </w:r>
          </w:p>
        </w:tc>
      </w:tr>
      <w:tr w:rsidR="002D5AAC" w:rsidRPr="004260A1" w14:paraId="1B944386" w14:textId="77777777" w:rsidTr="003A3D90">
        <w:trPr>
          <w:trHeight w:hRule="exact" w:val="2835"/>
        </w:trPr>
        <w:tc>
          <w:tcPr>
            <w:tcW w:w="1280" w:type="dxa"/>
            <w:gridSpan w:val="2"/>
            <w:tcBorders>
              <w:top w:val="single" w:sz="4" w:space="0" w:color="auto"/>
              <w:bottom w:val="single" w:sz="12" w:space="0" w:color="auto"/>
            </w:tcBorders>
          </w:tcPr>
          <w:p w14:paraId="164A17DC" w14:textId="77777777" w:rsidR="002D5AAC" w:rsidRDefault="007B5263" w:rsidP="003A3D90">
            <w:pPr>
              <w:spacing w:before="120"/>
              <w:jc w:val="center"/>
            </w:pPr>
            <w:r>
              <w:rPr>
                <w:noProof/>
                <w:lang w:val="en-US"/>
              </w:rPr>
              <w:drawing>
                <wp:inline distT="0" distB="0" distL="0" distR="0" wp14:anchorId="18EDA5DB" wp14:editId="700092CE">
                  <wp:extent cx="714375" cy="591820"/>
                  <wp:effectExtent l="0" t="0" r="9525" b="0"/>
                  <wp:docPr id="1" name="Рисунок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182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3382056D" w14:textId="77777777" w:rsidR="002D5AAC" w:rsidRPr="00943923" w:rsidRDefault="007B5263" w:rsidP="003A3D90">
            <w:pPr>
              <w:spacing w:before="120" w:line="460" w:lineRule="exact"/>
              <w:rPr>
                <w:b/>
                <w:sz w:val="34"/>
                <w:szCs w:val="34"/>
              </w:rPr>
            </w:pPr>
            <w:r w:rsidRPr="005709C6">
              <w:rPr>
                <w:b/>
                <w:spacing w:val="-4"/>
                <w:sz w:val="40"/>
                <w:szCs w:val="40"/>
              </w:rPr>
              <w:t>Международные договоры</w:t>
            </w:r>
            <w:r w:rsidRPr="005709C6">
              <w:rPr>
                <w:b/>
                <w:spacing w:val="-4"/>
                <w:sz w:val="40"/>
                <w:szCs w:val="40"/>
              </w:rPr>
              <w:br/>
              <w:t>по правам человека</w:t>
            </w:r>
          </w:p>
        </w:tc>
        <w:tc>
          <w:tcPr>
            <w:tcW w:w="2819" w:type="dxa"/>
            <w:tcBorders>
              <w:top w:val="single" w:sz="4" w:space="0" w:color="auto"/>
              <w:bottom w:val="single" w:sz="12" w:space="0" w:color="auto"/>
            </w:tcBorders>
          </w:tcPr>
          <w:p w14:paraId="1E16EA69" w14:textId="77777777" w:rsidR="002D5AAC" w:rsidRPr="00D937B5" w:rsidRDefault="00D937B5" w:rsidP="003A3D90">
            <w:pPr>
              <w:spacing w:before="240"/>
              <w:rPr>
                <w:lang w:val="en-US"/>
              </w:rPr>
            </w:pPr>
            <w:r w:rsidRPr="00D937B5">
              <w:rPr>
                <w:lang w:val="en-US"/>
              </w:rPr>
              <w:t>Distr.: General</w:t>
            </w:r>
          </w:p>
          <w:p w14:paraId="702B8061" w14:textId="77777777" w:rsidR="00D937B5" w:rsidRPr="00D937B5" w:rsidRDefault="00D937B5" w:rsidP="00D937B5">
            <w:pPr>
              <w:spacing w:line="240" w:lineRule="exact"/>
              <w:rPr>
                <w:lang w:val="en-US"/>
              </w:rPr>
            </w:pPr>
            <w:r w:rsidRPr="00D937B5">
              <w:rPr>
                <w:lang w:val="en-US"/>
              </w:rPr>
              <w:t>26 March 2019</w:t>
            </w:r>
          </w:p>
          <w:p w14:paraId="4FE8F8F5" w14:textId="77777777" w:rsidR="00D937B5" w:rsidRPr="00D937B5" w:rsidRDefault="00D937B5" w:rsidP="00D937B5">
            <w:pPr>
              <w:spacing w:line="240" w:lineRule="exact"/>
              <w:rPr>
                <w:lang w:val="en-US"/>
              </w:rPr>
            </w:pPr>
            <w:r w:rsidRPr="00D937B5">
              <w:rPr>
                <w:lang w:val="en-US"/>
              </w:rPr>
              <w:t>Russian</w:t>
            </w:r>
          </w:p>
          <w:p w14:paraId="37A3A240" w14:textId="77777777" w:rsidR="00D937B5" w:rsidRPr="00D937B5" w:rsidRDefault="00D937B5" w:rsidP="00D937B5">
            <w:pPr>
              <w:spacing w:line="240" w:lineRule="exact"/>
              <w:rPr>
                <w:lang w:val="en-US"/>
              </w:rPr>
            </w:pPr>
            <w:r w:rsidRPr="00D937B5">
              <w:rPr>
                <w:lang w:val="en-US"/>
              </w:rPr>
              <w:t>Original: Spanish</w:t>
            </w:r>
          </w:p>
        </w:tc>
      </w:tr>
    </w:tbl>
    <w:p w14:paraId="21EF3017" w14:textId="77777777" w:rsidR="00D937B5" w:rsidRPr="008B4BBE" w:rsidRDefault="00D937B5" w:rsidP="00D937B5">
      <w:pPr>
        <w:pStyle w:val="HMG"/>
      </w:pPr>
      <w:r w:rsidRPr="003A18D4">
        <w:rPr>
          <w:bCs/>
          <w:lang w:val="en-US"/>
        </w:rPr>
        <w:tab/>
      </w:r>
      <w:r w:rsidRPr="003A18D4">
        <w:rPr>
          <w:bCs/>
          <w:lang w:val="en-US"/>
        </w:rPr>
        <w:tab/>
      </w:r>
      <w:r>
        <w:rPr>
          <w:bCs/>
        </w:rPr>
        <w:t>Общий базовый документ, являющийся составной частью докладов государств-участников</w:t>
      </w:r>
    </w:p>
    <w:p w14:paraId="7014B5F9" w14:textId="53E5472E" w:rsidR="00D937B5" w:rsidRPr="008B4BBE" w:rsidRDefault="00D937B5" w:rsidP="00D937B5">
      <w:pPr>
        <w:pStyle w:val="HMG"/>
      </w:pPr>
      <w:r>
        <w:tab/>
      </w:r>
      <w:r>
        <w:tab/>
      </w:r>
      <w:r>
        <w:rPr>
          <w:bCs/>
        </w:rPr>
        <w:t>Коста-Рика</w:t>
      </w:r>
      <w:r w:rsidRPr="0042736A">
        <w:rPr>
          <w:b w:val="0"/>
          <w:sz w:val="20"/>
        </w:rPr>
        <w:footnoteReference w:customMarkFollows="1" w:id="1"/>
        <w:t>*</w:t>
      </w:r>
      <w:r w:rsidRPr="00D937B5">
        <w:rPr>
          <w:b w:val="0"/>
          <w:sz w:val="20"/>
        </w:rPr>
        <w:t xml:space="preserve"> </w:t>
      </w:r>
      <w:r w:rsidRPr="00D937B5">
        <w:rPr>
          <w:rStyle w:val="aa"/>
          <w:b w:val="0"/>
          <w:sz w:val="20"/>
          <w:vertAlign w:val="baseline"/>
        </w:rPr>
        <w:footnoteReference w:customMarkFollows="1" w:id="2"/>
        <w:t>**</w:t>
      </w:r>
    </w:p>
    <w:p w14:paraId="65960691" w14:textId="77777777" w:rsidR="00D937B5" w:rsidRDefault="00D937B5" w:rsidP="00D937B5">
      <w:pPr>
        <w:pStyle w:val="SingleTxtG"/>
        <w:jc w:val="right"/>
      </w:pPr>
      <w:r>
        <w:t>[Дата получения: 8 февраля 2019 года]</w:t>
      </w:r>
    </w:p>
    <w:p w14:paraId="4786E548" w14:textId="77777777" w:rsidR="00D937B5" w:rsidRDefault="00D937B5">
      <w:pPr>
        <w:suppressAutoHyphens w:val="0"/>
        <w:spacing w:line="240" w:lineRule="auto"/>
      </w:pPr>
      <w:r>
        <w:br w:type="page"/>
      </w:r>
    </w:p>
    <w:p w14:paraId="1D16D79F" w14:textId="77777777" w:rsidR="00D937B5" w:rsidRPr="008B4BBE" w:rsidRDefault="00D937B5" w:rsidP="00D937B5">
      <w:pPr>
        <w:pStyle w:val="HChG"/>
      </w:pPr>
      <w:r>
        <w:rPr>
          <w:bCs/>
        </w:rPr>
        <w:lastRenderedPageBreak/>
        <w:tab/>
      </w:r>
      <w:r>
        <w:rPr>
          <w:bCs/>
        </w:rPr>
        <w:tab/>
        <w:t>Общая информация о положении в Республике Коста-Рика</w:t>
      </w:r>
    </w:p>
    <w:p w14:paraId="105AA7C9" w14:textId="77777777" w:rsidR="00D937B5" w:rsidRPr="008B4BBE" w:rsidRDefault="00D937B5" w:rsidP="00D937B5">
      <w:pPr>
        <w:pStyle w:val="H1G"/>
      </w:pPr>
      <w:r>
        <w:tab/>
      </w:r>
      <w:r>
        <w:tab/>
      </w:r>
      <w:r>
        <w:rPr>
          <w:bCs/>
        </w:rPr>
        <w:t>Демографические, экономические, социальные и культурные особенности</w:t>
      </w:r>
    </w:p>
    <w:p w14:paraId="00E38644" w14:textId="77777777" w:rsidR="00D937B5" w:rsidRPr="008B4BBE" w:rsidRDefault="00D937B5" w:rsidP="00D937B5">
      <w:pPr>
        <w:pStyle w:val="H23G"/>
        <w:rPr>
          <w:bCs/>
        </w:rPr>
      </w:pPr>
      <w:r>
        <w:tab/>
      </w:r>
      <w:r>
        <w:tab/>
      </w:r>
      <w:r>
        <w:rPr>
          <w:bCs/>
        </w:rPr>
        <w:t>Географическое положение</w:t>
      </w:r>
    </w:p>
    <w:p w14:paraId="33A293AE" w14:textId="77777777" w:rsidR="00D937B5" w:rsidRPr="008B4BBE" w:rsidRDefault="00D937B5" w:rsidP="00D937B5">
      <w:pPr>
        <w:pStyle w:val="SingleTxtG"/>
      </w:pPr>
      <w:r>
        <w:t>1.</w:t>
      </w:r>
      <w:r>
        <w:tab/>
        <w:t>Государство Республика Коста-Рика расположено на материке Америка, а именно на Центральноамериканском перешейке, между 8° и 12° северной широты и 82° и 86° западной долготы.</w:t>
      </w:r>
    </w:p>
    <w:p w14:paraId="7F083DCB" w14:textId="77777777" w:rsidR="00D937B5" w:rsidRPr="008B4BBE" w:rsidRDefault="00D937B5" w:rsidP="00D937B5">
      <w:pPr>
        <w:pStyle w:val="SingleTxtG"/>
      </w:pPr>
      <w:r>
        <w:t>2.</w:t>
      </w:r>
      <w:r>
        <w:tab/>
        <w:t xml:space="preserve">На севере страна граничит с Никарагуа, на юго-востоке – с Панамой, на востоке омывается Карибским морем, а на западе – Тихим океаном. Общая протяженность сухопутных границ составляет 663 км, из которых 300 км приходится на границу с Никарагуа и 363 км – на границу с Панамой. </w:t>
      </w:r>
    </w:p>
    <w:p w14:paraId="7A379A4D" w14:textId="77777777" w:rsidR="00D937B5" w:rsidRPr="008B4BBE" w:rsidRDefault="00D937B5" w:rsidP="00D937B5">
      <w:pPr>
        <w:pStyle w:val="H23G"/>
      </w:pPr>
      <w:r>
        <w:tab/>
      </w:r>
      <w:r>
        <w:tab/>
      </w:r>
      <w:r>
        <w:rPr>
          <w:bCs/>
        </w:rPr>
        <w:t>Язык</w:t>
      </w:r>
    </w:p>
    <w:p w14:paraId="422786D1" w14:textId="77777777" w:rsidR="00D937B5" w:rsidRPr="008B4BBE" w:rsidRDefault="00D937B5" w:rsidP="00D937B5">
      <w:pPr>
        <w:pStyle w:val="SingleTxtG"/>
      </w:pPr>
      <w:r>
        <w:t>3.</w:t>
      </w:r>
      <w:r>
        <w:tab/>
        <w:t>Испанский язык является государственным языком страны, и им пользуется большинство населения. Однако языки коренных народов страны имеют аналогичный статус</w:t>
      </w:r>
      <w:r w:rsidRPr="00F91E00">
        <w:rPr>
          <w:rStyle w:val="aa"/>
        </w:rPr>
        <w:footnoteReference w:id="3"/>
      </w:r>
      <w:r>
        <w:t>.</w:t>
      </w:r>
    </w:p>
    <w:p w14:paraId="016BC9BC" w14:textId="77777777" w:rsidR="00D937B5" w:rsidRPr="008B4BBE" w:rsidRDefault="00D937B5" w:rsidP="00D937B5">
      <w:pPr>
        <w:pStyle w:val="H23G"/>
      </w:pPr>
      <w:r>
        <w:tab/>
      </w:r>
      <w:r>
        <w:tab/>
      </w:r>
      <w:r>
        <w:rPr>
          <w:bCs/>
        </w:rPr>
        <w:t>Территория</w:t>
      </w:r>
    </w:p>
    <w:p w14:paraId="1F26E18E" w14:textId="77777777" w:rsidR="00D937B5" w:rsidRPr="008B4BBE" w:rsidRDefault="00D937B5" w:rsidP="00D937B5">
      <w:pPr>
        <w:pStyle w:val="SingleTxtG"/>
      </w:pPr>
      <w:r>
        <w:t>4.</w:t>
      </w:r>
      <w:r>
        <w:tab/>
        <w:t>Площадь Коста-Рики составляет 51 100 км</w:t>
      </w:r>
      <w:r>
        <w:rPr>
          <w:vertAlign w:val="superscript"/>
        </w:rPr>
        <w:t>2</w:t>
      </w:r>
      <w:r>
        <w:t>, из которых 26,2%, или приблизительно 13 000 км</w:t>
      </w:r>
      <w:r>
        <w:rPr>
          <w:vertAlign w:val="superscript"/>
        </w:rPr>
        <w:t>2</w:t>
      </w:r>
      <w:r>
        <w:t xml:space="preserve"> , находятся под охраной и распределяются следующим образом: 12,3% приходится на национальные парки, 4,6% – на национальные рефугиумы, 4,2% – на лесные заповедники, 3,1% – на охраняемые районы, </w:t>
      </w:r>
      <w:r>
        <w:br/>
        <w:t>1,3% – на водно-болотные угодья, включая мангровые леса, 0,4% – на биологические заповедники и 0,1% – на другие виды, такие как природные охраняемые территории, национальные памятники и естественные монументы.</w:t>
      </w:r>
    </w:p>
    <w:p w14:paraId="31A7B72A" w14:textId="77777777" w:rsidR="00D937B5" w:rsidRPr="008B4BBE" w:rsidRDefault="00D937B5" w:rsidP="00D937B5">
      <w:pPr>
        <w:pStyle w:val="SingleTxtG"/>
      </w:pPr>
      <w:r>
        <w:t>5.</w:t>
      </w:r>
      <w:r>
        <w:tab/>
        <w:t xml:space="preserve">В статье 168 Конституции говорится, что для целей государственного управления территория страны делится на провинции, кантоны и округа. В общей сложности в стране насчитывается 7 провинций, 82 кантона и 484 округа. </w:t>
      </w:r>
    </w:p>
    <w:p w14:paraId="0A2A9C8B" w14:textId="77777777" w:rsidR="00D937B5" w:rsidRPr="008B4BBE" w:rsidRDefault="00D937B5" w:rsidP="00D937B5">
      <w:pPr>
        <w:pStyle w:val="SingleTxtG"/>
      </w:pPr>
      <w:r>
        <w:t>6.</w:t>
      </w:r>
      <w:r>
        <w:tab/>
        <w:t xml:space="preserve">В целях проведения стратегических исследований и планирования социально-экономического развития территория Коста-Рики была разделена на шесть регионов: Центральный, Чоротега, Центральнотихоокеанский, Брунка, Уэтар-Карибе и Уэтар-Норте, что закреплено в исполнительном указе № 16068-PLAN и исполнительном указе № 37735-PLAN. </w:t>
      </w:r>
    </w:p>
    <w:p w14:paraId="1FC426E6" w14:textId="77777777" w:rsidR="00D937B5" w:rsidRPr="008B4BBE" w:rsidRDefault="00D937B5" w:rsidP="00D937B5">
      <w:pPr>
        <w:pStyle w:val="H23G"/>
      </w:pPr>
      <w:r>
        <w:tab/>
      </w:r>
      <w:r>
        <w:tab/>
      </w:r>
      <w:r>
        <w:rPr>
          <w:bCs/>
        </w:rPr>
        <w:t>Демографические характеристики</w:t>
      </w:r>
    </w:p>
    <w:p w14:paraId="43150FB2" w14:textId="77777777" w:rsidR="00D937B5" w:rsidRPr="008B4BBE" w:rsidRDefault="00D937B5" w:rsidP="00D937B5">
      <w:pPr>
        <w:pStyle w:val="SingleTxtG"/>
      </w:pPr>
      <w:r>
        <w:t>7.</w:t>
      </w:r>
      <w:r>
        <w:tab/>
        <w:t xml:space="preserve">Согласно существующим демографическим оценкам и прогнозам, по состоянию на 2016 год в стране проживало 4 890 372 человека, из которых </w:t>
      </w:r>
      <w:r>
        <w:br/>
        <w:t>2 467 825 мужчин и 2 422 547 женщин, т</w:t>
      </w:r>
      <w:r w:rsidR="003A18D4">
        <w:t>. е.</w:t>
      </w:r>
      <w:r>
        <w:t xml:space="preserve"> 101 мужчина на 100 женщин. Ожидаемая продолжительность жизни населения при рождении составляет примерно 80 лет, т</w:t>
      </w:r>
      <w:r w:rsidR="003A18D4">
        <w:t>. е. </w:t>
      </w:r>
      <w:r>
        <w:t>77,51 года для мужчин и 82,58 года для женщин. По состоянию на 1 сентября 2018</w:t>
      </w:r>
      <w:r w:rsidR="003A18D4">
        <w:t> </w:t>
      </w:r>
      <w:r>
        <w:t>года численность населения Коста-Рики достигла 5 000 000 человек.</w:t>
      </w:r>
    </w:p>
    <w:p w14:paraId="1A080276" w14:textId="77777777" w:rsidR="00D937B5" w:rsidRPr="008B4BBE" w:rsidRDefault="00D937B5" w:rsidP="00D937B5">
      <w:pPr>
        <w:pStyle w:val="SingleTxtG"/>
      </w:pPr>
      <w:r>
        <w:t>8.</w:t>
      </w:r>
      <w:r>
        <w:tab/>
        <w:t xml:space="preserve">Население растет, однако темпы этого прироста снижаются, перейдя от показателя в примерно 13 человек на каждую тысячу жителей в период </w:t>
      </w:r>
      <w:r>
        <w:br/>
        <w:t xml:space="preserve">2010–2011 годов к показателю в 12 человек на каждую тысячу жителей в период </w:t>
      </w:r>
      <w:r>
        <w:br/>
        <w:t xml:space="preserve">2015–2016 годов, т. е. они уменьшились на одного человека на каждую тысячу жителей. Эта ситуация объясняется в основном снижением рождаемости. На субнациональном уровне, особенно в шести регионах планирования, эта тенденция замедления прироста населения продолжается, за исключением регионов Чоротега и </w:t>
      </w:r>
      <w:r>
        <w:lastRenderedPageBreak/>
        <w:t>Уэтар-Норте, где в период 2015</w:t>
      </w:r>
      <w:r w:rsidR="003A18D4">
        <w:t>–</w:t>
      </w:r>
      <w:r>
        <w:t>2016 годов наблюдалось небольшое увеличение показателей. Регионами, в которых наблюдается наиболее выраженное замедление темпов прироста населения, являются Центральный, Центральнотихоокеанский и Брунка.</w:t>
      </w:r>
    </w:p>
    <w:p w14:paraId="40531C1E" w14:textId="77777777" w:rsidR="00D937B5" w:rsidRPr="008B4BBE" w:rsidRDefault="00D937B5" w:rsidP="00D937B5">
      <w:pPr>
        <w:pStyle w:val="SingleTxtG"/>
      </w:pPr>
      <w:r>
        <w:t>9.</w:t>
      </w:r>
      <w:r>
        <w:tab/>
        <w:t>Что касается расселения по территории, то плотность населения страны составляет около 96 человек на км</w:t>
      </w:r>
      <w:r w:rsidRPr="00AE2008">
        <w:rPr>
          <w:vertAlign w:val="superscript"/>
        </w:rPr>
        <w:t>2</w:t>
      </w:r>
      <w:r>
        <w:t>. Этот показатель увеличивается из-за роста численности населения: он вырос с приблизительно 87 человек на км</w:t>
      </w:r>
      <w:r w:rsidRPr="00AE2008">
        <w:rPr>
          <w:vertAlign w:val="superscript"/>
        </w:rPr>
        <w:t>2</w:t>
      </w:r>
      <w:r>
        <w:t xml:space="preserve"> в 2010 году до 96 человек на км</w:t>
      </w:r>
      <w:r w:rsidRPr="00AE2008">
        <w:rPr>
          <w:vertAlign w:val="superscript"/>
        </w:rPr>
        <w:t>2</w:t>
      </w:r>
      <w:r>
        <w:t xml:space="preserve"> в 2016 году. Центральный регион является наиболее густонаселенным, так как в нем проживает около 62% всего населения страны, однако с точки зрения территории он составляет лишь 16% общей площади государства. </w:t>
      </w:r>
    </w:p>
    <w:p w14:paraId="4F6A8E07" w14:textId="77777777" w:rsidR="00D937B5" w:rsidRPr="008B4BBE" w:rsidRDefault="00D937B5" w:rsidP="00D937B5">
      <w:pPr>
        <w:pStyle w:val="SingleTxtG"/>
      </w:pPr>
      <w:r>
        <w:t>10.</w:t>
      </w:r>
      <w:r>
        <w:tab/>
        <w:t xml:space="preserve">Относительно скорости увеличения плотности населения в регионах следует отметить, что Уэтар-Норте является регионом с наиболее быстрыми темпами изменения этого показателя, а Чоротега – регионом, где он меняется медленнее всего, а также одним из регионов с самой низкой плотностью населения. </w:t>
      </w:r>
    </w:p>
    <w:p w14:paraId="45D7884C" w14:textId="77777777" w:rsidR="00D937B5" w:rsidRPr="008B4BBE" w:rsidRDefault="00D937B5" w:rsidP="00D937B5">
      <w:pPr>
        <w:pStyle w:val="SingleTxtG"/>
      </w:pPr>
      <w:r>
        <w:t>11.</w:t>
      </w:r>
      <w:r>
        <w:tab/>
        <w:t>Что касается распределения населения по городским и сельским районам, то, согласно данным десятой Национальной переписи населения и шестой Переписи жилого фонда 2011 года, 72% населения страны проживает в городах. На</w:t>
      </w:r>
      <w:r>
        <w:rPr>
          <w:lang w:val="en-US"/>
        </w:rPr>
        <w:t> </w:t>
      </w:r>
      <w:r>
        <w:t>региональном уровне в четырех из шести регионов преобладает население, проживающее в городских районах.</w:t>
      </w:r>
    </w:p>
    <w:p w14:paraId="789498B5" w14:textId="77777777" w:rsidR="00D937B5" w:rsidRPr="008B4BBE" w:rsidRDefault="00D937B5" w:rsidP="00D937B5">
      <w:pPr>
        <w:pStyle w:val="SingleTxtG"/>
      </w:pPr>
      <w:r>
        <w:t>12.</w:t>
      </w:r>
      <w:r>
        <w:tab/>
        <w:t xml:space="preserve">Что касается состава населения в разбивке по полу и возрасту, то, как видно из диаграммы 1 в приложении 1, в период 1990–2016 годов население страны начало стареть, что обусловлено увеличением ожидаемой продолжительности жизни при рождении и ускоренным снижением рождаемости. </w:t>
      </w:r>
    </w:p>
    <w:p w14:paraId="77B3546E" w14:textId="77777777" w:rsidR="00D937B5" w:rsidRPr="008A367A" w:rsidRDefault="00D937B5" w:rsidP="00D937B5">
      <w:pPr>
        <w:pStyle w:val="SingleTxtG"/>
      </w:pPr>
      <w:r>
        <w:t>13.</w:t>
      </w:r>
      <w:r>
        <w:tab/>
        <w:t>В указанный период структура населения преобразовалась из пирамидальной в более прямоугольную в результате перемещения населения из младших возрастных групп в следующие возрастные группы, т. е. эволюции возрастных когорт, появившихся на свет в период повышения рождаемости в 1980-х и 1990-х годах ХХ века, чему способствовало снижение уровней младенческой и детской смертности в последние десятилетия.</w:t>
      </w:r>
    </w:p>
    <w:p w14:paraId="35BB09C1" w14:textId="77777777" w:rsidR="00D937B5" w:rsidRPr="008B4BBE" w:rsidRDefault="00D937B5" w:rsidP="00D937B5">
      <w:pPr>
        <w:pStyle w:val="SingleTxtG"/>
      </w:pPr>
      <w:r>
        <w:t>14.</w:t>
      </w:r>
      <w:r>
        <w:tab/>
        <w:t>Население трудоспособного возраста, т</w:t>
      </w:r>
      <w:r w:rsidR="003A18D4">
        <w:t>. е.</w:t>
      </w:r>
      <w:r>
        <w:t xml:space="preserve"> в возрасте от 15 до 64 лет, в этот период приобрело относительную значимость, увеличившись с 59,4% в 1990 году до 69,7% в 2016 году, что привело к снижению коэффициента демографической нагрузки с 68,3 иждивенц</w:t>
      </w:r>
      <w:r w:rsidR="003A18D4">
        <w:t>а</w:t>
      </w:r>
      <w:r>
        <w:t xml:space="preserve"> на 100 человек трудоспособного возраста в 1990 году до 43,4 иждивенц</w:t>
      </w:r>
      <w:r w:rsidR="003A18D4">
        <w:t>а</w:t>
      </w:r>
      <w:r>
        <w:t xml:space="preserve"> на 100 человек трудоспособного возраста в 2016 году. </w:t>
      </w:r>
    </w:p>
    <w:p w14:paraId="63720C73" w14:textId="77777777" w:rsidR="00D937B5" w:rsidRPr="008B4BBE" w:rsidRDefault="00D937B5" w:rsidP="00D937B5">
      <w:pPr>
        <w:pStyle w:val="SingleTxtG"/>
      </w:pPr>
      <w:r>
        <w:t>15.</w:t>
      </w:r>
      <w:r>
        <w:tab/>
        <w:t>Такое изменение коэффициента демографической нагрузки, при котором доля населения трудоспособного возраста выше доли иждивенцев, называется демографическим бонусом. Оно считается бонусом, поскольку, если бы указанная группа населения трудоспособного возраста попала на рынок труда, то возник бы избыток ресурсов в силу меньшего числа иждивенцев, которые в них нуждаются, поэтому эта ситуация стала бы возможностью для экономического роста. Тем не менее не все это население интегрировано на рынке труда, что затрудняет поиск решений, позволяющих воспользоваться преимуществами демографического бонуса, особенно с учетом того, что страна переживает процессы демографических преобразований ускоренными темпами и в настоящее время начался процесс старения населения.</w:t>
      </w:r>
    </w:p>
    <w:p w14:paraId="295481BA" w14:textId="77777777" w:rsidR="00D937B5" w:rsidRPr="008B4BBE" w:rsidRDefault="00D937B5" w:rsidP="00D937B5">
      <w:pPr>
        <w:pStyle w:val="SingleTxtG"/>
      </w:pPr>
      <w:r>
        <w:t>16.</w:t>
      </w:r>
      <w:r>
        <w:tab/>
        <w:t>Что касается этнического состава, то Коста-Рика, как указано в статье 1 ее политической Конституции, является демократической, многоэтнической и многокультурной республикой, в которой сосуществуют несколько групп населения, вносящих свой вклад в национальную культуру и развитие, в частности автохтонные и коренные народы, лица африканского происхождения, китайцы и мигранты.</w:t>
      </w:r>
    </w:p>
    <w:p w14:paraId="2A019044" w14:textId="77777777" w:rsidR="00D937B5" w:rsidRPr="008B4BBE" w:rsidRDefault="00D937B5" w:rsidP="00D937B5">
      <w:pPr>
        <w:pStyle w:val="SingleTxtG"/>
      </w:pPr>
      <w:r>
        <w:t>17.</w:t>
      </w:r>
      <w:r>
        <w:tab/>
        <w:t xml:space="preserve">По данным переписи 2011 года, 83,6% населения страны причисляют себя к белым или метисам, 7,8% – к лицам африканского происхождения, 2,4% – к представителям коренных народов, 0,2% – к китайцам, 0,8% – к представителям других этнических групп и 2,9% не идентифицируют себя ни с одной из этих групп. Из общего числа лиц, назвавших себя представителями коренного населения, </w:t>
      </w:r>
      <w:r>
        <w:lastRenderedPageBreak/>
        <w:t>75% причисляют себя к одному из восьми коренных народов страны</w:t>
      </w:r>
      <w:r w:rsidRPr="00F91E00">
        <w:rPr>
          <w:rStyle w:val="aa"/>
        </w:rPr>
        <w:footnoteReference w:id="4"/>
      </w:r>
      <w:r>
        <w:t xml:space="preserve"> или к одному из коренных народов другой страны. </w:t>
      </w:r>
    </w:p>
    <w:p w14:paraId="1908566C" w14:textId="77777777" w:rsidR="00D937B5" w:rsidRPr="008B4BBE" w:rsidRDefault="00D937B5" w:rsidP="00D937B5">
      <w:pPr>
        <w:pStyle w:val="SingleTxtG"/>
      </w:pPr>
      <w:r>
        <w:t>18.</w:t>
      </w:r>
      <w:r>
        <w:tab/>
        <w:t xml:space="preserve">При анализе состава населения по полу и возрастным группам в соответствии с их этнической и расовой принадлежностью, как показано на диаграммах 2, 3 и 4 в приложении 1, можно увидеть, что в целом представители коренных народов моложе, и большая часть населения сосредоточена в группах первого возраста </w:t>
      </w:r>
      <w:r>
        <w:br/>
        <w:t>(от 0 до 19 лет), что предполагает более высокую способность к деторождению, в то время как лица африканского происхождения хотя и моложе общего населения или населения, принадлежащего к другим группам, не относящимся ни к коренным народам, ни к лицам африканского происхождения, однако большая их часть сосредоточена в возрастных группах от 10 до 39 лет, что предполагает снижение способности к деторождению.</w:t>
      </w:r>
    </w:p>
    <w:p w14:paraId="6FE83F47" w14:textId="77777777" w:rsidR="00D937B5" w:rsidRPr="008B4BBE" w:rsidRDefault="00D937B5" w:rsidP="00D937B5">
      <w:pPr>
        <w:pStyle w:val="SingleTxtG"/>
      </w:pPr>
      <w:r>
        <w:t>19.</w:t>
      </w:r>
      <w:r>
        <w:tab/>
        <w:t>Что касается коэффициента демографической нагрузки, то представители коренных народов имеют более высокую долю зависимого населения, 64 иждивенца на 100 человек трудоспособного возраста, в то время как для лиц африканского происхождения этот коэффициент составляет 43 человека, а для других групп – 47 человек на 100 человек трудоспособного возраста, т</w:t>
      </w:r>
      <w:r w:rsidR="003A18D4">
        <w:t>. е.</w:t>
      </w:r>
      <w:r>
        <w:t xml:space="preserve"> коренное население имеет на 21 иждивенца больше на 100 человек трудоспособного возраста, чем лица африканского происхождения, и на 17 человек больше, чем другие группы. </w:t>
      </w:r>
    </w:p>
    <w:p w14:paraId="3BD08306" w14:textId="77777777" w:rsidR="00D937B5" w:rsidRPr="008B4BBE" w:rsidRDefault="00D937B5" w:rsidP="00D937B5">
      <w:pPr>
        <w:pStyle w:val="SingleTxtG"/>
      </w:pPr>
      <w:r>
        <w:t>20.</w:t>
      </w:r>
      <w:r>
        <w:tab/>
        <w:t>Что касается демографического бонуса, то наиболее обнадеживающая картина в плане использования этой возможности наблюдается среди лиц африканского происхождения; однако при анализе уровня видимой безработицы, выведенного из данных переписи, 4 человека из каждых 100 лиц африканского происхождения, принадлежащих к экономически активному населению, являются безработными, тогда как для групп, не относящихся ни к коренным народам, ни к лицам африканского происхождения, этот показатель составляет 3 человека из каждых 100 лиц. Несмотря на то, что эта группа населения имеет наиболее высокий демографический бонус, она больше всех затронута безработицей, поэтому создание условий для доступа к труду рассматривается в качестве одной из общенациональных задач.</w:t>
      </w:r>
    </w:p>
    <w:p w14:paraId="493F5D50" w14:textId="77777777" w:rsidR="00D937B5" w:rsidRPr="008B4BBE" w:rsidRDefault="00D937B5" w:rsidP="00D937B5">
      <w:pPr>
        <w:pStyle w:val="SingleTxtG"/>
      </w:pPr>
      <w:r>
        <w:t>21.</w:t>
      </w:r>
      <w:r>
        <w:tab/>
        <w:t xml:space="preserve">С другой стороны, 10,5% всего населения, или 452 849 человек, из которых 48,2% составляют мужчины и 51,8% – женщины, имеют по крайней мере одну инвалидность. 51,94% этого населения сосредоточено в возрастной группе от 30 до 64 лет. </w:t>
      </w:r>
    </w:p>
    <w:p w14:paraId="1EEBA1A1" w14:textId="77777777" w:rsidR="00D937B5" w:rsidRPr="008B4BBE" w:rsidRDefault="00D937B5" w:rsidP="00D937B5">
      <w:pPr>
        <w:pStyle w:val="SingleTxtG"/>
      </w:pPr>
      <w:r>
        <w:t>22.</w:t>
      </w:r>
      <w:r>
        <w:tab/>
        <w:t xml:space="preserve">Из 4 301 812 лиц, опрошенных в ходе переписи, 385 899 человек родились за рубежом (9,0%), 48,2% этой цифры составляют мужчины и 51,8% – женщины. Среди них выделяются никарагуанцы, составляющие 74,6% этой группы населения, 4,3% родились в Колумбии, 4,1% – в Соединенных Штатах, 2,9% – в Панаме, </w:t>
      </w:r>
      <w:r>
        <w:br/>
        <w:t>2,4% – в Сальвадоре и чуть более 11% – в других странах.</w:t>
      </w:r>
    </w:p>
    <w:p w14:paraId="50A44F9D" w14:textId="77777777" w:rsidR="00D937B5" w:rsidRPr="008A367A" w:rsidRDefault="00D937B5" w:rsidP="00D937B5">
      <w:pPr>
        <w:pStyle w:val="SingleTxtG"/>
      </w:pPr>
      <w:r>
        <w:t>23.</w:t>
      </w:r>
      <w:r>
        <w:tab/>
        <w:t>Что касается религиозных убеждений населения, то официальные данные отсутствуют, однако, по оценкам, немногим более двух третей населения исповедует католицизм. Остальная часть населения распределена между баптистским, евангелистским и методистским вероучениями, а также епископальной церковью. К другим известным религиям относятся вера бахаи, буддизм, харе кришна, индуизм, ислам, «Свидетели Иеговы», иудаизм, «Адвентисты седьмого дня», даосизм. Некоторые из них имеют свои мечети, пагоды, храмы и синагоги, а также связанные с ними места отправления культа.</w:t>
      </w:r>
    </w:p>
    <w:p w14:paraId="4A8F27BB" w14:textId="77777777" w:rsidR="00D937B5" w:rsidRPr="008B4BBE" w:rsidRDefault="00D937B5" w:rsidP="00D937B5">
      <w:pPr>
        <w:pStyle w:val="H23G"/>
      </w:pPr>
      <w:r>
        <w:tab/>
      </w:r>
      <w:r>
        <w:tab/>
      </w:r>
      <w:r>
        <w:rPr>
          <w:bCs/>
        </w:rPr>
        <w:t>Социально-экономические характеристики</w:t>
      </w:r>
    </w:p>
    <w:p w14:paraId="70F407C6" w14:textId="77777777" w:rsidR="00D937B5" w:rsidRPr="008B4BBE" w:rsidRDefault="00D937B5" w:rsidP="00D937B5">
      <w:pPr>
        <w:pStyle w:val="SingleTxtG"/>
      </w:pPr>
      <w:r>
        <w:t>24.</w:t>
      </w:r>
      <w:r>
        <w:tab/>
        <w:t xml:space="preserve">По данным Центрального банка Коста-Рики, в период 2010–2016 годов рост валового внутреннего продукта в номинальном выражении составлял порядка 8% в результате перехода от экономики основных и вспомогательных видов деятельности, </w:t>
      </w:r>
      <w:r>
        <w:lastRenderedPageBreak/>
        <w:t xml:space="preserve">таких как сельское хозяйство и обрабатывающая промышленность, к экономике услуг и прямых иностранных инвестиций (ПИИ). </w:t>
      </w:r>
    </w:p>
    <w:p w14:paraId="5CDB24C6" w14:textId="77777777" w:rsidR="00D937B5" w:rsidRPr="008B4BBE" w:rsidRDefault="00D937B5" w:rsidP="00D937B5">
      <w:pPr>
        <w:pStyle w:val="SingleTxtG"/>
      </w:pPr>
      <w:r>
        <w:t>25.</w:t>
      </w:r>
      <w:r>
        <w:tab/>
        <w:t>Показатели, связанные с легкостью ведения бизнеса и конкурентоспособностью, делают страну местом с приемлемыми условиями для осуществления производительной деятельности, что способствует созданию, особенно в рамках специальных внешнеторговых режимов, предприятий, связанных с различными этапами глобальных производственно-сбытовых цепочек. Ожидается, что эта динамика будет и впредь способствовать налаживанию связей между секторами, что позволит диверсифицировать производство и экспорт и увеличить радиус торговых и финансовых операций страны.</w:t>
      </w:r>
    </w:p>
    <w:p w14:paraId="5E1EA4DB" w14:textId="77777777" w:rsidR="00D937B5" w:rsidRPr="008B4BBE" w:rsidRDefault="00D937B5" w:rsidP="00D937B5">
      <w:pPr>
        <w:pStyle w:val="SingleTxtG"/>
      </w:pPr>
      <w:r>
        <w:t>26.</w:t>
      </w:r>
      <w:r>
        <w:tab/>
        <w:t>В период 2010–2016 годов рост объемов экономической деятельности характеризовался положительной динамикой на уровне порядка 3,8%.</w:t>
      </w:r>
    </w:p>
    <w:p w14:paraId="58A75919" w14:textId="77777777" w:rsidR="00D937B5" w:rsidRPr="008B4BBE" w:rsidRDefault="00D937B5" w:rsidP="00D937B5">
      <w:pPr>
        <w:pStyle w:val="SingleTxtG"/>
      </w:pPr>
      <w:r>
        <w:t>27.</w:t>
      </w:r>
      <w:r>
        <w:tab/>
        <w:t>В целом Коста-Рика имеет в мире различные преимущества. Среди прочих факторов выделяются качество кадровых ресурсов, политическая стабильность и благоприятное географическое положение для ведения бизнеса с основными торговыми и финансовыми партнерами, что способствует созданию ориентированных на экспорт услуг предприятий, в капитале которых имеются доли нерезидентов. Аналогичным образом относительная экономическая стабильность и консолидация бренда страны «Незаменимая Коста-Рика» позволяют обеспечить комплексный подход к развитию туризма, экспорта и иностранных инвестиций, а также способствовать направлению ресурсов на другие виды экономической деятельности, такие как промышленность и торговля.</w:t>
      </w:r>
    </w:p>
    <w:p w14:paraId="2711F15F" w14:textId="77777777" w:rsidR="00D937B5" w:rsidRPr="008B4BBE" w:rsidRDefault="00D937B5" w:rsidP="00D937B5">
      <w:pPr>
        <w:pStyle w:val="SingleTxtG"/>
      </w:pPr>
      <w:r>
        <w:t>28.</w:t>
      </w:r>
      <w:r>
        <w:tab/>
        <w:t>Одним из показателей, отражающих материальное благосостояние населения и его доступ к товарам и услугам, является реальный валовой располагаемый доход, который за период 2010</w:t>
      </w:r>
      <w:r w:rsidR="003A18D4">
        <w:t>–</w:t>
      </w:r>
      <w:r>
        <w:t xml:space="preserve">2016 годов вырос в среднем на 3,9%, что несколько выше среднего показателя роста производства за тот же период (3,8%). </w:t>
      </w:r>
    </w:p>
    <w:p w14:paraId="76658274" w14:textId="77777777" w:rsidR="00D937B5" w:rsidRPr="008B4BBE" w:rsidRDefault="00D937B5" w:rsidP="00D937B5">
      <w:pPr>
        <w:pStyle w:val="SingleTxtG"/>
      </w:pPr>
      <w:r>
        <w:t>29.</w:t>
      </w:r>
      <w:r>
        <w:tab/>
        <w:t>Что касается доли валового внутреннего продукта (ВВП), выделяемой на социальные инвестиции, то она увеличилась с 21,7% в 2010 году до 23,2% в 2016 году, сохраняя тенденцию к небольшому росту, что соответствует государственной политике в области направления ресурсов в основном на образование, здравоохранение и социальную защиту, а также на жилье. Значительная часть ресурсов, выделяемых на социальные инвестиции, поступает из бюджета центрального правительства, и, несмотря на дефицит государственного бюджета в течение отчетного периода, усилия по направлению ресурсов на социальные инвестиции отражены в полученных данных, которые демонстрируют данный показатель в виде процентной доли ВВП за период 2010–2016 годов. Из-за накопления растущего дефицита с 2009 года долг утроился с 5,5 до 16,1 млрд коста-риканских колонов.</w:t>
      </w:r>
    </w:p>
    <w:p w14:paraId="2F4A9E24" w14:textId="77777777" w:rsidR="00D937B5" w:rsidRPr="008B4BBE" w:rsidRDefault="00D937B5" w:rsidP="00D937B5">
      <w:pPr>
        <w:pStyle w:val="SingleTxtG"/>
      </w:pPr>
      <w:r>
        <w:t>30.</w:t>
      </w:r>
      <w:r>
        <w:tab/>
        <w:t>В свою очередь, индекс потребительских цен в период 2011–2014 годов демонстрировал самые значительные колебания, составлявшие в процентном отношении 3,68–5,13%. Однако в 2015 и 2016 годах колебания стали меньше, и в первый год наблюдалось даже отрицательное изменение в размере 0,81%.</w:t>
      </w:r>
    </w:p>
    <w:p w14:paraId="5CA1AA9C" w14:textId="77777777" w:rsidR="00D937B5" w:rsidRPr="008B4BBE" w:rsidRDefault="00D937B5" w:rsidP="00D937B5">
      <w:pPr>
        <w:pStyle w:val="SingleTxtG"/>
        <w:rPr>
          <w:bdr w:val="none" w:sz="0" w:space="0" w:color="auto" w:frame="1"/>
        </w:rPr>
      </w:pPr>
      <w:r>
        <w:t>31.</w:t>
      </w:r>
      <w:r>
        <w:tab/>
        <w:t>Доход на душу населения в реальном выражении в целом остался практически неизменным, составив в среднем около 350 000 колонов (увеличивался в темпе, аналогичном росту уровня цен). В отдельные годы реальный рост объясняется уменьшением среднего размера домохозяйств.</w:t>
      </w:r>
    </w:p>
    <w:p w14:paraId="411B1337" w14:textId="77777777" w:rsidR="00D937B5" w:rsidRPr="008B4BBE" w:rsidRDefault="00D937B5" w:rsidP="00D937B5">
      <w:pPr>
        <w:pStyle w:val="SingleTxtG"/>
        <w:rPr>
          <w:bdr w:val="none" w:sz="0" w:space="0" w:color="auto" w:frame="1"/>
        </w:rPr>
      </w:pPr>
      <w:r>
        <w:t>32.</w:t>
      </w:r>
      <w:r>
        <w:tab/>
        <w:t>По данным Национального обследования домашних хозяйств 2017 года, доля малоимущих домашних хозяйств в Коста-Рике за последние три года снизилась и составляет 22,1%, однако в течение последних 20 лет она не достигла значительного сокращения, а разрыв между периферийными областями (побережьями) и</w:t>
      </w:r>
      <w:r w:rsidR="00CD285C">
        <w:t> </w:t>
      </w:r>
      <w:r>
        <w:t xml:space="preserve">центральным районом страны сохраняется, причем значение показателя для этих периферийных областей в 1,8 раза превышает значение показателя по центральному региону. </w:t>
      </w:r>
    </w:p>
    <w:p w14:paraId="46BCF813" w14:textId="77777777" w:rsidR="00D937B5" w:rsidRPr="008B4BBE" w:rsidRDefault="00D937B5" w:rsidP="00D937B5">
      <w:pPr>
        <w:pStyle w:val="SingleTxtG"/>
        <w:rPr>
          <w:bdr w:val="none" w:sz="0" w:space="0" w:color="auto" w:frame="1"/>
        </w:rPr>
      </w:pPr>
      <w:r>
        <w:t>33.</w:t>
      </w:r>
      <w:r>
        <w:tab/>
        <w:t xml:space="preserve">В свою очередь, многомерная нищета, измеряемая индексом многомерной нищеты (ИМН), к 2017 году достигла значения 23,08%, снизившись по сравнению с </w:t>
      </w:r>
      <w:r>
        <w:lastRenderedPageBreak/>
        <w:t xml:space="preserve">предыдущими годами, когда она охватывала около 25% населения, живущего в условиях нищеты. Это сокращение наблюдалось также в каждом из регионов, однако разрыв между регионами сохраняется, равно как и разница в показателях черты бедности. </w:t>
      </w:r>
    </w:p>
    <w:p w14:paraId="5A85DB99" w14:textId="77777777" w:rsidR="00D937B5" w:rsidRPr="008B4BBE" w:rsidRDefault="00D937B5" w:rsidP="00D937B5">
      <w:pPr>
        <w:pStyle w:val="SingleTxtG"/>
        <w:rPr>
          <w:bdr w:val="none" w:sz="0" w:space="0" w:color="auto" w:frame="1"/>
        </w:rPr>
      </w:pPr>
      <w:r>
        <w:t>34.</w:t>
      </w:r>
      <w:r>
        <w:tab/>
        <w:t>Уровень нищеты, измеряемый методом черты бедности, тесно связан с уровнем безработицы, поскольку 80% доходов домохозяйств поступает от работы. Среди домохозяйств с более низким уровнем дохода относительная доля государственных выплат в общем доходе составляет около 20%.</w:t>
      </w:r>
    </w:p>
    <w:p w14:paraId="5C466F98" w14:textId="77777777" w:rsidR="00D937B5" w:rsidRPr="008B4BBE" w:rsidRDefault="00D937B5" w:rsidP="00D937B5">
      <w:pPr>
        <w:pStyle w:val="SingleTxtG"/>
        <w:rPr>
          <w:bdr w:val="none" w:sz="0" w:space="0" w:color="auto" w:frame="1"/>
        </w:rPr>
      </w:pPr>
      <w:r>
        <w:t>35.</w:t>
      </w:r>
      <w:r>
        <w:tab/>
        <w:t>При анализе распределения домохозяйств по полу их главы отмечается, что в течение указанного периода доля женщин во главе домохозяйств оставалась на уровне около 31%, а доля мужчин в период 2010–2017 годов снизилась до 26,2%; это снижение можно объяснить главным образом переходом к домохозяйствам с общим управлением, доля которых в тот же период выросла почти на 183%. Это предполагает признание участия обоих супругов в принятии решений в семье. Данная тенденция отражается и на региональном уровне, причем более быстрыми темпами она идет в регионах Чоротега и Центральнотихоокеанском, а более медленными – в регионе Брунка.</w:t>
      </w:r>
    </w:p>
    <w:p w14:paraId="15341375" w14:textId="77777777" w:rsidR="00D937B5" w:rsidRPr="008B4BBE" w:rsidRDefault="00D937B5" w:rsidP="00D937B5">
      <w:pPr>
        <w:pStyle w:val="H23G"/>
        <w:rPr>
          <w:bdr w:val="none" w:sz="0" w:space="0" w:color="auto" w:frame="1"/>
        </w:rPr>
      </w:pPr>
      <w:bookmarkStart w:id="0" w:name="_Toc535140312"/>
      <w:r>
        <w:tab/>
      </w:r>
      <w:r>
        <w:tab/>
      </w:r>
      <w:r>
        <w:rPr>
          <w:bCs/>
        </w:rPr>
        <w:t>Условия труда населения</w:t>
      </w:r>
      <w:bookmarkEnd w:id="0"/>
    </w:p>
    <w:p w14:paraId="09DB1EF0" w14:textId="77777777" w:rsidR="00D937B5" w:rsidRPr="008B4BBE" w:rsidRDefault="00D937B5" w:rsidP="00D937B5">
      <w:pPr>
        <w:pStyle w:val="SingleTxtG"/>
      </w:pPr>
      <w:r>
        <w:t>36.</w:t>
      </w:r>
      <w:r>
        <w:tab/>
        <w:t>Согласно данным постоянного обследования занятости, по состоянию на 2017 год на рынке труда состояло в среднем 58,8% населения трудоспособного возраста (15 лет и старше). Чистый коэффициент участия на рынке труда достигал своего пика в 2012, 2013 и 2014 годах и составлял 62% в каждый указанный год, что свидетельствует о самых высоких уровнях занятости, т. е. в среднем работу имела большая часть населения трудоспособного возраста; тем не менее к 2016 году этот показатель был самым низким и составлял 52,8%, а в 2017 году достиг 58,8%.</w:t>
      </w:r>
    </w:p>
    <w:p w14:paraId="363E8FD7" w14:textId="77777777" w:rsidR="00D937B5" w:rsidRPr="008B4BBE" w:rsidRDefault="00D937B5" w:rsidP="00D937B5">
      <w:pPr>
        <w:pStyle w:val="SingleTxtG"/>
      </w:pPr>
      <w:r>
        <w:t>37.</w:t>
      </w:r>
      <w:r>
        <w:tab/>
        <w:t>При анализе данных по регионам планирования следует отметить, что в период 2010</w:t>
      </w:r>
      <w:r w:rsidR="00CD285C">
        <w:t>–</w:t>
      </w:r>
      <w:r>
        <w:t xml:space="preserve">2017 годов Центральный регион и регион Уэтар-Норте сохраняли самые высокие уровни занятости, превышающие 60%, а в регионе Чоротега в эти же годы уровень занятости составлял 48% от общей численности рабочей силы. В регионе Уэтар-Карибе в течение всего этого периода наблюдалась тенденция к повышению уровня занятости, который в 2017 году достиг 53,9%, при этом за последние восемь лет он составлял в среднем 50,5%. В Центральнотихоокеанском регионе, напротив, </w:t>
      </w:r>
      <w:r>
        <w:br/>
        <w:t>в 2015–2016 годах наблюдалось снижение этого показателя до 43,5%, однако в 2017 году он восстановился и достиг 46,3%, а общий средний показатель за период 2010–2017 годов составил 55%.</w:t>
      </w:r>
    </w:p>
    <w:p w14:paraId="1920FCDB" w14:textId="77777777" w:rsidR="00D937B5" w:rsidRPr="008B4BBE" w:rsidRDefault="00D937B5" w:rsidP="00D937B5">
      <w:pPr>
        <w:pStyle w:val="SingleTxtG"/>
      </w:pPr>
      <w:r>
        <w:t>38.</w:t>
      </w:r>
      <w:r>
        <w:tab/>
        <w:t>Что касается региона Брунка, то в 2015, 2016 и 2017 годах уровень участия на рынке труда снижался (47,6%, 46,5% и 47,1% соответственно) аналогично Центральнотихоокеанскому региону (44,5%, 42,5% и 46,3% соответственно), однако за последний год этот показатель вырос.</w:t>
      </w:r>
    </w:p>
    <w:p w14:paraId="2191178E" w14:textId="77777777" w:rsidR="00D937B5" w:rsidRPr="008B4BBE" w:rsidRDefault="00D937B5" w:rsidP="00D937B5">
      <w:pPr>
        <w:pStyle w:val="SingleTxtG"/>
      </w:pPr>
      <w:r>
        <w:t>39.</w:t>
      </w:r>
      <w:r>
        <w:tab/>
        <w:t>Более 60% работающего населения Коста-Рики занято в секторе услуг, второе место занимает промышленность, на долю которой приходится 18,1% работающих костариканцев. В свою очередь, сельское хозяйство является видом экономической деятельности, где в течение последних восьми лет было занято наименьшее количество населения – 11,2%, однако этот показатель демонстрирует тенденцию к росту, не считая 2013 года, когда он составлял 9,9%. К 2017 году он достиг 12,5%.</w:t>
      </w:r>
    </w:p>
    <w:p w14:paraId="56416CB0" w14:textId="77777777" w:rsidR="00D937B5" w:rsidRPr="008B4BBE" w:rsidRDefault="00D937B5" w:rsidP="00D937B5">
      <w:pPr>
        <w:pStyle w:val="SingleTxtG"/>
      </w:pPr>
      <w:r>
        <w:t>40.</w:t>
      </w:r>
      <w:r>
        <w:tab/>
        <w:t>Что касается институционального сектора, то большинство костариканцев работают в частном секторе (85,7% по состоянию на 2017 год). В 2010–2015 годах в данном секторе наблюдалась тенденция к росту этого показателя, который достиг 86,7%, после чего начал сокращаться. Аналогичный показатель в государственном секторе в течение этого периода составлял около 15%.</w:t>
      </w:r>
    </w:p>
    <w:p w14:paraId="26F38E6E" w14:textId="77777777" w:rsidR="00D937B5" w:rsidRPr="008B4BBE" w:rsidRDefault="00D937B5" w:rsidP="00D937B5">
      <w:pPr>
        <w:pStyle w:val="SingleTxtG"/>
      </w:pPr>
      <w:r>
        <w:t>41.</w:t>
      </w:r>
      <w:r>
        <w:tab/>
        <w:t>По состоянию на 2017 год в среднем 9,1% трудоспособного населения было безработным. Наибольший показатель безработицы в 10,3% был достигнут в 2011 году, после чего он снизился и остается стабильным на уровне около 9,5%. Что</w:t>
      </w:r>
      <w:r>
        <w:rPr>
          <w:lang w:val="en-US"/>
        </w:rPr>
        <w:t> </w:t>
      </w:r>
      <w:r>
        <w:t xml:space="preserve">касается регионов планирования, то по состоянию на 2017 год самый высокий </w:t>
      </w:r>
      <w:r>
        <w:lastRenderedPageBreak/>
        <w:t>уровень безработицы наблюдался в Центральнотихоокеанском регионе, где в течение последних четырех лет имел тенденцию к росту, превысив в 2016 и 2017 годах даже процент безработицы в регионе Чоротега, характеризовавшемся в 2010–2015 годах самым высоким уровнем безработицы. В то же время в Центральном регионе уровень безработицы самый низкий, и его удается поддерживать на уровне около 8%.</w:t>
      </w:r>
    </w:p>
    <w:p w14:paraId="68ABDA6A" w14:textId="77777777" w:rsidR="00D937B5" w:rsidRPr="008B4BBE" w:rsidRDefault="00D937B5" w:rsidP="00D937B5">
      <w:pPr>
        <w:pStyle w:val="SingleTxtG"/>
        <w:rPr>
          <w:spacing w:val="-2"/>
        </w:rPr>
      </w:pPr>
      <w:r>
        <w:t>42.</w:t>
      </w:r>
      <w:r>
        <w:tab/>
        <w:t>Что касается положения в области занятости, то следует отметить существование гендерного неравенства, о котором свидетельствует расчет разницы в оплате труда мужчин и женщин, отражающий тот факт, что на каждые 100 000 колонов, зарабатываемых в стране мужчиной, приходится 90 000 колонов, зарабатываемых женщиной. При изучении дезагрегированных данных по различным категориям можно увидеть, где имеются наибольшие различия, как показано в таблице 1 приложения 2.</w:t>
      </w:r>
    </w:p>
    <w:p w14:paraId="23E70726" w14:textId="77777777" w:rsidR="00D937B5" w:rsidRPr="008B4BBE" w:rsidRDefault="00D937B5" w:rsidP="00D937B5">
      <w:pPr>
        <w:pStyle w:val="SingleTxtG"/>
      </w:pPr>
      <w:r>
        <w:t>43.</w:t>
      </w:r>
      <w:r>
        <w:tab/>
        <w:t xml:space="preserve">В отношении времени, отводимого для ухода за членами семьи, Общенациональное обследование использования времени 2017 года показало, что женщины посвящают неоплачиваемой работе по дому (НРД) </w:t>
      </w:r>
      <w:r w:rsidRPr="0095306F">
        <w:t xml:space="preserve">35,49 часов </w:t>
      </w:r>
      <w:r>
        <w:t xml:space="preserve">в неделю, а мужчины – в среднем </w:t>
      </w:r>
      <w:r w:rsidRPr="0095306F">
        <w:t>13,42 часа</w:t>
      </w:r>
      <w:r>
        <w:t>. В городских районах страны эта разница в количестве времени становится еще более значительной, увеличиваясь с 20 до 26 часов социального времени.</w:t>
      </w:r>
    </w:p>
    <w:p w14:paraId="710A1332" w14:textId="77777777" w:rsidR="00D937B5" w:rsidRPr="008B4BBE" w:rsidRDefault="00D937B5" w:rsidP="00D937B5">
      <w:pPr>
        <w:pStyle w:val="SingleTxtG"/>
      </w:pPr>
      <w:r>
        <w:t>44.</w:t>
      </w:r>
      <w:r>
        <w:tab/>
        <w:t>Общая трудовая нагрузка включает в себя время, затрачиваемое как на неоплачиваемую работу по дому, так и на оплачиваемый труд. Данные обследования показывают, что общая трудовая нагрузка у женщин (</w:t>
      </w:r>
      <w:r w:rsidRPr="0095306F">
        <w:t>69,53 часа</w:t>
      </w:r>
      <w:r>
        <w:t>) выше, чем у мужчин (</w:t>
      </w:r>
      <w:r w:rsidRPr="0095306F">
        <w:t>62,56 часа</w:t>
      </w:r>
      <w:r>
        <w:t>), при этом разница составляет примерно 7 часов.</w:t>
      </w:r>
    </w:p>
    <w:p w14:paraId="2A8F4F90" w14:textId="77777777" w:rsidR="00D937B5" w:rsidRPr="008B4BBE" w:rsidRDefault="00D937B5" w:rsidP="00D937B5">
      <w:pPr>
        <w:pStyle w:val="SingleTxtG"/>
      </w:pPr>
      <w:r>
        <w:t>45.</w:t>
      </w:r>
      <w:r>
        <w:tab/>
        <w:t>Существуют секторы экономики с представленностью женщин, где разрыв в оплате труда превышает 25%, т. е. где женщины зарабатывают менее 75% от заработной платы мужчин в том же секторе. Примерами этого является деятельность в отраслях вторичного сектора, таких как обрабатывающая промышленность (72,4%) или строительство (69,5%), либо третичного сектора, таких как торговля и ремонт (71,2%), связь и другие услуги (74,7%) и домохозяйства как работодатели (69,8%).</w:t>
      </w:r>
    </w:p>
    <w:p w14:paraId="56EC1E74" w14:textId="77777777" w:rsidR="00D937B5" w:rsidRPr="008B4BBE" w:rsidRDefault="00D937B5" w:rsidP="00D937B5">
      <w:pPr>
        <w:pStyle w:val="SingleTxtG"/>
      </w:pPr>
      <w:r>
        <w:t>46.</w:t>
      </w:r>
      <w:r>
        <w:tab/>
        <w:t>Что касается квалификации профессиональной группы, то между женщинами и мужчинами, работающими по высококвалифицированным профессиям (управленческий уровень, профессиональный уровень, научный и интеллектуальный уровень, технический уровень и средний профессиональный уровень), разрыв практически отсутствует (99,1%). В случае неквалифицированных профессий разрыв составляет 79,5%, в то время как на среднеквалифицированных профессиях этот разрыв составляет 71%, т. е. на каждые 100 000 колонов, зарабатываемых на этой должности мужчиной, приходится 71 000 колонов, зарабатываемых женщиной. Что касается институционального сектора, то в государственном секторе средняя заработная плата женщин выше, чем у мужчин (107,5%), однако в частном секторе разрыв в заработной плате составляет 73,2%, что свидетельствует о значительных различиях между двумя секторами.</w:t>
      </w:r>
    </w:p>
    <w:p w14:paraId="3B592B7F" w14:textId="77777777" w:rsidR="00D937B5" w:rsidRPr="008B4BBE" w:rsidRDefault="00D937B5" w:rsidP="00D937B5">
      <w:pPr>
        <w:pStyle w:val="SingleTxtG"/>
      </w:pPr>
      <w:r>
        <w:t>47.</w:t>
      </w:r>
      <w:r>
        <w:tab/>
        <w:t>Наконец, при анализе данных по должностям на основном рабочем месте становится ясно, что разрыв между мужчинами и женщинами, работающими по найму, значительно меньше, чем между работниками на других должностях (93,2%). Что касается женщин, являющихся индивидуальными предпринимателями, то они зарабатывают примерно 71 500 колонов на каждые 100 000 колонов, зарабатываемых мужчинами при тех же условиях, в то время как работодатели-женщины зарабатывают 69% от того, что зарабатывают работодатели-мужчины.</w:t>
      </w:r>
    </w:p>
    <w:p w14:paraId="66E67B6E" w14:textId="77777777" w:rsidR="00D937B5" w:rsidRPr="008B4BBE" w:rsidRDefault="00D937B5" w:rsidP="00D937B5">
      <w:pPr>
        <w:pStyle w:val="SingleTxtG"/>
      </w:pPr>
      <w:r>
        <w:t>48.</w:t>
      </w:r>
      <w:r>
        <w:tab/>
        <w:t xml:space="preserve">С 2015 года наметилась очень заметная тенденция роста показателя объединения в профсоюзы, который в 2016 году достиг 14,3%. В период с 2010 по 2016 год включительно средний показатель членства в профсоюзах составлял 9,6%. Это увеличение обусловлено, в частности, расширением принадлежности к государственному сектору. </w:t>
      </w:r>
    </w:p>
    <w:p w14:paraId="331A1210" w14:textId="77777777" w:rsidR="00D937B5" w:rsidRPr="008B4BBE" w:rsidRDefault="00D937B5" w:rsidP="00D937B5">
      <w:pPr>
        <w:pStyle w:val="H23G"/>
      </w:pPr>
      <w:r>
        <w:lastRenderedPageBreak/>
        <w:tab/>
      </w:r>
      <w:r>
        <w:tab/>
      </w:r>
      <w:r>
        <w:rPr>
          <w:bCs/>
        </w:rPr>
        <w:t>Окружающая среда</w:t>
      </w:r>
    </w:p>
    <w:p w14:paraId="0A33C742" w14:textId="77777777" w:rsidR="00D937B5" w:rsidRPr="008B4BBE" w:rsidRDefault="00D937B5" w:rsidP="00D937B5">
      <w:pPr>
        <w:pStyle w:val="SingleTxtG"/>
      </w:pPr>
      <w:r>
        <w:t>49.</w:t>
      </w:r>
      <w:r>
        <w:tab/>
        <w:t xml:space="preserve">Весь мир признает ведущую роль страны в решении экологических проблем и высокую приверженность принципу многосторонности. Право на здоровую и экологически сбалансированную окружающую среду было закреплено в статье 50 политической Конституции 1994 года. В настоящее время Коста-Рика стремится стать пионером нового режима, который будет действовать после Парижского соглашения. </w:t>
      </w:r>
    </w:p>
    <w:p w14:paraId="7F6FE17A" w14:textId="77777777" w:rsidR="00D937B5" w:rsidRPr="008B4BBE" w:rsidRDefault="00D937B5" w:rsidP="00D937B5">
      <w:pPr>
        <w:pStyle w:val="SingleTxtG"/>
      </w:pPr>
      <w:r>
        <w:t>50.</w:t>
      </w:r>
      <w:r>
        <w:tab/>
        <w:t xml:space="preserve">В то время как в рамках большинства определяемых на национальном уровне вкладов (или «ОНУВ») предлагаются сокращения объема выбросов, которые несоизмеримы с масштабами проблемы изменения климата, Коста-Рика берет на себя обязательство достичь цели, согласующейся с общей целью Соглашения. Кроме того, перед страной стоит задача стать «глобальной лабораторией» по декарбонизации, с тем чтобы закрепить накопленный на сегодняшний день опыт и достичь прогресса в тех областях, где другие ищут новаторские примеры. </w:t>
      </w:r>
    </w:p>
    <w:p w14:paraId="0229EF7F" w14:textId="77777777" w:rsidR="00D937B5" w:rsidRPr="008B4BBE" w:rsidRDefault="00D937B5" w:rsidP="00D937B5">
      <w:pPr>
        <w:pStyle w:val="SingleTxtG"/>
      </w:pPr>
      <w:r>
        <w:t>51.</w:t>
      </w:r>
      <w:r>
        <w:tab/>
        <w:t xml:space="preserve">В 2021 году страна отметит двухсотлетие своей независимости стремлением воспользоваться возможностями четвертой промышленной революции и перейти к низкоуглеродной и цифровой экономике на благо народа. </w:t>
      </w:r>
    </w:p>
    <w:p w14:paraId="1DD59D73" w14:textId="77777777" w:rsidR="00D937B5" w:rsidRPr="008B4BBE" w:rsidRDefault="00D937B5" w:rsidP="00D937B5">
      <w:pPr>
        <w:pStyle w:val="SingleTxtG"/>
      </w:pPr>
      <w:r>
        <w:t>52.</w:t>
      </w:r>
      <w:r>
        <w:tab/>
        <w:t>Для реализации этих целей страна имеет преимущества, которые закрепляют важные достижения предыдущих десятилетий, включая электросеть, работающую практически без выбросов, и очень низкие темпы обезлесения.</w:t>
      </w:r>
    </w:p>
    <w:p w14:paraId="2706151B" w14:textId="77777777" w:rsidR="00D937B5" w:rsidRPr="008B4BBE" w:rsidRDefault="00D937B5" w:rsidP="00D937B5">
      <w:pPr>
        <w:pStyle w:val="SingleTxtG"/>
      </w:pPr>
      <w:r>
        <w:t>53.</w:t>
      </w:r>
      <w:r>
        <w:tab/>
        <w:t xml:space="preserve">На региональном уровне Межамериканская система защиты прав человека также гарантирует право на здоровую окружающую среду в статье 11 Сан-Сальвадорского протокола, касающегося экономических, социальных и культурных прав. В этой связи в различных решениях Межамериканского суда по правам человека была установлена взаимосвязь между охраной окружающей среды и осуществлением других прав человека. В последнем из них – консультативном заключении OC-23/17 от ноября 2017 года – говорится о взаимозависимости между окружающей средой и правами человека. Права на доступ к экологической информации закреплены в так называемом принципе 10 Рио-де-Жанейрской декларации 2012 года. </w:t>
      </w:r>
    </w:p>
    <w:p w14:paraId="2F646C80" w14:textId="77777777" w:rsidR="00D937B5" w:rsidRPr="008B4BBE" w:rsidRDefault="00D937B5" w:rsidP="00D937B5">
      <w:pPr>
        <w:pStyle w:val="SingleTxtG"/>
      </w:pPr>
      <w:r>
        <w:t>54.</w:t>
      </w:r>
      <w:r>
        <w:tab/>
        <w:t>Недавно страна возглавила деятельность по подготовке Регионального соглашения 2018 года о доступе к информации, участии общественности и правосудии по вопросам окружающей среды в Латинской Америке и Карибском бассейне, также известного под названием «Соглашение Эскасу», и стала одним из его разработчиков. Это первый в мире договор, гарантирующий, в частности, безопасные и благоприятные условия для отдельных лиц, групп и организаций, которые поощряют и защищают права человека в вопросах окружающей среды, без угроз, ограничений или отсутствия безопасности. Это Соглашение является новаторским</w:t>
      </w:r>
      <w:r w:rsidRPr="00D342BE">
        <w:t xml:space="preserve"> </w:t>
      </w:r>
      <w:r>
        <w:t xml:space="preserve">также потому, что в его статью 2 было впервые в мире включено определение лиц или групп в ситуации уязвимости. Соглашение Эскасу было открыто для подписания в сентябре прошлого года в Организации Объединенных Наций, и на сегодняшний день его подписали 16 стран региона. </w:t>
      </w:r>
    </w:p>
    <w:p w14:paraId="3AA32D1D" w14:textId="77777777" w:rsidR="00D937B5" w:rsidRPr="008B4BBE" w:rsidRDefault="00D937B5" w:rsidP="00D937B5">
      <w:pPr>
        <w:pStyle w:val="SingleTxtG"/>
      </w:pPr>
      <w:r>
        <w:t>55.</w:t>
      </w:r>
      <w:r>
        <w:tab/>
        <w:t>Кроме того, уже в течение нескольких лет Коста-Рика лоббирует в Совете по правам человека резолюцию по правам человека и окружающей среде, представленную ею совместно со Словенией, Швейцарией, Марокко и Мальдивскими Островами. Благодаря этой резолюции (резолюция 19/10) в 2012 году удалось учредить мандат независимого эксперта по вопросу о правозащитных обязательствах, касающихся пользования безопасной, чистой, здоровой и устойчивой окружающей средой.</w:t>
      </w:r>
    </w:p>
    <w:p w14:paraId="2106775F" w14:textId="77777777" w:rsidR="00D937B5" w:rsidRPr="008B4BBE" w:rsidRDefault="00D937B5" w:rsidP="00D937B5">
      <w:pPr>
        <w:pStyle w:val="SingleTxtG"/>
      </w:pPr>
      <w:r>
        <w:t>56.</w:t>
      </w:r>
      <w:r>
        <w:tab/>
        <w:t xml:space="preserve">В этой связи Специальный докладчик по вопросу о правозащитных обязательствах, касающихся пользования безопасной, чистой, здоровой и устойчивой окружающей средой, рекомендовал Генеральной Ассамблее Организации Объединенных Наций признать в резолюции A/73/188 от 19 июля 2018 года право человека на безопасную, чистую, здоровую и устойчивую окружающую среду. </w:t>
      </w:r>
    </w:p>
    <w:p w14:paraId="101E3615" w14:textId="77777777" w:rsidR="00D937B5" w:rsidRPr="008B4BBE" w:rsidRDefault="00D937B5" w:rsidP="00D937B5">
      <w:pPr>
        <w:pStyle w:val="H23G"/>
      </w:pPr>
      <w:r>
        <w:lastRenderedPageBreak/>
        <w:tab/>
      </w:r>
      <w:r>
        <w:tab/>
      </w:r>
      <w:r>
        <w:rPr>
          <w:bCs/>
        </w:rPr>
        <w:t>Жилой фонд и жилищно-коммунальные услуги</w:t>
      </w:r>
    </w:p>
    <w:p w14:paraId="720D6A70" w14:textId="77777777" w:rsidR="00D937B5" w:rsidRPr="008B4BBE" w:rsidRDefault="00D937B5" w:rsidP="00D937B5">
      <w:pPr>
        <w:pStyle w:val="SingleTxtG"/>
      </w:pPr>
      <w:r>
        <w:t>57.</w:t>
      </w:r>
      <w:r>
        <w:tab/>
        <w:t>Что касается жилого фонда, то в стране действует Национальная система жилищного финансирования (НСЖФ), направленная на предоставление жилищных субсидий семьям с низким уровнем дохода. В Коста-Рике дефицит жилья составляет 170 116 единиц, и, согласно статистическому справочнику Министерства жилищного строительства и городских территорий за 2017 год, в период 1987–2017 годов семьям с низким уровнем дохода было выплачено 320 395 субсидий.</w:t>
      </w:r>
    </w:p>
    <w:p w14:paraId="07B94E57" w14:textId="77777777" w:rsidR="00D937B5" w:rsidRPr="008B4BBE" w:rsidRDefault="00D937B5" w:rsidP="00D937B5">
      <w:pPr>
        <w:pStyle w:val="SingleTxtG"/>
      </w:pPr>
      <w:r>
        <w:t>58.</w:t>
      </w:r>
      <w:r>
        <w:tab/>
        <w:t>По данным Национального обследования домашних хозяйств (НОДХ) 2017 года, общее число домашних хозяйств составляет 1 523 869 единиц; по оценкам, эту государственную жилищную субсидию получило примерно каждое четвертое домашнее хозяйство.</w:t>
      </w:r>
    </w:p>
    <w:p w14:paraId="6AFF18A0" w14:textId="77777777" w:rsidR="00D937B5" w:rsidRPr="008B4BBE" w:rsidRDefault="00D937B5" w:rsidP="00D937B5">
      <w:pPr>
        <w:pStyle w:val="SingleTxtG"/>
      </w:pPr>
      <w:r>
        <w:t>59.</w:t>
      </w:r>
      <w:r>
        <w:tab/>
        <w:t>Сопоставление данных переписей населения 2000 года и 2011 года свидетельствует о таких благоприятных изменениях, как</w:t>
      </w:r>
      <w:r w:rsidR="00E341EC">
        <w:t>:</w:t>
      </w:r>
      <w:r>
        <w:t xml:space="preserve"> а) сокращение доли переполненных жилых помещений с 7,9% до 3,5%; c) уменьшение доли жилых помещений без электроснабжения с 3,2% до 0,1%; d) уменьшение доли жилых помещений, не имеющих санитарно-технических средств, с 10,6% до 0,2%; e) уменьшение доли жилых помещений, не имеющих доступа к питьевой воде, с 10,6% до 0,3%. Другим важным аспектом является доступ к Интернету: согласно данным НОДХ 2017 года, выход в Интернет имеют 68,7% домашних хозяйств Коста-Рики.</w:t>
      </w:r>
    </w:p>
    <w:p w14:paraId="576094BB" w14:textId="77777777" w:rsidR="00D937B5" w:rsidRPr="008B4BBE" w:rsidRDefault="00D937B5" w:rsidP="00D937B5">
      <w:pPr>
        <w:pStyle w:val="SingleTxtG"/>
      </w:pPr>
      <w:r>
        <w:t>60.</w:t>
      </w:r>
      <w:r>
        <w:tab/>
        <w:t xml:space="preserve">По данным НСЖФ, количество и размер жилищных субсидий, выплаченных в период 2011–2017 годов, свидетельствуют о том, что жилищные решения </w:t>
      </w:r>
      <w:r>
        <w:br/>
        <w:t xml:space="preserve">были предоставлены 32 925 домохозяйствам, возглавляемым мужчинами, </w:t>
      </w:r>
      <w:r>
        <w:br/>
        <w:t>и 40 678 домохозяйствам, возглавляемым женщинами, что соответствует соотношению 45% и 55% соответственно.</w:t>
      </w:r>
    </w:p>
    <w:p w14:paraId="2F36A546" w14:textId="77777777" w:rsidR="00D937B5" w:rsidRPr="008B4BBE" w:rsidRDefault="00D937B5" w:rsidP="00D937B5">
      <w:pPr>
        <w:pStyle w:val="SingleTxtG"/>
      </w:pPr>
      <w:r>
        <w:t>61.</w:t>
      </w:r>
      <w:r>
        <w:tab/>
        <w:t>Согласно данным переписи населения 2011 года, 50,1% жилья населения из числа коренных народов находится либо в неудовлетворительном, либо в приемлемом состоянии. Для удовлетворения жилищных потребностей населения из числа коренных народов в период 2011–2017 годов НСЖФ разработала 3 306 жилищных решений, что составляет 19,5% от требуемого показателя.</w:t>
      </w:r>
    </w:p>
    <w:p w14:paraId="5E6F3203" w14:textId="77777777" w:rsidR="00D937B5" w:rsidRPr="008B4BBE" w:rsidRDefault="00D937B5" w:rsidP="00D937B5">
      <w:pPr>
        <w:pStyle w:val="SingleTxtG"/>
      </w:pPr>
      <w:r>
        <w:t>62.</w:t>
      </w:r>
      <w:r>
        <w:tab/>
        <w:t>С другой стороны, 45,5% жилья населения африканского происхождения находится либо в неудовлетворительном, либо в приемлемом состоянии. Для</w:t>
      </w:r>
      <w:r w:rsidR="00E341EC">
        <w:t> </w:t>
      </w:r>
      <w:r>
        <w:t>населения в целом этот показатель составляет приблизительно 38%, что свидетельствует о наличии препятствий для доступа вышеуказанных групп населения к достойному жилью и о необходимости разработки мер по устранению этих пробелов.</w:t>
      </w:r>
    </w:p>
    <w:p w14:paraId="6ADE9725" w14:textId="77777777" w:rsidR="00D937B5" w:rsidRPr="008B4BBE" w:rsidRDefault="00D937B5" w:rsidP="00D937B5">
      <w:pPr>
        <w:pStyle w:val="SingleTxtG"/>
      </w:pPr>
      <w:r>
        <w:t>63.</w:t>
      </w:r>
      <w:r>
        <w:tab/>
        <w:t xml:space="preserve">Кроме того, в стране существует субсидия на жилье для инвалидов, данные </w:t>
      </w:r>
      <w:r>
        <w:br/>
        <w:t xml:space="preserve">по которой за период 2011–2017 годов свидетельствуют о предоставлении </w:t>
      </w:r>
      <w:r>
        <w:br/>
        <w:t>2 314 субсидий, что составляет 3,1% от общей суммы.</w:t>
      </w:r>
    </w:p>
    <w:p w14:paraId="78596285" w14:textId="77777777" w:rsidR="00D937B5" w:rsidRPr="008B4BBE" w:rsidRDefault="00D937B5" w:rsidP="00D937B5">
      <w:pPr>
        <w:pStyle w:val="SingleTxtG"/>
      </w:pPr>
      <w:r>
        <w:t>64.</w:t>
      </w:r>
      <w:r>
        <w:tab/>
        <w:t xml:space="preserve">2,4% домашних хозяйств, возглавляемых иностранцами, проживают в трущобах и 5,0% – в самозахватных поселениях; в домашних хозяйствах, возглавляемых костариканцами, этот показатель составляет соответственно 0,46% и 0,9%. Примерно в 14% жилищ, занимаемых домашними хозяйствами, возглавляемыми иностранцами, стены, пол и потолок находятся в плохом состоянии, тогда как среди домохозяйств, возглавляемых костариканцами, в плохом состоянии находится менее 8% жилищ. Данные свидетельствуют о том, что статус иностранца, по всей видимости, ограничивает доступ к достойному жилью, поэтому необходимо активизировать действия по урегулированию соответствующего статуса и разработать меры по интеграции этого населения и обеспечению ему доступа к достойным условиям жизни. </w:t>
      </w:r>
    </w:p>
    <w:p w14:paraId="182580BB" w14:textId="77777777" w:rsidR="00D937B5" w:rsidRPr="008B4BBE" w:rsidRDefault="00D937B5" w:rsidP="00D937B5">
      <w:pPr>
        <w:pStyle w:val="H23G"/>
      </w:pPr>
      <w:r>
        <w:tab/>
      </w:r>
      <w:r>
        <w:tab/>
      </w:r>
      <w:r>
        <w:rPr>
          <w:bCs/>
        </w:rPr>
        <w:t>Состояние здоровья населения</w:t>
      </w:r>
      <w:r>
        <w:t xml:space="preserve"> </w:t>
      </w:r>
    </w:p>
    <w:p w14:paraId="71C83583" w14:textId="77777777" w:rsidR="00D937B5" w:rsidRPr="008B4BBE" w:rsidRDefault="00D937B5" w:rsidP="00D937B5">
      <w:pPr>
        <w:pStyle w:val="SingleTxtG"/>
      </w:pPr>
      <w:r>
        <w:t>65.</w:t>
      </w:r>
      <w:r>
        <w:tab/>
        <w:t>Смертность в стране несколько возросла в результате старения населения, которое объясняется в основном снижением рождаемости и увеличением ожидаемой продолжительности жизни. За последние семь лет на каждую тысячу жителей приходится одна дополнительная смерть. Подобная динамика роста общего коэффициента смертности наблюдается во всех шести регионах, и</w:t>
      </w:r>
      <w:r w:rsidR="00E341EC">
        <w:t>,</w:t>
      </w:r>
      <w:r>
        <w:t xml:space="preserve"> хотя в регионах </w:t>
      </w:r>
      <w:r>
        <w:lastRenderedPageBreak/>
        <w:t>Уэтар-Норте и Уэтар-Карибе отмечаются самые низкие показатели, темпы их роста являются более высокими. Ожидаемая продолжительность жизни при рождении в Коста-Рике увеличилась в среднем на один год за последние семь лет – с 79 лет в 2010 году до 80 лет в 2016 году. Это во многом объясняется устойчивым снижением уровня младенческой смертности.</w:t>
      </w:r>
    </w:p>
    <w:p w14:paraId="28B9C98B" w14:textId="77777777" w:rsidR="00D937B5" w:rsidRPr="008B4BBE" w:rsidRDefault="00D937B5" w:rsidP="00D937B5">
      <w:pPr>
        <w:pStyle w:val="SingleTxtG"/>
      </w:pPr>
      <w:r>
        <w:t>66.</w:t>
      </w:r>
      <w:r>
        <w:tab/>
        <w:t>Поскольку смертность оказывает дифференцированное воздействие в зависимости от пола, то ожидаемая продолжительность жизни при рождении у женщин больше, чем у мужчин, хотя вышеупомянутое увеличение на один год относится как к мужчинам, так и к женщинам.</w:t>
      </w:r>
    </w:p>
    <w:p w14:paraId="7A75A326" w14:textId="77777777" w:rsidR="00D937B5" w:rsidRPr="008A367A" w:rsidRDefault="00D937B5" w:rsidP="00D937B5">
      <w:pPr>
        <w:pStyle w:val="SingleTxtG"/>
      </w:pPr>
      <w:r>
        <w:t>67.</w:t>
      </w:r>
      <w:r>
        <w:tab/>
        <w:t xml:space="preserve">В стране наблюдается устойчивое снижение младенческой смертности, которая за последние семь лет сократилась на одну младенческую смерть на каждую тысячу рождений. При анализе указанного показателя в разбивке по регионам обращает на себя внимание тот факт, что данная тенденция к снижению проявляется исключительно в Центральном регионе, где, несмотря на небольшой рост в 2013 году, в остальной период наблюдалась тенденция к уменьшению соответствующих цифр, тогда как в остальных регионах эти изменения беспорядочны. Например, в 2012 году в регионе Уэтар-Карибе отмечался один из самых низких показателей, однако в 2013 году он позиционировался как регион с самым высоким уровнем младенческой смертности. </w:t>
      </w:r>
    </w:p>
    <w:p w14:paraId="0E00D7DA" w14:textId="77777777" w:rsidR="00D937B5" w:rsidRPr="008B4BBE" w:rsidRDefault="00D937B5" w:rsidP="00D937B5">
      <w:pPr>
        <w:pStyle w:val="SingleTxtG"/>
      </w:pPr>
      <w:r>
        <w:t>68.</w:t>
      </w:r>
      <w:r>
        <w:tab/>
        <w:t>Самая высокая доля младенческой смертности приходится на первые 28 дней жизни, т</w:t>
      </w:r>
      <w:r w:rsidR="00E341EC">
        <w:t>. е.</w:t>
      </w:r>
      <w:r>
        <w:t xml:space="preserve"> на неонатальный период; эта смертность в большей степени связана с эндогенными факторами, которых практически невозможно избежать. Анализ по группам причин смертности показывает, что наибольшее число смертей приходится на перинатальные нарушения, среди которых на первом месте стоит крайняя недоношенность, а на втором – врожденные пороки развития.</w:t>
      </w:r>
    </w:p>
    <w:p w14:paraId="5165812A" w14:textId="77777777" w:rsidR="00D937B5" w:rsidRPr="008B4BBE" w:rsidRDefault="00D937B5" w:rsidP="00D937B5">
      <w:pPr>
        <w:pStyle w:val="SingleTxtG"/>
      </w:pPr>
      <w:r>
        <w:t>69.</w:t>
      </w:r>
      <w:r>
        <w:tab/>
        <w:t xml:space="preserve">Смертность детей в возрасте до пяти лет в стране снижается, за исключением 2016 года, когда наблюдался незначительный рост этого показателя, что можно объяснить увеличением доли детей в возрасте старше одного года, поскольку к 2016 году смертность детей в возрасте до одного года действительно снизилась. Сопоставление данных начала и конца периода показывает, что детская смертность сократилась на две смерти на каждую тысячу рождений. </w:t>
      </w:r>
    </w:p>
    <w:p w14:paraId="3E190039" w14:textId="77777777" w:rsidR="00D937B5" w:rsidRPr="008B4BBE" w:rsidRDefault="00D937B5" w:rsidP="00D937B5">
      <w:pPr>
        <w:pStyle w:val="SingleTxtG"/>
      </w:pPr>
      <w:r>
        <w:t>70.</w:t>
      </w:r>
      <w:r>
        <w:tab/>
        <w:t xml:space="preserve">На региональном уровне данный показатель демонстрирует то же поведение, что и показатель младенческой смертности, т. е. не отражает тенденции к снижению, наблюдаемой в национальном показателе. </w:t>
      </w:r>
    </w:p>
    <w:p w14:paraId="602A6DFC" w14:textId="77777777" w:rsidR="00D937B5" w:rsidRPr="00F5259A" w:rsidRDefault="00D937B5" w:rsidP="00D937B5">
      <w:pPr>
        <w:pStyle w:val="SingleTxtG"/>
      </w:pPr>
      <w:r>
        <w:t>71.</w:t>
      </w:r>
      <w:r>
        <w:tab/>
        <w:t>Анализ по группам причин смертности показывает, что наибольшее число смертей приходится на</w:t>
      </w:r>
      <w:r w:rsidRPr="00F5259A">
        <w:t xml:space="preserve"> причин</w:t>
      </w:r>
      <w:r>
        <w:t>ы</w:t>
      </w:r>
      <w:r w:rsidRPr="00F5259A">
        <w:t>, связанны</w:t>
      </w:r>
      <w:r>
        <w:t>е</w:t>
      </w:r>
      <w:r w:rsidRPr="00F5259A">
        <w:t xml:space="preserve"> с перинатальным периодом и врожденными пороками развития; это касается смертности детей в возрасте до одного года, на которую приходится около 85% случаев детс</w:t>
      </w:r>
      <w:r>
        <w:t>кой смертности</w:t>
      </w:r>
      <w:r w:rsidRPr="00F5259A">
        <w:t xml:space="preserve"> или </w:t>
      </w:r>
      <w:r>
        <w:t xml:space="preserve">смертности </w:t>
      </w:r>
      <w:r w:rsidRPr="00F5259A">
        <w:t xml:space="preserve">детей в возрасте до </w:t>
      </w:r>
      <w:r>
        <w:t>пяти</w:t>
      </w:r>
      <w:r w:rsidRPr="00F5259A">
        <w:t xml:space="preserve"> лет. В </w:t>
      </w:r>
      <w:r>
        <w:t>анализе</w:t>
      </w:r>
      <w:r w:rsidRPr="00F5259A">
        <w:t xml:space="preserve"> подчеркивается более </w:t>
      </w:r>
      <w:r>
        <w:t>значительная</w:t>
      </w:r>
      <w:r w:rsidRPr="00F5259A">
        <w:t xml:space="preserve"> роль внешних причин в этих смертях, а также рост смертности от инфекционных и паразитарных заболеваний.</w:t>
      </w:r>
    </w:p>
    <w:p w14:paraId="56CA503C" w14:textId="77777777" w:rsidR="00D937B5" w:rsidRPr="008B4BBE" w:rsidRDefault="00D937B5" w:rsidP="00D937B5">
      <w:pPr>
        <w:pStyle w:val="SingleTxtG"/>
      </w:pPr>
      <w:r w:rsidRPr="00F5259A">
        <w:t>72.</w:t>
      </w:r>
      <w:r w:rsidRPr="00F5259A">
        <w:tab/>
        <w:t xml:space="preserve">Коэффициент материнской смертности, являющийся одним из </w:t>
      </w:r>
      <w:r>
        <w:t xml:space="preserve">характерных </w:t>
      </w:r>
      <w:r w:rsidRPr="00F5259A">
        <w:t xml:space="preserve">показателей, на протяжении последних семи лет оставался на уровне примерно </w:t>
      </w:r>
      <w:r>
        <w:t>трех</w:t>
      </w:r>
      <w:r w:rsidRPr="00F5259A">
        <w:t xml:space="preserve"> случаев смерти женщин </w:t>
      </w:r>
      <w:r>
        <w:t>во время беременности, родов или послеродового периода на каждые 10 000 родов. При анализе свойств данного показателя на региональном уровне никакой закономерности не прослеживается, поскольку его изменения носят беспорядочный характер. При анализе по группам причин смертности обращает на себя внимание преобладание прямых акушерских причин, т</w:t>
      </w:r>
      <w:r w:rsidR="00E341EC">
        <w:t>. е.</w:t>
      </w:r>
      <w:r>
        <w:t xml:space="preserve"> непосредственно связанных с состоянием роженицы и уходом за ней, за исключением 2013 и 2016 годов, в которых преобладали косвенные акушерские причины, т</w:t>
      </w:r>
      <w:r w:rsidR="00E341EC">
        <w:t>. е.</w:t>
      </w:r>
      <w:r>
        <w:t xml:space="preserve"> обусловленные заболеваниями матери до беременности, усугубленными состоянием роженицы.</w:t>
      </w:r>
    </w:p>
    <w:p w14:paraId="2A74F905" w14:textId="77777777" w:rsidR="00D937B5" w:rsidRPr="008B4BBE" w:rsidRDefault="00D937B5" w:rsidP="00D937B5">
      <w:pPr>
        <w:pStyle w:val="SingleTxtG"/>
      </w:pPr>
      <w:r>
        <w:t>73.</w:t>
      </w:r>
      <w:r>
        <w:tab/>
        <w:t xml:space="preserve">Хотя уровни материнской смертности в стране могут быть низкими по сравнению с другими государствами региона, необходимо объединить усилия для искоренения тех смертей, которых можно было бы избежать или которые можно было бы предотвратить; согласно данным Национальной системы анализа и оценки </w:t>
      </w:r>
      <w:r>
        <w:lastRenderedPageBreak/>
        <w:t xml:space="preserve">материнской, младенческой и перинатальной смертности (НСАОММПС), за период 2010–2016 годов в среднем 49% этих смертей можно было бы предотвратить. </w:t>
      </w:r>
    </w:p>
    <w:p w14:paraId="64820BE2" w14:textId="77777777" w:rsidR="00D937B5" w:rsidRPr="008B4BBE" w:rsidRDefault="00D937B5" w:rsidP="00D937B5">
      <w:pPr>
        <w:pStyle w:val="SingleTxtG"/>
      </w:pPr>
      <w:r>
        <w:t>74.</w:t>
      </w:r>
      <w:r>
        <w:tab/>
        <w:t xml:space="preserve">Эта тревожная ситуация усугубляется на субнациональном уровне, поскольку между провинциями и регионами существуют значительные различия. Поэтому ключом к успеху станет совместная межведомственная и межсекторальная работа по повышению качества ухода за беременными женщинами и их семьями в различные периоды (дородовой, родовой и послеродовой), с тем чтобы сократить указанные различия. Согласно полученным данным, особого внимания требует смертность среди женщин старше 35 лет, поскольку обычно речь идет о женщинах с набором хронических заболеваний. Что касается смертности среди женщин в возрасте до 20 лет, то подавляющее большинство ее случаев приходится на женщин в возрасте </w:t>
      </w:r>
      <w:r>
        <w:br/>
        <w:t>18–19 лет. Два случая приходятся на возраст 15 лет и объясняются неблагоприятными условиями жизни женщин. Среди общего числа предотвратимых смертей восемь можно было бы предотвратить посредством улучшения условий жизни, в которых действуют социальные, экономические и культурные факторы и барьеры, препятствующие географическому доступу.</w:t>
      </w:r>
    </w:p>
    <w:p w14:paraId="6C0EB97C" w14:textId="77777777" w:rsidR="00D937B5" w:rsidRPr="008B4BBE" w:rsidRDefault="00D937B5" w:rsidP="00D937B5">
      <w:pPr>
        <w:pStyle w:val="H23G"/>
      </w:pPr>
      <w:bookmarkStart w:id="1" w:name="_Toc535140316"/>
      <w:r>
        <w:tab/>
      </w:r>
      <w:r>
        <w:tab/>
      </w:r>
      <w:r w:rsidRPr="00497004">
        <w:rPr>
          <w:bCs/>
        </w:rPr>
        <w:t>Эпидемиологическая обстановка</w:t>
      </w:r>
      <w:r w:rsidRPr="00497004">
        <w:t xml:space="preserve"> </w:t>
      </w:r>
      <w:bookmarkEnd w:id="1"/>
    </w:p>
    <w:p w14:paraId="0BEEC8D4" w14:textId="77777777" w:rsidR="00D937B5" w:rsidRPr="008B4BBE" w:rsidRDefault="00D937B5" w:rsidP="00D937B5">
      <w:pPr>
        <w:pStyle w:val="SingleTxtG"/>
      </w:pPr>
      <w:r>
        <w:t>75.</w:t>
      </w:r>
      <w:r>
        <w:tab/>
        <w:t xml:space="preserve">Что касается эпидемиологической обстановки в стране, то при анализе динамики показателя смертности по трем группам риска отмечается, что в целом наибольшая доля смертей приходится на неинфекционные заболевания, к числу которых относятся хронические дегенеративные заболевания, такие как новообразования и сердечно-сосудистые заболевания, хронические респираторные заболевания, заболевания нервной системы, заболевания опорно-двигательного аппарата, заболевания мочеполовой системы и симптомы дряхлости, что характерно для страны на позднем этапе демографических преобразований или старения населения. </w:t>
      </w:r>
    </w:p>
    <w:p w14:paraId="629B2D61" w14:textId="77777777" w:rsidR="00D937B5" w:rsidRPr="008B4BBE" w:rsidRDefault="00D937B5" w:rsidP="00D937B5">
      <w:pPr>
        <w:pStyle w:val="SingleTxtG"/>
      </w:pPr>
      <w:r>
        <w:t>76.</w:t>
      </w:r>
      <w:r>
        <w:tab/>
        <w:t>Тем не менее обращает на себя внимание рост показателя смертности от внешних причин, который между началом и концом этого периода увеличился примерно на 14%. На заразные заболевания, в том числе инфекционные и паразитарные заболевания и острые респираторные инфекции, по-прежнему приходится около 7% от общего числа смертей.</w:t>
      </w:r>
    </w:p>
    <w:p w14:paraId="7628BD33" w14:textId="77777777" w:rsidR="00D937B5" w:rsidRPr="008B4BBE" w:rsidRDefault="00D937B5" w:rsidP="00D937B5">
      <w:pPr>
        <w:pStyle w:val="SingleTxtG"/>
      </w:pPr>
      <w:r>
        <w:t>77.</w:t>
      </w:r>
      <w:r>
        <w:tab/>
        <w:t>Анализ десяти основных причин смертности в период 2010–2016 годов показывает, что основными причинами смертности в стране остаются острый неспецифический инфаркт миокарда и неопределенная злокачественная опухоль желудка, а начиная с 2011 года третье место занимают травмы в дорожно-транспортных происшествиях, с периодичностью в несколько лет чередующиеся со склеротическими и ишемическими заболеваниями сердца. Обращает на себя внимание увеличение смертности в результате дорожно-транспортных происшествий, поскольку это смертность, которую можно предотвратить, а также в результате обструктивных и ишемических заболеваний сердца, связанных с малоподвижным образом жизни и нездоровым питанием.</w:t>
      </w:r>
    </w:p>
    <w:p w14:paraId="13EF3B00" w14:textId="77777777" w:rsidR="00D937B5" w:rsidRPr="008A367A" w:rsidRDefault="00D937B5" w:rsidP="00D937B5">
      <w:pPr>
        <w:pStyle w:val="SingleTxtG"/>
      </w:pPr>
      <w:r>
        <w:t>78.</w:t>
      </w:r>
      <w:r>
        <w:tab/>
        <w:t>При анализе распределения причин смертности по трем группам на региональном уровне обращает на себя внимание тот факт, что, хотя повторение национальной модели их распределения наблюдается во всех регионах, в регионах Уэтар-Норте, Уэтар-Карибе и Брунка доля внешних причин возросла и в два раза превышает аналогичную цифру в общенациональном показателе и в Центральном регионе. Кроме того, обращает на себя внимание рост числа случаев инфекционных заболеваний в Центральнотихоокеанском регионе и регионе Чоротега.</w:t>
      </w:r>
    </w:p>
    <w:p w14:paraId="5BB73103" w14:textId="77777777" w:rsidR="00D937B5" w:rsidRPr="008A367A" w:rsidRDefault="00D937B5" w:rsidP="00D937B5">
      <w:pPr>
        <w:pStyle w:val="SingleTxtG"/>
      </w:pPr>
      <w:r>
        <w:t>79.</w:t>
      </w:r>
      <w:r>
        <w:tab/>
        <w:t>Показатель смертности в результате убийств в течение последних пяти лет увеличился, хотя в 2016 году наблюдалось небольшое его снижение; тем не менее в начале рассматриваемого периода (2010 год) он был аналогичен показателю 2016 года. При анализе динамики этого показателя на региональном уровне можно отметить, что закономерности в его изменениях не прослеживается, однако в регионах Чоротега и Уэтар-Карибе наблюдается его значительный рост.</w:t>
      </w:r>
    </w:p>
    <w:p w14:paraId="1DE01AE8" w14:textId="77777777" w:rsidR="00D937B5" w:rsidRPr="008B4BBE" w:rsidRDefault="00D937B5" w:rsidP="00D937B5">
      <w:pPr>
        <w:pStyle w:val="H23G"/>
      </w:pPr>
      <w:bookmarkStart w:id="2" w:name="_Toc535140317"/>
      <w:r>
        <w:lastRenderedPageBreak/>
        <w:tab/>
      </w:r>
      <w:r>
        <w:tab/>
      </w:r>
      <w:r>
        <w:rPr>
          <w:bCs/>
        </w:rPr>
        <w:t>Сексуальное и репродуктивное здоровье</w:t>
      </w:r>
      <w:bookmarkEnd w:id="2"/>
    </w:p>
    <w:p w14:paraId="3974EF74" w14:textId="77777777" w:rsidR="00D937B5" w:rsidRPr="008B4BBE" w:rsidRDefault="00D937B5" w:rsidP="00D937B5">
      <w:pPr>
        <w:pStyle w:val="SingleTxtG"/>
      </w:pPr>
      <w:r>
        <w:t>80.</w:t>
      </w:r>
      <w:r>
        <w:tab/>
        <w:t>В Коста-Рике наблюдается устойчивое снижение способности к деторождению, которое непосредственно влияет на рождаемость: за последние семь лет на каждую тысячу жителей родилось примерно на двух мальчиков или девочек меньше, т. е. в 2010 году на каждую тысячу жителей рождалось 16 мальчиков или девочек, а в 2016 году этот показатель снизился до 14 детей. При анализе изменения рождаемости на уровне регионов можно заметить, что эта тенденция к снижению наблюдается не везде. В регионе Брунка и в меньшей степени в регионе Уэтар-Норте отмечается беспорядочная динамика. Кроме того, обращает на себя внимание тот факт, что по состоянию на 2016 год Центральный регион, Центральнотихоокеанский регион и регион Брунка являлись регионами с наименьшими общими показателями рождаемости, при этом наибольшее сокращение рождаемости наблюдается в регионе Чоротега и Центральном регионе.</w:t>
      </w:r>
    </w:p>
    <w:p w14:paraId="5612FF52" w14:textId="77777777" w:rsidR="00D937B5" w:rsidRPr="008B4BBE" w:rsidRDefault="00D937B5" w:rsidP="00D937B5">
      <w:pPr>
        <w:pStyle w:val="SingleTxtG"/>
      </w:pPr>
      <w:r>
        <w:t>81.</w:t>
      </w:r>
      <w:r>
        <w:tab/>
        <w:t>В течение последних семи лет общий коэффициент рождаемости неуклонно снижался и уменьшился на 5,7% – с 1,8 до 1,7 ребенка на одну женщину. При анализе данного показателя по регионам в большей их части наблюдается аналогичная тенденция к снижению, за исключением региона Уэтар-Норте, где наблюдаются беспорядочные изменения. Эта тенденция к снижению особенно заметна в регионах Чоротега, Брунка и Уэтар-Карибе.</w:t>
      </w:r>
    </w:p>
    <w:p w14:paraId="31D9BFE3" w14:textId="77777777" w:rsidR="00D937B5" w:rsidRPr="008B4BBE" w:rsidRDefault="00D937B5" w:rsidP="00D937B5">
      <w:pPr>
        <w:pStyle w:val="SingleTxtG"/>
      </w:pPr>
      <w:r>
        <w:t>82.</w:t>
      </w:r>
      <w:r>
        <w:tab/>
        <w:t>Показатель подростковых беременностей (среди женщин в возрасте до 20 лет) за последние четыре года снизился с 70 беременностей среди женщин в возрасте до 20 лет в 2012 году до 55 беременностей среди женщин в возрасте до 20 лет в 2016 году на каждую 1 000 женщин того же возраста; т. е. на каждую 1 000 женщин этого возраста приходится на 15 деторождений меньше. При анализе данного показателя на уровне регионов наблюдается аналогичная тенденция к снижению, за исключением региона Уэтар-Норте, где наблюдаются беспорядочные изменения. Регионами, добившимися наибольших темпов сокращения данного показателя, стали Центральный регион, регион Брунка, Центральнотихоокеанский регион и регион Чоротега.</w:t>
      </w:r>
    </w:p>
    <w:p w14:paraId="09A32BCE" w14:textId="77777777" w:rsidR="00D937B5" w:rsidRPr="008B4BBE" w:rsidRDefault="00D937B5" w:rsidP="00D937B5">
      <w:pPr>
        <w:pStyle w:val="SingleTxtG"/>
      </w:pPr>
      <w:r>
        <w:t>83.</w:t>
      </w:r>
      <w:r>
        <w:tab/>
        <w:t>В период 2010–2016 годов доля младенцев, которые были рождены несовершеннолетними матерями и отцами, которые на пять лет старше матерей, т. е. в ненадлежащих отношениях, с 2017 года причисляемых Законом № 9406 к категории преступлений, оставалась на уровне 67,8%. Анализ этого показателя по регионам показывает, что наиболее высокий процент подобных рождений наблюдается в приграничных регионах, таких как Уэтар-Норте и Брунка, а также в регионе Уэтар-Карибе. Хотя сравнение между 2010 годом и 2016 годом показывает сокращение данного показателя во всех регионах, подобная динамика носит беспорядочный характер, поскольку происходят значительные колебания.</w:t>
      </w:r>
    </w:p>
    <w:p w14:paraId="53D42420" w14:textId="77777777" w:rsidR="00D937B5" w:rsidRPr="008B4BBE" w:rsidRDefault="00D937B5" w:rsidP="00D937B5">
      <w:pPr>
        <w:pStyle w:val="SingleTxtG"/>
      </w:pPr>
      <w:r>
        <w:t>84.</w:t>
      </w:r>
      <w:r>
        <w:tab/>
        <w:t>При анализе данных двух обследований сексуального и репродуктивного здоровья можно отметить, что использование так называемых современных противозачаточных средств (оральных, инъекционных, внутриматочных, стерилизационных, барьерных и экстренных методов контрацепции) среди населения детородного возраста остается на уровне около 60%.</w:t>
      </w:r>
    </w:p>
    <w:p w14:paraId="0C7AB280" w14:textId="77777777" w:rsidR="00D937B5" w:rsidRPr="008B4BBE" w:rsidRDefault="00D937B5" w:rsidP="00D937B5">
      <w:pPr>
        <w:pStyle w:val="H23G"/>
        <w:rPr>
          <w:bdr w:val="none" w:sz="0" w:space="0" w:color="auto" w:frame="1"/>
        </w:rPr>
      </w:pPr>
      <w:r>
        <w:tab/>
      </w:r>
      <w:r>
        <w:tab/>
      </w:r>
      <w:r>
        <w:rPr>
          <w:bCs/>
        </w:rPr>
        <w:t>Гендерное насилие</w:t>
      </w:r>
    </w:p>
    <w:p w14:paraId="5A1E87EE" w14:textId="77777777" w:rsidR="00D937B5" w:rsidRPr="008B4BBE" w:rsidRDefault="00D937B5" w:rsidP="00D937B5">
      <w:pPr>
        <w:pStyle w:val="SingleTxtG"/>
      </w:pPr>
      <w:r>
        <w:t>85.</w:t>
      </w:r>
      <w:r>
        <w:tab/>
        <w:t xml:space="preserve">Феминицид – это наиболее серьезный вид гендерного насилия, при котором женщина погибает из-за того, что является женщиной, причем, как правило, от руки нынешнего или предыдущего партнера либо другого мужчины, с которым она не имела или не имеет близких отношений. За последние три года количество убийств женщин на каждые 100 000 жителей женского пола увеличилось с 0,26 женщины до 0,40 женщины в 2014 году </w:t>
      </w:r>
      <w:r w:rsidR="00E341EC">
        <w:t xml:space="preserve">и </w:t>
      </w:r>
      <w:r>
        <w:t>до 0,48 женщины в 2016 году, превысив даже показатель 2010 года, составлявший 0,45 женщины.</w:t>
      </w:r>
    </w:p>
    <w:p w14:paraId="60518E79" w14:textId="77777777" w:rsidR="00D937B5" w:rsidRPr="008B4BBE" w:rsidRDefault="00D937B5" w:rsidP="00D937B5">
      <w:pPr>
        <w:pStyle w:val="SingleTxtG"/>
      </w:pPr>
      <w:r>
        <w:t>86.</w:t>
      </w:r>
      <w:r>
        <w:tab/>
        <w:t xml:space="preserve">Расширенный феминицид также относится к числу наиболее серьезных видов гендерного насилия, когда женщина погибает от руки лица, с которым она не состояла в зарегистрированном браке или сожительстве: сюда относятся, например, женщины, погибшие во время помолвки, после развода, после прекращения гражданского брака, </w:t>
      </w:r>
      <w:r>
        <w:lastRenderedPageBreak/>
        <w:t>а также в общественных местах, в том числе в результате сексуального нападения. В течение первых двух лет периода 2010–2016 годов наблюдалось увеличение числа случаев расширенного феминицида с 0,94 женщины на каждые 100 000 женщин, проживавших в стране, в 2010 году до 1,32 женщины на каждые 100 000 женщин, проживавших в стране, в 2011 году. Тем не менее в конце этого периода наметилась тенденция к снижению этого показателя: в 2014–2015 годах этот показатель уменьшился с 0,75 женщины до 0,79 женщины, а в 2016 году – до 0,66 женщины. Вышеизложенное не относится к феминициду, определение которого содержится в статье 21 Закона об уголовной ответственности за насилие в отношении женщин и показатель которого за последние три года того же периода увеличился.</w:t>
      </w:r>
    </w:p>
    <w:p w14:paraId="33D3B011" w14:textId="77777777" w:rsidR="00D937B5" w:rsidRPr="008B4BBE" w:rsidRDefault="00D937B5" w:rsidP="00D937B5">
      <w:pPr>
        <w:pStyle w:val="SingleTxtG"/>
      </w:pPr>
      <w:r>
        <w:t>87.</w:t>
      </w:r>
      <w:r>
        <w:tab/>
        <w:t xml:space="preserve">За последние семь лет ежегодно поступало в среднем </w:t>
      </w:r>
      <w:r w:rsidR="00E341EC" w:rsidRPr="00FD304F">
        <w:t>6</w:t>
      </w:r>
      <w:r w:rsidR="00E341EC">
        <w:t> </w:t>
      </w:r>
      <w:r w:rsidR="00E341EC" w:rsidRPr="00FD304F">
        <w:t xml:space="preserve">679 </w:t>
      </w:r>
      <w:r>
        <w:t xml:space="preserve"> жалоб на сексуальное насилие. Количество жалоб в целом увеличилось с 6 511 в 2010 году до 6 900 в 2016 году, причем на каждую жалобу о сексуальном насилии в отношении мужчин приходится примерно пять жалоб на сексуальное насилие в отношении женщин, что означает большую представленность женщин в качестве жертв этого вида насилия.</w:t>
      </w:r>
    </w:p>
    <w:p w14:paraId="5B165C88" w14:textId="77777777" w:rsidR="00D937B5" w:rsidRPr="008B4BBE" w:rsidRDefault="00D937B5" w:rsidP="00D937B5">
      <w:pPr>
        <w:pStyle w:val="H23G"/>
      </w:pPr>
      <w:r>
        <w:tab/>
      </w:r>
      <w:r>
        <w:tab/>
      </w:r>
      <w:r>
        <w:rPr>
          <w:bCs/>
        </w:rPr>
        <w:t>Образование</w:t>
      </w:r>
    </w:p>
    <w:p w14:paraId="03E8BDE1" w14:textId="77777777" w:rsidR="00D937B5" w:rsidRPr="008B4BBE" w:rsidRDefault="00D937B5" w:rsidP="00D937B5">
      <w:pPr>
        <w:pStyle w:val="SingleTxtG"/>
      </w:pPr>
      <w:r>
        <w:t>88.</w:t>
      </w:r>
      <w:r>
        <w:tab/>
        <w:t>В соответствии со статьей 78 политической Конституции дошкольное, базовое общее и многопрофильное образование является обязательным и в государственной системе бесплатным, а также обеспечивается за счет государства.</w:t>
      </w:r>
    </w:p>
    <w:p w14:paraId="12C90681" w14:textId="77777777" w:rsidR="00D937B5" w:rsidRPr="005779CD" w:rsidRDefault="00D937B5" w:rsidP="00D937B5">
      <w:pPr>
        <w:pStyle w:val="SingleTxtG"/>
      </w:pPr>
      <w:r>
        <w:t>89.</w:t>
      </w:r>
      <w:r>
        <w:tab/>
        <w:t>По данным переписи населения 2011 года, показатель грамотности составляет 97,6%, поэтому в соответствии со стандартом, определенным ЮНИСЕФ, страна считается свободной от неграмотности. Неграмотность достигает 0,7% среди лиц в возрасте от 10 до 17 лет и 4,5% среди лиц в возрасте от 18 лет. Анализ этого показателя в разбивке по полу показывает, что уровень грамотности среди женщин выше, чем среди мужчин, причем данная модель характерна для различных групп населения, в частности для инвалидов, однако к коренному населению это не относится. Разрыв между женщинами из числа коренных народов и женщинами африканского происхождения и другими группами может свидетельствовать о том, что одним из определяющих факторов доступа к образованию является их этнический и расовый статус. То</w:t>
      </w:r>
      <w:r w:rsidRPr="005779CD">
        <w:t xml:space="preserve"> </w:t>
      </w:r>
      <w:r>
        <w:t>же</w:t>
      </w:r>
      <w:r w:rsidRPr="005779CD">
        <w:t xml:space="preserve"> </w:t>
      </w:r>
      <w:r>
        <w:t>самое</w:t>
      </w:r>
      <w:r w:rsidRPr="005779CD">
        <w:t xml:space="preserve"> </w:t>
      </w:r>
      <w:r>
        <w:t>относится</w:t>
      </w:r>
      <w:r w:rsidRPr="005779CD">
        <w:t xml:space="preserve"> </w:t>
      </w:r>
      <w:r>
        <w:t>и</w:t>
      </w:r>
      <w:r w:rsidRPr="005779CD">
        <w:t xml:space="preserve"> </w:t>
      </w:r>
      <w:r>
        <w:t>к</w:t>
      </w:r>
      <w:r w:rsidRPr="005779CD">
        <w:t xml:space="preserve"> </w:t>
      </w:r>
      <w:r>
        <w:t>инвалидности</w:t>
      </w:r>
      <w:r w:rsidRPr="005779CD">
        <w:t>.</w:t>
      </w:r>
    </w:p>
    <w:p w14:paraId="450B4B52" w14:textId="77777777" w:rsidR="00D937B5" w:rsidRPr="00E05476" w:rsidRDefault="00D937B5" w:rsidP="00D937B5">
      <w:pPr>
        <w:pStyle w:val="SingleTxtG"/>
      </w:pPr>
      <w:r w:rsidRPr="00E05476">
        <w:t>90.</w:t>
      </w:r>
      <w:r w:rsidRPr="00E05476">
        <w:tab/>
      </w:r>
      <w:r>
        <w:t>В 2011 году население в возрасте от 25 лет имело в среднем восьмилетнее общее образование, т. е. закончило восемь классов средней школы, при этом средний уровень образования среди женщин был выше, чем среди мужчин. Анализ динамики этого показателя на региональном уровне свидетельствует о наличии значительных различий, поскольку население регионов Уэтар-Норте, Брунка и Уэтар-Карибе имеет на два года меньше образования, чем население Центрального региона. Анализ этого показателя с точки зрения этнического и расового самоопределения показывает, что представители коренных народов имеют на два года меньше образования, чем лица африканского происхождения и другие группы, что соответствует различиям, выявленным в регионах, поскольку коренные народы сосредоточены в основном в регионах Брунка и Уэтар-Карибе.</w:t>
      </w:r>
    </w:p>
    <w:p w14:paraId="5D555511" w14:textId="77777777" w:rsidR="00D937B5" w:rsidRPr="00E05476" w:rsidRDefault="00D937B5" w:rsidP="00D937B5">
      <w:pPr>
        <w:pStyle w:val="SingleTxtG"/>
      </w:pPr>
      <w:r>
        <w:t>91.</w:t>
      </w:r>
      <w:r>
        <w:tab/>
        <w:t xml:space="preserve">Анализ этого показателя в разбивке по инвалидности показывает наличие серьезных различий; тот факт, что данная группа населения имеет на два года меньше образования, чем люди без инвалидности, может быть связан с препятствиями, с которыми она сталкивается при доступе к общему образованию. </w:t>
      </w:r>
    </w:p>
    <w:p w14:paraId="2DAD4392" w14:textId="77777777" w:rsidR="00D937B5" w:rsidRPr="00E05476" w:rsidRDefault="00D937B5" w:rsidP="00D937B5">
      <w:pPr>
        <w:pStyle w:val="SingleTxtG"/>
      </w:pPr>
      <w:r>
        <w:t>92.</w:t>
      </w:r>
      <w:r>
        <w:tab/>
        <w:t>По состоянию на 2011 год в стране насчитывалось 4 070 учебных заведений первой и второй ступени, 92,1% которых были государственными. Сюда же относятся учебные заведения, созданные на территориях коренных народов. Кроме того, в стране имелось около 646 государственных школ, что составляет почти 75% от общего числа учебных заведений и 88,5% от общего числа учащихся средних школ. С другой стороны, в том же году 23,1% существующих в Коста-Рике школ составляли частные школы, в которых обучалось около 8% учащихся средних школ. Наконец, в стране насчитывается 38 технических колледжей и 79 вечерних школ, 77 из которых являются государственными.</w:t>
      </w:r>
    </w:p>
    <w:p w14:paraId="6B05FC12" w14:textId="77777777" w:rsidR="00D937B5" w:rsidRPr="00E05476" w:rsidRDefault="00D937B5" w:rsidP="00D937B5">
      <w:pPr>
        <w:pStyle w:val="SingleTxtG"/>
      </w:pPr>
      <w:r>
        <w:lastRenderedPageBreak/>
        <w:t>93.</w:t>
      </w:r>
      <w:r>
        <w:tab/>
        <w:t xml:space="preserve">По оценкам Министерства образования, к 2018 году численность учащихся в государственных учебных заведениях достигнет 943 128 человек, которых будут обучать 82 502 преподавателя. </w:t>
      </w:r>
    </w:p>
    <w:p w14:paraId="5FA43C0B" w14:textId="77777777" w:rsidR="00D937B5" w:rsidRPr="00E05476" w:rsidRDefault="00D937B5" w:rsidP="00D937B5">
      <w:pPr>
        <w:pStyle w:val="H23G"/>
      </w:pPr>
      <w:r>
        <w:tab/>
      </w:r>
      <w:r>
        <w:tab/>
      </w:r>
      <w:r>
        <w:rPr>
          <w:bCs/>
        </w:rPr>
        <w:t>Конституционная, политическая и правовая структура государства</w:t>
      </w:r>
    </w:p>
    <w:p w14:paraId="3AA0556D" w14:textId="77777777" w:rsidR="00D937B5" w:rsidRPr="00E05476" w:rsidRDefault="00D937B5" w:rsidP="00D937B5">
      <w:pPr>
        <w:pStyle w:val="SingleTxtG"/>
      </w:pPr>
      <w:r>
        <w:t>94.</w:t>
      </w:r>
      <w:r>
        <w:tab/>
        <w:t>Согласно определению, содержащемуся в статье 9 Конституции, государственная власть в Республике является народной, представительной, сменяемой и ответственной. Она осуществляется на основе разделения на законодательную, исполнительную и судебную ветви.</w:t>
      </w:r>
    </w:p>
    <w:p w14:paraId="33FA11DD" w14:textId="77777777" w:rsidR="00D937B5" w:rsidRPr="00E05476" w:rsidRDefault="00D937B5" w:rsidP="00D937B5">
      <w:pPr>
        <w:pStyle w:val="SingleTxtG"/>
      </w:pPr>
      <w:r>
        <w:t>95.</w:t>
      </w:r>
      <w:r>
        <w:tab/>
        <w:t xml:space="preserve">Статья 130 Конституции гласит: «Исполнительную власть от имени народа осуществляют Президент Республики и министры Правительства в качестве его </w:t>
      </w:r>
      <w:r w:rsidRPr="003233C6">
        <w:t>доверенных</w:t>
      </w:r>
      <w:r>
        <w:t xml:space="preserve"> сотрудников. В настоящее время существует 24 министерских портфеля».</w:t>
      </w:r>
    </w:p>
    <w:p w14:paraId="1B8C07E8" w14:textId="77777777" w:rsidR="00D937B5" w:rsidRPr="00E05476" w:rsidRDefault="00D937B5" w:rsidP="00D937B5">
      <w:pPr>
        <w:pStyle w:val="SingleTxtG"/>
      </w:pPr>
      <w:r>
        <w:t>96.</w:t>
      </w:r>
      <w:r>
        <w:tab/>
        <w:t>В соответствии со статьями 105 и 106 политической Конституции Законодательная ассамблея, состоящая из 57 депутатов, на основе всеобщего голосования получает от народа полномочия принимать законодательные акты.</w:t>
      </w:r>
    </w:p>
    <w:p w14:paraId="661800BB" w14:textId="77777777" w:rsidR="00D937B5" w:rsidRPr="00E05476" w:rsidRDefault="00D937B5" w:rsidP="00D937B5">
      <w:pPr>
        <w:pStyle w:val="SingleTxtG"/>
      </w:pPr>
      <w:r>
        <w:t>97.</w:t>
      </w:r>
      <w:r>
        <w:tab/>
        <w:t>Так же как президент и вице-президенты, депутаты избираются каждые четыре года по системе закрытого и заблокированного списка в ходе всеобщего тайного голосования и не могут быть избраны на очередной срок подряд. В соответствии со статьей 106 политической Конституции депутаты избираются по провинциям, и Верховный суд по избирательным делам устанавливает численность депутатов от провинций пропорционально населению каждой из них.</w:t>
      </w:r>
    </w:p>
    <w:p w14:paraId="41E101A4" w14:textId="77777777" w:rsidR="00D937B5" w:rsidRPr="00E05476" w:rsidRDefault="00D937B5" w:rsidP="00D937B5">
      <w:pPr>
        <w:pStyle w:val="SingleTxtG"/>
      </w:pPr>
      <w:r>
        <w:t>98.</w:t>
      </w:r>
      <w:r>
        <w:tab/>
        <w:t>В соответствии со статьей 99 политической Конституции «организация, руководство и контроль за проведением выборов возлагаются исключительно на Верховный суд по избирательным делам, который самостоятелен в выполнении своих функций. От этого суда зависят все остальные избирательные органы».</w:t>
      </w:r>
    </w:p>
    <w:p w14:paraId="7008C625" w14:textId="77777777" w:rsidR="00D937B5" w:rsidRPr="00E05476" w:rsidRDefault="00D937B5" w:rsidP="00D937B5">
      <w:pPr>
        <w:pStyle w:val="SingleTxtG"/>
      </w:pPr>
      <w:r>
        <w:t>99.</w:t>
      </w:r>
      <w:r>
        <w:tab/>
        <w:t>Непрерывно проводимая ВСИД избирательная работа, которая остается неизменной с момента его создания, обеспечила проведение в общей сложности 17 президентских выборов при соблюдении четырехлетнего конституционного срока.</w:t>
      </w:r>
    </w:p>
    <w:p w14:paraId="1BA663EB" w14:textId="77777777" w:rsidR="00D937B5" w:rsidRPr="00E05476" w:rsidRDefault="00D937B5" w:rsidP="00D937B5">
      <w:pPr>
        <w:pStyle w:val="SingleTxtG"/>
      </w:pPr>
      <w:r>
        <w:t>100.</w:t>
      </w:r>
      <w:r>
        <w:tab/>
        <w:t>Кроме того, начиная с 2014 года каждый четный год становится годом выборов, а каждый нечетный год – предвыборным или послевыборным. В четные годы проводятся либо общенациональные (2014, 2018 годы), либо муниципальные выборы (2016, 2020 годы).</w:t>
      </w:r>
    </w:p>
    <w:p w14:paraId="5953E631" w14:textId="77777777" w:rsidR="00D937B5" w:rsidRPr="00E05476" w:rsidRDefault="00D937B5" w:rsidP="00D937B5">
      <w:pPr>
        <w:pStyle w:val="SingleTxtG"/>
      </w:pPr>
      <w:r w:rsidRPr="00A0168C">
        <w:t>101.</w:t>
      </w:r>
      <w:r w:rsidRPr="00A0168C">
        <w:tab/>
      </w:r>
      <w:r>
        <w:t>Что касается участия в общенациональных, т. е. президентских выборах национальных объединений или политических партий, то в 2010 году эта цифра достигла девяти национальных объединений или политических партий. Четыре года спустя было зарегистрировано в общей сложности 16 национальных объединений, 14 из которых приняли участие в общенациональных выборах. В 2018 году число национальных объединений увеличилось до 19, причем 14 из них приняли участие в общенациональных выборах.</w:t>
      </w:r>
    </w:p>
    <w:p w14:paraId="02B2CC02" w14:textId="77777777" w:rsidR="00D937B5" w:rsidRPr="00E05476" w:rsidRDefault="00D937B5" w:rsidP="00D937B5">
      <w:pPr>
        <w:pStyle w:val="SingleTxtG"/>
      </w:pPr>
      <w:r>
        <w:t>102.</w:t>
      </w:r>
      <w:r>
        <w:tab/>
        <w:t xml:space="preserve">Что касается численности населения, имеющего право участвовать в голосовании, то, по данным Верховного суда по избирательным делам, в период </w:t>
      </w:r>
      <w:r>
        <w:br/>
        <w:t>2006–2010 годов она возросла на 10,7%. На следующих выборах наблюдался рост на 9,1% – с 2 882 491 избирателя в 2010 году до 3 078 321 избирателя в 2014 году. В последующий период было зарегистрировано увеличение списка избирателей на 7,9% – с 3 078 321 до 3 322 329 избирателей. Тенденция к снижению доли населения, имеющего право участвовать в голосовании, обусловлена снижением темпов прироста населения.</w:t>
      </w:r>
    </w:p>
    <w:p w14:paraId="204912EA" w14:textId="77777777" w:rsidR="00D937B5" w:rsidRPr="00E05476" w:rsidRDefault="00D937B5" w:rsidP="00D937B5">
      <w:pPr>
        <w:pStyle w:val="SingleTxtG"/>
      </w:pPr>
      <w:r>
        <w:t>103.</w:t>
      </w:r>
      <w:r>
        <w:tab/>
        <w:t xml:space="preserve">На выборах, организованных ВСИД, было подано 14 жалоб в 2010 году, по 2 жалобы в 2011 и 2012 годах, 6 жалоб в 2014 году и 21 жалоба в 2017 году. При тщательном анализе можно заметить, что в годы муниципальных выборов поднимается больше вопросов, поскольку речь идет о меньшем количестве избирательных мест и меньших избирательных округах, что делает различия между выигравшими и проигравшими кандидатами менее заметными и способствует увеличению числа поднятых и решенных вопросов. </w:t>
      </w:r>
    </w:p>
    <w:p w14:paraId="2E67589A" w14:textId="77777777" w:rsidR="00D937B5" w:rsidRPr="00E05476" w:rsidRDefault="00D937B5" w:rsidP="00D937B5">
      <w:pPr>
        <w:pStyle w:val="SingleTxtG"/>
      </w:pPr>
      <w:r w:rsidRPr="004A1025">
        <w:lastRenderedPageBreak/>
        <w:t>104</w:t>
      </w:r>
      <w:r>
        <w:t>.</w:t>
      </w:r>
      <w:r>
        <w:tab/>
        <w:t xml:space="preserve">Согласно результатам всеобщих выборов 2018 года, Законодательная ассамблея была сформирована на основе многопартийного представительства, в котором избранные депутаты распределились следующим образом: партия «Национальное освобождение» – 17 депутатов, из которых </w:t>
      </w:r>
      <w:r w:rsidRPr="004A1025">
        <w:t>9</w:t>
      </w:r>
      <w:r>
        <w:t xml:space="preserve"> мужчин и </w:t>
      </w:r>
      <w:r w:rsidRPr="004A1025">
        <w:t>8</w:t>
      </w:r>
      <w:r>
        <w:t xml:space="preserve"> женщин. Партия «Гражданское действие» получила десять депутатских мест, которые заняли пять мужчин и пять женщин. Партия «Социал-христианское единство» – девять депутатов, из которых пятеро мужчин и четыре женщины. Партия «Христианское обновление» – шесть депутатов: четыре мужчины и две женщины. Партия национальной интеграции получила три депутатских места, два из которых заняли женщины и одно – мужчина. Республиканская социал-христианская партия имеет двух депутатов-мужчин. Партия «Широкий фронт» – один депутат-мужчина. Кроме того, девять депутатов, в числе которых четверо мужчин и пять женщин, объявили себя независимыми. В целом Законодательная ассамблея состоит из 57 депутатов, в числе которых в общей сложности 31 депутат-мужчина и 26 депутатов-женщин. Тот факт, что 45,6% мест в парламенте занимают женщины</w:t>
      </w:r>
      <w:r w:rsidR="00E341EC">
        <w:t>,</w:t>
      </w:r>
      <w:r>
        <w:t xml:space="preserve"> является исторической вехой в истории страны.</w:t>
      </w:r>
    </w:p>
    <w:p w14:paraId="4DBEE243" w14:textId="77777777" w:rsidR="00D937B5" w:rsidRPr="00E05476" w:rsidRDefault="00D937B5" w:rsidP="00D937B5">
      <w:pPr>
        <w:pStyle w:val="SingleTxtG"/>
      </w:pPr>
      <w:r>
        <w:t>105.</w:t>
      </w:r>
      <w:r>
        <w:tab/>
        <w:t>Третьей ветвью власти коста-риканского государства является судебная власть. Как указано в пункте 152 политической Конституции, она осуществляется Верховным судом и другими судами, созданными на основании закона, а ее независимость от других ветвей власти закреплена в статьях 9, 153 и 154. Верховный суд является высшей судебной инстанцией и состоит из магистратов, избираемых Законодательной ассамблеей сроком на восемь лет.</w:t>
      </w:r>
    </w:p>
    <w:p w14:paraId="2EFB07C5" w14:textId="77777777" w:rsidR="00D937B5" w:rsidRPr="00E05476" w:rsidRDefault="00D937B5" w:rsidP="00D937B5">
      <w:pPr>
        <w:pStyle w:val="SingleTxtG"/>
      </w:pPr>
      <w:r>
        <w:t>106.</w:t>
      </w:r>
      <w:r>
        <w:tab/>
        <w:t>В соответствии со статьей 49 Органического закона о судебной власти Верховный суд состоит из четырех палат, три из которых называются кассационными – Первая (гражданские, коммерческие, сельскохозяйственные и административные дела), Вторая (семейные и трудовые дела), Третья (уголовные дела), а также существует Конституционная палата (ответственная за защиту и сохранение принципа верховенства Конституции и следящая за тем, чтобы никакие нормы, договоры, постановления и законы Коста-Рики не противоречили Конституции). Первые три палаты Суда рассматривают кассационные заявления (последняя инстанция).</w:t>
      </w:r>
    </w:p>
    <w:p w14:paraId="6F65EBD4" w14:textId="77777777" w:rsidR="00D937B5" w:rsidRPr="00E05476" w:rsidRDefault="00D937B5" w:rsidP="00D937B5">
      <w:pPr>
        <w:pStyle w:val="SingleTxtG"/>
      </w:pPr>
      <w:r>
        <w:t>107.</w:t>
      </w:r>
      <w:r>
        <w:tab/>
        <w:t>Конституционная палата, в свою очередь, рассматривает и решает законодательные и судебные запросы о конституционности, от средств правовой защиты до права на ответ. Физические лица могут получить доступ к этой инстанции по трем каналам: через ходатайство о применении хабеас корпус, процедуру ампаро и иск о неконституционности.</w:t>
      </w:r>
    </w:p>
    <w:p w14:paraId="341506FF" w14:textId="77777777" w:rsidR="00D937B5" w:rsidRPr="00E05476" w:rsidRDefault="00D937B5" w:rsidP="00D937B5">
      <w:pPr>
        <w:pStyle w:val="SingleTxtG"/>
      </w:pPr>
      <w:r>
        <w:t>108.</w:t>
      </w:r>
      <w:r>
        <w:tab/>
        <w:t>Работа судебных органов периодически систематизируется и отображается в институциональной памяти, при этом статистические данные доступны для всех граждан и жителей страны на веб-странице судебной власти. В 2017 году было зарегистрировано в общей сложности 603 умышленных убийства, что эквивалентно 12,1 умышленного убийства на каждые 100 000 жителей. По сравнению с предыдущим периодом этот показатель увеличился на 4,3%, т</w:t>
      </w:r>
      <w:r w:rsidR="00E341EC">
        <w:t>. е.</w:t>
      </w:r>
      <w:r>
        <w:t xml:space="preserve"> в среднем ежедневно совершалось 1,6 умышленного убийства, основными причинами которых являлись сведение счетов и месть (49,5%), спор или ссора (16,4%), совершение другого преступления (14,9%) и</w:t>
      </w:r>
      <w:r w:rsidR="00E341EC">
        <w:t> </w:t>
      </w:r>
      <w:r>
        <w:t>насилие в семье (4,8%).</w:t>
      </w:r>
    </w:p>
    <w:p w14:paraId="25BA3C88" w14:textId="77777777" w:rsidR="00D937B5" w:rsidRPr="00535ED2" w:rsidRDefault="00D937B5" w:rsidP="00D937B5">
      <w:pPr>
        <w:pStyle w:val="SingleTxtG"/>
      </w:pPr>
      <w:r>
        <w:t>109.</w:t>
      </w:r>
      <w:r>
        <w:tab/>
        <w:t>С другой стороны, было зарегистрировано в общей сложности 785 непреднамеренных убийств, что на 9,5% меньше по сравнению с 2016 годом. В среднем ежедневно совершалось 2,1 непреднамеренного убийства, что составляет 15,9 убийства на каждые 100 000 жителей. В число их причин входят столкновения, наезды, опрокидывания, авиакатастрофы и железнодорожные аварии.</w:t>
      </w:r>
    </w:p>
    <w:p w14:paraId="74B0E35A" w14:textId="77777777" w:rsidR="00D937B5" w:rsidRPr="00535ED2" w:rsidRDefault="00D937B5" w:rsidP="00D937B5">
      <w:pPr>
        <w:pStyle w:val="SingleTxtG"/>
      </w:pPr>
      <w:r>
        <w:t>110.</w:t>
      </w:r>
      <w:r>
        <w:tab/>
        <w:t>Согласно статистическим данным Генеральной прокуратуры, в 2017 году было заведено в общей сложности 240 053 дела, а 183 125 дел были закрыты или производство по ним было прекращено. За тот же период было вынесено в общей сложности 8 145 обвинительных приговоров, 3 005 оправдательных приговоров, а также обвинительные и оправдательные приговоры по 215 делам. В этот период средняя продолжительность этапа расследования дел, по которым был вынесен оправдательный приговор, составляла 254 дня.</w:t>
      </w:r>
    </w:p>
    <w:p w14:paraId="410EEB82" w14:textId="77777777" w:rsidR="00D937B5" w:rsidRPr="00535ED2" w:rsidRDefault="00D937B5" w:rsidP="00D937B5">
      <w:pPr>
        <w:pStyle w:val="SingleTxtG"/>
      </w:pPr>
      <w:r>
        <w:lastRenderedPageBreak/>
        <w:t>111.</w:t>
      </w:r>
      <w:r>
        <w:tab/>
        <w:t xml:space="preserve">Согласно данным судебных органов за 2016 год, судебная власть насчитывает 26,1 судьи на 100 000 жителей, причем на каждого судью приходится </w:t>
      </w:r>
      <w:r w:rsidR="00E341EC">
        <w:br/>
      </w:r>
      <w:r>
        <w:t>40,1 км</w:t>
      </w:r>
      <w:r>
        <w:rPr>
          <w:vertAlign w:val="superscript"/>
        </w:rPr>
        <w:t>2</w:t>
      </w:r>
      <w:r>
        <w:t xml:space="preserve"> территории, а также 11,3 прокурора на 100 000 жителей и 9,6 государственных защитников на 100 000 жителей. С другой стороны, на 100 000 жителей приходится в среднем 501 адвокат. В пятилетний период 2012–2016 годов доля расходов на правосудие по отношению к валовому внутреннему продукту колебалась очень незначительно, а в 2016 году она снизилась до 1,29%. </w:t>
      </w:r>
    </w:p>
    <w:p w14:paraId="746D9EC8" w14:textId="77777777" w:rsidR="00D937B5" w:rsidRPr="00535ED2" w:rsidRDefault="00D937B5" w:rsidP="00D937B5">
      <w:pPr>
        <w:pStyle w:val="SingleTxtG"/>
      </w:pPr>
      <w:r>
        <w:t>112.</w:t>
      </w:r>
      <w:r>
        <w:tab/>
        <w:t xml:space="preserve">Что касается среднего числа рассмотренных судебных дел, то в 2016 году показатель нерассмотренных дел составил 53,2, что на четыре пункта ниже, чем в предыдущем году. С другой стороны, показатель урегулирования достиг 31,7, что почти на два пункта ниже показателя, зарегистрированного в 2015 году. За тот же период произошел рост числа приостановленных или неактивных дел: в 2015 году он составил 9,1, а в следующем году – 15,1. </w:t>
      </w:r>
    </w:p>
    <w:p w14:paraId="2C716694" w14:textId="77777777" w:rsidR="00D937B5" w:rsidRPr="00535ED2" w:rsidRDefault="00D937B5" w:rsidP="00D937B5">
      <w:pPr>
        <w:pStyle w:val="SingleTxtG"/>
      </w:pPr>
      <w:r>
        <w:t>113.</w:t>
      </w:r>
      <w:r>
        <w:tab/>
        <w:t>Наконец, на рассмотрении каждого из судей первой инстанции находилось 881 дело, что на 91 дело меньше по сравнению с предыдущим периодом. На рассмотрении каждого из судей второй инстанции находилось 60 дел в 2015 году и в общей сложности 54 дела в 2016 году.</w:t>
      </w:r>
    </w:p>
    <w:p w14:paraId="1579026D" w14:textId="77777777" w:rsidR="00D937B5" w:rsidRPr="00535ED2" w:rsidRDefault="00D937B5" w:rsidP="00D937B5">
      <w:pPr>
        <w:pStyle w:val="SingleTxtG"/>
      </w:pPr>
      <w:r>
        <w:t>114.</w:t>
      </w:r>
      <w:r>
        <w:tab/>
        <w:t>В Министерстве юстиции и мира, государственном учреждении Коста-Рики, в ведении которого находятся заключенные, исполнение наказаний, сокращение и смягчение приговоров и реабилитация правонарушителей, зарегистрированы 14 223 заключенных, из которых 86% – костариканцы и 14% – иностранные граждане.</w:t>
      </w:r>
    </w:p>
    <w:p w14:paraId="5E5ECE16" w14:textId="77777777" w:rsidR="00D937B5" w:rsidRPr="00535ED2" w:rsidRDefault="00D937B5" w:rsidP="00D937B5">
      <w:pPr>
        <w:pStyle w:val="SingleTxtG"/>
      </w:pPr>
      <w:r>
        <w:t>115.</w:t>
      </w:r>
      <w:r>
        <w:tab/>
        <w:t xml:space="preserve">Что касается заключенных, то показатели судебных органов свидетельствуют о том, что в 2016 году на 100 000 жителей приходилось 185 осужденных, что на одного осужденного больше, чем в предыдущем году, и аналогично показателю 2014 года. Кроме того, на каждые 100 000 жителей приходится 79 оправданных, а средний возраст осужденных составляет 34,7 года. </w:t>
      </w:r>
    </w:p>
    <w:p w14:paraId="76150E8F" w14:textId="77777777" w:rsidR="00D937B5" w:rsidRPr="00535ED2" w:rsidRDefault="00D937B5" w:rsidP="00D937B5">
      <w:pPr>
        <w:pStyle w:val="SingleTxtG"/>
      </w:pPr>
      <w:r>
        <w:t>116.</w:t>
      </w:r>
      <w:r>
        <w:tab/>
        <w:t>Важно отметить, что Коста-Рика отменила смертную казнь в 1887 году, в период полномочий президента Томаса Гвардии Гутьерреса. Судебная система не предусматривает смертной казни и предписывает максимальный срок наказания в 50 лет. По этой причине данные о вынесении смертных приговоров отсутствуют.</w:t>
      </w:r>
    </w:p>
    <w:p w14:paraId="20DC8BB9" w14:textId="77777777" w:rsidR="00D937B5" w:rsidRPr="003A6E3B" w:rsidRDefault="00D937B5" w:rsidP="00D937B5">
      <w:pPr>
        <w:pStyle w:val="SingleTxtG"/>
      </w:pPr>
      <w:r>
        <w:t>117.</w:t>
      </w:r>
      <w:r>
        <w:tab/>
        <w:t>В соответствии со статьей 12 политической Конституции армия запрещена как постоянный институт. Для охраны и поддержания общественного порядка отдается распоряжение о создании полиции. В общем плане постоянный полицейский корпус гражданского характера должен, согласно конституционному мандату, совместно с общинами следить за безопасностью и осуществлением прав и свобод всех лиц, находящихся на территории Коста-Рики.</w:t>
      </w:r>
    </w:p>
    <w:p w14:paraId="47E8F0C7" w14:textId="77777777" w:rsidR="00D937B5" w:rsidRPr="00535ED2" w:rsidRDefault="00D937B5" w:rsidP="00D937B5">
      <w:pPr>
        <w:pStyle w:val="SingleTxtG"/>
      </w:pPr>
      <w:r>
        <w:t>118.</w:t>
      </w:r>
      <w:r>
        <w:tab/>
        <w:t>Согласно статистическим данным Министерства общественной безопасности, ведомства, которое отвечает за правоохранительные органы и осуществляет руководство ими, в стране насчитывается в общей сложности 16 647 полицейских мужского и женского пола, которые входят в состав служб обеспечения безопасности граждан, национальной береговой охраны, воздушного наблюдения и пограничной полиции.</w:t>
      </w:r>
    </w:p>
    <w:p w14:paraId="4E69E174" w14:textId="77777777" w:rsidR="00D937B5" w:rsidRPr="00535ED2" w:rsidRDefault="00D937B5" w:rsidP="00D937B5">
      <w:pPr>
        <w:pStyle w:val="SingleTxtG"/>
      </w:pPr>
      <w:r>
        <w:t>119.</w:t>
      </w:r>
      <w:r>
        <w:tab/>
        <w:t>Муниципальный режим соответствует административно-территориальному делению, закрепленному в политической Конституции, Избирательном кодексе, Законе № 8765 и Муниципальном кодексе, Законе № 7794; удовлетворение местных интересов и управление местными службами в каждом кантоне осуществляется муниципальным правительством, представляющим собой совещательный орган, в состав которого входят члены городского совета, синдики и мэр, избираемые всенародным голосованием. Муниципалитеты являются автономными и получают средства из регулярного бюджета Республики.</w:t>
      </w:r>
    </w:p>
    <w:p w14:paraId="4EFAECD7" w14:textId="77777777" w:rsidR="00D937B5" w:rsidRPr="00535ED2" w:rsidRDefault="00D937B5" w:rsidP="00D937B5">
      <w:pPr>
        <w:pStyle w:val="H1G"/>
      </w:pPr>
      <w:r>
        <w:lastRenderedPageBreak/>
        <w:tab/>
      </w:r>
      <w:r>
        <w:tab/>
      </w:r>
      <w:r>
        <w:rPr>
          <w:bCs/>
        </w:rPr>
        <w:t>Общая основа защиты и поощрения прав человека</w:t>
      </w:r>
    </w:p>
    <w:p w14:paraId="0B5CDBCF" w14:textId="77777777" w:rsidR="00D937B5" w:rsidRPr="00535ED2" w:rsidRDefault="00D937B5" w:rsidP="00D937B5">
      <w:pPr>
        <w:pStyle w:val="H23G"/>
      </w:pPr>
      <w:r>
        <w:tab/>
      </w:r>
      <w:r>
        <w:tab/>
      </w:r>
      <w:r>
        <w:rPr>
          <w:bCs/>
        </w:rPr>
        <w:t>Международные нормы в области прав человека</w:t>
      </w:r>
    </w:p>
    <w:p w14:paraId="046956AA" w14:textId="77777777" w:rsidR="00D937B5" w:rsidRPr="00535ED2" w:rsidRDefault="00D937B5" w:rsidP="00D937B5">
      <w:pPr>
        <w:pStyle w:val="SingleTxtG"/>
      </w:pPr>
      <w:r>
        <w:t>120.</w:t>
      </w:r>
      <w:r>
        <w:tab/>
        <w:t>Правительство Коста-Рики подробно информирует о нынешнем положении дел с основными договорами по правам человека; а именно:</w:t>
      </w:r>
    </w:p>
    <w:tbl>
      <w:tblPr>
        <w:tblStyle w:val="ac"/>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5"/>
        <w:gridCol w:w="2365"/>
      </w:tblGrid>
      <w:tr w:rsidR="00D937B5" w:rsidRPr="00D937B5" w14:paraId="6F707288" w14:textId="77777777" w:rsidTr="00D937B5">
        <w:trPr>
          <w:tblHeader/>
        </w:trPr>
        <w:tc>
          <w:tcPr>
            <w:tcW w:w="5005" w:type="dxa"/>
            <w:tcBorders>
              <w:top w:val="single" w:sz="4" w:space="0" w:color="auto"/>
              <w:bottom w:val="single" w:sz="12" w:space="0" w:color="auto"/>
            </w:tcBorders>
            <w:shd w:val="clear" w:color="auto" w:fill="auto"/>
            <w:vAlign w:val="bottom"/>
          </w:tcPr>
          <w:p w14:paraId="582E6FA7" w14:textId="77777777" w:rsidR="00D937B5" w:rsidRPr="00D937B5" w:rsidRDefault="00D937B5" w:rsidP="00D937B5">
            <w:pPr>
              <w:spacing w:before="80" w:after="80" w:line="200" w:lineRule="exact"/>
              <w:ind w:right="113"/>
              <w:rPr>
                <w:rFonts w:cs="Times New Roman"/>
                <w:i/>
                <w:sz w:val="16"/>
              </w:rPr>
            </w:pPr>
            <w:bookmarkStart w:id="3" w:name="_Hlk529273569"/>
            <w:r w:rsidRPr="00D937B5">
              <w:rPr>
                <w:rFonts w:cs="Times New Roman"/>
                <w:i/>
                <w:sz w:val="16"/>
              </w:rPr>
              <w:t>Конвенция или пакт</w:t>
            </w:r>
          </w:p>
        </w:tc>
        <w:tc>
          <w:tcPr>
            <w:tcW w:w="2365" w:type="dxa"/>
            <w:tcBorders>
              <w:top w:val="single" w:sz="4" w:space="0" w:color="auto"/>
              <w:bottom w:val="single" w:sz="12" w:space="0" w:color="auto"/>
            </w:tcBorders>
            <w:shd w:val="clear" w:color="auto" w:fill="auto"/>
            <w:vAlign w:val="bottom"/>
          </w:tcPr>
          <w:p w14:paraId="087E46D8" w14:textId="77777777" w:rsidR="00D937B5" w:rsidRPr="00D937B5" w:rsidRDefault="00D937B5" w:rsidP="00D937B5">
            <w:pPr>
              <w:spacing w:before="80" w:after="80" w:line="200" w:lineRule="exact"/>
              <w:ind w:right="113"/>
              <w:rPr>
                <w:rFonts w:cs="Times New Roman"/>
                <w:i/>
                <w:sz w:val="16"/>
              </w:rPr>
            </w:pPr>
            <w:r w:rsidRPr="00D937B5">
              <w:rPr>
                <w:rFonts w:cs="Times New Roman"/>
                <w:i/>
                <w:sz w:val="16"/>
              </w:rPr>
              <w:t>Ратификация</w:t>
            </w:r>
          </w:p>
        </w:tc>
      </w:tr>
      <w:tr w:rsidR="00D937B5" w:rsidRPr="00D937B5" w14:paraId="657196E6" w14:textId="77777777" w:rsidTr="00D937B5">
        <w:trPr>
          <w:trHeight w:hRule="exact" w:val="113"/>
          <w:tblHeader/>
        </w:trPr>
        <w:tc>
          <w:tcPr>
            <w:tcW w:w="5005" w:type="dxa"/>
            <w:tcBorders>
              <w:top w:val="single" w:sz="12" w:space="0" w:color="auto"/>
            </w:tcBorders>
            <w:shd w:val="clear" w:color="auto" w:fill="auto"/>
          </w:tcPr>
          <w:p w14:paraId="47E6AFBC" w14:textId="77777777" w:rsidR="00D937B5" w:rsidRPr="00D937B5" w:rsidRDefault="00D937B5" w:rsidP="00D937B5">
            <w:pPr>
              <w:spacing w:before="40" w:after="120"/>
              <w:ind w:right="113"/>
              <w:rPr>
                <w:rFonts w:cs="Times New Roman"/>
              </w:rPr>
            </w:pPr>
          </w:p>
        </w:tc>
        <w:tc>
          <w:tcPr>
            <w:tcW w:w="2365" w:type="dxa"/>
            <w:tcBorders>
              <w:top w:val="single" w:sz="12" w:space="0" w:color="auto"/>
            </w:tcBorders>
            <w:shd w:val="clear" w:color="auto" w:fill="auto"/>
          </w:tcPr>
          <w:p w14:paraId="77F0A186" w14:textId="77777777" w:rsidR="00D937B5" w:rsidRPr="00D937B5" w:rsidRDefault="00D937B5" w:rsidP="00D937B5">
            <w:pPr>
              <w:spacing w:before="40" w:after="120"/>
              <w:ind w:right="113"/>
              <w:rPr>
                <w:rFonts w:cs="Times New Roman"/>
              </w:rPr>
            </w:pPr>
          </w:p>
        </w:tc>
      </w:tr>
      <w:bookmarkEnd w:id="3"/>
      <w:tr w:rsidR="00D937B5" w:rsidRPr="00D937B5" w14:paraId="1A297662" w14:textId="77777777" w:rsidTr="00D937B5">
        <w:tc>
          <w:tcPr>
            <w:tcW w:w="5005" w:type="dxa"/>
            <w:shd w:val="clear" w:color="auto" w:fill="auto"/>
          </w:tcPr>
          <w:p w14:paraId="51B6F442" w14:textId="77777777" w:rsidR="00D937B5" w:rsidRPr="00D937B5" w:rsidRDefault="00D937B5" w:rsidP="00D937B5">
            <w:pPr>
              <w:spacing w:before="40" w:after="120"/>
              <w:ind w:right="113"/>
              <w:rPr>
                <w:rFonts w:cs="Times New Roman"/>
              </w:rPr>
            </w:pPr>
            <w:r w:rsidRPr="00D937B5">
              <w:rPr>
                <w:rFonts w:cs="Times New Roman"/>
              </w:rPr>
              <w:t>Международный пакт об экономических, социальных и культурных правах (МПЭСКП), 1966 год</w:t>
            </w:r>
          </w:p>
        </w:tc>
        <w:tc>
          <w:tcPr>
            <w:tcW w:w="2365" w:type="dxa"/>
            <w:shd w:val="clear" w:color="auto" w:fill="auto"/>
          </w:tcPr>
          <w:p w14:paraId="72C567BB" w14:textId="77777777" w:rsidR="00D937B5" w:rsidRPr="00D937B5" w:rsidRDefault="00D937B5" w:rsidP="00D937B5">
            <w:pPr>
              <w:spacing w:before="40" w:after="120"/>
              <w:ind w:right="113"/>
              <w:rPr>
                <w:rFonts w:cs="Times New Roman"/>
              </w:rPr>
            </w:pPr>
            <w:r w:rsidRPr="00D937B5">
              <w:rPr>
                <w:rFonts w:cs="Times New Roman"/>
              </w:rPr>
              <w:t>29 ноября 1968 года</w:t>
            </w:r>
          </w:p>
        </w:tc>
      </w:tr>
      <w:tr w:rsidR="00D937B5" w:rsidRPr="00D937B5" w14:paraId="725D215E" w14:textId="77777777" w:rsidTr="00D937B5">
        <w:tc>
          <w:tcPr>
            <w:tcW w:w="5005" w:type="dxa"/>
            <w:shd w:val="clear" w:color="auto" w:fill="auto"/>
          </w:tcPr>
          <w:p w14:paraId="43AF5469" w14:textId="77777777" w:rsidR="00D937B5" w:rsidRPr="00D937B5" w:rsidRDefault="00D937B5" w:rsidP="00D937B5">
            <w:pPr>
              <w:spacing w:before="40" w:after="120"/>
              <w:ind w:right="113"/>
              <w:rPr>
                <w:rFonts w:cs="Times New Roman"/>
              </w:rPr>
            </w:pPr>
            <w:r w:rsidRPr="00D937B5">
              <w:rPr>
                <w:rFonts w:cs="Times New Roman"/>
              </w:rPr>
              <w:t>Международный пакт о гражданских и политических правах (МПГПП), 1966 год</w:t>
            </w:r>
          </w:p>
        </w:tc>
        <w:tc>
          <w:tcPr>
            <w:tcW w:w="2365" w:type="dxa"/>
            <w:shd w:val="clear" w:color="auto" w:fill="auto"/>
          </w:tcPr>
          <w:p w14:paraId="38460C92" w14:textId="77777777" w:rsidR="00D937B5" w:rsidRPr="00D937B5" w:rsidRDefault="00D937B5" w:rsidP="00D937B5">
            <w:pPr>
              <w:spacing w:before="40" w:after="120"/>
              <w:ind w:right="113"/>
              <w:rPr>
                <w:rFonts w:cs="Times New Roman"/>
              </w:rPr>
            </w:pPr>
            <w:r w:rsidRPr="00D937B5">
              <w:rPr>
                <w:rFonts w:cs="Times New Roman"/>
              </w:rPr>
              <w:t>29 ноября 1968 года</w:t>
            </w:r>
          </w:p>
        </w:tc>
      </w:tr>
      <w:tr w:rsidR="00D937B5" w:rsidRPr="00D937B5" w14:paraId="01131234" w14:textId="77777777" w:rsidTr="00D937B5">
        <w:tc>
          <w:tcPr>
            <w:tcW w:w="5005" w:type="dxa"/>
            <w:shd w:val="clear" w:color="auto" w:fill="auto"/>
          </w:tcPr>
          <w:p w14:paraId="79D5F54D" w14:textId="77777777" w:rsidR="00D937B5" w:rsidRPr="00D937B5" w:rsidRDefault="00D937B5" w:rsidP="00D937B5">
            <w:pPr>
              <w:spacing w:before="40" w:after="120"/>
              <w:ind w:right="113"/>
              <w:rPr>
                <w:rFonts w:cs="Times New Roman"/>
                <w:bCs/>
              </w:rPr>
            </w:pPr>
            <w:r w:rsidRPr="00D937B5">
              <w:rPr>
                <w:rFonts w:cs="Times New Roman"/>
              </w:rPr>
              <w:t>Факультативный протокол к Международному пакту о гражданских и политических правах, касающийся индивидуальных сообщений, 1966 год</w:t>
            </w:r>
          </w:p>
        </w:tc>
        <w:tc>
          <w:tcPr>
            <w:tcW w:w="2365" w:type="dxa"/>
            <w:shd w:val="clear" w:color="auto" w:fill="auto"/>
          </w:tcPr>
          <w:p w14:paraId="20308961" w14:textId="77777777" w:rsidR="00D937B5" w:rsidRPr="00D937B5" w:rsidRDefault="00D937B5" w:rsidP="00D937B5">
            <w:pPr>
              <w:spacing w:before="40" w:after="120"/>
              <w:ind w:right="113"/>
              <w:rPr>
                <w:rFonts w:cs="Times New Roman"/>
              </w:rPr>
            </w:pPr>
            <w:r w:rsidRPr="00D937B5">
              <w:rPr>
                <w:rFonts w:cs="Times New Roman"/>
              </w:rPr>
              <w:t>29 июня 1968 года</w:t>
            </w:r>
          </w:p>
        </w:tc>
      </w:tr>
      <w:tr w:rsidR="00D937B5" w:rsidRPr="00D937B5" w14:paraId="084D3440" w14:textId="77777777" w:rsidTr="00D937B5">
        <w:tc>
          <w:tcPr>
            <w:tcW w:w="5005" w:type="dxa"/>
            <w:shd w:val="clear" w:color="auto" w:fill="auto"/>
          </w:tcPr>
          <w:p w14:paraId="53ADFEB3" w14:textId="77777777" w:rsidR="00D937B5" w:rsidRPr="00D937B5" w:rsidRDefault="00D937B5" w:rsidP="00D937B5">
            <w:pPr>
              <w:spacing w:before="40" w:after="120"/>
              <w:ind w:right="113"/>
              <w:rPr>
                <w:rFonts w:cs="Times New Roman"/>
                <w:bCs/>
              </w:rPr>
            </w:pPr>
            <w:r w:rsidRPr="00D937B5">
              <w:rPr>
                <w:rFonts w:cs="Times New Roman"/>
              </w:rPr>
              <w:t>Второй Факультативный протокол к Международному пакту о гражданских и политических правах, направленный на отмену смертной казни, 1989 год</w:t>
            </w:r>
          </w:p>
        </w:tc>
        <w:tc>
          <w:tcPr>
            <w:tcW w:w="2365" w:type="dxa"/>
            <w:shd w:val="clear" w:color="auto" w:fill="auto"/>
          </w:tcPr>
          <w:p w14:paraId="55110081" w14:textId="77777777" w:rsidR="00D937B5" w:rsidRPr="00D937B5" w:rsidRDefault="00D937B5" w:rsidP="00D937B5">
            <w:pPr>
              <w:spacing w:before="40" w:after="120"/>
              <w:ind w:right="113"/>
              <w:rPr>
                <w:rFonts w:cs="Times New Roman"/>
              </w:rPr>
            </w:pPr>
            <w:r w:rsidRPr="00D937B5">
              <w:rPr>
                <w:rFonts w:cs="Times New Roman"/>
              </w:rPr>
              <w:t>5 июня 1998 года</w:t>
            </w:r>
          </w:p>
        </w:tc>
      </w:tr>
      <w:tr w:rsidR="00D937B5" w:rsidRPr="00D937B5" w14:paraId="2E96F41F" w14:textId="77777777" w:rsidTr="00D937B5">
        <w:tc>
          <w:tcPr>
            <w:tcW w:w="5005" w:type="dxa"/>
            <w:shd w:val="clear" w:color="auto" w:fill="auto"/>
          </w:tcPr>
          <w:p w14:paraId="14DA377F" w14:textId="77777777" w:rsidR="00D937B5" w:rsidRPr="00D937B5" w:rsidRDefault="00D937B5" w:rsidP="00D937B5">
            <w:pPr>
              <w:spacing w:before="40" w:after="120"/>
              <w:ind w:right="113"/>
              <w:rPr>
                <w:rFonts w:cs="Times New Roman"/>
                <w:bCs/>
              </w:rPr>
            </w:pPr>
            <w:r w:rsidRPr="00D937B5">
              <w:rPr>
                <w:rFonts w:cs="Times New Roman"/>
              </w:rPr>
              <w:t>Международная конвенция о ликвидации всех форм расовой дискриминации (МКЛРД), 1965 год</w:t>
            </w:r>
          </w:p>
        </w:tc>
        <w:tc>
          <w:tcPr>
            <w:tcW w:w="2365" w:type="dxa"/>
            <w:shd w:val="clear" w:color="auto" w:fill="auto"/>
          </w:tcPr>
          <w:p w14:paraId="128FB81D" w14:textId="77777777" w:rsidR="00D937B5" w:rsidRPr="00D937B5" w:rsidRDefault="00D937B5" w:rsidP="00D937B5">
            <w:pPr>
              <w:spacing w:before="40" w:after="120"/>
              <w:ind w:right="113"/>
              <w:rPr>
                <w:rFonts w:cs="Times New Roman"/>
              </w:rPr>
            </w:pPr>
            <w:r w:rsidRPr="00D937B5">
              <w:rPr>
                <w:rFonts w:cs="Times New Roman"/>
              </w:rPr>
              <w:t>4 апреля 1986 года</w:t>
            </w:r>
          </w:p>
        </w:tc>
      </w:tr>
      <w:tr w:rsidR="00D937B5" w:rsidRPr="00D937B5" w14:paraId="78D26340" w14:textId="77777777" w:rsidTr="00D937B5">
        <w:tc>
          <w:tcPr>
            <w:tcW w:w="5005" w:type="dxa"/>
            <w:shd w:val="clear" w:color="auto" w:fill="auto"/>
          </w:tcPr>
          <w:p w14:paraId="70201CF4" w14:textId="77777777" w:rsidR="00D937B5" w:rsidRPr="00D937B5" w:rsidRDefault="00D937B5" w:rsidP="00D937B5">
            <w:pPr>
              <w:spacing w:before="40" w:after="120"/>
              <w:ind w:right="113"/>
              <w:rPr>
                <w:rFonts w:cs="Times New Roman"/>
                <w:bCs/>
              </w:rPr>
            </w:pPr>
            <w:r w:rsidRPr="00D937B5">
              <w:rPr>
                <w:rFonts w:cs="Times New Roman"/>
              </w:rPr>
              <w:t>Факультативный протокол к Конвенции о ликвидации всех форм дискриминации в отношении женщин, касающийся индивидуальных жалоб и процедур расследования, 1999 год</w:t>
            </w:r>
          </w:p>
        </w:tc>
        <w:tc>
          <w:tcPr>
            <w:tcW w:w="2365" w:type="dxa"/>
            <w:shd w:val="clear" w:color="auto" w:fill="auto"/>
          </w:tcPr>
          <w:p w14:paraId="1B03B8B9" w14:textId="77777777" w:rsidR="00D937B5" w:rsidRPr="00D937B5" w:rsidRDefault="00D937B5" w:rsidP="00D937B5">
            <w:pPr>
              <w:spacing w:before="40" w:after="120"/>
              <w:ind w:right="113"/>
              <w:rPr>
                <w:rFonts w:cs="Times New Roman"/>
              </w:rPr>
            </w:pPr>
            <w:r w:rsidRPr="00D937B5">
              <w:rPr>
                <w:rFonts w:cs="Times New Roman"/>
              </w:rPr>
              <w:t>20 сентября 2001 года</w:t>
            </w:r>
          </w:p>
        </w:tc>
      </w:tr>
      <w:tr w:rsidR="00D937B5" w:rsidRPr="00D937B5" w14:paraId="09D3DD7E" w14:textId="77777777" w:rsidTr="00D937B5">
        <w:tc>
          <w:tcPr>
            <w:tcW w:w="5005" w:type="dxa"/>
            <w:shd w:val="clear" w:color="auto" w:fill="auto"/>
          </w:tcPr>
          <w:p w14:paraId="3A368A7B" w14:textId="77777777" w:rsidR="00D937B5" w:rsidRPr="00D937B5" w:rsidRDefault="00D937B5" w:rsidP="00D937B5">
            <w:pPr>
              <w:spacing w:before="40" w:after="120"/>
              <w:ind w:right="113"/>
              <w:rPr>
                <w:rFonts w:cs="Times New Roman"/>
                <w:bCs/>
              </w:rPr>
            </w:pPr>
            <w:r w:rsidRPr="00D937B5">
              <w:rPr>
                <w:rFonts w:cs="Times New Roman"/>
              </w:rPr>
              <w:t>Конвенция против пыток и других жестоких, бесчеловечных или унижающих достоинство видов обращения и наказания (КПП), 1984 год</w:t>
            </w:r>
          </w:p>
        </w:tc>
        <w:tc>
          <w:tcPr>
            <w:tcW w:w="2365" w:type="dxa"/>
            <w:shd w:val="clear" w:color="auto" w:fill="auto"/>
          </w:tcPr>
          <w:p w14:paraId="596B70D1" w14:textId="77777777" w:rsidR="00D937B5" w:rsidRPr="00D937B5" w:rsidRDefault="00D937B5" w:rsidP="00D937B5">
            <w:pPr>
              <w:spacing w:before="40" w:after="120"/>
              <w:ind w:right="113"/>
              <w:rPr>
                <w:rFonts w:cs="Times New Roman"/>
              </w:rPr>
            </w:pPr>
            <w:r w:rsidRPr="00D937B5">
              <w:rPr>
                <w:rFonts w:cs="Times New Roman"/>
              </w:rPr>
              <w:t>11 ноября 1993 года</w:t>
            </w:r>
          </w:p>
        </w:tc>
      </w:tr>
      <w:tr w:rsidR="00D937B5" w:rsidRPr="00D937B5" w14:paraId="2968DB18" w14:textId="77777777" w:rsidTr="00D937B5">
        <w:tc>
          <w:tcPr>
            <w:tcW w:w="5005" w:type="dxa"/>
            <w:shd w:val="clear" w:color="auto" w:fill="auto"/>
          </w:tcPr>
          <w:p w14:paraId="1FE4DCE7" w14:textId="77777777" w:rsidR="00D937B5" w:rsidRPr="00D937B5" w:rsidRDefault="00D937B5" w:rsidP="00D937B5">
            <w:pPr>
              <w:spacing w:before="40" w:after="120"/>
              <w:ind w:right="113"/>
              <w:rPr>
                <w:rFonts w:cs="Times New Roman"/>
                <w:bCs/>
              </w:rPr>
            </w:pPr>
            <w:r w:rsidRPr="00D937B5">
              <w:rPr>
                <w:rFonts w:cs="Times New Roman"/>
              </w:rPr>
              <w:t>Факультативный протокол к Конвенции против пыток, касающийся регулярных посещений представителями национальных и международных учреждений мест содержания под стражей, 2002 год</w:t>
            </w:r>
          </w:p>
        </w:tc>
        <w:tc>
          <w:tcPr>
            <w:tcW w:w="2365" w:type="dxa"/>
            <w:shd w:val="clear" w:color="auto" w:fill="auto"/>
          </w:tcPr>
          <w:p w14:paraId="29FB5140" w14:textId="77777777" w:rsidR="00D937B5" w:rsidRPr="00D937B5" w:rsidRDefault="00D937B5" w:rsidP="00D937B5">
            <w:pPr>
              <w:spacing w:before="40" w:after="120"/>
              <w:ind w:right="113"/>
              <w:rPr>
                <w:rFonts w:cs="Times New Roman"/>
              </w:rPr>
            </w:pPr>
            <w:r w:rsidRPr="00D937B5">
              <w:rPr>
                <w:rFonts w:cs="Times New Roman"/>
              </w:rPr>
              <w:t>1 декабря 2005 года</w:t>
            </w:r>
          </w:p>
        </w:tc>
      </w:tr>
      <w:tr w:rsidR="00D937B5" w:rsidRPr="00D937B5" w14:paraId="2FC401F1" w14:textId="77777777" w:rsidTr="00D937B5">
        <w:tc>
          <w:tcPr>
            <w:tcW w:w="5005" w:type="dxa"/>
            <w:shd w:val="clear" w:color="auto" w:fill="auto"/>
          </w:tcPr>
          <w:p w14:paraId="36A9EF34" w14:textId="77777777" w:rsidR="00D937B5" w:rsidRPr="00D937B5" w:rsidRDefault="00D937B5" w:rsidP="00D937B5">
            <w:pPr>
              <w:spacing w:before="40" w:after="120"/>
              <w:ind w:right="113"/>
              <w:rPr>
                <w:rFonts w:cs="Times New Roman"/>
              </w:rPr>
            </w:pPr>
            <w:r w:rsidRPr="00D937B5">
              <w:rPr>
                <w:rFonts w:cs="Times New Roman"/>
              </w:rPr>
              <w:t>Конвенция о правах ребенка (КПР), 1989 год</w:t>
            </w:r>
          </w:p>
        </w:tc>
        <w:tc>
          <w:tcPr>
            <w:tcW w:w="2365" w:type="dxa"/>
            <w:shd w:val="clear" w:color="auto" w:fill="auto"/>
          </w:tcPr>
          <w:p w14:paraId="304A5C4F" w14:textId="77777777" w:rsidR="00D937B5" w:rsidRPr="00D937B5" w:rsidRDefault="00D937B5" w:rsidP="00D937B5">
            <w:pPr>
              <w:spacing w:before="40" w:after="120"/>
              <w:ind w:right="113"/>
              <w:rPr>
                <w:rFonts w:cs="Times New Roman"/>
              </w:rPr>
            </w:pPr>
            <w:r w:rsidRPr="00D937B5">
              <w:rPr>
                <w:rFonts w:cs="Times New Roman"/>
              </w:rPr>
              <w:t>21 августа 1990 года</w:t>
            </w:r>
          </w:p>
        </w:tc>
      </w:tr>
      <w:tr w:rsidR="00D937B5" w:rsidRPr="00D937B5" w14:paraId="66386250" w14:textId="77777777" w:rsidTr="00D937B5">
        <w:tc>
          <w:tcPr>
            <w:tcW w:w="5005" w:type="dxa"/>
            <w:shd w:val="clear" w:color="auto" w:fill="auto"/>
          </w:tcPr>
          <w:p w14:paraId="0D8B39B8" w14:textId="77777777" w:rsidR="00D937B5" w:rsidRPr="00D937B5" w:rsidRDefault="00D937B5" w:rsidP="00D937B5">
            <w:pPr>
              <w:spacing w:before="40" w:after="120"/>
              <w:ind w:right="113"/>
              <w:rPr>
                <w:rFonts w:cs="Times New Roman"/>
                <w:bCs/>
              </w:rPr>
            </w:pPr>
            <w:r w:rsidRPr="00D937B5">
              <w:rPr>
                <w:rFonts w:cs="Times New Roman"/>
              </w:rPr>
              <w:t>Факультативный протокол к Конвенции о правах ребенка, касающийся участия детей в вооруженных конфликтах, 2000 год</w:t>
            </w:r>
          </w:p>
        </w:tc>
        <w:tc>
          <w:tcPr>
            <w:tcW w:w="2365" w:type="dxa"/>
            <w:shd w:val="clear" w:color="auto" w:fill="auto"/>
          </w:tcPr>
          <w:p w14:paraId="3132000B" w14:textId="77777777" w:rsidR="00D937B5" w:rsidRPr="00D937B5" w:rsidRDefault="00D937B5" w:rsidP="00D937B5">
            <w:pPr>
              <w:spacing w:before="40" w:after="120"/>
              <w:ind w:right="113"/>
              <w:rPr>
                <w:rFonts w:cs="Times New Roman"/>
              </w:rPr>
            </w:pPr>
            <w:r w:rsidRPr="00D937B5">
              <w:rPr>
                <w:rFonts w:cs="Times New Roman"/>
              </w:rPr>
              <w:t>24 января 2003 года</w:t>
            </w:r>
          </w:p>
        </w:tc>
      </w:tr>
      <w:tr w:rsidR="00D937B5" w:rsidRPr="00D937B5" w14:paraId="4B157AE4" w14:textId="77777777" w:rsidTr="00D937B5">
        <w:tc>
          <w:tcPr>
            <w:tcW w:w="5005" w:type="dxa"/>
            <w:shd w:val="clear" w:color="auto" w:fill="auto"/>
          </w:tcPr>
          <w:p w14:paraId="1C20795F" w14:textId="77777777" w:rsidR="00D937B5" w:rsidRPr="00D937B5" w:rsidRDefault="00D937B5" w:rsidP="00D937B5">
            <w:pPr>
              <w:spacing w:before="40" w:after="120"/>
              <w:ind w:right="113"/>
              <w:rPr>
                <w:rFonts w:cs="Times New Roman"/>
                <w:bCs/>
              </w:rPr>
            </w:pPr>
            <w:r w:rsidRPr="00D937B5">
              <w:rPr>
                <w:rFonts w:cs="Times New Roman"/>
              </w:rPr>
              <w:t>Факультативный протокол к Конвенции о правах ребенка, касающийся торговли детьми, детской проституции и детской порнографии, 2000 год</w:t>
            </w:r>
          </w:p>
        </w:tc>
        <w:tc>
          <w:tcPr>
            <w:tcW w:w="2365" w:type="dxa"/>
            <w:shd w:val="clear" w:color="auto" w:fill="auto"/>
          </w:tcPr>
          <w:p w14:paraId="24DCF0FA" w14:textId="77777777" w:rsidR="00D937B5" w:rsidRPr="00D937B5" w:rsidRDefault="00D937B5" w:rsidP="00D937B5">
            <w:pPr>
              <w:spacing w:before="40" w:after="120"/>
              <w:ind w:right="113"/>
              <w:rPr>
                <w:rFonts w:cs="Times New Roman"/>
              </w:rPr>
            </w:pPr>
            <w:r w:rsidRPr="00D937B5">
              <w:rPr>
                <w:rFonts w:cs="Times New Roman"/>
              </w:rPr>
              <w:t>9 апреля 2002 года</w:t>
            </w:r>
          </w:p>
        </w:tc>
      </w:tr>
      <w:tr w:rsidR="00D937B5" w:rsidRPr="00D937B5" w14:paraId="1373A74A" w14:textId="77777777" w:rsidTr="00D937B5">
        <w:tc>
          <w:tcPr>
            <w:tcW w:w="5005" w:type="dxa"/>
            <w:tcBorders>
              <w:bottom w:val="single" w:sz="12" w:space="0" w:color="auto"/>
            </w:tcBorders>
            <w:shd w:val="clear" w:color="auto" w:fill="auto"/>
          </w:tcPr>
          <w:p w14:paraId="12184F07" w14:textId="77777777" w:rsidR="00D937B5" w:rsidRPr="00D937B5" w:rsidRDefault="00D937B5" w:rsidP="00D937B5">
            <w:pPr>
              <w:spacing w:before="40" w:after="120"/>
              <w:ind w:right="113"/>
              <w:rPr>
                <w:rFonts w:cs="Times New Roman"/>
                <w:bCs/>
              </w:rPr>
            </w:pPr>
            <w:r w:rsidRPr="00D937B5">
              <w:rPr>
                <w:rFonts w:cs="Times New Roman"/>
              </w:rPr>
              <w:t>Международная конвенция о защите прав всех трудящихся-мигрантов и членов их семей (МКЗПМ), 1990 год</w:t>
            </w:r>
          </w:p>
        </w:tc>
        <w:tc>
          <w:tcPr>
            <w:tcW w:w="2365" w:type="dxa"/>
            <w:tcBorders>
              <w:bottom w:val="single" w:sz="12" w:space="0" w:color="auto"/>
            </w:tcBorders>
            <w:shd w:val="clear" w:color="auto" w:fill="auto"/>
          </w:tcPr>
          <w:p w14:paraId="499C7CFC" w14:textId="77777777" w:rsidR="00D937B5" w:rsidRPr="00D937B5" w:rsidRDefault="00D937B5" w:rsidP="00D937B5">
            <w:pPr>
              <w:spacing w:before="40" w:after="120"/>
              <w:ind w:right="113"/>
              <w:rPr>
                <w:rFonts w:cs="Times New Roman"/>
              </w:rPr>
            </w:pPr>
            <w:r w:rsidRPr="00D937B5">
              <w:rPr>
                <w:rFonts w:cs="Times New Roman"/>
              </w:rPr>
              <w:t>Не ратифицирована</w:t>
            </w:r>
          </w:p>
        </w:tc>
      </w:tr>
    </w:tbl>
    <w:p w14:paraId="56E59042" w14:textId="77777777" w:rsidR="00D937B5" w:rsidRPr="00535ED2" w:rsidRDefault="00D937B5" w:rsidP="00D937B5">
      <w:pPr>
        <w:pStyle w:val="SingleTxtG"/>
        <w:spacing w:before="240"/>
      </w:pPr>
      <w:r>
        <w:t>121.</w:t>
      </w:r>
      <w:r>
        <w:tab/>
        <w:t>Что касается Международной конвенции о защите прав всех трудящихся-мигрантов и членов их семей (МКЗПМ), то ее представления на утверждение Законодательной ассамблеи пока не предусмотрено.</w:t>
      </w:r>
    </w:p>
    <w:p w14:paraId="3FDC0DAB" w14:textId="77777777" w:rsidR="00D937B5" w:rsidRPr="00535ED2" w:rsidRDefault="00D937B5" w:rsidP="00D937B5">
      <w:pPr>
        <w:pStyle w:val="SingleTxtG"/>
      </w:pPr>
      <w:r>
        <w:t>122.</w:t>
      </w:r>
      <w:r>
        <w:tab/>
        <w:t xml:space="preserve">Что касается приостановления выполнения обязательств, признанных на международном уровне, то в статье 121.7 политической Конституции от 11 ноября 1947 года Законодательная ассамблея наделяется полномочиями применять режим приостановления действия индивидуальных прав и гарантий на основании очевидной общественной необходимости и на срок до 30 дней в отношении следующих прав: </w:t>
      </w:r>
      <w:r>
        <w:lastRenderedPageBreak/>
        <w:t>свободы передвижения, неприкосновенности жилища, тайны переписки, свободы мирных собраний, свободы мнений, свободного устного или письменного выражения мысли, доступа к административным органам и презумпции невиновности.</w:t>
      </w:r>
    </w:p>
    <w:p w14:paraId="78051CDA" w14:textId="77777777" w:rsidR="00D937B5" w:rsidRPr="00535ED2" w:rsidRDefault="00D937B5" w:rsidP="00D937B5">
      <w:pPr>
        <w:pStyle w:val="SingleTxtG"/>
      </w:pPr>
      <w:r>
        <w:t>123.</w:t>
      </w:r>
      <w:r>
        <w:tab/>
        <w:t>В силу политической, экономической, социальной и культурной стабильности страны это положение еще ни разу не применялось Законодательной ассамблеей, которая гарантировала осуществление прав человека, предусмотренных в приложении</w:t>
      </w:r>
      <w:r w:rsidR="00E341EC">
        <w:t> </w:t>
      </w:r>
      <w:r>
        <w:t>2.А, на протяжении последних 70 лет.</w:t>
      </w:r>
    </w:p>
    <w:p w14:paraId="7730DF30" w14:textId="77777777" w:rsidR="00D937B5" w:rsidRPr="00535ED2" w:rsidRDefault="00D937B5" w:rsidP="00D937B5">
      <w:pPr>
        <w:pStyle w:val="H23G"/>
      </w:pPr>
      <w:r>
        <w:tab/>
      </w:r>
      <w:r>
        <w:tab/>
      </w:r>
      <w:r>
        <w:rPr>
          <w:bCs/>
        </w:rPr>
        <w:t>Правовая основа защиты прав человека на национальном уровне</w:t>
      </w:r>
    </w:p>
    <w:p w14:paraId="28EF285A" w14:textId="77777777" w:rsidR="00D937B5" w:rsidRPr="00535ED2" w:rsidRDefault="00D937B5" w:rsidP="00D937B5">
      <w:pPr>
        <w:pStyle w:val="SingleTxtG"/>
      </w:pPr>
      <w:r>
        <w:t>124.</w:t>
      </w:r>
      <w:r>
        <w:tab/>
        <w:t>Государство Коста-Рика имеет широкую правовую базу, которая предусматривает гарантии основных договоров по правам человека, а также положения, дополняющие или раскрывающие права человека.</w:t>
      </w:r>
    </w:p>
    <w:p w14:paraId="79EBDE88" w14:textId="77777777" w:rsidR="00D937B5" w:rsidRPr="00535ED2" w:rsidRDefault="00D937B5" w:rsidP="00D937B5">
      <w:pPr>
        <w:pStyle w:val="SingleTxtG"/>
      </w:pPr>
      <w:r>
        <w:t>125.</w:t>
      </w:r>
      <w:r>
        <w:tab/>
        <w:t>Политическая Конституция Республики Коста-Рика, вступившая в силу 11 ноября 1949 года, включает в себя большую часть прав человека, главным образом права, изложенные в приложении 2.А, а именно: многонациональное и многокультурное государство (статьи 1, 76), упразднение армии (статья 12), гражданство (статья 13), натурализация (статья 14), равенство перед законом (статьи</w:t>
      </w:r>
      <w:r w:rsidR="00E341EC">
        <w:t> </w:t>
      </w:r>
      <w:r>
        <w:t>19</w:t>
      </w:r>
      <w:r w:rsidR="00E341EC">
        <w:t>,</w:t>
      </w:r>
      <w:r>
        <w:t xml:space="preserve"> 33), свобода личности (статья 20), неприкосновенность человеческой жизни (статья 21), свобода передвижения (статья 22), неприкосновенность жилища и частных территорий (статья 23), тайна переписки (статья 24), свобода ассоциации (статья 25), свобода мнений (статья 28), юрисдикция трибуналов (статьи 35, 39, 42, 44, 48, 49, 70), запрет тюремного заключения за долги (статья 38), принцип невиновности (статья 39), запрет на жестокое или унижающее достоинство обращение (статья 40), неприкосновенность частной собственности (статья 45), право на наивысший уровень благополучия (статья 50), защита семьи (статьи 51, 55), признание брака (статья 52), родительские обязанности (статья 53), право знать своих родителей (статья 53), избрание на должность (статья 56), минимальная заработная плата и равная заработная плата (статья 57), ограничение продолжительности рабочего дня (статья 58), право на еженедельный отдых (статья 59), право на вступление в профсоюзы (статья 60), право на забастовку и на пособие по безработице (статья 61), безопасность и гигиена труда (статья 66), техническая и культурная подготовка трудящихся (статья 67), недискриминация (статья 68), социальное обеспечение (статья 73), производственные риски (статья 73), свобода отправления культа (статья 75), бесплатное образование (статья 78), гражданственность (статья 90), право участвовать в выборах (статья 93) и</w:t>
      </w:r>
      <w:r w:rsidR="00E341EC">
        <w:t> </w:t>
      </w:r>
      <w:r>
        <w:t>судебная власть (статьи 152</w:t>
      </w:r>
      <w:r w:rsidR="00E341EC">
        <w:t>–</w:t>
      </w:r>
      <w:r>
        <w:t>167).</w:t>
      </w:r>
    </w:p>
    <w:p w14:paraId="68C4FF70" w14:textId="77777777" w:rsidR="00D937B5" w:rsidRPr="00535ED2" w:rsidRDefault="00D937B5" w:rsidP="00D937B5">
      <w:pPr>
        <w:pStyle w:val="SingleTxtG"/>
      </w:pPr>
      <w:r>
        <w:t>126.</w:t>
      </w:r>
      <w:r>
        <w:tab/>
        <w:t>Еще одной особенностью национальной юридической основы является включение в правовую систему государственных договоров и конвенций. Статья 7 политической Конституции предусматривает, что государственные договоры, конвенции и соглашения должны утверждаться Законодательной ассамблеей, и с момента их принятия они имеют более высокий статус, чем законы.</w:t>
      </w:r>
    </w:p>
    <w:p w14:paraId="68886B97" w14:textId="77777777" w:rsidR="00D937B5" w:rsidRPr="00535ED2" w:rsidRDefault="00D937B5" w:rsidP="00D937B5">
      <w:pPr>
        <w:pStyle w:val="SingleTxtG"/>
      </w:pPr>
      <w:r>
        <w:t>127.</w:t>
      </w:r>
      <w:r>
        <w:tab/>
        <w:t>Этот более высокий статус по сравнению с обычным законодательством означает, что международные договоры по правам человека дополняют политическую Конституцию. В этой связи Конституционная палата Верховного суда, являющаяся высшим органом конституционной юрисдикции, решением № 1147-1990 постановила, что «они не только имеют более высокий по сравнению с обычным правом статус, предусмотренный статьей 7 Конституции, но и пользуются прямой конституционной защитой, что практически приравнивает их к договорам, прямо закрепленным в статье</w:t>
      </w:r>
      <w:r w:rsidR="00E341EC">
        <w:t> </w:t>
      </w:r>
      <w:r>
        <w:t>48 самой Конституции».</w:t>
      </w:r>
    </w:p>
    <w:p w14:paraId="54945C04" w14:textId="77777777" w:rsidR="00D937B5" w:rsidRPr="00535ED2" w:rsidRDefault="00D937B5" w:rsidP="00D937B5">
      <w:pPr>
        <w:pStyle w:val="SingleTxtG"/>
      </w:pPr>
      <w:r>
        <w:t>128.</w:t>
      </w:r>
      <w:r>
        <w:tab/>
        <w:t>Два года спустя то же самое решение дало Конституционной палате возможность заявить, что международные договоры по правам человека дополняют политическую Конституцию в ее догматической части (решение № 53805-1993). Это высказывание сочетается с заявлением Палаты, в котором она провозгласила, что нормативные акты о правах человека, действующие в Коста-Рике, «не только имеют силу, сходную с политической Конституцией», но и «в той мере, в какой они предоставляют большие личные права или гарантии, имеют верховенство по отношению к Конституции» (решения № 3435-1992 и № 5759-1993).</w:t>
      </w:r>
    </w:p>
    <w:p w14:paraId="5A9AEF53" w14:textId="77777777" w:rsidR="00D937B5" w:rsidRPr="00535ED2" w:rsidRDefault="00D937B5" w:rsidP="00D937B5">
      <w:pPr>
        <w:pStyle w:val="SingleTxtG"/>
      </w:pPr>
      <w:r>
        <w:lastRenderedPageBreak/>
        <w:t>129.</w:t>
      </w:r>
      <w:r>
        <w:tab/>
        <w:t>Это было также признано Конституционной палатой в ряде постановлений, в частности в решении № 1319-974, принятом 4 марта 1997 года в 14 ч 51 мин; решении № 8857-98, принятом 15 декабря 1998 года в 16 ч 30 мин</w:t>
      </w:r>
      <w:r w:rsidR="00E341EC">
        <w:t>;</w:t>
      </w:r>
      <w:r>
        <w:t xml:space="preserve"> и решении № 2008-15461, принятом 15 октября 2008 года в 15 ч 07 мин (см. также, хотя и в отношении других документов, решение № 1147-90, принятое 21 сентября 1990 года в 16 ч 00 мин; решение № 3435-92, принятое 11 ноября 1992 года в 16 ч 20 мин; решение № 3724-93, принятое 4 августа 1991 года в 15 ч 00 мин; решение № 5759-93, принятое 10 ноября 1993 года в 14 ч 15 мин; решение № 1112-94, принятое 25 февраля 1994 года в </w:t>
      </w:r>
      <w:r>
        <w:br/>
        <w:t>9 ч 12</w:t>
      </w:r>
      <w:r>
        <w:rPr>
          <w:lang w:val="en-US"/>
        </w:rPr>
        <w:t> </w:t>
      </w:r>
      <w:r>
        <w:t>мин; решение № 2313-95, принятое 9 мая 1995 года в 16 ч 18 мин; решение №</w:t>
      </w:r>
      <w:r>
        <w:rPr>
          <w:lang w:val="en-US"/>
        </w:rPr>
        <w:t> </w:t>
      </w:r>
      <w:r>
        <w:t xml:space="preserve">2002-10693, принятое 7 ноября 2002 года в 18 ч 20 мин; решение № 2003-2771 год, принятое 4 апреля 2003 года в 11 ч 40 мин; решение № 2007-1682, принятое 9 февраля 2007 года в 10 ч 34 мин; решение № 2007-3043, принятое 7 марта 2007 года в </w:t>
      </w:r>
      <w:r>
        <w:br/>
        <w:t>14 ч 54 мин</w:t>
      </w:r>
      <w:r w:rsidR="00E341EC">
        <w:t>;</w:t>
      </w:r>
      <w:r>
        <w:t xml:space="preserve"> и решение № 2007-4276, принятое 27 марта 2007 года в 14 ч 49 мин).</w:t>
      </w:r>
    </w:p>
    <w:p w14:paraId="04DC363F" w14:textId="77777777" w:rsidR="00D937B5" w:rsidRPr="004160E4" w:rsidRDefault="00D937B5" w:rsidP="00D937B5">
      <w:pPr>
        <w:pStyle w:val="SingleTxtG"/>
      </w:pPr>
      <w:r>
        <w:t>130.</w:t>
      </w:r>
      <w:r>
        <w:tab/>
        <w:t>Таким образом, международные договоры по правам человека, перечисленные в приложении 2.А (за исключением МКЗПМ), включены в национальную правовую систему, и поэтому являются государственным законодательством и подлежат обязательному соблюдению без каких-либо различий или исключений. Например</w:t>
      </w:r>
      <w:r w:rsidR="00E341EC">
        <w:t>:</w:t>
      </w:r>
    </w:p>
    <w:tbl>
      <w:tblPr>
        <w:tblStyle w:val="ac"/>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1700"/>
      </w:tblGrid>
      <w:tr w:rsidR="00D937B5" w:rsidRPr="00D937B5" w14:paraId="09EFD0E6" w14:textId="77777777" w:rsidTr="00D937B5">
        <w:trPr>
          <w:tblHeader/>
        </w:trPr>
        <w:tc>
          <w:tcPr>
            <w:tcW w:w="5670" w:type="dxa"/>
            <w:tcBorders>
              <w:top w:val="single" w:sz="4" w:space="0" w:color="auto"/>
              <w:bottom w:val="single" w:sz="12" w:space="0" w:color="auto"/>
            </w:tcBorders>
            <w:shd w:val="clear" w:color="auto" w:fill="auto"/>
            <w:vAlign w:val="bottom"/>
          </w:tcPr>
          <w:p w14:paraId="0F19C25E" w14:textId="77777777" w:rsidR="00D937B5" w:rsidRPr="00D937B5" w:rsidRDefault="00D937B5" w:rsidP="00D937B5">
            <w:pPr>
              <w:spacing w:before="80" w:after="80" w:line="200" w:lineRule="exact"/>
              <w:ind w:right="113"/>
              <w:rPr>
                <w:rFonts w:cs="Times New Roman"/>
                <w:i/>
                <w:sz w:val="16"/>
              </w:rPr>
            </w:pPr>
            <w:bookmarkStart w:id="4" w:name="_Hlk529273552"/>
            <w:r w:rsidRPr="00D937B5">
              <w:rPr>
                <w:rFonts w:cs="Times New Roman"/>
                <w:i/>
                <w:sz w:val="16"/>
              </w:rPr>
              <w:t>Конвенция или пакт</w:t>
            </w:r>
          </w:p>
        </w:tc>
        <w:tc>
          <w:tcPr>
            <w:tcW w:w="1700" w:type="dxa"/>
            <w:tcBorders>
              <w:top w:val="single" w:sz="4" w:space="0" w:color="auto"/>
              <w:bottom w:val="single" w:sz="12" w:space="0" w:color="auto"/>
            </w:tcBorders>
            <w:shd w:val="clear" w:color="auto" w:fill="auto"/>
            <w:vAlign w:val="bottom"/>
          </w:tcPr>
          <w:p w14:paraId="6A423B74" w14:textId="77777777" w:rsidR="00D937B5" w:rsidRPr="00D937B5" w:rsidRDefault="00D937B5" w:rsidP="00D937B5">
            <w:pPr>
              <w:spacing w:before="80" w:after="80" w:line="200" w:lineRule="exact"/>
              <w:ind w:right="113"/>
              <w:rPr>
                <w:rFonts w:cs="Times New Roman"/>
                <w:i/>
                <w:sz w:val="16"/>
              </w:rPr>
            </w:pPr>
            <w:r w:rsidRPr="00D937B5">
              <w:rPr>
                <w:rFonts w:cs="Times New Roman"/>
                <w:i/>
                <w:sz w:val="16"/>
              </w:rPr>
              <w:t>Номер закона</w:t>
            </w:r>
          </w:p>
        </w:tc>
      </w:tr>
      <w:tr w:rsidR="00D937B5" w:rsidRPr="00D937B5" w14:paraId="7B273119" w14:textId="77777777" w:rsidTr="00D937B5">
        <w:trPr>
          <w:trHeight w:hRule="exact" w:val="113"/>
          <w:tblHeader/>
        </w:trPr>
        <w:tc>
          <w:tcPr>
            <w:tcW w:w="5670" w:type="dxa"/>
            <w:tcBorders>
              <w:top w:val="single" w:sz="12" w:space="0" w:color="auto"/>
            </w:tcBorders>
            <w:shd w:val="clear" w:color="auto" w:fill="auto"/>
          </w:tcPr>
          <w:p w14:paraId="502DAF6A" w14:textId="77777777" w:rsidR="00D937B5" w:rsidRPr="00D937B5" w:rsidRDefault="00D937B5" w:rsidP="00D937B5">
            <w:pPr>
              <w:spacing w:before="40" w:after="120"/>
              <w:ind w:right="113"/>
              <w:rPr>
                <w:rFonts w:cs="Times New Roman"/>
              </w:rPr>
            </w:pPr>
          </w:p>
        </w:tc>
        <w:tc>
          <w:tcPr>
            <w:tcW w:w="1700" w:type="dxa"/>
            <w:tcBorders>
              <w:top w:val="single" w:sz="12" w:space="0" w:color="auto"/>
            </w:tcBorders>
            <w:shd w:val="clear" w:color="auto" w:fill="auto"/>
          </w:tcPr>
          <w:p w14:paraId="03AF67A1" w14:textId="77777777" w:rsidR="00D937B5" w:rsidRPr="00D937B5" w:rsidRDefault="00D937B5" w:rsidP="00D937B5">
            <w:pPr>
              <w:spacing w:before="40" w:after="120"/>
              <w:ind w:right="113"/>
              <w:rPr>
                <w:rFonts w:cs="Times New Roman"/>
              </w:rPr>
            </w:pPr>
          </w:p>
        </w:tc>
      </w:tr>
      <w:bookmarkEnd w:id="4"/>
      <w:tr w:rsidR="00D937B5" w:rsidRPr="00D937B5" w14:paraId="7E9458C8" w14:textId="77777777" w:rsidTr="00D937B5">
        <w:tc>
          <w:tcPr>
            <w:tcW w:w="5670" w:type="dxa"/>
            <w:shd w:val="clear" w:color="auto" w:fill="auto"/>
          </w:tcPr>
          <w:p w14:paraId="29939354" w14:textId="77777777" w:rsidR="00D937B5" w:rsidRPr="00D937B5" w:rsidRDefault="00D937B5" w:rsidP="00D937B5">
            <w:pPr>
              <w:spacing w:before="40" w:after="120"/>
              <w:ind w:right="113"/>
              <w:rPr>
                <w:rFonts w:cs="Times New Roman"/>
              </w:rPr>
            </w:pPr>
            <w:r w:rsidRPr="00D937B5">
              <w:rPr>
                <w:rFonts w:cs="Times New Roman"/>
              </w:rPr>
              <w:t>Международный пакт об экономических, социальных и культурных правах (МПЭСКП), 1966 год</w:t>
            </w:r>
          </w:p>
        </w:tc>
        <w:tc>
          <w:tcPr>
            <w:tcW w:w="1700" w:type="dxa"/>
            <w:shd w:val="clear" w:color="auto" w:fill="auto"/>
          </w:tcPr>
          <w:p w14:paraId="1D87D21D" w14:textId="77777777" w:rsidR="00D937B5" w:rsidRPr="00D937B5" w:rsidRDefault="00D937B5" w:rsidP="00D937B5">
            <w:pPr>
              <w:spacing w:before="40" w:after="120"/>
              <w:ind w:right="113"/>
              <w:rPr>
                <w:rFonts w:cs="Times New Roman"/>
              </w:rPr>
            </w:pPr>
            <w:r w:rsidRPr="00D937B5">
              <w:rPr>
                <w:rFonts w:cs="Times New Roman"/>
              </w:rPr>
              <w:t>Закон № 4229</w:t>
            </w:r>
          </w:p>
        </w:tc>
      </w:tr>
      <w:tr w:rsidR="00D937B5" w:rsidRPr="00D937B5" w14:paraId="34C8B908" w14:textId="77777777" w:rsidTr="00D937B5">
        <w:tc>
          <w:tcPr>
            <w:tcW w:w="5670" w:type="dxa"/>
            <w:shd w:val="clear" w:color="auto" w:fill="auto"/>
          </w:tcPr>
          <w:p w14:paraId="1C1EDDFB" w14:textId="77777777" w:rsidR="00D937B5" w:rsidRPr="00D937B5" w:rsidRDefault="00D937B5" w:rsidP="00D937B5">
            <w:pPr>
              <w:spacing w:before="40" w:after="120"/>
              <w:ind w:right="113"/>
              <w:rPr>
                <w:rFonts w:cs="Times New Roman"/>
              </w:rPr>
            </w:pPr>
            <w:r w:rsidRPr="00D937B5">
              <w:rPr>
                <w:rFonts w:cs="Times New Roman"/>
              </w:rPr>
              <w:t>Международный пакт о гражданских и политических правах (МПГПП), 1966 год</w:t>
            </w:r>
          </w:p>
        </w:tc>
        <w:tc>
          <w:tcPr>
            <w:tcW w:w="1700" w:type="dxa"/>
            <w:shd w:val="clear" w:color="auto" w:fill="auto"/>
          </w:tcPr>
          <w:p w14:paraId="67369A42" w14:textId="77777777" w:rsidR="00D937B5" w:rsidRPr="00D937B5" w:rsidRDefault="00D937B5" w:rsidP="00D937B5">
            <w:pPr>
              <w:spacing w:before="40" w:after="120"/>
              <w:ind w:right="113"/>
              <w:rPr>
                <w:rFonts w:cs="Times New Roman"/>
              </w:rPr>
            </w:pPr>
            <w:r w:rsidRPr="00D937B5">
              <w:rPr>
                <w:rFonts w:cs="Times New Roman"/>
              </w:rPr>
              <w:t>Закон № 4229</w:t>
            </w:r>
          </w:p>
        </w:tc>
      </w:tr>
      <w:tr w:rsidR="00D937B5" w:rsidRPr="00D937B5" w14:paraId="72617B9F" w14:textId="77777777" w:rsidTr="00D937B5">
        <w:tc>
          <w:tcPr>
            <w:tcW w:w="5670" w:type="dxa"/>
            <w:shd w:val="clear" w:color="auto" w:fill="auto"/>
          </w:tcPr>
          <w:p w14:paraId="136F46B2" w14:textId="77777777" w:rsidR="00D937B5" w:rsidRPr="00D937B5" w:rsidRDefault="00D937B5" w:rsidP="00D937B5">
            <w:pPr>
              <w:spacing w:before="40" w:after="120"/>
              <w:ind w:right="113"/>
              <w:rPr>
                <w:rFonts w:cs="Times New Roman"/>
                <w:bCs/>
              </w:rPr>
            </w:pPr>
            <w:r w:rsidRPr="00D937B5">
              <w:rPr>
                <w:rFonts w:cs="Times New Roman"/>
              </w:rPr>
              <w:t>Факультативный протокол к Международному пакту о гражданских и политических правах, касающийся индивидуальных сообщений, 1966 год</w:t>
            </w:r>
          </w:p>
        </w:tc>
        <w:tc>
          <w:tcPr>
            <w:tcW w:w="1700" w:type="dxa"/>
            <w:shd w:val="clear" w:color="auto" w:fill="auto"/>
          </w:tcPr>
          <w:p w14:paraId="2EF7C586" w14:textId="77777777" w:rsidR="00D937B5" w:rsidRPr="00D937B5" w:rsidRDefault="00D937B5" w:rsidP="00D937B5">
            <w:pPr>
              <w:spacing w:before="40" w:after="120"/>
              <w:ind w:right="113"/>
              <w:rPr>
                <w:rFonts w:cs="Times New Roman"/>
              </w:rPr>
            </w:pPr>
            <w:r w:rsidRPr="00D937B5">
              <w:rPr>
                <w:rFonts w:cs="Times New Roman"/>
              </w:rPr>
              <w:t>Закон № 4229</w:t>
            </w:r>
          </w:p>
        </w:tc>
      </w:tr>
      <w:tr w:rsidR="00D937B5" w:rsidRPr="00D937B5" w14:paraId="68D91665" w14:textId="77777777" w:rsidTr="00D937B5">
        <w:tc>
          <w:tcPr>
            <w:tcW w:w="5670" w:type="dxa"/>
            <w:shd w:val="clear" w:color="auto" w:fill="auto"/>
          </w:tcPr>
          <w:p w14:paraId="20D069B7" w14:textId="77777777" w:rsidR="00D937B5" w:rsidRPr="00D937B5" w:rsidRDefault="00D937B5" w:rsidP="00D937B5">
            <w:pPr>
              <w:spacing w:before="40" w:after="120"/>
              <w:ind w:right="113"/>
              <w:rPr>
                <w:rFonts w:cs="Times New Roman"/>
                <w:bCs/>
              </w:rPr>
            </w:pPr>
            <w:r w:rsidRPr="00D937B5">
              <w:rPr>
                <w:rFonts w:cs="Times New Roman"/>
              </w:rPr>
              <w:t>Второй Факультативный протокол к Международному пакту о гражданских и политических правах, направленный на отмену смертной казни, 1989 год</w:t>
            </w:r>
          </w:p>
        </w:tc>
        <w:tc>
          <w:tcPr>
            <w:tcW w:w="1700" w:type="dxa"/>
            <w:shd w:val="clear" w:color="auto" w:fill="auto"/>
          </w:tcPr>
          <w:p w14:paraId="76745B22" w14:textId="77777777" w:rsidR="00D937B5" w:rsidRPr="00D937B5" w:rsidRDefault="00D937B5" w:rsidP="00D937B5">
            <w:pPr>
              <w:spacing w:before="40" w:after="120"/>
              <w:ind w:right="113"/>
              <w:rPr>
                <w:rFonts w:cs="Times New Roman"/>
              </w:rPr>
            </w:pPr>
            <w:r w:rsidRPr="00D937B5">
              <w:rPr>
                <w:rFonts w:cs="Times New Roman"/>
              </w:rPr>
              <w:t>Закон № 7750</w:t>
            </w:r>
          </w:p>
        </w:tc>
      </w:tr>
      <w:tr w:rsidR="00D937B5" w:rsidRPr="00D937B5" w14:paraId="34A506DF" w14:textId="77777777" w:rsidTr="00D937B5">
        <w:tc>
          <w:tcPr>
            <w:tcW w:w="5670" w:type="dxa"/>
            <w:shd w:val="clear" w:color="auto" w:fill="auto"/>
          </w:tcPr>
          <w:p w14:paraId="6B3D0205" w14:textId="77777777" w:rsidR="00D937B5" w:rsidRPr="00D937B5" w:rsidRDefault="00D937B5" w:rsidP="00D937B5">
            <w:pPr>
              <w:spacing w:before="40" w:after="120"/>
              <w:ind w:right="113"/>
              <w:rPr>
                <w:rFonts w:cs="Times New Roman"/>
                <w:bCs/>
              </w:rPr>
            </w:pPr>
            <w:r w:rsidRPr="00D937B5">
              <w:rPr>
                <w:rFonts w:cs="Times New Roman"/>
              </w:rPr>
              <w:t>Международная конвенция о ликвидации всех форм расовой дискриминации (МКЛРД), 1965 год</w:t>
            </w:r>
          </w:p>
        </w:tc>
        <w:tc>
          <w:tcPr>
            <w:tcW w:w="1700" w:type="dxa"/>
            <w:shd w:val="clear" w:color="auto" w:fill="auto"/>
          </w:tcPr>
          <w:p w14:paraId="1E837826" w14:textId="77777777" w:rsidR="00D937B5" w:rsidRPr="00D937B5" w:rsidRDefault="00D937B5" w:rsidP="00D937B5">
            <w:pPr>
              <w:spacing w:before="40" w:after="120"/>
              <w:ind w:right="113"/>
              <w:rPr>
                <w:rFonts w:cs="Times New Roman"/>
              </w:rPr>
            </w:pPr>
            <w:r w:rsidRPr="00D937B5">
              <w:rPr>
                <w:rFonts w:cs="Times New Roman"/>
              </w:rPr>
              <w:t>Закон № 1273</w:t>
            </w:r>
          </w:p>
        </w:tc>
      </w:tr>
      <w:tr w:rsidR="00D937B5" w:rsidRPr="00D937B5" w14:paraId="0BC687F7" w14:textId="77777777" w:rsidTr="00D937B5">
        <w:tc>
          <w:tcPr>
            <w:tcW w:w="5670" w:type="dxa"/>
            <w:shd w:val="clear" w:color="auto" w:fill="auto"/>
          </w:tcPr>
          <w:p w14:paraId="3A057446" w14:textId="77777777" w:rsidR="00D937B5" w:rsidRPr="00D937B5" w:rsidRDefault="00D937B5" w:rsidP="00D937B5">
            <w:pPr>
              <w:spacing w:before="40" w:after="120"/>
              <w:ind w:right="113"/>
              <w:rPr>
                <w:rFonts w:cs="Times New Roman"/>
                <w:bCs/>
              </w:rPr>
            </w:pPr>
            <w:r w:rsidRPr="00D937B5">
              <w:rPr>
                <w:rFonts w:cs="Times New Roman"/>
              </w:rPr>
              <w:t>Факультативный протокол к Конвенции о ликвидации всех форм дискриминации в отношении женщин, касающийся индивидуальных жалоб и процедур расследования, 1999 год</w:t>
            </w:r>
          </w:p>
        </w:tc>
        <w:tc>
          <w:tcPr>
            <w:tcW w:w="1700" w:type="dxa"/>
            <w:shd w:val="clear" w:color="auto" w:fill="auto"/>
          </w:tcPr>
          <w:p w14:paraId="7E4A8468" w14:textId="77777777" w:rsidR="00D937B5" w:rsidRPr="00D937B5" w:rsidRDefault="00D937B5" w:rsidP="00D937B5">
            <w:pPr>
              <w:spacing w:before="40" w:after="120"/>
              <w:ind w:right="113"/>
              <w:rPr>
                <w:rFonts w:cs="Times New Roman"/>
              </w:rPr>
            </w:pPr>
            <w:r w:rsidRPr="00D937B5">
              <w:rPr>
                <w:rFonts w:cs="Times New Roman"/>
              </w:rPr>
              <w:t>Закон № 8089</w:t>
            </w:r>
          </w:p>
        </w:tc>
      </w:tr>
      <w:tr w:rsidR="00D937B5" w:rsidRPr="00D937B5" w14:paraId="5E82580C" w14:textId="77777777" w:rsidTr="00D937B5">
        <w:tc>
          <w:tcPr>
            <w:tcW w:w="5670" w:type="dxa"/>
            <w:shd w:val="clear" w:color="auto" w:fill="auto"/>
          </w:tcPr>
          <w:p w14:paraId="5A5ABDB6" w14:textId="77777777" w:rsidR="00D937B5" w:rsidRPr="00D937B5" w:rsidRDefault="00D937B5" w:rsidP="00D937B5">
            <w:pPr>
              <w:spacing w:before="40" w:after="120"/>
              <w:ind w:right="113"/>
              <w:rPr>
                <w:rFonts w:cs="Times New Roman"/>
                <w:bCs/>
              </w:rPr>
            </w:pPr>
            <w:r w:rsidRPr="00D937B5">
              <w:rPr>
                <w:rFonts w:cs="Times New Roman"/>
              </w:rPr>
              <w:t>Конвенция против пыток и других жестоких, бесчеловечных или унижающих достоинство видов обращения и наказания (КПП), 1984 год</w:t>
            </w:r>
          </w:p>
        </w:tc>
        <w:tc>
          <w:tcPr>
            <w:tcW w:w="1700" w:type="dxa"/>
            <w:shd w:val="clear" w:color="auto" w:fill="auto"/>
          </w:tcPr>
          <w:p w14:paraId="662CC4AF" w14:textId="77777777" w:rsidR="00D937B5" w:rsidRPr="00D937B5" w:rsidRDefault="00D937B5" w:rsidP="00D937B5">
            <w:pPr>
              <w:spacing w:before="40" w:after="120"/>
              <w:ind w:right="113"/>
              <w:rPr>
                <w:rFonts w:cs="Times New Roman"/>
              </w:rPr>
            </w:pPr>
            <w:r w:rsidRPr="00D937B5">
              <w:rPr>
                <w:rFonts w:cs="Times New Roman"/>
              </w:rPr>
              <w:t>Исполнительный указ № 33134</w:t>
            </w:r>
          </w:p>
        </w:tc>
      </w:tr>
      <w:tr w:rsidR="00D937B5" w:rsidRPr="00D937B5" w14:paraId="270EFDB0" w14:textId="77777777" w:rsidTr="00D937B5">
        <w:tc>
          <w:tcPr>
            <w:tcW w:w="5670" w:type="dxa"/>
            <w:shd w:val="clear" w:color="auto" w:fill="auto"/>
          </w:tcPr>
          <w:p w14:paraId="4978A278" w14:textId="77777777" w:rsidR="00D937B5" w:rsidRPr="00D937B5" w:rsidRDefault="00D937B5" w:rsidP="00D937B5">
            <w:pPr>
              <w:spacing w:before="40" w:after="120"/>
              <w:ind w:right="113"/>
              <w:rPr>
                <w:rFonts w:cs="Times New Roman"/>
                <w:bCs/>
              </w:rPr>
            </w:pPr>
            <w:r w:rsidRPr="00D937B5">
              <w:rPr>
                <w:rFonts w:cs="Times New Roman"/>
              </w:rPr>
              <w:t>Факультативный протокол к Конвенции против пыток, касающийся регулярных посещений представителями национальных и международных учреждений мест содержания под стражей, 2002 год</w:t>
            </w:r>
          </w:p>
        </w:tc>
        <w:tc>
          <w:tcPr>
            <w:tcW w:w="1700" w:type="dxa"/>
            <w:shd w:val="clear" w:color="auto" w:fill="auto"/>
          </w:tcPr>
          <w:p w14:paraId="33FDB4D4" w14:textId="77777777" w:rsidR="00D937B5" w:rsidRPr="00D937B5" w:rsidRDefault="00D937B5" w:rsidP="00D937B5">
            <w:pPr>
              <w:spacing w:before="40" w:after="120"/>
              <w:ind w:right="113"/>
              <w:rPr>
                <w:rFonts w:cs="Times New Roman"/>
              </w:rPr>
            </w:pPr>
            <w:r w:rsidRPr="00D937B5">
              <w:rPr>
                <w:rFonts w:cs="Times New Roman"/>
              </w:rPr>
              <w:t>Закон № 8459</w:t>
            </w:r>
          </w:p>
        </w:tc>
      </w:tr>
      <w:tr w:rsidR="00D937B5" w:rsidRPr="00D937B5" w14:paraId="0EA2C3E4" w14:textId="77777777" w:rsidTr="00D937B5">
        <w:tc>
          <w:tcPr>
            <w:tcW w:w="5670" w:type="dxa"/>
            <w:shd w:val="clear" w:color="auto" w:fill="auto"/>
          </w:tcPr>
          <w:p w14:paraId="05270628" w14:textId="77777777" w:rsidR="00D937B5" w:rsidRPr="00D937B5" w:rsidRDefault="00D937B5" w:rsidP="00D937B5">
            <w:pPr>
              <w:spacing w:before="40" w:after="120"/>
              <w:ind w:right="113"/>
              <w:rPr>
                <w:rFonts w:cs="Times New Roman"/>
              </w:rPr>
            </w:pPr>
            <w:r w:rsidRPr="00D937B5">
              <w:rPr>
                <w:rFonts w:cs="Times New Roman"/>
              </w:rPr>
              <w:t>Конвенция о правах ребенка (КПР), 1989 год</w:t>
            </w:r>
          </w:p>
        </w:tc>
        <w:tc>
          <w:tcPr>
            <w:tcW w:w="1700" w:type="dxa"/>
            <w:shd w:val="clear" w:color="auto" w:fill="auto"/>
          </w:tcPr>
          <w:p w14:paraId="4523EF5E" w14:textId="77777777" w:rsidR="00D937B5" w:rsidRPr="00D937B5" w:rsidRDefault="00D937B5" w:rsidP="00D937B5">
            <w:pPr>
              <w:spacing w:before="40" w:after="120"/>
              <w:ind w:right="113"/>
              <w:rPr>
                <w:rFonts w:cs="Times New Roman"/>
              </w:rPr>
            </w:pPr>
            <w:r w:rsidRPr="00D937B5">
              <w:rPr>
                <w:rFonts w:cs="Times New Roman"/>
              </w:rPr>
              <w:t>Закон № 7184</w:t>
            </w:r>
          </w:p>
        </w:tc>
      </w:tr>
      <w:tr w:rsidR="00D937B5" w:rsidRPr="00D937B5" w14:paraId="01CB74FB" w14:textId="77777777" w:rsidTr="00D937B5">
        <w:tc>
          <w:tcPr>
            <w:tcW w:w="5670" w:type="dxa"/>
            <w:shd w:val="clear" w:color="auto" w:fill="auto"/>
          </w:tcPr>
          <w:p w14:paraId="1541B408" w14:textId="77777777" w:rsidR="00D937B5" w:rsidRPr="00D937B5" w:rsidRDefault="00D937B5" w:rsidP="00D937B5">
            <w:pPr>
              <w:spacing w:before="40" w:after="120"/>
              <w:ind w:right="113"/>
              <w:rPr>
                <w:rFonts w:cs="Times New Roman"/>
                <w:bCs/>
              </w:rPr>
            </w:pPr>
            <w:r w:rsidRPr="00D937B5">
              <w:rPr>
                <w:rFonts w:cs="Times New Roman"/>
              </w:rPr>
              <w:t>Факультативный протокол к Конвенции о правах ребенка, касающийся участия детей в вооруженных конфликтах, 2000 год</w:t>
            </w:r>
          </w:p>
        </w:tc>
        <w:tc>
          <w:tcPr>
            <w:tcW w:w="1700" w:type="dxa"/>
            <w:shd w:val="clear" w:color="auto" w:fill="auto"/>
          </w:tcPr>
          <w:p w14:paraId="14A46536" w14:textId="77777777" w:rsidR="00D937B5" w:rsidRPr="00D937B5" w:rsidRDefault="00D937B5" w:rsidP="00D937B5">
            <w:pPr>
              <w:spacing w:before="40" w:after="120"/>
              <w:ind w:right="113"/>
              <w:rPr>
                <w:rFonts w:cs="Times New Roman"/>
              </w:rPr>
            </w:pPr>
            <w:r w:rsidRPr="00D937B5">
              <w:rPr>
                <w:rFonts w:cs="Times New Roman"/>
              </w:rPr>
              <w:t>Закон № 8247</w:t>
            </w:r>
          </w:p>
        </w:tc>
      </w:tr>
      <w:tr w:rsidR="00D937B5" w:rsidRPr="00D937B5" w14:paraId="068FBBE3" w14:textId="77777777" w:rsidTr="00D937B5">
        <w:tc>
          <w:tcPr>
            <w:tcW w:w="5670" w:type="dxa"/>
            <w:tcBorders>
              <w:bottom w:val="single" w:sz="12" w:space="0" w:color="auto"/>
            </w:tcBorders>
            <w:shd w:val="clear" w:color="auto" w:fill="auto"/>
          </w:tcPr>
          <w:p w14:paraId="755362AC" w14:textId="77777777" w:rsidR="00D937B5" w:rsidRPr="00D937B5" w:rsidRDefault="00D937B5" w:rsidP="00D937B5">
            <w:pPr>
              <w:spacing w:before="40" w:after="120"/>
              <w:ind w:right="113"/>
              <w:rPr>
                <w:rFonts w:cs="Times New Roman"/>
                <w:bCs/>
              </w:rPr>
            </w:pPr>
            <w:r w:rsidRPr="00D937B5">
              <w:rPr>
                <w:rFonts w:cs="Times New Roman"/>
              </w:rPr>
              <w:t>Факультативный протокол к Конвенции о правах ребенка, касающийся торговли детьми, детской проституции и детской порнографии, 2000 год</w:t>
            </w:r>
          </w:p>
        </w:tc>
        <w:tc>
          <w:tcPr>
            <w:tcW w:w="1700" w:type="dxa"/>
            <w:tcBorders>
              <w:bottom w:val="single" w:sz="12" w:space="0" w:color="auto"/>
            </w:tcBorders>
            <w:shd w:val="clear" w:color="auto" w:fill="auto"/>
          </w:tcPr>
          <w:p w14:paraId="1AFD681C" w14:textId="77777777" w:rsidR="00D937B5" w:rsidRPr="00D937B5" w:rsidRDefault="00D937B5" w:rsidP="00D937B5">
            <w:pPr>
              <w:spacing w:before="40" w:after="120"/>
              <w:ind w:right="113"/>
              <w:rPr>
                <w:rFonts w:cs="Times New Roman"/>
              </w:rPr>
            </w:pPr>
            <w:r w:rsidRPr="00D937B5">
              <w:rPr>
                <w:rFonts w:cs="Times New Roman"/>
              </w:rPr>
              <w:t>Закон № 8172</w:t>
            </w:r>
          </w:p>
        </w:tc>
      </w:tr>
    </w:tbl>
    <w:p w14:paraId="5327B267" w14:textId="77777777" w:rsidR="00D937B5" w:rsidRPr="00F84A90" w:rsidRDefault="00D937B5" w:rsidP="00D937B5">
      <w:pPr>
        <w:pStyle w:val="H23G"/>
      </w:pPr>
      <w:r>
        <w:lastRenderedPageBreak/>
        <w:tab/>
      </w:r>
      <w:r>
        <w:tab/>
      </w:r>
      <w:r>
        <w:rPr>
          <w:bCs/>
        </w:rPr>
        <w:t>Компетентные органы</w:t>
      </w:r>
    </w:p>
    <w:p w14:paraId="34F40970" w14:textId="77777777" w:rsidR="00D937B5" w:rsidRPr="00535ED2" w:rsidRDefault="00D937B5" w:rsidP="00D937B5">
      <w:pPr>
        <w:pStyle w:val="SingleTxtG"/>
      </w:pPr>
      <w:r>
        <w:t>131.</w:t>
      </w:r>
      <w:r>
        <w:tab/>
        <w:t>В статье 9 политической Конституции 1949 года предусматривается создание судебной ветви власти, независимой от исполнительной власти и Законодательной ассамблеи и занимающейся отправлением правосудия в Республике Коста-Рика. В ней отмечается</w:t>
      </w:r>
      <w:r w:rsidRPr="002C7F6C">
        <w:t xml:space="preserve"> </w:t>
      </w:r>
      <w:r>
        <w:t>также, что в ведении судебной власти находится Верховный суд.</w:t>
      </w:r>
    </w:p>
    <w:p w14:paraId="111AD65F" w14:textId="77777777" w:rsidR="00D937B5" w:rsidRPr="00535ED2" w:rsidRDefault="00D937B5" w:rsidP="00D937B5">
      <w:pPr>
        <w:pStyle w:val="SingleTxtG"/>
      </w:pPr>
      <w:r>
        <w:t>132.</w:t>
      </w:r>
      <w:r>
        <w:tab/>
        <w:t>С этой целью были созданы два конкретных суда, которые находятся в ведении судебной власти. Один из них – суд по трудовым спорам, в рамках которого рассматриваются и решаются трудовые вопросы, а второй – административный суд, гарантирующий законность административной функции государства, его институтов и любого другого субъекта публичного права.</w:t>
      </w:r>
    </w:p>
    <w:p w14:paraId="4D9EB554" w14:textId="77777777" w:rsidR="00D937B5" w:rsidRPr="00535ED2" w:rsidRDefault="00D937B5" w:rsidP="00D937B5">
      <w:pPr>
        <w:pStyle w:val="SingleTxtG"/>
      </w:pPr>
      <w:r>
        <w:t>133.</w:t>
      </w:r>
      <w:r>
        <w:tab/>
        <w:t>Кроме того, в Конституции судебной власти поручено рассматривать гражданские, уголовные, коммерческие, трудовые и административные дела, равно как и другие дела, предусмотренные законодательством, независимо от их характера и роли участвующих лиц. Кроме того, она должна принимать окончательные решения по ним и выполнять выносимые резолюции, при необходимости с привлечением полиции.</w:t>
      </w:r>
    </w:p>
    <w:p w14:paraId="5C9F47E8" w14:textId="77777777" w:rsidR="00D937B5" w:rsidRPr="00535ED2" w:rsidRDefault="00D937B5" w:rsidP="00D937B5">
      <w:pPr>
        <w:pStyle w:val="SingleTxtG"/>
      </w:pPr>
      <w:r>
        <w:t>134.</w:t>
      </w:r>
      <w:r>
        <w:tab/>
        <w:t>В целом, судебная власть уполномочена рассматривать любые дела, касающиеся гражданских и уголовных процессов, процессов уголовного правосудия в отношении несовершеннолетних, коммерческих, трудовых, административных, бюджетных, семейных, сельскохозяйственных и конституционных процессов, а также другие вопросы, предусмотренные законодательством, в целях их окончательного разрешения и осуществления вынесенных резолюций. При необходимости к решению последней задачи привлекается полиция.</w:t>
      </w:r>
    </w:p>
    <w:p w14:paraId="65967ACD" w14:textId="77777777" w:rsidR="00D937B5" w:rsidRPr="00535ED2" w:rsidRDefault="00D937B5" w:rsidP="00D937B5">
      <w:pPr>
        <w:pStyle w:val="SingleTxtG"/>
      </w:pPr>
      <w:r>
        <w:t>135.</w:t>
      </w:r>
      <w:r>
        <w:tab/>
        <w:t xml:space="preserve">В интересах отправления правосудия Верховный суд разделен на четыре палаты, три из которых называются кассационными палатами, а четвертая – Конституционной палатой. С учетом различий в тематике работы каждой из палат Верховного суда, общей функцией первых трех из них является кассация, </w:t>
      </w:r>
      <w:r>
        <w:br/>
        <w:t>т. е. пересмотр решений коллегиальных судов с целью контроля законности как процедуры, так и существа решения при унифицикации критериев и соблюдении соответствующей судебной практики.</w:t>
      </w:r>
    </w:p>
    <w:p w14:paraId="58F1FD69" w14:textId="77777777" w:rsidR="00D937B5" w:rsidRPr="00535ED2" w:rsidRDefault="00D937B5" w:rsidP="00D937B5">
      <w:pPr>
        <w:pStyle w:val="SingleTxtG"/>
      </w:pPr>
      <w:r>
        <w:t>136.</w:t>
      </w:r>
      <w:r>
        <w:tab/>
        <w:t>Например, Первая палата рассматривает кассационные жалобы и ходатайства о пересмотре решений в рамках регулярного и ускоренного производства по гражданским, коммерческим и административным делам. В качестве третьей запрашиваемой инстанции она занимается вопросами сельского хозяйства. Кроме того, она принимает решения о приведении в исполнение приговоров, вынесенных за рубежом.</w:t>
      </w:r>
    </w:p>
    <w:p w14:paraId="56939769" w14:textId="77777777" w:rsidR="00D937B5" w:rsidRPr="00535ED2" w:rsidRDefault="00D937B5" w:rsidP="00D937B5">
      <w:pPr>
        <w:pStyle w:val="SingleTxtG"/>
      </w:pPr>
      <w:r>
        <w:t>137.</w:t>
      </w:r>
      <w:r>
        <w:tab/>
        <w:t>Вторая палата рассматривает кассационные жалобы и ходатайства о пересмотре решений в рамках регулярного и ускоренного производства по семейным делам и делам о наследовании. В качестве третьей запрашиваемой инстанции она занимается также трудовыми вопросами.</w:t>
      </w:r>
    </w:p>
    <w:p w14:paraId="7724710E" w14:textId="77777777" w:rsidR="00D937B5" w:rsidRPr="00535ED2" w:rsidRDefault="00D937B5" w:rsidP="00D937B5">
      <w:pPr>
        <w:pStyle w:val="SingleTxtG"/>
      </w:pPr>
      <w:r>
        <w:t>138.</w:t>
      </w:r>
      <w:r>
        <w:tab/>
        <w:t>Третья палата рассматривает кассационные жалобы и ходатайства о пересмотре уголовных дел и дел против членов органов верховной власти.</w:t>
      </w:r>
    </w:p>
    <w:p w14:paraId="4C122517" w14:textId="77777777" w:rsidR="00D937B5" w:rsidRPr="00535ED2" w:rsidRDefault="00D937B5" w:rsidP="00D937B5">
      <w:pPr>
        <w:pStyle w:val="SingleTxtG"/>
      </w:pPr>
      <w:r>
        <w:t>139.</w:t>
      </w:r>
      <w:r>
        <w:tab/>
        <w:t>Подытоживая вышеизложенное, можно сказать, что в период 2000–2017 годов Первая палата рассмотрела в общей сложности 19 281 дело, Вторая палата – 22 010 дел, а Третья палата – 24 687 дел.</w:t>
      </w:r>
    </w:p>
    <w:p w14:paraId="6F25B8B2" w14:textId="77777777" w:rsidR="00D937B5" w:rsidRPr="00535ED2" w:rsidRDefault="00D937B5" w:rsidP="00D937B5">
      <w:pPr>
        <w:pStyle w:val="SingleTxtG"/>
      </w:pPr>
      <w:r>
        <w:t>140.</w:t>
      </w:r>
      <w:r>
        <w:tab/>
        <w:t>Четвертой палатой Верховного суда является Конституционная палата. Она действует на основании не только положений политической Конституции, но и Закона № 7135 от 11 октября 1989 года. Она призвана обеспечивать верховенство норм и принципов Конституции, а также действующих в Республике международного права и права Центральноамериканского сообщества, их единообразное толкование и применение, соблюдение основных прав и свобод, закрепленных в Конституции или в действующих на территории Коста-Рики международных документах по правам человека.</w:t>
      </w:r>
    </w:p>
    <w:p w14:paraId="152B8099" w14:textId="77777777" w:rsidR="00D937B5" w:rsidRPr="00535ED2" w:rsidRDefault="00D937B5" w:rsidP="00D937B5">
      <w:pPr>
        <w:pStyle w:val="SingleTxtG"/>
      </w:pPr>
      <w:r>
        <w:lastRenderedPageBreak/>
        <w:t>141.</w:t>
      </w:r>
      <w:r>
        <w:tab/>
        <w:t>Конституционная палата, расположенная на первом этаже здания Верховного суда в Сан-Хосе, круглосуточно работает в течение всего года с целью обеспечения получения ходатайств в любой момент времени.</w:t>
      </w:r>
    </w:p>
    <w:p w14:paraId="40F131D8" w14:textId="77777777" w:rsidR="00D937B5" w:rsidRPr="00535ED2" w:rsidRDefault="00D937B5" w:rsidP="00D937B5">
      <w:pPr>
        <w:pStyle w:val="SingleTxtG"/>
      </w:pPr>
      <w:r>
        <w:t>142.</w:t>
      </w:r>
      <w:r>
        <w:tab/>
        <w:t>В 2000</w:t>
      </w:r>
      <w:r w:rsidR="00E341EC">
        <w:t>–</w:t>
      </w:r>
      <w:r>
        <w:t>2017 годах Конституционная палата рассмотрела в общей сложности 292 304 жалобы, включая ходатайства о применении процедуры ампаро, ходатайства о применении хабеас корпус и иски о неконституционности.</w:t>
      </w:r>
    </w:p>
    <w:p w14:paraId="0011F128" w14:textId="77777777" w:rsidR="00D937B5" w:rsidRPr="00535ED2" w:rsidRDefault="00D937B5" w:rsidP="00D937B5">
      <w:pPr>
        <w:pStyle w:val="SingleTxtG"/>
      </w:pPr>
      <w:r>
        <w:t>143.</w:t>
      </w:r>
      <w:r>
        <w:tab/>
        <w:t>Так, любое лицо, проживающее на территории государства, может подать ходатайство о применении хабеас корпус или процедуры ампаро. Согласно статье 48 политической Конституции и статьям 15–28 Закона № 7135 от 11 октября 1989 года о конституционной юрисдикции, процедура хабеас корпус предназначена для обеспечения прав на свободу и личную неприкосновенность заявителя или третьего лица в случае их нарушения или угрозы нарушения в результате незаконных ограничений в виде действий или бездействия властей, незаконного задержания и содержания без связи с внешним миром. Сфера ее применения включает свободу, физическую неприкосновенность, свободу передвижения, свободу постоянного пребывания в государстве, а также свободу въезда на территорию страны и выезда с нее.</w:t>
      </w:r>
    </w:p>
    <w:p w14:paraId="4B5D3C29" w14:textId="77777777" w:rsidR="00D937B5" w:rsidRPr="00535ED2" w:rsidRDefault="00D937B5" w:rsidP="00D937B5">
      <w:pPr>
        <w:pStyle w:val="SingleTxtG"/>
      </w:pPr>
      <w:r>
        <w:t>144.</w:t>
      </w:r>
      <w:r>
        <w:tab/>
        <w:t>Ходатайство о применении хабеас корпус может быть подано любым лицом без посредничества адвоката. Кроме того, оно может быть представлено от имени заявителя или от имени другого лица.</w:t>
      </w:r>
    </w:p>
    <w:p w14:paraId="52D9C650" w14:textId="77777777" w:rsidR="00D937B5" w:rsidRPr="00535ED2" w:rsidRDefault="00D937B5" w:rsidP="00D937B5">
      <w:pPr>
        <w:pStyle w:val="SingleTxtG"/>
      </w:pPr>
      <w:r>
        <w:t>145.</w:t>
      </w:r>
      <w:r>
        <w:tab/>
        <w:t>В этом отношении Конституционная палата в своем решении № 0878-97 отметила, что «применение хабеас корпус является не своего рода запретительной мерой, направленной лишь на восстановление права заявителя на свободу, а подлинно конституционной процедурой, призванной не только гарантировать права на свободу и личную неприкосновенность в будущем, но и выявить прежние нарушения, с тем чтобы возложить на орган, несущий ответственность за нарушение, обязанность компенсировать пострадавшему лицу причиненный ущерб и покрыть расходы заявителя».</w:t>
      </w:r>
    </w:p>
    <w:p w14:paraId="0799D53D" w14:textId="77777777" w:rsidR="00D937B5" w:rsidRPr="00535ED2" w:rsidRDefault="00D937B5" w:rsidP="00D937B5">
      <w:pPr>
        <w:pStyle w:val="SingleTxtG"/>
      </w:pPr>
      <w:r>
        <w:t>146.</w:t>
      </w:r>
      <w:r>
        <w:tab/>
        <w:t>Ходатайство о применении хабеас корпус в рамках политической Конституции и Закона о конституционной юрисдикции отличается тем, что в ней выделяются следующие виды: а) хабеас корпус в целях восстановления правового положения: средство защиты этого вида предназначено для восстановления свободы лиц, лишенных ее незаконно, т. е. без соблюдения процедуры, предписываемой внутренним законодательством; b) превентивное средство хабеас корпус: преследует цель не допустить угроз произвольного лишения личной свободы; с) коррективное средство хабеас корпус обычно предусматривает изменение места содержания задержанного либо в силу того, что данное уголовно-исполнительное учреждение не соответствует характеру преступления, либо потому, что задержанный подвергается ненадлежащему обращению; d) ограниченное средство хабеас корпус: оно преследует цель пресечения причинения неоправданного беспокойства данному лицу судебными или административными органами или ограничения его доступа в публичные или частные места.</w:t>
      </w:r>
    </w:p>
    <w:p w14:paraId="33964766" w14:textId="77777777" w:rsidR="00D937B5" w:rsidRPr="00535ED2" w:rsidRDefault="00D937B5" w:rsidP="00D937B5">
      <w:pPr>
        <w:pStyle w:val="SingleTxtG"/>
      </w:pPr>
      <w:r>
        <w:t>147.</w:t>
      </w:r>
      <w:r>
        <w:tab/>
        <w:t xml:space="preserve">Столь широкий охват этих положений позволяет органу конституционной юстиции осуществлять полный контроль над любым действием или бездействием, которые в нынешней или будущей форме способны ограничивать любое из защищаемых им прав. </w:t>
      </w:r>
    </w:p>
    <w:p w14:paraId="273DDD69" w14:textId="77777777" w:rsidR="00D937B5" w:rsidRPr="00535ED2" w:rsidRDefault="00D937B5" w:rsidP="00D937B5">
      <w:pPr>
        <w:pStyle w:val="SingleTxtG"/>
      </w:pPr>
      <w:r>
        <w:t>148.</w:t>
      </w:r>
      <w:r>
        <w:tab/>
        <w:t>В этой связи утверждается, что в Коста-Рике институт хабеас корпус претерпел определенные изменения, превратившись из механизма защиты физической свободы (хабеас корпус в целях восстановления правового положения) в гарант принципа уголовной защиты, который сегодня служит, среди прочего, механизмом предупреждения возможных нарушений права на свободу (превентивное средство хабеас корпус).</w:t>
      </w:r>
    </w:p>
    <w:p w14:paraId="0B63D852" w14:textId="77777777" w:rsidR="00D937B5" w:rsidRPr="00535ED2" w:rsidRDefault="00D937B5" w:rsidP="00D937B5">
      <w:pPr>
        <w:pStyle w:val="SingleTxtG"/>
      </w:pPr>
      <w:r>
        <w:lastRenderedPageBreak/>
        <w:t>149.</w:t>
      </w:r>
      <w:r>
        <w:tab/>
        <w:t>Статистические данные судебной власти показывают, что за последнее десятилетие Конституционной палате удалось сократить время урегулирования дел с 19 дней в 2008 году до 16 дней в 2017 году</w:t>
      </w:r>
      <w:r w:rsidRPr="00F91E00">
        <w:rPr>
          <w:rStyle w:val="aa"/>
        </w:rPr>
        <w:footnoteReference w:id="5"/>
      </w:r>
      <w:r>
        <w:t xml:space="preserve">. </w:t>
      </w:r>
    </w:p>
    <w:p w14:paraId="106E66BB" w14:textId="77777777" w:rsidR="00D937B5" w:rsidRPr="00535ED2" w:rsidRDefault="00D937B5" w:rsidP="00D937B5">
      <w:pPr>
        <w:pStyle w:val="SingleTxtG"/>
      </w:pPr>
      <w:r>
        <w:t>150.</w:t>
      </w:r>
      <w:r>
        <w:tab/>
        <w:t>В свою очередь, ходатайство о применении процедуры ампаро, согласно статье</w:t>
      </w:r>
      <w:r w:rsidR="00E341EC">
        <w:t> </w:t>
      </w:r>
      <w:r>
        <w:t>48 Конституции и статьям 29</w:t>
      </w:r>
      <w:r w:rsidR="00E341EC">
        <w:t>–</w:t>
      </w:r>
      <w:r>
        <w:t>72 вышеупомянутого Закона № 7135, подается против частного или государственного субъекта с целью сохранения или восстановления возможности пользования другими правами, провозглашенными в Конституции, а также основными правами, закрепленными в международных договорах по правам человека, применимых в Республике Коста-Рика.</w:t>
      </w:r>
    </w:p>
    <w:p w14:paraId="7667DC76" w14:textId="77777777" w:rsidR="00D937B5" w:rsidRPr="00535ED2" w:rsidRDefault="00D937B5" w:rsidP="00D937B5">
      <w:pPr>
        <w:pStyle w:val="SingleTxtG"/>
      </w:pPr>
      <w:r>
        <w:t>151.</w:t>
      </w:r>
      <w:r>
        <w:tab/>
        <w:t>Таким образом, сфера действия этого средства правовой защиты охватывает такие права</w:t>
      </w:r>
      <w:r w:rsidR="00E341EC">
        <w:t>,</w:t>
      </w:r>
      <w:r>
        <w:t xml:space="preserve"> как, в частности, право на жизнь, право на честь и достоинство, право на равенство, право на свободу мнения, право на свободу мысли, право на свободу информации, право на свободное отправление культа, право на свободу ассоциации, право на семейную жизнь, право на детство и право на окружающую среду.</w:t>
      </w:r>
    </w:p>
    <w:p w14:paraId="0981947B" w14:textId="77777777" w:rsidR="00D937B5" w:rsidRPr="00535ED2" w:rsidRDefault="00D937B5" w:rsidP="00D937B5">
      <w:pPr>
        <w:pStyle w:val="SingleTxtG"/>
      </w:pPr>
      <w:r>
        <w:t>152.</w:t>
      </w:r>
      <w:r>
        <w:tab/>
        <w:t>В рамках процедуры ампаро может быть обжаловано любое решение, постановление или определение и вообще любое не основанное на законном административном акте действие, бездействие или простое материальное действие государственных должностных лиц и органов, нарушившее, нарушающее или угрожающее нарушить любое из этих прав, а также произвольное деяние и действие или бездействие, основанные на ошибочно истолкованных или ненадлежащим образом примененных нормах.</w:t>
      </w:r>
    </w:p>
    <w:p w14:paraId="4B29DEAB" w14:textId="77777777" w:rsidR="00D937B5" w:rsidRPr="00535ED2" w:rsidRDefault="00D937B5" w:rsidP="00D937B5">
      <w:pPr>
        <w:pStyle w:val="SingleTxtG"/>
      </w:pPr>
      <w:r>
        <w:t>153.</w:t>
      </w:r>
      <w:r>
        <w:tab/>
        <w:t>В рамках процедуры ампаро защищаются также права человека, признанные в применяемых в стране нормах международного права. В этом состоит важное нововведение, поскольку существуют закрепленные в международных договорах основные права, которые в Конституции прямо не признаны, как, например, право на опровержение или право на ответ.</w:t>
      </w:r>
    </w:p>
    <w:p w14:paraId="20501180" w14:textId="77777777" w:rsidR="00D937B5" w:rsidRPr="00535ED2" w:rsidRDefault="00D937B5" w:rsidP="00D937B5">
      <w:pPr>
        <w:pStyle w:val="SingleTxtG"/>
      </w:pPr>
      <w:r>
        <w:t>154.</w:t>
      </w:r>
      <w:r>
        <w:tab/>
        <w:t>В статье 57 Закона о конституционной юстиции предусмотрено также, что в рамках процедуры ампаро обжалуются «действия (бездействие) субъектов частного права, когда те действуют или должны действовать в осуществление государственных функций или полномочий или находятся, юридически или фактически, в положении власти, по отношению к которой обычные судебные средства защиты явно оказываются недостаточными или запоздалыми для обеспечения прав или основных свобод, указанных в пункте а) статьи 2 настоящего Закона».</w:t>
      </w:r>
    </w:p>
    <w:p w14:paraId="3ABC2B00" w14:textId="77777777" w:rsidR="00D937B5" w:rsidRPr="00535ED2" w:rsidRDefault="00D937B5" w:rsidP="00D937B5">
      <w:pPr>
        <w:pStyle w:val="SingleTxtG"/>
      </w:pPr>
      <w:r>
        <w:t>155.</w:t>
      </w:r>
      <w:r>
        <w:tab/>
        <w:t xml:space="preserve">Статистические данные судебной власти показывают, что за последнее десятилетие Конституционной палате удалось сократить время рассмотрения дел, связанных с процедурой ампаро, с двух месяцев и одной недели в 2008 году до одного месяца и одной недели в 2017 году. </w:t>
      </w:r>
    </w:p>
    <w:p w14:paraId="5FCA6E1F" w14:textId="77777777" w:rsidR="00D937B5" w:rsidRPr="00535ED2" w:rsidRDefault="00D937B5" w:rsidP="00D937B5">
      <w:pPr>
        <w:pStyle w:val="SingleTxtG"/>
      </w:pPr>
      <w:r>
        <w:t>156.</w:t>
      </w:r>
      <w:r>
        <w:tab/>
        <w:t>Помимо судебных органов, Республика Коста-Рика располагает административными органами, которые, наряду с осуществлением своих юридических и административных полномочий, занимаются вопросами прав человека, являющихся предметом настоящего доклада.</w:t>
      </w:r>
    </w:p>
    <w:p w14:paraId="73EF9445" w14:textId="77777777" w:rsidR="00D937B5" w:rsidRPr="00535ED2" w:rsidRDefault="00D937B5" w:rsidP="00D937B5">
      <w:pPr>
        <w:pStyle w:val="SingleTxtG"/>
      </w:pPr>
      <w:r>
        <w:t>157.</w:t>
      </w:r>
      <w:r>
        <w:tab/>
        <w:t>Что касается МПЭСКП, то ответственность за выполнение положений этого международного договора возложена на несколько государственных учреждений Коста-Рики. Среди них можно отметить, в частности, судебные органы, Министерство культуры и по делам молодежи, Министерство спорта, Министерство образования, Министерство труда и безопасности, Министерство здравоохранения, Коста-риканский фонд социального обеспечения, Национальный институт страхования и Объединенный институт социальной помощи.</w:t>
      </w:r>
    </w:p>
    <w:p w14:paraId="49180251" w14:textId="77777777" w:rsidR="00D937B5" w:rsidRPr="00535ED2" w:rsidRDefault="00D937B5" w:rsidP="00D937B5">
      <w:pPr>
        <w:pStyle w:val="SingleTxtG"/>
      </w:pPr>
      <w:r>
        <w:t>158.</w:t>
      </w:r>
      <w:r>
        <w:tab/>
        <w:t xml:space="preserve">В вопросах, касающихся МПГПП, юрисдикцией обладают государственные учреждения Коста-Рики, наделенные судебными и административными полномочиями. Например, в частности, судебные органы, Верховный суд по </w:t>
      </w:r>
      <w:r>
        <w:lastRenderedPageBreak/>
        <w:t>избирательным делам, Конституционная палата Верховного суда, Министерство юстиции и мира, Министерство труда и социального обеспечения и Министерство безопасности.</w:t>
      </w:r>
    </w:p>
    <w:p w14:paraId="391DC2F4" w14:textId="77777777" w:rsidR="00D937B5" w:rsidRPr="00535ED2" w:rsidRDefault="00D937B5" w:rsidP="00D937B5">
      <w:pPr>
        <w:pStyle w:val="SingleTxtG"/>
      </w:pPr>
      <w:r>
        <w:t>159.</w:t>
      </w:r>
      <w:r>
        <w:tab/>
        <w:t xml:space="preserve">Что касается КЛРД, то важно отметить, что Национальный институт по делам женщин (ИНАМУ), созданный в 1998 году, является автономным учреждением, отвечающим за защиту прав женщин, закрепленных как в международных декларациях, конвенциях и договорах, так и в правовой системе Коста-Рики; его деятельность направлена на поощрение гендерного равенства и содействие полному осуществлению прав женщин на условиях справедливости и равенства с мужчинами. </w:t>
      </w:r>
    </w:p>
    <w:p w14:paraId="45CCE933" w14:textId="77777777" w:rsidR="00D937B5" w:rsidRPr="00535ED2" w:rsidRDefault="00D937B5" w:rsidP="00D937B5">
      <w:pPr>
        <w:pStyle w:val="SingleTxtG"/>
      </w:pPr>
      <w:r>
        <w:t>160.</w:t>
      </w:r>
      <w:r>
        <w:tab/>
        <w:t>В дополнение к услугам, предоставляемым ИНАМУ, как на государственных, так и на частных предприятиях существуют службы юридической помощи женщинам под эгидой подразделений по делам женщин или по вопросам гендерного равенства, которые предоставляют техническую и правовую поддержку и вспомогательную информацию.</w:t>
      </w:r>
    </w:p>
    <w:p w14:paraId="611B2C35" w14:textId="77777777" w:rsidR="00D937B5" w:rsidRPr="00535ED2" w:rsidRDefault="00D937B5" w:rsidP="00D937B5">
      <w:pPr>
        <w:pStyle w:val="SingleTxtG"/>
      </w:pPr>
      <w:r w:rsidRPr="00096234">
        <w:t>161</w:t>
      </w:r>
      <w:r>
        <w:t>.</w:t>
      </w:r>
      <w:r>
        <w:tab/>
        <w:t>Что касается КПП, то ее осуществление находится в ведении государственной пенитенциарной службы Коста-Рики, деятельность которой регулируется Законом № 4762 от 8 мая 1971 года. В соответствии с этим законом было создано Главное управление социальной адаптации. С началом его работы были проведены важные преобразования, а также приняты новые нормативные акты, регламентирующие организационные и другие вопросы, связанные с уголовно-исполнительной системой.</w:t>
      </w:r>
    </w:p>
    <w:p w14:paraId="6A7BCF8F" w14:textId="77777777" w:rsidR="00D937B5" w:rsidRPr="00535ED2" w:rsidRDefault="00D937B5" w:rsidP="00D937B5">
      <w:pPr>
        <w:pStyle w:val="SingleTxtG"/>
      </w:pPr>
      <w:r>
        <w:t>162.</w:t>
      </w:r>
      <w:r>
        <w:tab/>
        <w:t>Что касается КПР, то Национальный попечительский совет защиты детства, который был создан в 1930 году, является учреждением, которое осуществляет надзор за правами и благосостоянием детей и подростков, включая положения о труде, предусмотренные КПР 1989 года. В рамках этой работы он уполномочен рассматривать жалобы на жестокое обращение с детьми и обеспечивать защиту лиц, подвергающихся надругательствам, а также руководить различными приютами и общежитиями для детей, находящихся в зоне социального риска, не имеющих дома или отлученных от своих домов.</w:t>
      </w:r>
    </w:p>
    <w:p w14:paraId="2AD686C7" w14:textId="77777777" w:rsidR="00D937B5" w:rsidRPr="00535ED2" w:rsidRDefault="00D937B5" w:rsidP="00D937B5">
      <w:pPr>
        <w:pStyle w:val="SingleTxtG"/>
      </w:pPr>
      <w:r>
        <w:t>163.</w:t>
      </w:r>
      <w:r>
        <w:tab/>
        <w:t>Кроме того, в большинстве государственных учреждений, таких как Министерство образования, Министерство здравоохранения, Министерство юстиции, Министерство культуры и молодежи, Министерство труда и социального обеспечения и Национальный департамент ассоциации по развитию общин (ДИНАДЕКО), имеются специальные группы по делам детей и подростков. Сотрудники, входящие в состав этих групп, выполняют также другие функции по координации и взаимодействию в различных органах, таких как, в частности, Форум по вопросам выполнения Кодекса законов о детях и подростках, Национальная программа действий, Совет матерей-подростков и Технический комитет по искоренению детского труда, что позволяет им специализироваться на вопросах детей и подростков и оказывает влияние на работу каждого из учреждений.</w:t>
      </w:r>
    </w:p>
    <w:p w14:paraId="02FD545E" w14:textId="77777777" w:rsidR="00D937B5" w:rsidRPr="00535ED2" w:rsidRDefault="00D937B5" w:rsidP="00D937B5">
      <w:pPr>
        <w:pStyle w:val="H23G"/>
      </w:pPr>
      <w:r>
        <w:tab/>
      </w:r>
      <w:r>
        <w:tab/>
      </w:r>
      <w:r>
        <w:rPr>
          <w:bCs/>
        </w:rPr>
        <w:t>Судебная практика</w:t>
      </w:r>
    </w:p>
    <w:p w14:paraId="4B9A45FB" w14:textId="77777777" w:rsidR="00D937B5" w:rsidRPr="00535ED2" w:rsidRDefault="00D937B5" w:rsidP="00D937B5">
      <w:pPr>
        <w:pStyle w:val="SingleTxtG"/>
      </w:pPr>
      <w:r>
        <w:t>164.</w:t>
      </w:r>
      <w:r>
        <w:tab/>
        <w:t>Палаты, входящие в состав Верховного суда, создают судебную практику в области прав человека, в рамках которой международные договоры, описанные в разделе 2.А, становятся актуальными при разрешении дел, переданных в соответствующие судебные органы.</w:t>
      </w:r>
    </w:p>
    <w:p w14:paraId="787B91FD" w14:textId="77777777" w:rsidR="00D937B5" w:rsidRPr="00E05476" w:rsidRDefault="00D937B5" w:rsidP="00D937B5">
      <w:pPr>
        <w:pStyle w:val="SingleTxtG"/>
      </w:pPr>
      <w:r>
        <w:t>165.</w:t>
      </w:r>
      <w:r>
        <w:tab/>
        <w:t xml:space="preserve">Например, в отношении МПЭСКП Конституционная палата приняла решение о сфере охвата финансирования социальных программ и положений МПЭСКП. Так, в своей резолюции 2007-02216 от 20 февраля 2007 года она постановила, что </w:t>
      </w:r>
      <w:r w:rsidR="00E341EC">
        <w:br/>
      </w:r>
      <w:r>
        <w:t xml:space="preserve">«IV – Наконец, в силу отсутствия необходимости, запрос Исполнительного председателя Фонда на встречу отклоняется и для него уточняется, что замечания Комитета </w:t>
      </w:r>
      <w:r w:rsidR="00E341EC">
        <w:t xml:space="preserve">Организации Объединенных Наций </w:t>
      </w:r>
      <w:r>
        <w:t xml:space="preserve">по экономическим, социальным и культурным правам отражают лишь минимальное содержание, требуемое от государств – участников Международного пакта об экономических, социальных и культурных правах, который, среди прочего, гласит: </w:t>
      </w:r>
      <w:r w:rsidR="00E5642F">
        <w:t>"</w:t>
      </w:r>
      <w:r>
        <w:t xml:space="preserve">Статья 5.2: 2. Никакое ограничение или умаление каких бы то ни было основных прав человека, признаваемых или существующих в какой-либо стране в силу закона, конвенций, </w:t>
      </w:r>
      <w:r>
        <w:lastRenderedPageBreak/>
        <w:t>правил или обычаев, не допускается под тем предлогом, что в настоящем Пакте не признаются такие права или что в нем они признаются в меньшем объеме</w:t>
      </w:r>
      <w:r w:rsidR="00E5642F">
        <w:t>"</w:t>
      </w:r>
      <w:r>
        <w:t xml:space="preserve">. Кроме того, следует добавить, что Дополнительным протоколом к Американской конвенции о правах человека, касающимся экономических, социальных и культурных прав, слово </w:t>
      </w:r>
      <w:r w:rsidR="00E5642F">
        <w:t>"</w:t>
      </w:r>
      <w:r>
        <w:t>возможный</w:t>
      </w:r>
      <w:r w:rsidR="00E5642F">
        <w:t>"</w:t>
      </w:r>
      <w:r>
        <w:t xml:space="preserve"> было исключено из первого пункта статьи 10, эквивалентного пункту</w:t>
      </w:r>
      <w:r w:rsidR="00E5642F">
        <w:t> </w:t>
      </w:r>
      <w:r>
        <w:t xml:space="preserve">12.1 Международного пакта об экономических, социальных и культурных правах Организации Объединенных Наций, что влечет за собой значительные последствия для основного содержания права на здоровье, которое было разработано в соответствии с конституционной практикой». </w:t>
      </w:r>
    </w:p>
    <w:p w14:paraId="379C85A8" w14:textId="77777777" w:rsidR="00D937B5" w:rsidRPr="00E05476" w:rsidRDefault="00D937B5" w:rsidP="00D937B5">
      <w:pPr>
        <w:pStyle w:val="SingleTxtG"/>
      </w:pPr>
      <w:r>
        <w:t>166.</w:t>
      </w:r>
      <w:r>
        <w:tab/>
        <w:t xml:space="preserve">Спустя несколько лет в резолюции № 15698-2011 от 23 ноября 2012 года Конституционная палата постановила, что «при этом Палата большинством голосов считает, что бюджетный законодатель не ограничен рамками регулярного бюджета за исключением тех случаев, когда средства конституционно </w:t>
      </w:r>
      <w:r w:rsidR="00E5642F">
        <w:t>"</w:t>
      </w:r>
      <w:r>
        <w:t>связаны</w:t>
      </w:r>
      <w:r w:rsidR="00E5642F">
        <w:t>"</w:t>
      </w:r>
      <w:r>
        <w:t xml:space="preserve"> либо предназначены для финансирования социальных программ. В первом случае к ним применяется конституционный императив. Второй случай объясняется тем, что первоначальный законодатель сделал выбор в пользу социального правового государства, что подразумевает связь государственных органов с этой правовой и социальной реальностью. Следовательно, в последнем случае исполнительная власть в той мере, в какой позволяет доход, обязана финансировать социальные программы для поддержания и углубления социального правового государства. Следует отметить, что</w:t>
      </w:r>
      <w:r w:rsidR="00E5642F">
        <w:t>,</w:t>
      </w:r>
      <w:r>
        <w:t xml:space="preserve"> как в Международном пакте об экономических, социальных и культурных правах, так и в Сан-Сальвадорском протоколе к Американской конвенции о правах человека, касающемся экономических, социальных и культурных прав, осуществление этих прав зависит от наличия ресурсов для постепенного достижения их полной эффективности в соответствии с национальным законодательством (статьи 2 и 1 соответственно). С учетом нынешней финансовой ситуации в настоящее время с материальной точки зрения невозможно предусмотреть в бюджете все, что причитается Национальному попечительскому совету защиты детства, а также включить в него перечисления в Коста-риканский фонд социального обеспечения, поскольку программы в области здравоохранения были переданы из Министерства здравоохранения в страховую структуру. Следовательно, большинством голосов Палата считает, что упущения, на которые указывают консультанты, не нарушают Конституцию». </w:t>
      </w:r>
    </w:p>
    <w:p w14:paraId="0AC0437E" w14:textId="77777777" w:rsidR="00D937B5" w:rsidRPr="00856E1A" w:rsidRDefault="00D937B5" w:rsidP="00D937B5">
      <w:pPr>
        <w:pStyle w:val="SingleTxtG"/>
      </w:pPr>
      <w:r>
        <w:t>167.</w:t>
      </w:r>
      <w:r>
        <w:tab/>
        <w:t xml:space="preserve">К числу других судебных постановлений, в которых делаются ссылки на МПЭСКП, относятся, в частности, следующие: Конституционная палата: </w:t>
      </w:r>
      <w:r>
        <w:br/>
        <w:t>№ 8839-2011, № 11586-2009, № 3105-2011, № 5483-2011, № 266-2012, № 5594-2012; Первая палата: № 998-2015</w:t>
      </w:r>
      <w:r w:rsidR="003E77E4">
        <w:t>;</w:t>
      </w:r>
      <w:r>
        <w:t xml:space="preserve"> Вторая палата: № 404-2011, № 230-2012, № 1065-2014, </w:t>
      </w:r>
      <w:r>
        <w:br/>
        <w:t xml:space="preserve">№ 1148-2014, № 286-2015, № 946-2016, № 1207-2016; Третья палата: № 1339-2005, </w:t>
      </w:r>
      <w:r>
        <w:br/>
        <w:t xml:space="preserve">№ 1067-2014, № 713-2018; Апелляционный суд по уголовным делам, второй округ: </w:t>
      </w:r>
      <w:r>
        <w:br/>
        <w:t xml:space="preserve">№ 0567-2016, № 9454-2016, № 1454-2016; Апелляционный суд по уголовным делам </w:t>
      </w:r>
      <w:r w:rsidR="003E77E4">
        <w:t>третьего</w:t>
      </w:r>
      <w:r>
        <w:t xml:space="preserve"> судебного округа Алахуэла, Сан-Рамон: № 385-2017; Второй гражданский суд, отдел I: № 302-2008, № 323-2012; Апелляционный суд Картаго по уголовным делам: № 182-2016</w:t>
      </w:r>
      <w:r w:rsidR="003E77E4">
        <w:t>;</w:t>
      </w:r>
      <w:r>
        <w:t xml:space="preserve"> Кассационный суд Сан-Рамона: № 691-2007, № 399-2009</w:t>
      </w:r>
      <w:r w:rsidR="003E77E4">
        <w:t>;</w:t>
      </w:r>
      <w:r>
        <w:t xml:space="preserve"> Суд по семейным делам: № 1611-2003, № 2016-2004, № 1087-2009, № 23-2010, № 260-2010, № 382-2010, № 940-2010, № 522-2010, № 589-2010, № 592-2010, № 917</w:t>
      </w:r>
      <w:r>
        <w:noBreakHyphen/>
        <w:t xml:space="preserve">2010, </w:t>
      </w:r>
      <w:r>
        <w:br/>
        <w:t xml:space="preserve">№ 1102-2010, № 1314-2010, № 1316-2010, № 1355-2010, № 1635-2010, № 272-2011, </w:t>
      </w:r>
      <w:r>
        <w:br/>
        <w:t xml:space="preserve">№ 273-2011, № 588-2011, № 796-2011, № 889-2011, № 238-2012, № 260-2012, </w:t>
      </w:r>
      <w:r>
        <w:br/>
        <w:t xml:space="preserve">№ 780-2012, № 823-2012, № 854-2012, </w:t>
      </w:r>
      <w:r w:rsidR="003E77E4">
        <w:t xml:space="preserve">№ </w:t>
      </w:r>
      <w:r>
        <w:t xml:space="preserve">-2010, № 673-2010, № 143-2015, № 238-2015, </w:t>
      </w:r>
      <w:r>
        <w:br/>
        <w:t>№ 697-2015, № 722-2015, № 994-2015, № 302-2016, № 663-2016, № 727</w:t>
      </w:r>
      <w:r>
        <w:noBreakHyphen/>
        <w:t>2016; Суд по семейным делам, занимающийся вопросами насилия в семье: № 761-2011, № 796-2011, № 1043</w:t>
      </w:r>
      <w:r>
        <w:noBreakHyphen/>
        <w:t xml:space="preserve">2011, № 1121-2011, № 16-2012, № 311-2012, № 417-2012, № 467-2012, </w:t>
      </w:r>
      <w:r>
        <w:br/>
        <w:t>№ 500-2012, № 56-2013, № 112</w:t>
      </w:r>
      <w:r>
        <w:noBreakHyphen/>
        <w:t xml:space="preserve">2013, № 259-2013, № 308-2013, № 511-2013, </w:t>
      </w:r>
      <w:r>
        <w:br/>
        <w:t>№ 557-2013, № 418-2014, № 249-2015, № 307-2015, № 449</w:t>
      </w:r>
      <w:r>
        <w:noBreakHyphen/>
        <w:t xml:space="preserve">2015, № 6-2016, № 101-2016, </w:t>
      </w:r>
      <w:r>
        <w:lastRenderedPageBreak/>
        <w:t>№ 314-2016, № 409-2016, № 189-2017, № 240-2017, № 164-2017; Административный суд: № 1167-2010; Административный суд, отдел VI: № 175-2011, № 27-2015</w:t>
      </w:r>
      <w:r w:rsidRPr="00F91E00">
        <w:rPr>
          <w:rStyle w:val="aa"/>
        </w:rPr>
        <w:footnoteReference w:id="6"/>
      </w:r>
      <w:r>
        <w:t>.</w:t>
      </w:r>
    </w:p>
    <w:p w14:paraId="0CE9FADD" w14:textId="77777777" w:rsidR="00D937B5" w:rsidRPr="00B77AE9" w:rsidRDefault="00D937B5" w:rsidP="00D937B5">
      <w:pPr>
        <w:pStyle w:val="SingleTxtG"/>
      </w:pPr>
      <w:r w:rsidRPr="00B77AE9">
        <w:t>168.</w:t>
      </w:r>
      <w:r w:rsidRPr="00B77AE9">
        <w:tab/>
      </w:r>
      <w:r>
        <w:t xml:space="preserve">Что касается МПГПП, то Третья палата Верховного суда в своей резолюции № 01440-2013 об отсутствии противоправности постановила: «Таким образом, с учетом того, что Коста-Рика ратифицировала АКПЧ и признала компетенцию МАСПЧ, судебным органам предлагается не только применять внутреннее законодательство, но и осуществлять контроль за его соответствием требованиям Конвенции, гарантируя соблюдение в его положениях международных обязательств, взятых на себя государством. То же относится и к другим международным договорам, в частности пункт 1 статьи 2 Международного пакта о гражданских и политических правах (называемого также </w:t>
      </w:r>
      <w:r w:rsidR="003E77E4">
        <w:t>"</w:t>
      </w:r>
      <w:r>
        <w:t>Пакт</w:t>
      </w:r>
      <w:r w:rsidR="003E77E4">
        <w:t>"</w:t>
      </w:r>
      <w:r>
        <w:t xml:space="preserve"> или </w:t>
      </w:r>
      <w:r w:rsidR="003E77E4">
        <w:t>"</w:t>
      </w:r>
      <w:r>
        <w:t>МПГПП</w:t>
      </w:r>
      <w:r w:rsidR="003E77E4">
        <w:t>"</w:t>
      </w:r>
      <w:r>
        <w:t xml:space="preserve">), ратифицированного Коста-Рикой 29 ноября 1968 года, гласит, что </w:t>
      </w:r>
      <w:r w:rsidR="003E77E4">
        <w:t>"</w:t>
      </w:r>
      <w:r>
        <w:t>каждое участвующее в настоящем Пакте государство обязуется уважать и обеспечивать всем находящимся в пределах его территории и под его юрисдикцией лицам права, признаваемые в настоящем Пакте, без какого бы то ни было различия, как</w:t>
      </w:r>
      <w:r w:rsidR="003E77E4">
        <w:t>-</w:t>
      </w:r>
      <w:r>
        <w:t>то</w:t>
      </w:r>
      <w:r w:rsidR="003E77E4">
        <w:t>:</w:t>
      </w:r>
      <w:r>
        <w:t xml:space="preserve"> в</w:t>
      </w:r>
      <w:r w:rsidR="003E77E4">
        <w:t> </w:t>
      </w:r>
      <w:r>
        <w:t>отношении расы, цвета кожи, пола, языка, религии, политических или иных убеждений, национального или социального происхождения, имущественного положения, рождения или иного обстоятельства</w:t>
      </w:r>
      <w:r w:rsidR="003E77E4">
        <w:t>"</w:t>
      </w:r>
      <w:r>
        <w:t xml:space="preserve">. Таким образом, Пакт становится одним из основных инструментов защиты прав человека, а Комитет по правам человека (называемый также </w:t>
      </w:r>
      <w:r w:rsidR="003E77E4">
        <w:t>"</w:t>
      </w:r>
      <w:r>
        <w:t>Комитет</w:t>
      </w:r>
      <w:r w:rsidR="003E77E4">
        <w:t>"</w:t>
      </w:r>
      <w:r>
        <w:t xml:space="preserve"> или КПЧ) – органом, ответственным за надзор и контроль за соблюдением вытекающих из него обязательств, а это означает, что общие замечания и юридическая практика указанного Комитета должны учитываться при анализе практического выполнения международных обязательств, принятых на себя государством-участником при ратификации Пакта. Как АКПЧ, так и МПГПП входят в состав целого свода положений международного права, составляющих ядро защиты основных прав человека, которые Коста-Рика обязана соблюдать в соответствии с нормами международного права прав человека; однако, поскольку утверждения, содержащиеся в кассационной жалобе, ограничивают рамки решения этой Палаты, указанные международные договоры имеют важное значение для решения рассматриваемого вопроса, особенно в отношении пункта 2.h статьи 8 АКПЧ и пункта 5 статьи 14 МПГПП»</w:t>
      </w:r>
      <w:r w:rsidRPr="00F91E00">
        <w:rPr>
          <w:rStyle w:val="aa"/>
        </w:rPr>
        <w:footnoteReference w:id="7"/>
      </w:r>
      <w:r>
        <w:t>.</w:t>
      </w:r>
    </w:p>
    <w:p w14:paraId="0749ABB5" w14:textId="77777777" w:rsidR="00D937B5" w:rsidRPr="00B77AE9" w:rsidRDefault="00D937B5" w:rsidP="00D937B5">
      <w:pPr>
        <w:pStyle w:val="SingleTxtG"/>
      </w:pPr>
      <w:r>
        <w:t>169.</w:t>
      </w:r>
      <w:r>
        <w:tab/>
        <w:t>Кассационный суд Картаго, в свою очередь, в резолюции № 00366-2010 от 11 ноября 2010 года о повторном рассмотрении дела постановил: «Таким образом, из этого следует, что указанный Суд, признав в своем решении № 2010-068 от 24 февраля 2010 года приемлемой вторую апелляцию Генеральной прокуратуры, с тем чтобы впоследствии отменить решение по существу дела, нарушил гарантию двойного соответствия, а также принцип надлежащего конституционного разбирательства, нарушив статью 466-бис Уголовно-процессуального кодекса, статью 41 Конституции, пункт 1 статьи 8 Американской конвенции о правах человека и пункт 1 статьи 14 Международного пакта о гражданских и политических правах. С другой стороны, принимая во внимание значительные задержки в ходе судебного разбирательства, обусловленные ничтожностью судебных решений (прошло уже три года после 19 декабря 2007</w:t>
      </w:r>
      <w:r>
        <w:rPr>
          <w:lang w:val="en-US"/>
        </w:rPr>
        <w:t> </w:t>
      </w:r>
      <w:r>
        <w:t>года, когда было вынесено первое решение по существу дела, или один год и пять месяцев после 4 июня 2009</w:t>
      </w:r>
      <w:r>
        <w:rPr>
          <w:lang w:val="en-US"/>
        </w:rPr>
        <w:t> </w:t>
      </w:r>
      <w:r>
        <w:t xml:space="preserve">года, когда было вынесено второе решение), вышеупомянутое кассационное решение нарушает также право обвиняемого на </w:t>
      </w:r>
      <w:r w:rsidR="003E77E4">
        <w:t>"</w:t>
      </w:r>
      <w:r>
        <w:t>рассмотрение дела без необоснованной задержки</w:t>
      </w:r>
      <w:r w:rsidR="003E77E4">
        <w:t>"</w:t>
      </w:r>
      <w:r>
        <w:t xml:space="preserve"> или </w:t>
      </w:r>
      <w:r w:rsidR="003E77E4">
        <w:t>"</w:t>
      </w:r>
      <w:r>
        <w:t>в разумные сроки</w:t>
      </w:r>
      <w:r w:rsidR="003E77E4">
        <w:t>"</w:t>
      </w:r>
      <w:r>
        <w:t xml:space="preserve">, принцип надлежащего конституционного разбирательства (статья 41), пункт 1 статьи 8 Американской конвенции о правах человека и пункт 3 с) статьи 14 Международного пакта о гражданских и политических правах. Таким образом, согласно теории, предложенной Риверо Санчесом, судебное разбирательство дегуманизируется, в то время как доктрина направлена в другую сторону – </w:t>
      </w:r>
      <w:r w:rsidRPr="003E77E4">
        <w:t>«</w:t>
      </w:r>
      <w:r w:rsidRPr="003E77E4">
        <w:rPr>
          <w:iCs/>
        </w:rPr>
        <w:t>к правосудию с человеческим лицом</w:t>
      </w:r>
      <w:r w:rsidRPr="003E77E4">
        <w:t xml:space="preserve">». </w:t>
      </w:r>
      <w:r>
        <w:t xml:space="preserve">С учетом вышесказанного большинством </w:t>
      </w:r>
      <w:r>
        <w:lastRenderedPageBreak/>
        <w:t>голосов было вынесено постановление удовлетворить кассационную жалобу, что подразумевало отмену решения № 2010-068 указанного Суда, принятого 24 февраля 2010</w:t>
      </w:r>
      <w:r>
        <w:rPr>
          <w:lang w:val="en-US"/>
        </w:rPr>
        <w:t> </w:t>
      </w:r>
      <w:r>
        <w:t>года в 11 ч 27 мин (в котором большинством голосов была признана приемлемой апелляция Генеральной прокуратуры и был аннулирован второй оправдательный приговор, вынесенный в результате повторного рассмотрения дела), а также зависимых от него актов. Это соответствует пункту а) статьи 178 Уголовно-процессуального кодекса в силу нарушения статьи 41 политической Конституции, статьи 466-бис Уголовно-процессуального кодекса, пункта 1 статьи 8 Американской конвенции о правах человека и пунктов 1 и 3 с) статьи 14 Международного пакта о гражданских и политических правах, а также в силу отсутствия вышестоящей инстанции, которая объявила бы об указанной ничтожности. В связи с этим решение № 136-2010 Суда первого судебного округа Южной зоны, отделение в Перес-Селедоне, принятое 8 июня 2010 года в 13 ч 00 мин, в котором автор была признана виновной в совершении предполагаемого деяния и приговорена к пяти годам и четырем месяцам лишения свободы, отменяется, и вместо этого обвиняемая освобождается от всех наказаний и ответственности за вменяемое ей преступление»</w:t>
      </w:r>
      <w:r w:rsidRPr="00F91E00">
        <w:rPr>
          <w:rStyle w:val="aa"/>
        </w:rPr>
        <w:footnoteReference w:id="8"/>
      </w:r>
      <w:r>
        <w:t>.</w:t>
      </w:r>
    </w:p>
    <w:p w14:paraId="304CF3CE" w14:textId="77777777" w:rsidR="00D937B5" w:rsidRPr="00B77AE9" w:rsidRDefault="00D937B5" w:rsidP="00D937B5">
      <w:pPr>
        <w:pStyle w:val="SingleTxtG"/>
        <w:rPr>
          <w:color w:val="365F91" w:themeColor="accent1" w:themeShade="BF"/>
        </w:rPr>
      </w:pPr>
      <w:r>
        <w:t>170.</w:t>
      </w:r>
      <w:r>
        <w:tab/>
        <w:t>К числу других судебных постановлений, в которых делаются ссылки на МПГПП, относятся, в частности, следующие: Конституционная палата: № 1150-2006, № 452-2007, № 764-2007, № 3924-2007, № 1381</w:t>
      </w:r>
      <w:r>
        <w:noBreakHyphen/>
        <w:t xml:space="preserve">2007, № 2946-2007, № 3043-2007, </w:t>
      </w:r>
      <w:r>
        <w:br/>
        <w:t>№ 3743-2007, № 3909-2007, № 6499-2007, № 7643-2007, № 8887</w:t>
      </w:r>
      <w:r>
        <w:noBreakHyphen/>
        <w:t xml:space="preserve">2007, № 9582-2007, </w:t>
      </w:r>
      <w:r>
        <w:br/>
        <w:t xml:space="preserve">№ 1059-2007, № 1129-2007, № 11907-2007, № 13503-2007, № 1384-2007, № 13817-2007, № 16435-2007, № 17226-2007, № 17900-2007, № 18646-2007, № 18647-007, № 566-2008, № 3926-2008, № 5029-2008, № 5890-2008, № 6035-2008, № 8768-2008, № 4721-2011, </w:t>
      </w:r>
      <w:r>
        <w:br/>
        <w:t>№ 6781-2011, № 6782</w:t>
      </w:r>
      <w:r>
        <w:noBreakHyphen/>
        <w:t xml:space="preserve">2008, № 8373-2008, № 9487-2008; № 7651-2007, № 8205-2008, </w:t>
      </w:r>
      <w:r>
        <w:br/>
        <w:t>№ 8431-2008, № 8760-2008, № 9762</w:t>
      </w:r>
      <w:r>
        <w:noBreakHyphen/>
        <w:t xml:space="preserve">2008, № 1075-2008, № 11502-2008, № 11922-2008, № 12107-2008, № 12114-2008, № 12190-2008, № 12197-2008, № 12226-2008, </w:t>
      </w:r>
      <w:r>
        <w:br/>
        <w:t xml:space="preserve">№ 12566-2008, № 12974-2008, № 13007-2008, № 13433-2008, № 13981-2008, </w:t>
      </w:r>
      <w:r>
        <w:br/>
        <w:t>№ 14659-2008, № 15749-2008, № 16562-2008, № 5993-2009, № 2265-2009, № 3427-2009, № 5973-2009, № 14384-2009, № 11586-2009, № 11710-2009, № 1668-2010, № 1925-2010, № 5890-2010, № 568-2011, № 8724</w:t>
      </w:r>
      <w:r>
        <w:noBreakHyphen/>
        <w:t xml:space="preserve">2011, № 8984-2011, № 9631-2011, № 1966-2012, </w:t>
      </w:r>
      <w:r>
        <w:br/>
        <w:t>№ 15294-2012, № 10404-2013, № 4035-2014, № 4635</w:t>
      </w:r>
      <w:r>
        <w:noBreakHyphen/>
        <w:t>2014, № 7454-2014, № 12703-2014, № 6109-2015, № 15737-2015, № 3941-2016, № 807-2016, № 1030</w:t>
      </w:r>
      <w:r>
        <w:noBreakHyphen/>
        <w:t xml:space="preserve">2016, № 1899-2016, </w:t>
      </w:r>
      <w:r>
        <w:br/>
        <w:t>№ 2069-2016, № 9525-2016; Вторая палата: № 19-2006; Третья палата: № 540</w:t>
      </w:r>
      <w:r>
        <w:noBreakHyphen/>
        <w:t xml:space="preserve">2005, </w:t>
      </w:r>
      <w:r>
        <w:br/>
        <w:t xml:space="preserve">№ 1264-2005, № 1268-2005, № 218-2006, № 1080-2006, № 94-2007, № 171-2007, </w:t>
      </w:r>
      <w:r>
        <w:br/>
        <w:t xml:space="preserve">№ 588-2007, № 284-2008, № 1142-2009, № 1158-2009, № 429-2011, № 570-2011, </w:t>
      </w:r>
      <w:r>
        <w:br/>
        <w:t xml:space="preserve">№ 586-2011, № 608-2011, № 612-2011, № 632-2011, № 675-2011, № 1440-2013, </w:t>
      </w:r>
      <w:r w:rsidR="003E77E4">
        <w:br/>
      </w:r>
      <w:r>
        <w:t xml:space="preserve">№ 1440-2013, № 1579-2013, № 840-2014, № 981-2014; Суд по семейным делам: </w:t>
      </w:r>
      <w:r w:rsidR="003E77E4">
        <w:br/>
      </w:r>
      <w:r>
        <w:t>№ 320-2008</w:t>
      </w:r>
      <w:r w:rsidR="003E77E4">
        <w:t>;</w:t>
      </w:r>
      <w:r>
        <w:t xml:space="preserve"> Кассационный суд Картаго по уголовным делам: № 329-2010, № 366-2010; Кассационный суд Сан-Хосе по уголовным делам: № 1332-2006, № 607-2008, </w:t>
      </w:r>
      <w:r>
        <w:br/>
        <w:t>№ 437-2009, № 392-2010, № 566-2010, № 253</w:t>
      </w:r>
      <w:r>
        <w:noBreakHyphen/>
        <w:t xml:space="preserve">2011, № 371-2011, № 730-2011, </w:t>
      </w:r>
      <w:r>
        <w:br/>
        <w:t>№ 923-2011, № 1098-2011, № 1146-2011, № 1371-2011, № 1055-2015; Апелляционный суд по уголовным делам, второй судебный округ Сан-Хосе: № 1883-2012, № 675-2013, № 1707-2013, № 2866-2013, № 727-2017, № 760-2017; Апелляционный суд Картаго по уголовным делам: № 589-2017, № 259-2018</w:t>
      </w:r>
      <w:r w:rsidR="003E77E4">
        <w:t>;</w:t>
      </w:r>
      <w:r>
        <w:t xml:space="preserve"> Кассационный суд Сан-Рамона по уголовным делам: № 50-2011</w:t>
      </w:r>
      <w:r w:rsidR="003E77E4">
        <w:t>;</w:t>
      </w:r>
      <w:r>
        <w:t xml:space="preserve"> Второй гражданский суд, отдел I: № 302-2008</w:t>
      </w:r>
      <w:r w:rsidR="003E77E4">
        <w:t>;</w:t>
      </w:r>
      <w:r>
        <w:t xml:space="preserve"> Административный суд, отдел IV: № 136-2015; Административный суд, отдел VI: </w:t>
      </w:r>
      <w:r>
        <w:br/>
        <w:t>№ 177-2014; Апелляционный суд по административным и гражданским финансовым делам: № 85-2011</w:t>
      </w:r>
      <w:r w:rsidRPr="00F91E00">
        <w:rPr>
          <w:rStyle w:val="aa"/>
        </w:rPr>
        <w:footnoteReference w:id="9"/>
      </w:r>
      <w:r>
        <w:t>.</w:t>
      </w:r>
    </w:p>
    <w:p w14:paraId="1331F065" w14:textId="77777777" w:rsidR="00D937B5" w:rsidRPr="00B77AE9" w:rsidRDefault="00D937B5" w:rsidP="00D937B5">
      <w:pPr>
        <w:pStyle w:val="SingleTxtG"/>
      </w:pPr>
      <w:r>
        <w:t>171.</w:t>
      </w:r>
      <w:r>
        <w:tab/>
        <w:t xml:space="preserve">Например, что касается КЛРД, то резолюцией № 02802-99 от 20 апреля 1999 года было разрешено дело о неконституционном характере Закона № 6154 от 25 ноября 1997 года, озаглавленного «Закон о праве собственности на крестьянское жилье»; в этом отношении Конституционная палата постановила, что «процедура </w:t>
      </w:r>
      <w:r>
        <w:lastRenderedPageBreak/>
        <w:t xml:space="preserve">предоставления права собственности на крестьянское жилье является неконституционной в силу бездействия, и при ней нарушается значительная группа основных прав, таких как право на справедливое судебное разбирательство и право на доступ к правосудию, принцип справедливого возмещения, принцип равенства перед законом и принцип неприкосновенности частной собственности, а также право на здоровую и экологически сбалансированную окружающую среду (статьи 33, 39, 41, 45 и 50 политической Конституции). </w:t>
      </w:r>
      <w:bookmarkStart w:id="5" w:name="_GoBack"/>
      <w:bookmarkEnd w:id="5"/>
      <w:r>
        <w:t>Нарушается не только статья 45 политической Конституции, но и статья XXIII Американской декларации прав и обязанностей человека, статья 5 Международной конвенции о ликвидации всех форм расовой дискриминации, статья 21 Американской конвенции о правах человека, пункт</w:t>
      </w:r>
      <w:r w:rsidR="003E77E4">
        <w:t>ы</w:t>
      </w:r>
      <w:r>
        <w:t xml:space="preserve"> 2) </w:t>
      </w:r>
      <w:r w:rsidR="003E77E4">
        <w:t xml:space="preserve">и </w:t>
      </w:r>
      <w:r>
        <w:t>d) статьи 5 Декларации о правах человека в отношении лиц, не являющихся гражданами страны, в которой они проживают, и статья 17 Всеобщей декларации прав человека. В этой связи статья 7 политической Конституции должна рассматриваться как нарушенная. Отмечается, что статьи 6 и 7 Закона о праве собственности на крестьянское жилье должны быть объявлены неконституционными»</w:t>
      </w:r>
      <w:r w:rsidRPr="00F91E00">
        <w:rPr>
          <w:rStyle w:val="aa"/>
        </w:rPr>
        <w:footnoteReference w:id="10"/>
      </w:r>
      <w:r>
        <w:t>.</w:t>
      </w:r>
    </w:p>
    <w:p w14:paraId="7DDFFBE6" w14:textId="77777777" w:rsidR="00D937B5" w:rsidRPr="00B77AE9" w:rsidRDefault="00D937B5" w:rsidP="00D937B5">
      <w:pPr>
        <w:pStyle w:val="SingleTxtG"/>
      </w:pPr>
      <w:r>
        <w:t>172.</w:t>
      </w:r>
      <w:r>
        <w:tab/>
        <w:t xml:space="preserve">К числу других судебных постановлений, в которых делаются ссылки на КЛРД, относятся, в частности, следующие: Конституционная палата: № 11900-2004, </w:t>
      </w:r>
      <w:r>
        <w:br/>
        <w:t xml:space="preserve">№ 2267-2004, № 3300-2004, № 1538-2005, № 14852-2006, № 12395-2007, № 7309-2008, № 3402-2009, № 8909-2009, № 11350-2010, № 13719-2010, № 17907-2010, </w:t>
      </w:r>
      <w:r>
        <w:br/>
        <w:t xml:space="preserve">№ 19907-2010, № 12455-2011, № 13420-2011, № 16153-2011, № 7897-2012, </w:t>
      </w:r>
      <w:r>
        <w:br/>
        <w:t>№ 5251-2012, № 5590-2012, № 9064-2012, № 12737-2012, № 13102-2012, № 17060-2012, № 811-2016, № 5178</w:t>
      </w:r>
      <w:r>
        <w:noBreakHyphen/>
        <w:t xml:space="preserve">2012, № 28-2015, № 5620-2016, № 4861-2017, № 3841-2018; Третья палата: № 1367-2015; Суд по семейным делам: № 592-2012, № 663-2016, </w:t>
      </w:r>
      <w:r>
        <w:br/>
        <w:t>№ 656-2017</w:t>
      </w:r>
      <w:r w:rsidR="003E77E4">
        <w:t>;</w:t>
      </w:r>
      <w:r>
        <w:t xml:space="preserve"> Административный суд, отдел IV: № 120-2013</w:t>
      </w:r>
      <w:r w:rsidRPr="00F91E00">
        <w:rPr>
          <w:rStyle w:val="aa"/>
        </w:rPr>
        <w:footnoteReference w:id="11"/>
      </w:r>
      <w:r>
        <w:t>.</w:t>
      </w:r>
    </w:p>
    <w:p w14:paraId="14CFA303" w14:textId="77777777" w:rsidR="00D937B5" w:rsidRPr="00B77AE9" w:rsidRDefault="00D937B5" w:rsidP="00D937B5">
      <w:pPr>
        <w:pStyle w:val="SingleTxtG"/>
      </w:pPr>
      <w:r>
        <w:t>173.</w:t>
      </w:r>
      <w:r>
        <w:tab/>
        <w:t xml:space="preserve">В отношении КПП цитируется резолюция Конституционной палаты Верховного суда № 09631-2011 от 22 июля 2011 года об использовании наручников, которая гласит: «О пытках и жестоких и унижающих достоинство видах обращения: статья 40 политической Конституции запрещает пытки и жестокое и унижающее достоинство обращение, и наша страна ратифицировала Конвенцию против пыток и других жестоких, бесчеловечных или унижающих достоинство видов обращения и наказания посредством Закона № 7351 от 21 июля 1993 года – документа, в котором уточняются эти термины. Однако в области исполнения наказаний, связанных с лишением свободы, существуют некоторые проблемы с точки зрения сферы охвата этих понятий. Лишение свободы в качестве уголовного наказания является злом и как таковое причиняет человеку страдания; тем не менее оно не может считаться </w:t>
      </w:r>
      <w:r w:rsidR="003E77E4">
        <w:t>"</w:t>
      </w:r>
      <w:r>
        <w:t>пыткой</w:t>
      </w:r>
      <w:r w:rsidR="003E77E4">
        <w:t>"</w:t>
      </w:r>
      <w:r>
        <w:t xml:space="preserve">, равно как и не могут считаться ею неудобства или ограничения, вытекающие исключительно из этого наказания или из законных мер пресечения либо, в данном случае, из присущих или сопутствующих им действий. Таким образом, для того чтобы оценить, имеет ли место бесчеловечное или унижающее достоинство обращение с лицами, лишенными свободы, необходимо говорить о действиях, причиняющих особенно сильные страдания или унижающих в большей степени, чем вынесение обвинительного приговора или принятие мер пресечения. Например, функции учреждений, отвечающих за работу с лицами, лишенными свободы, будь то пенитенциарные учреждения или центры содержания под стражей, подразумевают обязанность не только следить за их физической неприкосновенностью, но и предоставлять им питание, медицинские услуги и прочее; они также предполагают большую ответственность за предотвращение побега заключенных, поскольку те должны выполнять решения судов, поэтому в подобных местах обязательно существуют определенные минимальные правила безопасности, которые, хотя и причиняют заключенным неудобства, но тем не менее не являются пытками или жестоким, бесчеловечным или унижающим достоинство обращением. Исходя из этого понимания, здравый смысл указывает, что подобные меры должны усиливаться в тех </w:t>
      </w:r>
      <w:r>
        <w:lastRenderedPageBreak/>
        <w:t>случаях, когда лица, содержащиеся под стражей, должны покинуть пенитенциарное учреждение...»</w:t>
      </w:r>
      <w:r w:rsidRPr="00F91E00">
        <w:rPr>
          <w:rStyle w:val="aa"/>
        </w:rPr>
        <w:footnoteReference w:id="12"/>
      </w:r>
      <w:r>
        <w:t>.</w:t>
      </w:r>
    </w:p>
    <w:p w14:paraId="7CAD78B0" w14:textId="77777777" w:rsidR="00D937B5" w:rsidRPr="00B77AE9" w:rsidRDefault="00D937B5" w:rsidP="00D937B5">
      <w:pPr>
        <w:pStyle w:val="SingleTxtG"/>
      </w:pPr>
      <w:r>
        <w:t>174.</w:t>
      </w:r>
      <w:r>
        <w:tab/>
        <w:t>Кроме того, та же Палата Верховного суда в резолюции № 16717-2016 о процедуре хабеас корпус постановила, что «нет ничего более важного, чем необходимость обеспечения того, чтобы центры содержания под стражей были безопасными местами для заключенных, персонала и общины и чтобы это не подразумевало применение пыток. В целях укрепления признания запрета на применение пыток или жестоких, бесчеловечных или унижающих достоинство видов обращения и наказания Конвенция Организации Объединенных Наций против пыток и других жестоких, бесчеловечных или унижающих достоинство видов обращения и наказания обязывает государства и правительства расследовать такие акты, наказывать виновных и предоставлять компенсацию тем, кто стал жертвой пыток и жестоких, бесчеловечных или унижающих достоинство видов обращения и наказания. Таким образом, после просмотра записей за 3, 10 и 17 августа 2016 года с видеокамер, установленных в одиночных камерах с особым режимом безопасности, не было констатировано никаких актов агрессии со стороны сотрудников службы безопасности в отношении лиц, лишенных свободы, поэтому Палата не нашла никаких доказательств того, что заявитель подвергался наказаниям или жестокому, бесчеловечному или унижающему достоинство обращению. Поэтому в указанной части требований апелляцию целесообразно отклонить</w:t>
      </w:r>
      <w:r w:rsidRPr="00F91E00">
        <w:rPr>
          <w:rStyle w:val="aa"/>
        </w:rPr>
        <w:footnoteReference w:id="13"/>
      </w:r>
      <w:r>
        <w:t>.</w:t>
      </w:r>
    </w:p>
    <w:p w14:paraId="25FBE689" w14:textId="77777777" w:rsidR="00D937B5" w:rsidRPr="00B77AE9" w:rsidRDefault="00D937B5" w:rsidP="00D937B5">
      <w:pPr>
        <w:pStyle w:val="SingleTxtG"/>
      </w:pPr>
      <w:r>
        <w:t>175.</w:t>
      </w:r>
      <w:r>
        <w:tab/>
        <w:t xml:space="preserve">К числу других судебных постановлений, в которых делаются ссылки на МПЭСКП, относятся, в частности, следующие: Конституционная палата: </w:t>
      </w:r>
      <w:r>
        <w:br/>
        <w:t xml:space="preserve">№ 13496-2006, № 3678-2006, № 3684-2006, № 7298-2006, № 7617-2006, № 6-2007, </w:t>
      </w:r>
      <w:r>
        <w:br/>
        <w:t xml:space="preserve">№ 777-2007, № 1129-2007, № 8194-2008, № 557-2009, № 8202-2009, № 802-2010, </w:t>
      </w:r>
      <w:r>
        <w:br/>
        <w:t xml:space="preserve">№ 10124-2010, № 18209-2010, № 10580-2011, № 9631-2011, № 11546-2011, </w:t>
      </w:r>
      <w:r>
        <w:br/>
        <w:t xml:space="preserve">№ 15385-2011, № 670-2012, № 5100-2012, № 14630-2012, № 14657-2012, № 6920-2014, № 8482-2014, № 12947-2015, № 14258-2015, № 19582-2015, № 12824-2006, </w:t>
      </w:r>
      <w:r>
        <w:br/>
        <w:t>№ 16717-2016, № 9131-2007, № 9619-2017; Третья палата: № 1061-2008, № 670-2012</w:t>
      </w:r>
      <w:r w:rsidR="00AA7265">
        <w:t>;</w:t>
      </w:r>
      <w:r>
        <w:t xml:space="preserve"> Апелляционный суд по уголовным делам в отношении несовершеннолетних, второй судебный округ Сан-Хосе: № 247-2008</w:t>
      </w:r>
      <w:r w:rsidRPr="00F91E00">
        <w:rPr>
          <w:rStyle w:val="aa"/>
        </w:rPr>
        <w:footnoteReference w:id="14"/>
      </w:r>
      <w:r>
        <w:t>.</w:t>
      </w:r>
    </w:p>
    <w:p w14:paraId="4BC7CD24" w14:textId="77777777" w:rsidR="00D937B5" w:rsidRPr="00B82F86" w:rsidRDefault="00D937B5" w:rsidP="00D937B5">
      <w:pPr>
        <w:pStyle w:val="SingleTxtG"/>
      </w:pPr>
      <w:r>
        <w:t>176.</w:t>
      </w:r>
      <w:r>
        <w:tab/>
        <w:t xml:space="preserve">Что касается КПР, то можно сослаться на три резолюции. Во-первых, на резолюцию № 17401-2008 Конституционной палаты Верховного суда о применении хабеас корпус. В этой связи судебный орган постановил, что «с учетом сложившейся ситуации Палата должна рассмотреть, с одной стороны, требования положения о порядке выдачи разрешений на выезд несовершеннолетних, а с другой стороны – </w:t>
      </w:r>
      <w:r w:rsidR="00AA7265">
        <w:t>"</w:t>
      </w:r>
      <w:r>
        <w:t>наилучшее соблюдение интересов ребенка</w:t>
      </w:r>
      <w:r w:rsidR="00AA7265">
        <w:t>"</w:t>
      </w:r>
      <w:r>
        <w:t xml:space="preserve">, закрепленное в Конвенции о правах ребенка, утвержденной в нашей стране Законом № 7184 от 1990 года. В соответствии с этим международным нормативным стандартом данным принципом следует руководствоваться при оценке представляемых в администрацию дел, которые на практике должны решаться в интересах полного осуществления прав ребенка. В данном случае нормативный стандарт четко регламентирует формальные требования, которым должно соответствовать разрешение на выезд несовершеннолетнего из страны; тем не менее в рассматриваемом деле эта формальность должна быть увязана с контекстом, для чего важно отметить, что девочка имеет канадский паспорт и собиралась покинуть страну вместе с обоими родителями, а также с бабушкой и дедушкой, с которыми она направлялась к месту проживания. С учетом особенностей конкретного дела Палата считает, что нет никаких доказательств того, что ребенок может оказаться в опасности, если покинет страну. В свете вышеизложенного и в целях наилучшего соблюдения интересов </w:t>
      </w:r>
      <w:r>
        <w:lastRenderedPageBreak/>
        <w:t>ребенка целесообразно объявить о применении хабеас корпус на том основании, что оспариваемые действия нарушают основные права несовершеннолетней»</w:t>
      </w:r>
      <w:r w:rsidRPr="00F91E00">
        <w:rPr>
          <w:rStyle w:val="aa"/>
        </w:rPr>
        <w:footnoteReference w:id="15"/>
      </w:r>
      <w:r>
        <w:t>.</w:t>
      </w:r>
    </w:p>
    <w:p w14:paraId="4B15C0D5" w14:textId="77777777" w:rsidR="00D937B5" w:rsidRPr="00B77AE9" w:rsidRDefault="00D937B5" w:rsidP="00D937B5">
      <w:pPr>
        <w:pStyle w:val="SingleTxtG"/>
      </w:pPr>
      <w:r>
        <w:t>177.</w:t>
      </w:r>
      <w:r>
        <w:tab/>
        <w:t>Во-вторых, на резолюцию № 01314-2010 Суда по семейным делам от 21 сентября 2010 года о признании судом факта оставления ребенка без попечения родителей. В частности, в цитируемой резолюции говорится: «Как хорошо известно, Конвенция о правах ребенка закрепляет, по крайней мере на формально-нормативном уровне, доктрину комплексной защиты. В ней собраны общие принципы системы защиты лиц в возрасте младше 18 лет и специальные принципы, касающиеся тех, кто пострадал от лишений, вызванных небрежным отношением или оставлением без попечения родителей (см. также решение этого Суда № 1568-05, принятое 12 октября 2005 года в 10 ч 10 мин)»</w:t>
      </w:r>
      <w:r w:rsidRPr="00F91E00">
        <w:rPr>
          <w:rStyle w:val="aa"/>
        </w:rPr>
        <w:footnoteReference w:id="16"/>
      </w:r>
      <w:r>
        <w:t>.</w:t>
      </w:r>
    </w:p>
    <w:p w14:paraId="1C9394A8" w14:textId="77777777" w:rsidR="00D937B5" w:rsidRPr="00B77AE9" w:rsidRDefault="00D937B5" w:rsidP="00D937B5">
      <w:pPr>
        <w:pStyle w:val="SingleTxtG"/>
      </w:pPr>
      <w:r>
        <w:t>178.</w:t>
      </w:r>
      <w:r>
        <w:tab/>
        <w:t>В-третьих, на резолюцию № 2009-00246 Апелляционного суда по уголовным делам III судебного округа Алахуэла, Сан-Рамон, от 26 июня 2009 года. В этой резолюции говорится, что «в нашем конституционном законодательстве при утверждении Конвенции о правах ребенка, которая является договором по правам человека, было закреплено обязательство, состоящее в том, что при рассмотрении дел, в которых прямо или косвенно затрагиваются права несовершеннолетних, органы, ответственные за разрешение дела, будь то административные или судебные, должны оценить в соответствующей резолюции факторы, касающиеся детей и наилучшего соблюдения их интересов. Хотя эти обстоятельства, как представляется, не относятся к данной конкретной ситуации, в ней могут иметь место косвенные нарушения основных прав, которым способствовало бездействие органа, занимающегося вопросами экстрадиции. В ходе обсуждения оказалось невозможным отделить, как это сделал судья ad quo, сведения об экстрадиции, факты и основания которой соответствуют международному похищению несовершеннолетнего, от положения, в котором находятся экстрадируемая К. и ее дети: девочка Т.З.Г.К. и мальчик А.П.К., оба костариканцы по рождению, а также от жалобы о насилии в семье, поэтому вся ситуация в целом должна оцениваться в соответствии с общими принципами, регулирующими демократическое правовое государство и лежащими в основе конституционного права»</w:t>
      </w:r>
      <w:r w:rsidRPr="00F91E00">
        <w:rPr>
          <w:rStyle w:val="aa"/>
        </w:rPr>
        <w:footnoteReference w:id="17"/>
      </w:r>
      <w:r>
        <w:t>.</w:t>
      </w:r>
    </w:p>
    <w:p w14:paraId="64BAAC5F" w14:textId="77777777" w:rsidR="00D937B5" w:rsidRPr="00B77AE9" w:rsidRDefault="00D937B5" w:rsidP="00D937B5">
      <w:pPr>
        <w:pStyle w:val="SingleTxtG"/>
      </w:pPr>
      <w:r>
        <w:t>179.</w:t>
      </w:r>
      <w:r>
        <w:tab/>
        <w:t xml:space="preserve">К числу других судебных постановлений, в которых делаются ссылки на КПР, относятся, в частности, следующие: Конституционная палата: № 937-2007, </w:t>
      </w:r>
      <w:r>
        <w:br/>
        <w:t xml:space="preserve">№ 3702-2007, № 8863-2007, № 15476-2007, № 8262-2008, № 1226-2008, № 9251-2008, № 12217-2008, № 17401-2008, № 15461-2008, № 16420-2008, № 1301-2009, </w:t>
      </w:r>
      <w:r>
        <w:br/>
        <w:t xml:space="preserve">№ 1675-2009, № 7113-2009, № 9965-2010, № 587-2011, № 5015-2011, № 5269-2011, </w:t>
      </w:r>
      <w:r>
        <w:br/>
        <w:t>№ 5914-2011, № 12458</w:t>
      </w:r>
      <w:r>
        <w:noBreakHyphen/>
        <w:t>2011, № 14665-2011, № 10711-2013, № 6703-2013, № 811-2016, № 1692-2016, № 4349-2016, № 8537</w:t>
      </w:r>
      <w:r>
        <w:noBreakHyphen/>
        <w:t>2016, № 14893-2016, № 15127-2016; Вторая палата: № 273-2007, № 219-2009, № 977-2010, № 1112</w:t>
      </w:r>
      <w:r>
        <w:noBreakHyphen/>
        <w:t xml:space="preserve">2010, № 587-2011, № 897-2011, № 454-2013, № 286-2015, № 1027-2015, № 1194-2015, № 341-2016, № 657-2016, </w:t>
      </w:r>
      <w:r>
        <w:br/>
        <w:t xml:space="preserve">№ 820-2016, № 448-2017, № 503-2017, № 773-2017, № 776-2017, № 965-2017; Третья палата: № 16-2008, № 1735-2009, № 1210-2010, № 474-2013, № 727-2013, № 840-2014, № 883-2015; Суд по семейным делам: № 610-2005, № 858-2010, № 1314-2010, </w:t>
      </w:r>
      <w:r>
        <w:br/>
        <w:t>№ 1153-2011, № 1192-2011, № 767-2012, № 773-2012, № 145</w:t>
      </w:r>
      <w:r>
        <w:noBreakHyphen/>
        <w:t xml:space="preserve">2014, № 428-2014, </w:t>
      </w:r>
      <w:r>
        <w:br/>
        <w:t>№ 974-2014, № 92-2015, № 99-2015, № 143-2015, № 452-2015, № 754-2015, № 850</w:t>
      </w:r>
      <w:r>
        <w:noBreakHyphen/>
        <w:t xml:space="preserve">2015, № 372-2016, № 406-2016, № 1019-2016, № 1061-2016, № 8537-2016, № 214-2017, </w:t>
      </w:r>
      <w:r>
        <w:br/>
        <w:t xml:space="preserve">№ 427-2017, № 757-2017, № 1014-2017, № 287-2018, № 620-2018, № 743-2018, </w:t>
      </w:r>
      <w:r>
        <w:br/>
        <w:t xml:space="preserve">№ 765-2018; Суд по семейным делам, занимающийся вопросами насилия в семье: № 557-2014, № 143-2015, № 268-2015, № 361-2015, № 94-2016, № 103-2016, </w:t>
      </w:r>
      <w:r>
        <w:br/>
        <w:t xml:space="preserve">№ 120-2016, № 297-2016, № 374-2016, № 449-2016, № 520-2016, № 117-2017, </w:t>
      </w:r>
      <w:r>
        <w:br/>
        <w:t xml:space="preserve">№ 11-2017, № 111-2017, № 247-2017, № 332-2017, № 518-2017, № 304-2018; </w:t>
      </w:r>
      <w:r>
        <w:lastRenderedPageBreak/>
        <w:t>Кассационный суд Сан-Рамона по уголовным делам: № 246-2009; Второй гражданский суд: № 518-2007</w:t>
      </w:r>
      <w:r w:rsidR="00AA7265">
        <w:t>;</w:t>
      </w:r>
      <w:r>
        <w:t xml:space="preserve"> Нотариальный суд: № 439-2010</w:t>
      </w:r>
      <w:r w:rsidRPr="00F91E00">
        <w:rPr>
          <w:rStyle w:val="aa"/>
        </w:rPr>
        <w:footnoteReference w:id="18"/>
      </w:r>
      <w:r>
        <w:t>.</w:t>
      </w:r>
    </w:p>
    <w:p w14:paraId="6873B351" w14:textId="77777777" w:rsidR="00D937B5" w:rsidRPr="00B77AE9" w:rsidRDefault="00D937B5" w:rsidP="00D937B5">
      <w:pPr>
        <w:pStyle w:val="H23G"/>
      </w:pPr>
      <w:r>
        <w:tab/>
      </w:r>
      <w:r>
        <w:tab/>
      </w:r>
      <w:r>
        <w:rPr>
          <w:bCs/>
        </w:rPr>
        <w:t>О средствах правовой защиты</w:t>
      </w:r>
    </w:p>
    <w:p w14:paraId="39B31F77" w14:textId="77777777" w:rsidR="00D937B5" w:rsidRPr="00B77AE9" w:rsidRDefault="00D937B5" w:rsidP="00D937B5">
      <w:pPr>
        <w:pStyle w:val="SingleTxtG"/>
      </w:pPr>
      <w:r>
        <w:t>180.</w:t>
      </w:r>
      <w:r>
        <w:tab/>
        <w:t>В целом, любое лицо, проживающее на национальной территории, имеет в своем распоряжении бесплатные государственные услуги, оказываемые в учреждениях Коста-Рики, если оно желает подать жалобу или получить защиту в случае нарушения положений документов, являющихся предметом настоящего доклада.</w:t>
      </w:r>
    </w:p>
    <w:p w14:paraId="27CAE76E" w14:textId="77777777" w:rsidR="00D937B5" w:rsidRPr="00B77AE9" w:rsidRDefault="00D937B5" w:rsidP="00D937B5">
      <w:pPr>
        <w:pStyle w:val="SingleTxtG"/>
      </w:pPr>
      <w:r>
        <w:t>181.</w:t>
      </w:r>
      <w:r>
        <w:tab/>
        <w:t>В общем плане в число доступных средств правовой защиты входят иск о неконституционности, ходатайство о применении процедуры ампаро и ходатайство о применении хабеас корпус, подаваемые в Конституционную палату, жалоба в любой суд и административное средство правовой защиты в поддержку соблюдения соответствующих положений, в числе которых особо отмечаются инспекторы учреждений в зависимости от их компетенции.</w:t>
      </w:r>
    </w:p>
    <w:p w14:paraId="2E1D4094" w14:textId="77777777" w:rsidR="00D937B5" w:rsidRPr="00B77AE9" w:rsidRDefault="00D937B5" w:rsidP="00D937B5">
      <w:pPr>
        <w:pStyle w:val="SingleTxtG"/>
      </w:pPr>
      <w:r>
        <w:t>182.</w:t>
      </w:r>
      <w:r>
        <w:tab/>
        <w:t>В Коста-Рике не существует конкретной системы возмещения ущерба, выплаты компенсации и восстановления в правах для жертв нарушений прав человека, закрепленных в договорах, которые являются предметом настоящего доклада. Тем не менее именно суды решают вопрос о возмещении ущерба, компенсации и восстановлении в правах для жертв нарушений прав человека.</w:t>
      </w:r>
    </w:p>
    <w:p w14:paraId="33432A89" w14:textId="77777777" w:rsidR="00D937B5" w:rsidRPr="00B77AE9" w:rsidRDefault="00D937B5" w:rsidP="00D937B5">
      <w:pPr>
        <w:pStyle w:val="H23G"/>
      </w:pPr>
      <w:r>
        <w:tab/>
      </w:r>
      <w:r>
        <w:tab/>
      </w:r>
      <w:r>
        <w:rPr>
          <w:bCs/>
        </w:rPr>
        <w:t>Орган надзора</w:t>
      </w:r>
    </w:p>
    <w:p w14:paraId="32C38929" w14:textId="77777777" w:rsidR="00D937B5" w:rsidRPr="00B77AE9" w:rsidRDefault="00D937B5" w:rsidP="00D937B5">
      <w:pPr>
        <w:pStyle w:val="SingleTxtG"/>
      </w:pPr>
      <w:r>
        <w:t>183.</w:t>
      </w:r>
      <w:r>
        <w:tab/>
        <w:t xml:space="preserve">Суды Коста-Рики несут ответственность за применение юридических норм и принципов, в частности прав человека, при урегулировании конфликтов. В дополнение к этому государственные учреждения Коста-Рики отвечают за осуществление прав человека в рамках государственного управления с помощью политики, планов, программ или мероприятий по обеспечению защиты таких прав или контроля за их соблюдением. </w:t>
      </w:r>
    </w:p>
    <w:p w14:paraId="1271B700" w14:textId="77777777" w:rsidR="00D937B5" w:rsidRPr="00B77AE9" w:rsidRDefault="00D937B5" w:rsidP="00D937B5">
      <w:pPr>
        <w:pStyle w:val="SingleTxtG"/>
      </w:pPr>
      <w:r>
        <w:t>184.</w:t>
      </w:r>
      <w:r>
        <w:tab/>
        <w:t xml:space="preserve">В настоящее время Коста-Рика не располагает достаточной информацией для определения объема кадровых и финансовых ресурсов, выделяемых на поощрение и защиту прав человека, закрепленных в документах, которые являются предметом настоящего доклада. </w:t>
      </w:r>
    </w:p>
    <w:p w14:paraId="2F862AF5" w14:textId="77777777" w:rsidR="00D937B5" w:rsidRPr="00B77AE9" w:rsidRDefault="00D937B5" w:rsidP="00D937B5">
      <w:pPr>
        <w:pStyle w:val="SingleTxtG"/>
      </w:pPr>
      <w:r>
        <w:t>185.</w:t>
      </w:r>
      <w:r>
        <w:tab/>
        <w:t>Несмотря на вышесказанное, в Коста-Рике существует Межведомственная комиссия по мониторингу и выполнению международных обязательств в области прав человека, которая является органом, призванным содействовать достижению высокого уровня согласованности между государственными учреждениями Коста-Рики, научными кругами и гражданским обществом</w:t>
      </w:r>
      <w:r w:rsidRPr="00C23CD5">
        <w:t xml:space="preserve"> </w:t>
      </w:r>
      <w:r>
        <w:t xml:space="preserve">в области прав человека. </w:t>
      </w:r>
    </w:p>
    <w:p w14:paraId="492AB612" w14:textId="77777777" w:rsidR="00D937B5" w:rsidRPr="00B77AE9" w:rsidRDefault="00D937B5" w:rsidP="00D937B5">
      <w:pPr>
        <w:pStyle w:val="SingleTxtG"/>
      </w:pPr>
      <w:r>
        <w:t>186.</w:t>
      </w:r>
      <w:r>
        <w:tab/>
        <w:t>Иными словами, ее цель заключается в выполнении закрепленных в универсальной и региональной правозащитных системах международных обязательств в области прав человека, в число которых входят, например, разработка предложений, планов и мер в области национальной и институциональной политики.</w:t>
      </w:r>
    </w:p>
    <w:p w14:paraId="0697ABCE" w14:textId="77777777" w:rsidR="00D937B5" w:rsidRPr="00B77AE9" w:rsidRDefault="00D937B5" w:rsidP="00D937B5">
      <w:pPr>
        <w:pStyle w:val="H23G"/>
      </w:pPr>
      <w:r>
        <w:tab/>
      </w:r>
      <w:r>
        <w:tab/>
      </w:r>
      <w:r>
        <w:rPr>
          <w:bCs/>
        </w:rPr>
        <w:t>Региональный правозащитный механизм</w:t>
      </w:r>
    </w:p>
    <w:p w14:paraId="03A6BA75" w14:textId="77777777" w:rsidR="00D937B5" w:rsidRPr="00B77AE9" w:rsidRDefault="00D937B5" w:rsidP="00D937B5">
      <w:pPr>
        <w:pStyle w:val="SingleTxtG"/>
      </w:pPr>
      <w:r>
        <w:t>187.</w:t>
      </w:r>
      <w:r>
        <w:tab/>
        <w:t>На региональном уровне государство Коста-Рика является участником регионального правозащитного механизма, предусмотренного в Американской конвенции о правах человека, которая стала Законом Республики № 4534 от 23 февраля 1970 года и была ратифицирована 8 апреля 1970 года.</w:t>
      </w:r>
    </w:p>
    <w:p w14:paraId="2E4BCBF5" w14:textId="77777777" w:rsidR="00D937B5" w:rsidRPr="00B77AE9" w:rsidRDefault="00D937B5" w:rsidP="00D937B5">
      <w:pPr>
        <w:pStyle w:val="SingleTxtG"/>
      </w:pPr>
      <w:r>
        <w:t>188.</w:t>
      </w:r>
      <w:r>
        <w:tab/>
        <w:t xml:space="preserve">В рамках этого механизма была признана компетенция Межамериканской комиссии по правам человека и Межамериканского суда по правам человека в качестве </w:t>
      </w:r>
      <w:r>
        <w:lastRenderedPageBreak/>
        <w:t>органов для рассмотрения вопросов, связанных с соблюдением положений Американской конвенции о правах человека.</w:t>
      </w:r>
    </w:p>
    <w:p w14:paraId="2CDC4B59" w14:textId="77777777" w:rsidR="00D937B5" w:rsidRPr="00B77AE9" w:rsidRDefault="00D937B5" w:rsidP="00D937B5">
      <w:pPr>
        <w:pStyle w:val="SingleTxtG"/>
      </w:pPr>
      <w:r>
        <w:t>189.</w:t>
      </w:r>
      <w:r>
        <w:tab/>
        <w:t xml:space="preserve">На момент подготовки настоящего доклада Межамериканский суд по правам человека рассматривал три дела, одно дело было закрыто и сдано в архив, и по одному делу ожидалось вынесение приговора. </w:t>
      </w:r>
    </w:p>
    <w:p w14:paraId="1A436AE7" w14:textId="77777777" w:rsidR="00D937B5" w:rsidRPr="00B77AE9" w:rsidRDefault="00D937B5" w:rsidP="00D937B5">
      <w:pPr>
        <w:pStyle w:val="H23G"/>
      </w:pPr>
      <w:r>
        <w:tab/>
      </w:r>
      <w:r>
        <w:tab/>
      </w:r>
      <w:r>
        <w:rPr>
          <w:bCs/>
        </w:rPr>
        <w:t>Система поощрения прав человека на национальном уровне</w:t>
      </w:r>
    </w:p>
    <w:p w14:paraId="2768E408" w14:textId="77777777" w:rsidR="00D937B5" w:rsidRPr="00B77AE9" w:rsidRDefault="00D937B5" w:rsidP="00D937B5">
      <w:pPr>
        <w:pStyle w:val="SingleTxtG"/>
      </w:pPr>
      <w:r>
        <w:t>190.</w:t>
      </w:r>
      <w:r>
        <w:tab/>
        <w:t>Национальная правовая система включает в себя основные положения международных договоров по правам человека и факультативных протоколов к ним, которые являются предметом настоящего документа и входят в законодательство Республики в соответствии со статьей 7 политической Конституции.</w:t>
      </w:r>
    </w:p>
    <w:p w14:paraId="7E00BEA6" w14:textId="77777777" w:rsidR="00D937B5" w:rsidRPr="00B77AE9" w:rsidRDefault="00D937B5" w:rsidP="00D937B5">
      <w:pPr>
        <w:pStyle w:val="SingleTxtG"/>
      </w:pPr>
      <w:r>
        <w:t>191.</w:t>
      </w:r>
      <w:r>
        <w:tab/>
        <w:t xml:space="preserve">Имея статус законов, эти опорные документы являются обязательными для всех лиц, проживающих в Коста-Рике, а также для организаций любого рода. </w:t>
      </w:r>
    </w:p>
    <w:p w14:paraId="7D9EEBE6" w14:textId="77777777" w:rsidR="00D937B5" w:rsidRPr="00B77AE9" w:rsidRDefault="00D937B5" w:rsidP="00D937B5">
      <w:pPr>
        <w:pStyle w:val="SingleTxtG"/>
      </w:pPr>
      <w:r>
        <w:t>192.</w:t>
      </w:r>
      <w:r>
        <w:tab/>
        <w:t>Поскольку эти документы представляют собой государственное законодательство, то они доступны для жителей страны на испанском языке и размещены на различных носителях, как в печатном варианте, так и на веб-сайтах таких государственных институтов, как Официальный вестник, Коста-риканская система юридической информации (КСЮИ) и Законодательная ассамблея.</w:t>
      </w:r>
    </w:p>
    <w:p w14:paraId="54CCD1A9" w14:textId="77777777" w:rsidR="00D937B5" w:rsidRPr="00B77AE9" w:rsidRDefault="00D937B5" w:rsidP="00D937B5">
      <w:pPr>
        <w:pStyle w:val="SingleTxtG"/>
      </w:pPr>
      <w:r>
        <w:t>193.</w:t>
      </w:r>
      <w:r>
        <w:tab/>
        <w:t>Кроме того, в силу принципа законности</w:t>
      </w:r>
      <w:r w:rsidRPr="00F91E00">
        <w:rPr>
          <w:rStyle w:val="aa"/>
        </w:rPr>
        <w:footnoteReference w:id="19"/>
      </w:r>
      <w:r>
        <w:t>, права человека, признанные государством Коста-Рика, являются обязательными для государственных учреждений страны, которые обязуются гарантировать и поощрять их осуществление.</w:t>
      </w:r>
    </w:p>
    <w:p w14:paraId="50942B04" w14:textId="77777777" w:rsidR="00D937B5" w:rsidRPr="00B77AE9" w:rsidRDefault="00D937B5" w:rsidP="00D937B5">
      <w:pPr>
        <w:pStyle w:val="SingleTxtG"/>
      </w:pPr>
      <w:r>
        <w:t>194.</w:t>
      </w:r>
      <w:r>
        <w:tab/>
        <w:t>Хотя Коста-Рика не располагает конкретной информацией о национальных счетах для поощрения и распространения основных международных договоров по правам человека и факультативных протоколов к ним, а также других документов, она может сообщить, что подход к ним носит расширенный и общий характер.</w:t>
      </w:r>
    </w:p>
    <w:p w14:paraId="5F432480" w14:textId="77777777" w:rsidR="00D937B5" w:rsidRPr="00B77AE9" w:rsidRDefault="00D937B5" w:rsidP="00D937B5">
      <w:pPr>
        <w:pStyle w:val="SingleTxtG"/>
      </w:pPr>
      <w:r>
        <w:t>195.</w:t>
      </w:r>
      <w:r>
        <w:tab/>
        <w:t xml:space="preserve">В течение прошедшего года через Главное управление гражданской службы при аппарате Президента – орган, отвечающий за государственную службу, была организована подготовка по вопросам прав человека для государственных служащих из различных учреждений Коста-Рики. </w:t>
      </w:r>
    </w:p>
    <w:p w14:paraId="2DDC197E" w14:textId="77777777" w:rsidR="00D937B5" w:rsidRPr="00B77AE9" w:rsidRDefault="00D937B5" w:rsidP="00D937B5">
      <w:pPr>
        <w:pStyle w:val="SingleTxtG"/>
      </w:pPr>
      <w:r>
        <w:t>196.</w:t>
      </w:r>
      <w:r>
        <w:tab/>
        <w:t>Например, в 2018 году были проведены такие пропагандистские мероприятия, как курс «Цели в области устойчивого развития в Коста-Рике и их реализация в институциональных планах» (октябрь 2018 года), семинар «Интеграция коренного населения и внимание к его потребностям в государственных учреждениях» (октябрь 2018 года), курс «Права человека, разнообразие и интеграция в многоэтнической и многокультурной стране» (март и сентябрь 2018 года), семинар «Руководство по процессам повышения осведомленности в целях создания пространств, свободных от дискриминации по признаку сексуальной ориентации и гендерной идентичности» (июль 2018 года), семинар «Лица африканского происхождения, права человека, разнообразие и интеграция в многоэтнической и многокультурной стране» (март 2018 года).</w:t>
      </w:r>
    </w:p>
    <w:p w14:paraId="6FCACC30" w14:textId="77777777" w:rsidR="00D937B5" w:rsidRPr="00B77AE9" w:rsidRDefault="00D937B5" w:rsidP="00D937B5">
      <w:pPr>
        <w:pStyle w:val="H23G"/>
      </w:pPr>
      <w:r>
        <w:tab/>
      </w:r>
      <w:r>
        <w:tab/>
      </w:r>
      <w:r>
        <w:rPr>
          <w:bCs/>
        </w:rPr>
        <w:t>Процесс представления общего базового документа</w:t>
      </w:r>
    </w:p>
    <w:p w14:paraId="52085056" w14:textId="77777777" w:rsidR="00D937B5" w:rsidRPr="00B77AE9" w:rsidRDefault="00D937B5" w:rsidP="00D937B5">
      <w:pPr>
        <w:pStyle w:val="SingleTxtG"/>
      </w:pPr>
      <w:r>
        <w:t>197.</w:t>
      </w:r>
      <w:r>
        <w:tab/>
        <w:t>Настоящий доклад был подготовлен под руководством Межучрежденческой комиссии по мониторингу и выполнению международных обязательств в области прав человека (МКМВМОПЧ), в состав которой входят сотрудники приблизительно 21 органа исполнительной власти (министерств и автономных учреждений) и</w:t>
      </w:r>
      <w:r w:rsidR="00AA7265">
        <w:t> </w:t>
      </w:r>
      <w:r>
        <w:t>представители судебной власти, Верховного суда по избирательным делам (ВСИД), Управления Уполномоченного по правам человека и Законодательной ассамблеи, выступающие в качестве наблюдателей и в обязательном порядке представляющие соответствующую информацию.</w:t>
      </w:r>
    </w:p>
    <w:p w14:paraId="23FED9AC" w14:textId="77777777" w:rsidR="00D937B5" w:rsidRPr="00B77AE9" w:rsidRDefault="00D937B5" w:rsidP="00D937B5">
      <w:pPr>
        <w:pStyle w:val="SingleTxtG"/>
      </w:pPr>
      <w:r>
        <w:lastRenderedPageBreak/>
        <w:t>198.</w:t>
      </w:r>
      <w:r>
        <w:tab/>
        <w:t xml:space="preserve">Комиссия была создана в 2011 году в качестве постоянного консультативного органа исполнительной власти при Министерстве иностранных дел и религии для целей мониторинга и выполнения международных обязательств в области прав человека и координации деятельности по защите прав человека на международном уровне. </w:t>
      </w:r>
    </w:p>
    <w:p w14:paraId="02F15A94" w14:textId="77777777" w:rsidR="00D937B5" w:rsidRPr="00B77AE9" w:rsidRDefault="00D937B5" w:rsidP="00D937B5">
      <w:pPr>
        <w:pStyle w:val="SingleTxtG"/>
      </w:pPr>
      <w:r>
        <w:t>199.</w:t>
      </w:r>
      <w:r>
        <w:tab/>
        <w:t xml:space="preserve">В соответствии с Исполнительным указом № 36776-RE, на основании которого учреждалась МКМВМОПЧ, был создан также Постоянный орган по вопросам проведения консультаций с гражданским обществом (ПОКГО), с помощью которого был налажен диалог с гражданским обществом в общем контексте подготовки докладов. Сложившаяся практика проведения совещаний и обсуждения аспектов, связанных с выполнением обязательств в области прав человека, позволила в институциональных масштабах задуматься над вопросами эффективности и результативности проводимой работы и ее тесной связи с осуществлением прав человека всех жителей Коста-Рики. </w:t>
      </w:r>
    </w:p>
    <w:p w14:paraId="002C90FF" w14:textId="77777777" w:rsidR="00D937B5" w:rsidRPr="00B77AE9" w:rsidRDefault="00D937B5" w:rsidP="00D937B5">
      <w:pPr>
        <w:pStyle w:val="SingleTxtG"/>
      </w:pPr>
      <w:r>
        <w:t>200.</w:t>
      </w:r>
      <w:r>
        <w:tab/>
        <w:t>Наконец, разработка этого общего базового документа стала результатом межучрежденческих консультаций, проводившихся в целях сбора материалов, подготовки информации о планируемых показателях и редактирования документа на заключительном этапе.</w:t>
      </w:r>
    </w:p>
    <w:p w14:paraId="48C34714" w14:textId="77777777" w:rsidR="00D937B5" w:rsidRPr="00B77AE9" w:rsidRDefault="00D937B5" w:rsidP="00D937B5">
      <w:pPr>
        <w:pStyle w:val="H1G"/>
      </w:pPr>
      <w:r>
        <w:tab/>
      </w:r>
      <w:r>
        <w:tab/>
      </w:r>
      <w:r>
        <w:rPr>
          <w:bCs/>
        </w:rPr>
        <w:t>Последующая деятельность в связи с заключительными замечаниями договорных органов по правам человека</w:t>
      </w:r>
    </w:p>
    <w:p w14:paraId="068A9CD6" w14:textId="77777777" w:rsidR="00D937B5" w:rsidRPr="00B77AE9" w:rsidRDefault="00D937B5" w:rsidP="00D937B5">
      <w:pPr>
        <w:pStyle w:val="H23G"/>
      </w:pPr>
      <w:r>
        <w:tab/>
      </w:r>
      <w:r>
        <w:tab/>
      </w:r>
      <w:r>
        <w:rPr>
          <w:bCs/>
        </w:rPr>
        <w:t>Информация о недискриминации, равенстве и эффективных средствах правовой защиты</w:t>
      </w:r>
    </w:p>
    <w:p w14:paraId="0EAF6768" w14:textId="77777777" w:rsidR="00D937B5" w:rsidRPr="00B77AE9" w:rsidRDefault="00D937B5" w:rsidP="00D937B5">
      <w:pPr>
        <w:pStyle w:val="SingleTxtG"/>
      </w:pPr>
      <w:r>
        <w:t>201.</w:t>
      </w:r>
      <w:r>
        <w:tab/>
        <w:t>Принцип недискриминации и равенства, являющийся базовым постулатом в области прав человека, признается на конституционном уровне и разрабатывается во всем национальном законодательстве, за исключением случаев, установленных законом.</w:t>
      </w:r>
    </w:p>
    <w:p w14:paraId="7A1EB3F4" w14:textId="77777777" w:rsidR="00D937B5" w:rsidRPr="00B77AE9" w:rsidRDefault="00D937B5" w:rsidP="00D937B5">
      <w:pPr>
        <w:pStyle w:val="SingleTxtG"/>
      </w:pPr>
      <w:r>
        <w:t>202.</w:t>
      </w:r>
      <w:r>
        <w:tab/>
        <w:t>В статье 33 политической Конституции, действующей с 7 ноября 1949 года, говорится, что «все равны перед законом, и запрещается всякая дискриминация, ущемляющая достоинство человека». Эта конституционная гарантия распространяется на всех лиц, проживающих на территории Республики Коста-Рика.</w:t>
      </w:r>
    </w:p>
    <w:p w14:paraId="06EA9A2B" w14:textId="77777777" w:rsidR="00D937B5" w:rsidRPr="00B77AE9" w:rsidRDefault="00D937B5" w:rsidP="00D937B5">
      <w:pPr>
        <w:pStyle w:val="SingleTxtG"/>
      </w:pPr>
      <w:r>
        <w:t>203.</w:t>
      </w:r>
      <w:r>
        <w:tab/>
        <w:t xml:space="preserve">На конституционном уровне эта гарантия имеет два ограничения. Первое касается иностранцев. В этой связи статья 19 политической Конституции гласит, что иностранцы имеют те же личные и социальные права и обязанности, что и костариканцы, с исключениями и ограничениями, установленными Конституцией и законодательством. </w:t>
      </w:r>
    </w:p>
    <w:p w14:paraId="71292747" w14:textId="77777777" w:rsidR="00D937B5" w:rsidRPr="00B77AE9" w:rsidRDefault="00D937B5" w:rsidP="00D937B5">
      <w:pPr>
        <w:pStyle w:val="SingleTxtG"/>
      </w:pPr>
      <w:r>
        <w:t>204.</w:t>
      </w:r>
      <w:r>
        <w:tab/>
        <w:t xml:space="preserve">Для оценки этого различия на конституционном уровне Конституционная палата Верховного суда, которая является высшим органом конституционного контроля, постановила: «Наша политическая Конституция признает равенство между гражданами и иностранцами с точки зрения прав и обязанностей, </w:t>
      </w:r>
      <w:r w:rsidR="00683FE9">
        <w:t>"</w:t>
      </w:r>
      <w:r>
        <w:t>с исключениями и ограничениями, установленными Конституцией и законодательством</w:t>
      </w:r>
      <w:r w:rsidR="00683FE9">
        <w:t>"</w:t>
      </w:r>
      <w:r>
        <w:t xml:space="preserve">. К числу конституционных исключений относятся, например, запрет на вмешательство в политические дела страны (статья 19) и запрет занимать определенные государственные должности (статья 108 относительно депутатов, статья 115 относительно Председателя Законодательной ассамблеи, статья 131 относительно Президента и Вице-президента Республики, статья 142 относительно министров и статья 159 относительно магистратов). В качестве законных исключений из этого принципа существует множество других положений, например, регулирующих и ограничивающих въезд и выезд иностранцев, а также содержащихся в трудовом законодательстве и направленных на то, чтобы гарантировать костариканцам приоритетный доступ к работе при определенных обстоятельствах (статья 13 Трудового кодекса). По этому вопросу Палата уже отмечала, что фраза </w:t>
      </w:r>
      <w:r w:rsidR="00683FE9">
        <w:t>"</w:t>
      </w:r>
      <w:r>
        <w:t>с исключениями и ограничениями, установленными Конституцией и законодательством</w:t>
      </w:r>
      <w:r w:rsidR="00683FE9">
        <w:t>"</w:t>
      </w:r>
      <w:r>
        <w:t xml:space="preserve">, не указывает на неограниченную власть, а лишь позволяет </w:t>
      </w:r>
      <w:r>
        <w:lastRenderedPageBreak/>
        <w:t>законодателю устанавливать логические исключения, вытекающие из самой природы различий между этими двумя категориями – гражданами страны и иностранцами – таким образом, чтобы не создавалось различий, которые деконституционализируют принцип равенства. (…)»</w:t>
      </w:r>
      <w:r w:rsidRPr="00F91E00">
        <w:rPr>
          <w:rStyle w:val="aa"/>
        </w:rPr>
        <w:footnoteReference w:id="20"/>
      </w:r>
      <w:r>
        <w:t>.</w:t>
      </w:r>
    </w:p>
    <w:p w14:paraId="52D4CFD2" w14:textId="77777777" w:rsidR="00D937B5" w:rsidRPr="00B77AE9" w:rsidRDefault="00D937B5" w:rsidP="00D937B5">
      <w:pPr>
        <w:pStyle w:val="SingleTxtG"/>
      </w:pPr>
      <w:r>
        <w:t>205.</w:t>
      </w:r>
      <w:r>
        <w:tab/>
        <w:t>Исходя из конституционного мандата, национальное законодательство включает принцип недискриминации в широкий круг законов и исполнительных указов, касающихся таких областей, как дискриминация в отношении гомосексуалистов, коренных народов, лиц из числа ЛГТБИ, женщин, детей и подростков, пожилых людей и инвалидов, дискриминация по признаку гендерной идентичности в системе здравоохранения и ВИЧ/СПИДа, а также дискриминация в сфере занятости и детского труда.</w:t>
      </w:r>
    </w:p>
    <w:p w14:paraId="49357D09" w14:textId="77777777" w:rsidR="00D937B5" w:rsidRPr="00B77AE9" w:rsidRDefault="00D937B5" w:rsidP="00D937B5">
      <w:pPr>
        <w:pStyle w:val="SingleTxtG"/>
      </w:pPr>
      <w:r>
        <w:t>206.</w:t>
      </w:r>
      <w:r>
        <w:tab/>
        <w:t>С другой стороны, в стране действует Национальная политика формирования общества, свободного от расизма и ксенофобии (2014–2025 годы), сфера применения которой включает государственные органы управления, автономные и полуавтономные учреждения, государственные предприятия, а также частные компании, оказывающие государственные услуги, которые могут применять эту национальную политику в качестве основы для формирования общества, свободного от расизма, расовой дискриминации и ксенофобии.</w:t>
      </w:r>
    </w:p>
    <w:p w14:paraId="240AA2A1" w14:textId="77777777" w:rsidR="00D937B5" w:rsidRPr="00B77AE9" w:rsidRDefault="00D937B5" w:rsidP="00D937B5">
      <w:pPr>
        <w:pStyle w:val="SingleTxtG"/>
      </w:pPr>
      <w:r>
        <w:t>207.</w:t>
      </w:r>
      <w:r>
        <w:tab/>
        <w:t>Кроме того, страна проводит Национальную политику гендерного равенства и справедливости (2018–2030 годы), в которой изложены долгосрочные обязательства коста-риканского государства по обеспечению равенства возможностей и прав женщин и мужчин и согласно которой к процессу осуществления привлекаются субъекты частного сектора.</w:t>
      </w:r>
    </w:p>
    <w:p w14:paraId="470DC498" w14:textId="77777777" w:rsidR="00D937B5" w:rsidRPr="00B77AE9" w:rsidRDefault="00D937B5" w:rsidP="00D937B5">
      <w:pPr>
        <w:pStyle w:val="SingleTxtG"/>
      </w:pPr>
      <w:r>
        <w:t>208.</w:t>
      </w:r>
      <w:r>
        <w:tab/>
        <w:t>Помимо этого</w:t>
      </w:r>
      <w:r w:rsidR="00683FE9">
        <w:t>,</w:t>
      </w:r>
      <w:r>
        <w:t xml:space="preserve"> в стране осуществляется Национальная политика в интересах инвалидов (2011–2021 годы), направленная на эффективное поощрение, соблюдение и обеспечение прав инвалидов. Вышеизложенные меры имеют целью ликвидацию всех форм дискриминации и изоляции в отношении указанных лиц, их семей и организаций на основе солидарности и системного подхода.</w:t>
      </w:r>
    </w:p>
    <w:p w14:paraId="763BC758" w14:textId="77777777" w:rsidR="00D937B5" w:rsidRPr="00B77AE9" w:rsidRDefault="00D937B5" w:rsidP="00D937B5">
      <w:pPr>
        <w:pStyle w:val="SingleTxtG"/>
      </w:pPr>
      <w:r>
        <w:t>209.</w:t>
      </w:r>
      <w:r>
        <w:tab/>
        <w:t>Кроме того, в стране реализуется Политика профилактики и лечения ВИЧ и СПИДа (2014–2019 годы), которая отвечает внутренним и международным нормативным стандартам и объединяет в себе положения, действия, принципы, процедуры, руководящие указания и инструкции, разработанные для компетентных государственных органов в целях принятия национальных мер реагирования на ВИЧ и СПИД.</w:t>
      </w:r>
    </w:p>
    <w:p w14:paraId="6E5B69C9" w14:textId="77777777" w:rsidR="00D937B5" w:rsidRPr="00B77AE9" w:rsidRDefault="00D937B5" w:rsidP="00D937B5">
      <w:pPr>
        <w:pStyle w:val="SingleTxtG"/>
      </w:pPr>
      <w:r>
        <w:t>210.</w:t>
      </w:r>
      <w:r>
        <w:tab/>
        <w:t>Помимо этого осуществляется Национальная политика в интересах детей и подростков (2009–2021 годы), которая определяет стратегическое направление деятельности коста-риканского государства в области эффективного поощрения, соблюдения и обеспечения прав человека всех детей и подростков, включая, в частности, детей-инвалидов, детей из числа коренных народов, брошенных детей и детей-мигрантов.</w:t>
      </w:r>
    </w:p>
    <w:p w14:paraId="43F636BC" w14:textId="77777777" w:rsidR="00D937B5" w:rsidRPr="00B77AE9" w:rsidRDefault="00D937B5" w:rsidP="00D937B5">
      <w:pPr>
        <w:pStyle w:val="SingleTxtG"/>
      </w:pPr>
      <w:r>
        <w:t>211.</w:t>
      </w:r>
      <w:r>
        <w:tab/>
        <w:t>Наконец, в стране реализуется Национальная политика по вопросам старения населения и положения пожилых людей (2011–2021 годы), в рамках которой принимаются необходимые меры во всех областях и секторах, а также берется обязательство по поощрению и защите прав человека и основных свобод пожилых людей. Кроме того, страна обязуется ликвидировать все формы дискриминации, в том числе по признаку возраста. В ней признается также, что люди даже по мере старения должны жить полноценной жизнью, предполагающей здоровье, безопасность и активное участие в экономической, социальной, культурной и политической жизни общества.</w:t>
      </w:r>
    </w:p>
    <w:p w14:paraId="579EA7BB" w14:textId="77777777" w:rsidR="00D937B5" w:rsidRPr="00B77AE9" w:rsidRDefault="00D937B5" w:rsidP="00D937B5">
      <w:pPr>
        <w:pStyle w:val="H23G"/>
      </w:pPr>
      <w:r>
        <w:lastRenderedPageBreak/>
        <w:tab/>
      </w:r>
      <w:r>
        <w:tab/>
      </w:r>
      <w:r>
        <w:rPr>
          <w:bCs/>
        </w:rPr>
        <w:t>Эффективные средства правовой защиты</w:t>
      </w:r>
    </w:p>
    <w:p w14:paraId="7C959E2D" w14:textId="77777777" w:rsidR="00D937B5" w:rsidRPr="00B77AE9" w:rsidRDefault="00D937B5" w:rsidP="00D937B5">
      <w:pPr>
        <w:pStyle w:val="SingleTxtG"/>
      </w:pPr>
      <w:r>
        <w:t>212.</w:t>
      </w:r>
      <w:r>
        <w:tab/>
        <w:t>Национальное законодательство Коста-Рики предусматривает как судебные, так и административные гарантии возможности обращения за помощью к компетентным национальным органам в случае любого нарушения прав человека, которые признаются, интегрируются и предусматриваются в законодательстве Коста-Рики.</w:t>
      </w:r>
    </w:p>
    <w:p w14:paraId="12E21E1C" w14:textId="77777777" w:rsidR="00D937B5" w:rsidRPr="00AC0E2B" w:rsidRDefault="00D937B5" w:rsidP="00D937B5">
      <w:pPr>
        <w:pStyle w:val="SingleTxtG"/>
      </w:pPr>
      <w:r>
        <w:t>213.</w:t>
      </w:r>
      <w:r>
        <w:tab/>
        <w:t>К числу имеющихся средств правовой защиты относятся иск о неконституционности, ходатайство о применении процедуры ампаро и ходатайство о применении хабеас корпус, подаваемые в Конституционную палату; а также жалоба в любой суд и административное средство правовой защиты в поддержку соблюдения положений, в числе которых особо отмечаются инспекторы учреждений или официально аккредитованный персонал в зависимости от государственного учреждения и его компетенции.</w:t>
      </w:r>
    </w:p>
    <w:p w14:paraId="07A9D218" w14:textId="77777777" w:rsidR="00381C24" w:rsidRPr="00D937B5" w:rsidRDefault="00D937B5" w:rsidP="00D937B5">
      <w:pPr>
        <w:spacing w:before="240"/>
        <w:jc w:val="center"/>
        <w:rPr>
          <w:u w:val="single"/>
        </w:rPr>
      </w:pPr>
      <w:r>
        <w:rPr>
          <w:u w:val="single"/>
        </w:rPr>
        <w:tab/>
      </w:r>
      <w:r>
        <w:rPr>
          <w:u w:val="single"/>
        </w:rPr>
        <w:tab/>
      </w:r>
      <w:r>
        <w:rPr>
          <w:u w:val="single"/>
        </w:rPr>
        <w:tab/>
      </w:r>
    </w:p>
    <w:sectPr w:rsidR="00381C24" w:rsidRPr="00D937B5" w:rsidSect="00D937B5">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B671D2" w14:textId="77777777" w:rsidR="00D606AF" w:rsidRPr="00A312BC" w:rsidRDefault="00D606AF" w:rsidP="00A312BC"/>
  </w:endnote>
  <w:endnote w:type="continuationSeparator" w:id="0">
    <w:p w14:paraId="730182D7" w14:textId="77777777" w:rsidR="00D606AF" w:rsidRPr="00A312BC" w:rsidRDefault="00D606AF"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1BA92" w14:textId="196C90E7" w:rsidR="00D937B5" w:rsidRPr="00D937B5" w:rsidRDefault="00D937B5">
    <w:pPr>
      <w:pStyle w:val="a8"/>
    </w:pPr>
    <w:r w:rsidRPr="00D937B5">
      <w:rPr>
        <w:b/>
        <w:sz w:val="18"/>
      </w:rPr>
      <w:fldChar w:fldCharType="begin"/>
    </w:r>
    <w:r w:rsidRPr="00D937B5">
      <w:rPr>
        <w:b/>
        <w:sz w:val="18"/>
      </w:rPr>
      <w:instrText xml:space="preserve"> PAGE  \* MERGEFORMAT </w:instrText>
    </w:r>
    <w:r w:rsidRPr="00D937B5">
      <w:rPr>
        <w:b/>
        <w:sz w:val="18"/>
      </w:rPr>
      <w:fldChar w:fldCharType="separate"/>
    </w:r>
    <w:r w:rsidR="00C965D1">
      <w:rPr>
        <w:b/>
        <w:noProof/>
        <w:sz w:val="18"/>
      </w:rPr>
      <w:t>32</w:t>
    </w:r>
    <w:r w:rsidRPr="00D937B5">
      <w:rPr>
        <w:b/>
        <w:sz w:val="18"/>
      </w:rPr>
      <w:fldChar w:fldCharType="end"/>
    </w:r>
    <w:r>
      <w:rPr>
        <w:b/>
        <w:sz w:val="18"/>
      </w:rPr>
      <w:tab/>
    </w:r>
    <w:r>
      <w:t>GE.19-05012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E9CD2" w14:textId="0D35D8FF" w:rsidR="00D937B5" w:rsidRPr="00D937B5" w:rsidRDefault="00D937B5" w:rsidP="00D937B5">
    <w:pPr>
      <w:pStyle w:val="a8"/>
      <w:tabs>
        <w:tab w:val="clear" w:pos="9639"/>
        <w:tab w:val="right" w:pos="9638"/>
      </w:tabs>
      <w:rPr>
        <w:b/>
        <w:sz w:val="18"/>
      </w:rPr>
    </w:pPr>
    <w:r>
      <w:t>GE.19-05012</w:t>
    </w:r>
    <w:r>
      <w:tab/>
    </w:r>
    <w:r w:rsidRPr="00D937B5">
      <w:rPr>
        <w:b/>
        <w:sz w:val="18"/>
      </w:rPr>
      <w:fldChar w:fldCharType="begin"/>
    </w:r>
    <w:r w:rsidRPr="00D937B5">
      <w:rPr>
        <w:b/>
        <w:sz w:val="18"/>
      </w:rPr>
      <w:instrText xml:space="preserve"> PAGE  \* MERGEFORMAT </w:instrText>
    </w:r>
    <w:r w:rsidRPr="00D937B5">
      <w:rPr>
        <w:b/>
        <w:sz w:val="18"/>
      </w:rPr>
      <w:fldChar w:fldCharType="separate"/>
    </w:r>
    <w:r w:rsidR="00C965D1">
      <w:rPr>
        <w:b/>
        <w:noProof/>
        <w:sz w:val="18"/>
      </w:rPr>
      <w:t>33</w:t>
    </w:r>
    <w:r w:rsidRPr="00D937B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2E799" w14:textId="77777777" w:rsidR="00042B72" w:rsidRPr="00D937B5" w:rsidRDefault="00D937B5" w:rsidP="00D937B5">
    <w:pPr>
      <w:spacing w:before="120" w:line="240" w:lineRule="auto"/>
    </w:pPr>
    <w:r>
      <w:t>GE.</w:t>
    </w:r>
    <w:r w:rsidR="00DF71B9">
      <w:rPr>
        <w:b/>
        <w:noProof/>
        <w:lang w:val="en-US"/>
      </w:rPr>
      <w:drawing>
        <wp:anchor distT="0" distB="0" distL="114300" distR="114300" simplePos="0" relativeHeight="251658240" behindDoc="0" locked="0" layoutInCell="1" allowOverlap="1" wp14:anchorId="370F7855" wp14:editId="67882C18">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19-05012  (R)</w:t>
    </w:r>
    <w:r>
      <w:rPr>
        <w:lang w:val="en-US"/>
      </w:rPr>
      <w:t xml:space="preserve">   170619  </w:t>
    </w:r>
    <w:r w:rsidR="00AA7265">
      <w:t>20</w:t>
    </w:r>
    <w:r>
      <w:rPr>
        <w:lang w:val="en-US"/>
      </w:rPr>
      <w:t>0619</w:t>
    </w:r>
    <w:r>
      <w:br/>
    </w:r>
    <w:r w:rsidRPr="00D937B5">
      <w:rPr>
        <w:rFonts w:ascii="C39T30Lfz" w:hAnsi="C39T30Lfz"/>
        <w:kern w:val="14"/>
        <w:sz w:val="56"/>
      </w:rPr>
      <w:t></w:t>
    </w:r>
    <w:r w:rsidRPr="00D937B5">
      <w:rPr>
        <w:rFonts w:ascii="C39T30Lfz" w:hAnsi="C39T30Lfz"/>
        <w:kern w:val="14"/>
        <w:sz w:val="56"/>
      </w:rPr>
      <w:t></w:t>
    </w:r>
    <w:r w:rsidRPr="00D937B5">
      <w:rPr>
        <w:rFonts w:ascii="C39T30Lfz" w:hAnsi="C39T30Lfz"/>
        <w:kern w:val="14"/>
        <w:sz w:val="56"/>
      </w:rPr>
      <w:t></w:t>
    </w:r>
    <w:r w:rsidRPr="00D937B5">
      <w:rPr>
        <w:rFonts w:ascii="C39T30Lfz" w:hAnsi="C39T30Lfz"/>
        <w:kern w:val="14"/>
        <w:sz w:val="56"/>
      </w:rPr>
      <w:t></w:t>
    </w:r>
    <w:r w:rsidRPr="00D937B5">
      <w:rPr>
        <w:rFonts w:ascii="C39T30Lfz" w:hAnsi="C39T30Lfz"/>
        <w:kern w:val="14"/>
        <w:sz w:val="56"/>
      </w:rPr>
      <w:t></w:t>
    </w:r>
    <w:r w:rsidRPr="00D937B5">
      <w:rPr>
        <w:rFonts w:ascii="C39T30Lfz" w:hAnsi="C39T30Lfz"/>
        <w:kern w:val="14"/>
        <w:sz w:val="56"/>
      </w:rPr>
      <w:t></w:t>
    </w:r>
    <w:r w:rsidRPr="00D937B5">
      <w:rPr>
        <w:rFonts w:ascii="C39T30Lfz" w:hAnsi="C39T30Lfz"/>
        <w:kern w:val="14"/>
        <w:sz w:val="56"/>
      </w:rPr>
      <w:t></w:t>
    </w:r>
    <w:r w:rsidRPr="00D937B5">
      <w:rPr>
        <w:rFonts w:ascii="C39T30Lfz" w:hAnsi="C39T30Lfz"/>
        <w:kern w:val="14"/>
        <w:sz w:val="56"/>
      </w:rPr>
      <w:t></w:t>
    </w:r>
    <w:r w:rsidRPr="00D937B5">
      <w:rPr>
        <w:rFonts w:ascii="C39T30Lfz" w:hAnsi="C39T30Lfz"/>
        <w:kern w:val="14"/>
        <w:sz w:val="56"/>
      </w:rPr>
      <w:t></w:t>
    </w:r>
    <w:r>
      <w:rPr>
        <w:noProof/>
        <w:lang w:val="en-US"/>
      </w:rPr>
      <w:drawing>
        <wp:anchor distT="0" distB="0" distL="114300" distR="114300" simplePos="0" relativeHeight="251659264" behindDoc="0" locked="0" layoutInCell="1" allowOverlap="1" wp14:anchorId="6E107F0A" wp14:editId="09E6992C">
          <wp:simplePos x="0" y="0"/>
          <wp:positionH relativeFrom="margin">
            <wp:posOffset>5489575</wp:posOffset>
          </wp:positionH>
          <wp:positionV relativeFrom="margin">
            <wp:posOffset>8855710</wp:posOffset>
          </wp:positionV>
          <wp:extent cx="561975" cy="561975"/>
          <wp:effectExtent l="0" t="0" r="9525" b="9525"/>
          <wp:wrapNone/>
          <wp:docPr id="2" name="Рисунок 1" descr="https://undocs.org/m2/QRCode.ashx?DS=HRI/CORE/CRI/2019&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HRI/CORE/CRI/2019&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A3228C" w14:textId="77777777" w:rsidR="00D606AF" w:rsidRPr="001075E9" w:rsidRDefault="00D606AF" w:rsidP="001075E9">
      <w:pPr>
        <w:tabs>
          <w:tab w:val="right" w:pos="2155"/>
        </w:tabs>
        <w:spacing w:after="80" w:line="240" w:lineRule="auto"/>
        <w:ind w:left="680"/>
        <w:rPr>
          <w:u w:val="single"/>
        </w:rPr>
      </w:pPr>
      <w:r>
        <w:rPr>
          <w:u w:val="single"/>
        </w:rPr>
        <w:tab/>
      </w:r>
    </w:p>
  </w:footnote>
  <w:footnote w:type="continuationSeparator" w:id="0">
    <w:p w14:paraId="767861F0" w14:textId="77777777" w:rsidR="00D606AF" w:rsidRDefault="00D606AF" w:rsidP="00407B78">
      <w:pPr>
        <w:tabs>
          <w:tab w:val="right" w:pos="2155"/>
        </w:tabs>
        <w:spacing w:after="80"/>
        <w:ind w:left="680"/>
        <w:rPr>
          <w:u w:val="single"/>
        </w:rPr>
      </w:pPr>
      <w:r>
        <w:rPr>
          <w:u w:val="single"/>
        </w:rPr>
        <w:tab/>
      </w:r>
    </w:p>
  </w:footnote>
  <w:footnote w:id="1">
    <w:p w14:paraId="6E8EEE3F" w14:textId="77777777" w:rsidR="00D937B5" w:rsidRPr="003E77E4" w:rsidRDefault="00D937B5" w:rsidP="00D937B5">
      <w:pPr>
        <w:pStyle w:val="ad"/>
      </w:pPr>
      <w:r w:rsidRPr="003E77E4">
        <w:tab/>
        <w:t>*</w:t>
      </w:r>
      <w:r w:rsidRPr="003E77E4">
        <w:tab/>
        <w:t>Настоящий документ выпускается без официального редактирования.</w:t>
      </w:r>
    </w:p>
  </w:footnote>
  <w:footnote w:id="2">
    <w:p w14:paraId="7C56C8BD" w14:textId="77777777" w:rsidR="00D937B5" w:rsidRPr="003E77E4" w:rsidRDefault="00D937B5" w:rsidP="00D937B5">
      <w:pPr>
        <w:pStyle w:val="ad"/>
      </w:pPr>
      <w:r w:rsidRPr="003E77E4">
        <w:tab/>
        <w:t>**</w:t>
      </w:r>
      <w:r w:rsidRPr="003E77E4">
        <w:tab/>
        <w:t>С приложениями можно ознакомиться на веб-сайте.</w:t>
      </w:r>
    </w:p>
  </w:footnote>
  <w:footnote w:id="3">
    <w:p w14:paraId="2860038E" w14:textId="77777777" w:rsidR="00D937B5" w:rsidRPr="003E77E4" w:rsidRDefault="00D937B5" w:rsidP="00D937B5">
      <w:pPr>
        <w:pStyle w:val="ad"/>
      </w:pPr>
      <w:r w:rsidRPr="003E77E4">
        <w:tab/>
      </w:r>
      <w:r w:rsidRPr="003E77E4">
        <w:rPr>
          <w:rStyle w:val="aa"/>
        </w:rPr>
        <w:footnoteRef/>
      </w:r>
      <w:r w:rsidRPr="003E77E4">
        <w:tab/>
        <w:t xml:space="preserve">См. Constitución Política, artículo 76 en: </w:t>
      </w:r>
      <w:hyperlink r:id="rId1" w:history="1">
        <w:r w:rsidRPr="003E77E4">
          <w:t>http://www.pgrweb.go.cr/scij/busqueda/normativa/normas/</w:t>
        </w:r>
        <w:r w:rsidRPr="003E77E4">
          <w:br/>
          <w:t>nrm_texto_completo.aspx?nValor1=1&amp;nValor2=871&amp;param1=NRTC&amp;strTipM=TC</w:t>
        </w:r>
      </w:hyperlink>
      <w:r w:rsidRPr="003E77E4">
        <w:t>.</w:t>
      </w:r>
    </w:p>
  </w:footnote>
  <w:footnote w:id="4">
    <w:p w14:paraId="06753309" w14:textId="77777777" w:rsidR="00D937B5" w:rsidRPr="003E77E4" w:rsidRDefault="00D937B5" w:rsidP="00D937B5">
      <w:pPr>
        <w:pStyle w:val="ad"/>
      </w:pPr>
      <w:r w:rsidRPr="003E77E4">
        <w:tab/>
      </w:r>
      <w:r w:rsidRPr="003E77E4">
        <w:rPr>
          <w:rStyle w:val="aa"/>
        </w:rPr>
        <w:footnoteRef/>
      </w:r>
      <w:r w:rsidRPr="003E77E4">
        <w:tab/>
        <w:t>В национальном законодательстве признаются восемь автохтонных народов: брибри, брунка, кабекар, чоротега, уэтар, малеку, нгобе, терибе и терраба.</w:t>
      </w:r>
    </w:p>
  </w:footnote>
  <w:footnote w:id="5">
    <w:p w14:paraId="59338894" w14:textId="77777777" w:rsidR="00D937B5" w:rsidRPr="003E77E4" w:rsidRDefault="00D937B5" w:rsidP="00D937B5">
      <w:pPr>
        <w:pStyle w:val="ad"/>
      </w:pPr>
      <w:r w:rsidRPr="003E77E4">
        <w:tab/>
      </w:r>
      <w:r w:rsidRPr="003E77E4">
        <w:rPr>
          <w:rStyle w:val="aa"/>
        </w:rPr>
        <w:footnoteRef/>
      </w:r>
      <w:r w:rsidRPr="003E77E4">
        <w:tab/>
        <w:t>Данные, представленные в рамках статистического подпроцесса Управления планирования судебной системы Коста-Рики.</w:t>
      </w:r>
    </w:p>
  </w:footnote>
  <w:footnote w:id="6">
    <w:p w14:paraId="290B8B54" w14:textId="77777777" w:rsidR="00D937B5" w:rsidRPr="003E77E4" w:rsidRDefault="00D937B5" w:rsidP="00D937B5">
      <w:pPr>
        <w:pStyle w:val="ad"/>
      </w:pPr>
      <w:r w:rsidRPr="003E77E4">
        <w:tab/>
      </w:r>
      <w:r w:rsidRPr="003E77E4">
        <w:rPr>
          <w:rStyle w:val="aa"/>
        </w:rPr>
        <w:footnoteRef/>
      </w:r>
      <w:r w:rsidRPr="003E77E4">
        <w:tab/>
        <w:t>Резолюции, собранные на платформе судебной власти под названием Nexus.Pj, где граждане могут бесплатно ознакомиться с судебной и дисциплинарной практикой, актами Верховного суда, Высшего совета, Судебного совета, а также с уведомлениями и циркулярами. Платформа находится по адресу</w:t>
      </w:r>
      <w:r w:rsidR="00247765" w:rsidRPr="003E77E4">
        <w:t xml:space="preserve"> </w:t>
      </w:r>
      <w:hyperlink r:id="rId2" w:history="1">
        <w:r w:rsidR="00247765" w:rsidRPr="003E77E4">
          <w:rPr>
            <w:rStyle w:val="af1"/>
            <w:color w:val="auto"/>
          </w:rPr>
          <w:t>https://nexuspj.poder-judicial.go.cr/</w:t>
        </w:r>
      </w:hyperlink>
      <w:r w:rsidRPr="003E77E4">
        <w:t>.</w:t>
      </w:r>
    </w:p>
  </w:footnote>
  <w:footnote w:id="7">
    <w:p w14:paraId="3AECEF21" w14:textId="77777777" w:rsidR="00D937B5" w:rsidRPr="003E77E4" w:rsidRDefault="00D937B5" w:rsidP="00D937B5">
      <w:pPr>
        <w:pStyle w:val="ad"/>
      </w:pPr>
      <w:r w:rsidRPr="003E77E4">
        <w:tab/>
      </w:r>
      <w:r w:rsidRPr="003E77E4">
        <w:rPr>
          <w:rStyle w:val="aa"/>
        </w:rPr>
        <w:footnoteRef/>
      </w:r>
      <w:r w:rsidRPr="003E77E4">
        <w:tab/>
        <w:t>См.</w:t>
      </w:r>
      <w:r w:rsidR="00247765" w:rsidRPr="003E77E4">
        <w:t xml:space="preserve"> </w:t>
      </w:r>
      <w:hyperlink r:id="rId3" w:history="1">
        <w:r w:rsidR="00247765" w:rsidRPr="003E77E4">
          <w:rPr>
            <w:rStyle w:val="af1"/>
            <w:color w:val="auto"/>
          </w:rPr>
          <w:t>https://nexuspj.poder-judicial.go.cr/document/sen-1-0034-606675</w:t>
        </w:r>
      </w:hyperlink>
      <w:r w:rsidRPr="003E77E4">
        <w:t>.</w:t>
      </w:r>
    </w:p>
  </w:footnote>
  <w:footnote w:id="8">
    <w:p w14:paraId="2E9EA81F" w14:textId="77777777" w:rsidR="00D937B5" w:rsidRPr="003E77E4" w:rsidRDefault="00D937B5" w:rsidP="00D937B5">
      <w:pPr>
        <w:pStyle w:val="ad"/>
      </w:pPr>
      <w:r w:rsidRPr="003E77E4">
        <w:tab/>
      </w:r>
      <w:r w:rsidRPr="003E77E4">
        <w:rPr>
          <w:rStyle w:val="aa"/>
        </w:rPr>
        <w:footnoteRef/>
      </w:r>
      <w:r w:rsidRPr="003E77E4">
        <w:tab/>
        <w:t xml:space="preserve">См. </w:t>
      </w:r>
      <w:hyperlink r:id="rId4" w:history="1">
        <w:r w:rsidRPr="003E77E4">
          <w:rPr>
            <w:rStyle w:val="af1"/>
            <w:color w:val="auto"/>
          </w:rPr>
          <w:t>https://nexuspj.poder-judicial.go.cr/document/sen-1-0034-491431</w:t>
        </w:r>
      </w:hyperlink>
      <w:r w:rsidRPr="003E77E4">
        <w:t>.</w:t>
      </w:r>
    </w:p>
  </w:footnote>
  <w:footnote w:id="9">
    <w:p w14:paraId="17A46CA7" w14:textId="77777777" w:rsidR="00D937B5" w:rsidRPr="003E77E4" w:rsidRDefault="00D937B5" w:rsidP="00D937B5">
      <w:pPr>
        <w:pStyle w:val="ad"/>
      </w:pPr>
      <w:r w:rsidRPr="003E77E4">
        <w:tab/>
      </w:r>
      <w:r w:rsidRPr="003E77E4">
        <w:rPr>
          <w:rStyle w:val="aa"/>
        </w:rPr>
        <w:footnoteRef/>
      </w:r>
      <w:r w:rsidRPr="003E77E4">
        <w:tab/>
        <w:t>Резолюции, собранные на платформе судебной власти под названием Nexus.Pj, где граждане могут бесплатно ознакомиться с судебной и дисциплинарной практикой, актами Верховного суда, Высшего совета, Судебного совета, а также с уведомлениями и циркулярами. Платформа находится по адресу</w:t>
      </w:r>
      <w:r w:rsidR="00247765" w:rsidRPr="003E77E4">
        <w:t xml:space="preserve"> </w:t>
      </w:r>
      <w:hyperlink r:id="rId5" w:history="1">
        <w:r w:rsidR="00247765" w:rsidRPr="003E77E4">
          <w:rPr>
            <w:rStyle w:val="af1"/>
            <w:color w:val="auto"/>
          </w:rPr>
          <w:t>https://nexuspj.poder-judicial.go.cr/</w:t>
        </w:r>
      </w:hyperlink>
      <w:r w:rsidRPr="003E77E4">
        <w:t>.</w:t>
      </w:r>
    </w:p>
  </w:footnote>
  <w:footnote w:id="10">
    <w:p w14:paraId="19E90FC6" w14:textId="77777777" w:rsidR="00D937B5" w:rsidRPr="003E77E4" w:rsidRDefault="00D937B5" w:rsidP="00D937B5">
      <w:pPr>
        <w:pStyle w:val="ad"/>
      </w:pPr>
      <w:r w:rsidRPr="003E77E4">
        <w:tab/>
      </w:r>
      <w:r w:rsidRPr="003E77E4">
        <w:rPr>
          <w:rStyle w:val="aa"/>
        </w:rPr>
        <w:footnoteRef/>
      </w:r>
      <w:r w:rsidRPr="003E77E4">
        <w:tab/>
        <w:t xml:space="preserve">См. </w:t>
      </w:r>
      <w:hyperlink r:id="rId6" w:history="1">
        <w:r w:rsidRPr="003E77E4">
          <w:rPr>
            <w:rStyle w:val="af1"/>
            <w:color w:val="auto"/>
          </w:rPr>
          <w:t>https://nexuspj.poder-judicial.go.cr/document/sen-1-0007-193700</w:t>
        </w:r>
      </w:hyperlink>
      <w:r w:rsidRPr="003E77E4">
        <w:t>.</w:t>
      </w:r>
    </w:p>
  </w:footnote>
  <w:footnote w:id="11">
    <w:p w14:paraId="1D0ECEE3" w14:textId="77777777" w:rsidR="00D937B5" w:rsidRPr="003E77E4" w:rsidRDefault="00D937B5" w:rsidP="00D937B5">
      <w:pPr>
        <w:pStyle w:val="ad"/>
      </w:pPr>
      <w:r w:rsidRPr="003E77E4">
        <w:tab/>
      </w:r>
      <w:r w:rsidRPr="003E77E4">
        <w:rPr>
          <w:rStyle w:val="aa"/>
        </w:rPr>
        <w:footnoteRef/>
      </w:r>
      <w:r w:rsidRPr="003E77E4">
        <w:tab/>
        <w:t>Резолюции, собранные на платформе судебной власти под названием Nexus.Pj, где граждане могут бесплатно ознакомиться с судебной и дисциплинарной практикой, актами Верховного суда, Высшего совета, Судебного совета, а также с уведомлениями и циркулярами. Платформа находится по адресу</w:t>
      </w:r>
      <w:r w:rsidR="00247765" w:rsidRPr="003E77E4">
        <w:t xml:space="preserve"> </w:t>
      </w:r>
      <w:hyperlink r:id="rId7" w:history="1">
        <w:r w:rsidR="00247765" w:rsidRPr="003E77E4">
          <w:rPr>
            <w:rStyle w:val="af1"/>
            <w:color w:val="auto"/>
          </w:rPr>
          <w:t>https://nexuspj.poder-judicial.go.cr/</w:t>
        </w:r>
      </w:hyperlink>
      <w:r w:rsidRPr="003E77E4">
        <w:t>.</w:t>
      </w:r>
    </w:p>
  </w:footnote>
  <w:footnote w:id="12">
    <w:p w14:paraId="5C239788" w14:textId="77777777" w:rsidR="00D937B5" w:rsidRPr="003E77E4" w:rsidRDefault="00D937B5" w:rsidP="00D937B5">
      <w:pPr>
        <w:pStyle w:val="ad"/>
      </w:pPr>
      <w:r w:rsidRPr="003E77E4">
        <w:tab/>
      </w:r>
      <w:r w:rsidRPr="003E77E4">
        <w:rPr>
          <w:rStyle w:val="aa"/>
        </w:rPr>
        <w:footnoteRef/>
      </w:r>
      <w:r w:rsidRPr="003E77E4">
        <w:tab/>
        <w:t xml:space="preserve">См. </w:t>
      </w:r>
      <w:hyperlink r:id="rId8" w:history="1">
        <w:r w:rsidRPr="003E77E4">
          <w:rPr>
            <w:rStyle w:val="af1"/>
            <w:color w:val="auto"/>
          </w:rPr>
          <w:t>https://nexuspj.poder-judicial.go.cr/document/sen-1-0007-353140</w:t>
        </w:r>
      </w:hyperlink>
      <w:r w:rsidRPr="003E77E4">
        <w:t>.</w:t>
      </w:r>
    </w:p>
  </w:footnote>
  <w:footnote w:id="13">
    <w:p w14:paraId="5C7917AB" w14:textId="77777777" w:rsidR="00D937B5" w:rsidRPr="003E77E4" w:rsidRDefault="00D937B5" w:rsidP="00D937B5">
      <w:pPr>
        <w:pStyle w:val="ad"/>
      </w:pPr>
      <w:r w:rsidRPr="003E77E4">
        <w:tab/>
      </w:r>
      <w:r w:rsidRPr="003E77E4">
        <w:rPr>
          <w:rStyle w:val="aa"/>
        </w:rPr>
        <w:footnoteRef/>
      </w:r>
      <w:r w:rsidRPr="003E77E4">
        <w:tab/>
        <w:t xml:space="preserve">См. </w:t>
      </w:r>
      <w:hyperlink r:id="rId9" w:history="1">
        <w:r w:rsidRPr="003E77E4">
          <w:rPr>
            <w:rStyle w:val="af1"/>
            <w:color w:val="auto"/>
          </w:rPr>
          <w:t>https://nexuspj.poder-judicial.go.cr/document/sen-1-0007-684903</w:t>
        </w:r>
      </w:hyperlink>
      <w:r w:rsidRPr="003E77E4">
        <w:t>.</w:t>
      </w:r>
    </w:p>
  </w:footnote>
  <w:footnote w:id="14">
    <w:p w14:paraId="2C8DDE1A" w14:textId="77777777" w:rsidR="00D937B5" w:rsidRPr="003E77E4" w:rsidRDefault="00D937B5" w:rsidP="00D937B5">
      <w:pPr>
        <w:pStyle w:val="ad"/>
      </w:pPr>
      <w:r w:rsidRPr="003E77E4">
        <w:tab/>
      </w:r>
      <w:r w:rsidRPr="003E77E4">
        <w:rPr>
          <w:rStyle w:val="aa"/>
        </w:rPr>
        <w:footnoteRef/>
      </w:r>
      <w:r w:rsidRPr="003E77E4">
        <w:tab/>
        <w:t>Резолюции, собранные на платформе судебной власти под названием Nexus.Pj, в которой граждане могут бесплатно ознакомиться с судебной и дисциплинарной практикой, актами Верховного суда, Высшего совета, Судебного совета, а также с уведомлениями и циркулярами. Платформа находится по адресу</w:t>
      </w:r>
      <w:r w:rsidR="00247765" w:rsidRPr="003E77E4">
        <w:t xml:space="preserve"> </w:t>
      </w:r>
      <w:hyperlink r:id="rId10" w:history="1">
        <w:r w:rsidR="00247765" w:rsidRPr="003E77E4">
          <w:rPr>
            <w:rStyle w:val="af1"/>
            <w:color w:val="auto"/>
          </w:rPr>
          <w:t>https://nexuspj.poder-judicial.go.cr/</w:t>
        </w:r>
      </w:hyperlink>
      <w:r w:rsidRPr="003E77E4">
        <w:t>.</w:t>
      </w:r>
    </w:p>
  </w:footnote>
  <w:footnote w:id="15">
    <w:p w14:paraId="598E6343" w14:textId="77777777" w:rsidR="00D937B5" w:rsidRPr="003E77E4" w:rsidRDefault="00D937B5" w:rsidP="00D937B5">
      <w:pPr>
        <w:pStyle w:val="ad"/>
      </w:pPr>
      <w:r w:rsidRPr="003E77E4">
        <w:tab/>
      </w:r>
      <w:r w:rsidRPr="003E77E4">
        <w:rPr>
          <w:rStyle w:val="aa"/>
        </w:rPr>
        <w:footnoteRef/>
      </w:r>
      <w:r w:rsidRPr="003E77E4">
        <w:tab/>
        <w:t xml:space="preserve">См. </w:t>
      </w:r>
      <w:hyperlink r:id="rId11" w:history="1">
        <w:r w:rsidRPr="003E77E4">
          <w:rPr>
            <w:rStyle w:val="af1"/>
            <w:color w:val="auto"/>
          </w:rPr>
          <w:t>https://nexuspj.poder-judicial.go.cr/document/sen-1-0007-428922</w:t>
        </w:r>
      </w:hyperlink>
      <w:r w:rsidRPr="003E77E4">
        <w:t>.</w:t>
      </w:r>
    </w:p>
  </w:footnote>
  <w:footnote w:id="16">
    <w:p w14:paraId="4682D6AF" w14:textId="77777777" w:rsidR="00D937B5" w:rsidRPr="003E77E4" w:rsidRDefault="00D937B5" w:rsidP="00D937B5">
      <w:pPr>
        <w:pStyle w:val="ad"/>
      </w:pPr>
      <w:r w:rsidRPr="003E77E4">
        <w:tab/>
      </w:r>
      <w:r w:rsidRPr="003E77E4">
        <w:rPr>
          <w:rStyle w:val="aa"/>
        </w:rPr>
        <w:footnoteRef/>
      </w:r>
      <w:r w:rsidRPr="003E77E4">
        <w:tab/>
        <w:t xml:space="preserve">См. </w:t>
      </w:r>
      <w:hyperlink r:id="rId12" w:history="1">
        <w:r w:rsidRPr="003E77E4">
          <w:rPr>
            <w:rStyle w:val="af1"/>
            <w:color w:val="auto"/>
          </w:rPr>
          <w:t>https://nexuspj.poder-judicial.go.cr/document/sen-1-0034-534384</w:t>
        </w:r>
      </w:hyperlink>
      <w:r w:rsidRPr="003E77E4">
        <w:t>.</w:t>
      </w:r>
    </w:p>
  </w:footnote>
  <w:footnote w:id="17">
    <w:p w14:paraId="2472CD25" w14:textId="77777777" w:rsidR="00D937B5" w:rsidRPr="003E77E4" w:rsidRDefault="00D937B5" w:rsidP="00D937B5">
      <w:pPr>
        <w:pStyle w:val="ad"/>
      </w:pPr>
      <w:r w:rsidRPr="003E77E4">
        <w:tab/>
      </w:r>
      <w:r w:rsidRPr="003E77E4">
        <w:rPr>
          <w:rStyle w:val="aa"/>
        </w:rPr>
        <w:footnoteRef/>
      </w:r>
      <w:r w:rsidRPr="003E77E4">
        <w:tab/>
        <w:t xml:space="preserve">См. </w:t>
      </w:r>
      <w:hyperlink r:id="rId13" w:history="1">
        <w:r w:rsidRPr="003E77E4">
          <w:rPr>
            <w:rStyle w:val="af1"/>
            <w:color w:val="auto"/>
          </w:rPr>
          <w:t>https://nexuspj.poder-judicial.go.cr/document/sen-1-0034- 445368e</w:t>
        </w:r>
      </w:hyperlink>
      <w:r w:rsidRPr="003E77E4">
        <w:t>.</w:t>
      </w:r>
    </w:p>
  </w:footnote>
  <w:footnote w:id="18">
    <w:p w14:paraId="6334C88D" w14:textId="77777777" w:rsidR="00D937B5" w:rsidRPr="003E77E4" w:rsidRDefault="00D937B5" w:rsidP="00D937B5">
      <w:pPr>
        <w:pStyle w:val="ad"/>
      </w:pPr>
      <w:r w:rsidRPr="003E77E4">
        <w:tab/>
      </w:r>
      <w:r w:rsidRPr="003E77E4">
        <w:rPr>
          <w:rStyle w:val="aa"/>
        </w:rPr>
        <w:footnoteRef/>
      </w:r>
      <w:r w:rsidRPr="003E77E4">
        <w:tab/>
        <w:t>Резолюции, собранные на платформе судебной власти под названием Nexus.Pj, где граждане могут бесплатно ознакомиться с судебной и дисциплинарной практикой, актами Верховного суда, Высшего совета, Судебного совета, а также с уведомлениями и циркулярами. Платформа находится по адресу</w:t>
      </w:r>
      <w:r w:rsidR="00247765" w:rsidRPr="003E77E4">
        <w:t xml:space="preserve"> </w:t>
      </w:r>
      <w:hyperlink r:id="rId14" w:history="1">
        <w:r w:rsidR="00247765" w:rsidRPr="003E77E4">
          <w:rPr>
            <w:rStyle w:val="af1"/>
            <w:color w:val="auto"/>
          </w:rPr>
          <w:t>https://nexuspj.poder-judicial.go.cr/</w:t>
        </w:r>
      </w:hyperlink>
      <w:r w:rsidRPr="003E77E4">
        <w:t>.</w:t>
      </w:r>
    </w:p>
  </w:footnote>
  <w:footnote w:id="19">
    <w:p w14:paraId="7AFEA754" w14:textId="77777777" w:rsidR="00D937B5" w:rsidRPr="003E77E4" w:rsidRDefault="00D937B5" w:rsidP="00D937B5">
      <w:pPr>
        <w:pStyle w:val="ad"/>
      </w:pPr>
      <w:r w:rsidRPr="003E77E4">
        <w:tab/>
      </w:r>
      <w:r w:rsidRPr="003E77E4">
        <w:rPr>
          <w:rStyle w:val="aa"/>
        </w:rPr>
        <w:footnoteRef/>
      </w:r>
      <w:r w:rsidRPr="003E77E4">
        <w:tab/>
        <w:t>Принцип законности закреплен в статье 7 политической Конституции и статье 7 Основного закона о государственных органах и обязывает государственные органы и государственных служащих действовать в соответствии с законодательством Республики.</w:t>
      </w:r>
    </w:p>
  </w:footnote>
  <w:footnote w:id="20">
    <w:p w14:paraId="1666471E" w14:textId="77777777" w:rsidR="00D937B5" w:rsidRPr="003E77E4" w:rsidRDefault="00D937B5" w:rsidP="00D937B5">
      <w:pPr>
        <w:pStyle w:val="ad"/>
      </w:pPr>
      <w:r w:rsidRPr="003E77E4">
        <w:tab/>
      </w:r>
      <w:r w:rsidRPr="003E77E4">
        <w:rPr>
          <w:rStyle w:val="aa"/>
        </w:rPr>
        <w:footnoteRef/>
      </w:r>
      <w:r w:rsidRPr="003E77E4">
        <w:tab/>
        <w:t>См. резолюцию № 03076-2011 от 9 марта 2011 года по адресу</w:t>
      </w:r>
      <w:r w:rsidR="00247765" w:rsidRPr="003E77E4">
        <w:t xml:space="preserve"> </w:t>
      </w:r>
      <w:hyperlink r:id="rId15" w:history="1">
        <w:r w:rsidR="00247765" w:rsidRPr="003E77E4">
          <w:rPr>
            <w:rStyle w:val="af1"/>
            <w:color w:val="auto"/>
          </w:rPr>
          <w:t>https://nexuspj.poder-judicial.go.cr/document/sen-1-0007-506591</w:t>
        </w:r>
      </w:hyperlink>
      <w:r w:rsidRPr="003E77E4">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D71F9" w14:textId="509689F8" w:rsidR="00D937B5" w:rsidRPr="00D937B5" w:rsidRDefault="00C965D1">
    <w:pPr>
      <w:pStyle w:val="a5"/>
    </w:pPr>
    <w:r>
      <w:fldChar w:fldCharType="begin"/>
    </w:r>
    <w:r>
      <w:instrText xml:space="preserve"> TITLE  </w:instrText>
    </w:r>
    <w:r>
      <w:instrText xml:space="preserve">\* MERGEFORMAT </w:instrText>
    </w:r>
    <w:r>
      <w:fldChar w:fldCharType="separate"/>
    </w:r>
    <w:r>
      <w:t>HRI/CORE/CRI/2019</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46834" w14:textId="0B57B127" w:rsidR="00D937B5" w:rsidRPr="00D937B5" w:rsidRDefault="00C965D1" w:rsidP="00D937B5">
    <w:pPr>
      <w:pStyle w:val="a5"/>
      <w:jc w:val="right"/>
    </w:pPr>
    <w:r>
      <w:fldChar w:fldCharType="begin"/>
    </w:r>
    <w:r>
      <w:instrText xml:space="preserve"> TITLE  \* MERGEFORMAT </w:instrText>
    </w:r>
    <w:r>
      <w:fldChar w:fldCharType="separate"/>
    </w:r>
    <w:r>
      <w:t>HRI/CORE/CRI/2019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81768B"/>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6846FC5"/>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287E2A18"/>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3"/>
  </w:num>
  <w:num w:numId="3">
    <w:abstractNumId w:val="11"/>
  </w:num>
  <w:num w:numId="4">
    <w:abstractNumId w:val="12"/>
  </w:num>
  <w:num w:numId="5">
    <w:abstractNumId w:val="10"/>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4"/>
  </w:num>
  <w:num w:numId="18">
    <w:abstractNumId w:val="15"/>
  </w:num>
  <w:num w:numId="19">
    <w:abstractNumId w:val="16"/>
  </w:num>
  <w:num w:numId="20">
    <w:abstractNumId w:val="14"/>
  </w:num>
  <w:num w:numId="21">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6AF"/>
    <w:rsid w:val="00033EE1"/>
    <w:rsid w:val="00042B72"/>
    <w:rsid w:val="0005105F"/>
    <w:rsid w:val="000558BD"/>
    <w:rsid w:val="00081D9E"/>
    <w:rsid w:val="000B57E7"/>
    <w:rsid w:val="000B6373"/>
    <w:rsid w:val="000F09DF"/>
    <w:rsid w:val="000F61B2"/>
    <w:rsid w:val="001075E9"/>
    <w:rsid w:val="00180183"/>
    <w:rsid w:val="0018024D"/>
    <w:rsid w:val="00181061"/>
    <w:rsid w:val="0018649F"/>
    <w:rsid w:val="00196389"/>
    <w:rsid w:val="001B3EF6"/>
    <w:rsid w:val="001C7A89"/>
    <w:rsid w:val="0020092A"/>
    <w:rsid w:val="00205D9D"/>
    <w:rsid w:val="002115B8"/>
    <w:rsid w:val="00231B15"/>
    <w:rsid w:val="00247765"/>
    <w:rsid w:val="00291476"/>
    <w:rsid w:val="002A2EFC"/>
    <w:rsid w:val="002B1258"/>
    <w:rsid w:val="002C0E18"/>
    <w:rsid w:val="002C6A31"/>
    <w:rsid w:val="002D5AAC"/>
    <w:rsid w:val="002E5067"/>
    <w:rsid w:val="002F405F"/>
    <w:rsid w:val="002F7EEC"/>
    <w:rsid w:val="00301299"/>
    <w:rsid w:val="00307FB6"/>
    <w:rsid w:val="00317339"/>
    <w:rsid w:val="00322004"/>
    <w:rsid w:val="003402C2"/>
    <w:rsid w:val="00373BCE"/>
    <w:rsid w:val="00381C24"/>
    <w:rsid w:val="003958D0"/>
    <w:rsid w:val="003A18D4"/>
    <w:rsid w:val="003A3D90"/>
    <w:rsid w:val="003B00E5"/>
    <w:rsid w:val="003E77E4"/>
    <w:rsid w:val="00407B78"/>
    <w:rsid w:val="00424203"/>
    <w:rsid w:val="004260A1"/>
    <w:rsid w:val="00452493"/>
    <w:rsid w:val="00454E07"/>
    <w:rsid w:val="00471B10"/>
    <w:rsid w:val="00472C5C"/>
    <w:rsid w:val="004A3D3B"/>
    <w:rsid w:val="004D541E"/>
    <w:rsid w:val="004D5D49"/>
    <w:rsid w:val="0050108D"/>
    <w:rsid w:val="00513081"/>
    <w:rsid w:val="00517901"/>
    <w:rsid w:val="00526683"/>
    <w:rsid w:val="00565172"/>
    <w:rsid w:val="005709E0"/>
    <w:rsid w:val="00572E19"/>
    <w:rsid w:val="005961C8"/>
    <w:rsid w:val="005D7914"/>
    <w:rsid w:val="005E2B41"/>
    <w:rsid w:val="005F0B42"/>
    <w:rsid w:val="00647E5B"/>
    <w:rsid w:val="00681A10"/>
    <w:rsid w:val="00683FE9"/>
    <w:rsid w:val="006A1ED8"/>
    <w:rsid w:val="006C2031"/>
    <w:rsid w:val="006D461A"/>
    <w:rsid w:val="006F35EE"/>
    <w:rsid w:val="007021FF"/>
    <w:rsid w:val="00712895"/>
    <w:rsid w:val="00757357"/>
    <w:rsid w:val="007B5263"/>
    <w:rsid w:val="00825F8D"/>
    <w:rsid w:val="00830E31"/>
    <w:rsid w:val="00834B71"/>
    <w:rsid w:val="0086445C"/>
    <w:rsid w:val="00894693"/>
    <w:rsid w:val="008A08D7"/>
    <w:rsid w:val="008B6909"/>
    <w:rsid w:val="00906890"/>
    <w:rsid w:val="00911BE4"/>
    <w:rsid w:val="00943923"/>
    <w:rsid w:val="00946182"/>
    <w:rsid w:val="00951972"/>
    <w:rsid w:val="009608F3"/>
    <w:rsid w:val="009729BC"/>
    <w:rsid w:val="009A24AC"/>
    <w:rsid w:val="00A312BC"/>
    <w:rsid w:val="00A658A6"/>
    <w:rsid w:val="00A84021"/>
    <w:rsid w:val="00A84D35"/>
    <w:rsid w:val="00A917B3"/>
    <w:rsid w:val="00AA7265"/>
    <w:rsid w:val="00AB4B51"/>
    <w:rsid w:val="00AD5305"/>
    <w:rsid w:val="00B10CC7"/>
    <w:rsid w:val="00B539E7"/>
    <w:rsid w:val="00B62458"/>
    <w:rsid w:val="00BC18B2"/>
    <w:rsid w:val="00BD33EE"/>
    <w:rsid w:val="00C106D6"/>
    <w:rsid w:val="00C60F0C"/>
    <w:rsid w:val="00C77D3E"/>
    <w:rsid w:val="00C805C9"/>
    <w:rsid w:val="00C92939"/>
    <w:rsid w:val="00C965D1"/>
    <w:rsid w:val="00CA1679"/>
    <w:rsid w:val="00CB151C"/>
    <w:rsid w:val="00CD285C"/>
    <w:rsid w:val="00CE5A1A"/>
    <w:rsid w:val="00CE6069"/>
    <w:rsid w:val="00CF5549"/>
    <w:rsid w:val="00CF55F6"/>
    <w:rsid w:val="00D33D63"/>
    <w:rsid w:val="00D606AF"/>
    <w:rsid w:val="00D90028"/>
    <w:rsid w:val="00D90138"/>
    <w:rsid w:val="00D937B5"/>
    <w:rsid w:val="00DC7155"/>
    <w:rsid w:val="00DF71B9"/>
    <w:rsid w:val="00E341EC"/>
    <w:rsid w:val="00E5642F"/>
    <w:rsid w:val="00E73F76"/>
    <w:rsid w:val="00EA2C9F"/>
    <w:rsid w:val="00ED0BDA"/>
    <w:rsid w:val="00ED4505"/>
    <w:rsid w:val="00EF1360"/>
    <w:rsid w:val="00EF3220"/>
    <w:rsid w:val="00F81780"/>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FE93CD5"/>
  <w15:docId w15:val="{FE603466-3DCE-42DE-8C31-D459ACE59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rsid w:val="002B1258"/>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946182"/>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CE6069"/>
    <w:pPr>
      <w:keepNext/>
      <w:outlineLvl w:val="1"/>
    </w:pPr>
    <w:rPr>
      <w:rFonts w:cs="Arial"/>
      <w:bCs/>
      <w:iCs/>
      <w:szCs w:val="28"/>
    </w:rPr>
  </w:style>
  <w:style w:type="paragraph" w:styleId="3">
    <w:name w:val="heading 3"/>
    <w:basedOn w:val="a"/>
    <w:next w:val="a"/>
    <w:semiHidden/>
    <w:rsid w:val="00CE6069"/>
    <w:pPr>
      <w:keepNext/>
      <w:spacing w:before="240" w:after="60"/>
      <w:outlineLvl w:val="2"/>
    </w:pPr>
    <w:rPr>
      <w:rFonts w:ascii="Arial" w:hAnsi="Arial" w:cs="Arial"/>
      <w:b/>
      <w:bCs/>
      <w:sz w:val="26"/>
      <w:szCs w:val="26"/>
    </w:rPr>
  </w:style>
  <w:style w:type="paragraph" w:styleId="4">
    <w:name w:val="heading 4"/>
    <w:basedOn w:val="a"/>
    <w:next w:val="a"/>
    <w:semiHidden/>
    <w:rsid w:val="00CE6069"/>
    <w:pPr>
      <w:keepNext/>
      <w:spacing w:before="240" w:after="60"/>
      <w:outlineLvl w:val="3"/>
    </w:pPr>
    <w:rPr>
      <w:b/>
      <w:bCs/>
      <w:sz w:val="28"/>
      <w:szCs w:val="28"/>
    </w:rPr>
  </w:style>
  <w:style w:type="paragraph" w:styleId="5">
    <w:name w:val="heading 5"/>
    <w:basedOn w:val="a"/>
    <w:next w:val="a"/>
    <w:semiHidden/>
    <w:rsid w:val="00CE6069"/>
    <w:pPr>
      <w:spacing w:before="240" w:after="60"/>
      <w:outlineLvl w:val="4"/>
    </w:pPr>
    <w:rPr>
      <w:b/>
      <w:bCs/>
      <w:i/>
      <w:iCs/>
      <w:sz w:val="26"/>
      <w:szCs w:val="26"/>
    </w:rPr>
  </w:style>
  <w:style w:type="paragraph" w:styleId="6">
    <w:name w:val="heading 6"/>
    <w:basedOn w:val="a"/>
    <w:next w:val="a"/>
    <w:semiHidden/>
    <w:rsid w:val="00CE6069"/>
    <w:pPr>
      <w:spacing w:before="240" w:after="60"/>
      <w:outlineLvl w:val="5"/>
    </w:pPr>
    <w:rPr>
      <w:b/>
      <w:bCs/>
      <w:sz w:val="22"/>
    </w:rPr>
  </w:style>
  <w:style w:type="paragraph" w:styleId="7">
    <w:name w:val="heading 7"/>
    <w:basedOn w:val="a"/>
    <w:next w:val="a"/>
    <w:semiHidden/>
    <w:rsid w:val="00CE6069"/>
    <w:pPr>
      <w:spacing w:before="240" w:after="60"/>
      <w:outlineLvl w:val="6"/>
    </w:pPr>
    <w:rPr>
      <w:sz w:val="24"/>
      <w:szCs w:val="24"/>
    </w:rPr>
  </w:style>
  <w:style w:type="paragraph" w:styleId="8">
    <w:name w:val="heading 8"/>
    <w:basedOn w:val="a"/>
    <w:next w:val="a"/>
    <w:semiHidden/>
    <w:rsid w:val="00CE6069"/>
    <w:pPr>
      <w:spacing w:before="240" w:after="60"/>
      <w:outlineLvl w:val="7"/>
    </w:pPr>
    <w:rPr>
      <w:i/>
      <w:iCs/>
      <w:sz w:val="24"/>
      <w:szCs w:val="24"/>
    </w:rPr>
  </w:style>
  <w:style w:type="paragraph" w:styleId="9">
    <w:name w:val="heading 9"/>
    <w:basedOn w:val="a"/>
    <w:next w:val="a"/>
    <w:semiHidden/>
    <w:rsid w:val="00CE6069"/>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CE6069"/>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565172"/>
    <w:rPr>
      <w:rFonts w:ascii="Tahoma" w:eastAsiaTheme="minorHAnsi" w:hAnsi="Tahoma" w:cs="Tahoma"/>
      <w:sz w:val="16"/>
      <w:szCs w:val="16"/>
      <w:lang w:val="ru-RU" w:eastAsia="en-US"/>
    </w:rPr>
  </w:style>
  <w:style w:type="paragraph" w:customStyle="1" w:styleId="HMG">
    <w:name w:val="_ H __M_G"/>
    <w:basedOn w:val="a"/>
    <w:next w:val="a"/>
    <w:qFormat/>
    <w:rsid w:val="00946182"/>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qFormat/>
    <w:rsid w:val="00946182"/>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qFormat/>
    <w:rsid w:val="00946182"/>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946182"/>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946182"/>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946182"/>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qFormat/>
    <w:rsid w:val="002B1258"/>
    <w:pPr>
      <w:spacing w:after="120"/>
      <w:ind w:left="1134" w:right="1134"/>
      <w:jc w:val="both"/>
    </w:pPr>
    <w:rPr>
      <w:rFonts w:eastAsia="Times New Roman" w:cs="Times New Roman"/>
      <w:szCs w:val="20"/>
    </w:rPr>
  </w:style>
  <w:style w:type="paragraph" w:customStyle="1" w:styleId="SLG">
    <w:name w:val="__S_L_G"/>
    <w:basedOn w:val="a"/>
    <w:next w:val="a"/>
    <w:qFormat/>
    <w:rsid w:val="00946182"/>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946182"/>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946182"/>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946182"/>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946182"/>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946182"/>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2B1258"/>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946182"/>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946182"/>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946182"/>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946182"/>
    <w:rPr>
      <w:b/>
      <w:sz w:val="18"/>
      <w:lang w:val="en-GB" w:eastAsia="ru-RU"/>
    </w:rPr>
  </w:style>
  <w:style w:type="character" w:styleId="a7">
    <w:name w:val="page number"/>
    <w:aliases w:val="7_G"/>
    <w:basedOn w:val="a0"/>
    <w:qFormat/>
    <w:rsid w:val="00946182"/>
    <w:rPr>
      <w:rFonts w:ascii="Times New Roman" w:hAnsi="Times New Roman"/>
      <w:b/>
      <w:sz w:val="18"/>
    </w:rPr>
  </w:style>
  <w:style w:type="paragraph" w:styleId="a8">
    <w:name w:val="footer"/>
    <w:aliases w:val="3_G"/>
    <w:basedOn w:val="a"/>
    <w:link w:val="a9"/>
    <w:qFormat/>
    <w:rsid w:val="00946182"/>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946182"/>
    <w:rPr>
      <w:sz w:val="16"/>
      <w:lang w:val="en-GB" w:eastAsia="ru-RU"/>
    </w:rPr>
  </w:style>
  <w:style w:type="character" w:styleId="aa">
    <w:name w:val="footnote reference"/>
    <w:aliases w:val="4_G,Appel note de bas de page,BVI fnr,(Ref. de nota al pie)"/>
    <w:basedOn w:val="a0"/>
    <w:qFormat/>
    <w:rsid w:val="00946182"/>
    <w:rPr>
      <w:rFonts w:ascii="Times New Roman" w:hAnsi="Times New Roman"/>
      <w:dstrike w:val="0"/>
      <w:sz w:val="18"/>
      <w:vertAlign w:val="superscript"/>
    </w:rPr>
  </w:style>
  <w:style w:type="character" w:styleId="ab">
    <w:name w:val="endnote reference"/>
    <w:aliases w:val="1_G"/>
    <w:basedOn w:val="aa"/>
    <w:qFormat/>
    <w:rsid w:val="00946182"/>
    <w:rPr>
      <w:rFonts w:ascii="Times New Roman" w:hAnsi="Times New Roman"/>
      <w:dstrike w:val="0"/>
      <w:sz w:val="18"/>
      <w:vertAlign w:val="superscript"/>
    </w:rPr>
  </w:style>
  <w:style w:type="table" w:styleId="ac">
    <w:name w:val="Table Grid"/>
    <w:basedOn w:val="a1"/>
    <w:uiPriority w:val="39"/>
    <w:rsid w:val="002B1258"/>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Footnote Text Char1,Footnote Text Char Char1,Footnote Text Char Char Char,Footnote Text Char Char,single space,Texto nota pie IIRSA Car,Texto nota pie IIRSA,FOOTNOTES,fn,Footnote reference,FA Fu"/>
    <w:basedOn w:val="a"/>
    <w:link w:val="ae"/>
    <w:qFormat/>
    <w:rsid w:val="00946182"/>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Footnote Text Char1 Знак,Footnote Text Char Char1 Знак,Footnote Text Char Char Char Знак,Footnote Text Char Char Знак,single space Знак,Texto nota pie IIRSA Car Знак,Texto nota pie IIRSA Знак,FOOTNOTES Знак,fn Знак,FA Fu Знак"/>
    <w:basedOn w:val="a0"/>
    <w:link w:val="ad"/>
    <w:rsid w:val="00946182"/>
    <w:rPr>
      <w:sz w:val="18"/>
      <w:lang w:val="ru-RU" w:eastAsia="ru-RU"/>
    </w:rPr>
  </w:style>
  <w:style w:type="paragraph" w:styleId="af">
    <w:name w:val="endnote text"/>
    <w:aliases w:val="2_G"/>
    <w:basedOn w:val="ad"/>
    <w:link w:val="af0"/>
    <w:qFormat/>
    <w:rsid w:val="00946182"/>
  </w:style>
  <w:style w:type="character" w:customStyle="1" w:styleId="af0">
    <w:name w:val="Текст концевой сноски Знак"/>
    <w:aliases w:val="2_G Знак"/>
    <w:basedOn w:val="a0"/>
    <w:link w:val="af"/>
    <w:rsid w:val="00946182"/>
    <w:rPr>
      <w:sz w:val="18"/>
      <w:lang w:val="ru-RU" w:eastAsia="ru-RU"/>
    </w:rPr>
  </w:style>
  <w:style w:type="character" w:customStyle="1" w:styleId="10">
    <w:name w:val="Заголовок 1 Знак"/>
    <w:aliases w:val="Table_G Знак"/>
    <w:basedOn w:val="a0"/>
    <w:link w:val="1"/>
    <w:rsid w:val="00946182"/>
    <w:rPr>
      <w:rFonts w:cs="Arial"/>
      <w:b/>
      <w:bCs/>
      <w:szCs w:val="32"/>
      <w:lang w:val="ru-RU" w:eastAsia="ru-RU"/>
    </w:rPr>
  </w:style>
  <w:style w:type="character" w:styleId="af1">
    <w:name w:val="Hyperlink"/>
    <w:basedOn w:val="a0"/>
    <w:rsid w:val="00946182"/>
    <w:rPr>
      <w:color w:val="0000FF" w:themeColor="hyperlink"/>
      <w:u w:val="none"/>
    </w:rPr>
  </w:style>
  <w:style w:type="character" w:styleId="af2">
    <w:name w:val="FollowedHyperlink"/>
    <w:basedOn w:val="a0"/>
    <w:rsid w:val="00946182"/>
    <w:rPr>
      <w:color w:val="800080" w:themeColor="followedHyperlink"/>
      <w:u w:val="none"/>
    </w:rPr>
  </w:style>
  <w:style w:type="character" w:customStyle="1" w:styleId="UnresolvedMention">
    <w:name w:val="Unresolved Mention"/>
    <w:basedOn w:val="a0"/>
    <w:uiPriority w:val="99"/>
    <w:semiHidden/>
    <w:unhideWhenUsed/>
    <w:rsid w:val="00D937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nexuspj.poder-judicial.go.cr/document/sen-1-0007-353140" TargetMode="External"/><Relationship Id="rId13" Type="http://schemas.openxmlformats.org/officeDocument/2006/relationships/hyperlink" Target="https://nexuspj.poder-judicial.go.cr/document/sen-1-0034-%20445368e" TargetMode="External"/><Relationship Id="rId3" Type="http://schemas.openxmlformats.org/officeDocument/2006/relationships/hyperlink" Target="https://nexuspj.poder-judicial.go.cr/document/sen-1-0034-606675" TargetMode="External"/><Relationship Id="rId7" Type="http://schemas.openxmlformats.org/officeDocument/2006/relationships/hyperlink" Target="https://nexuspj.poder-judicial.go.cr/" TargetMode="External"/><Relationship Id="rId12" Type="http://schemas.openxmlformats.org/officeDocument/2006/relationships/hyperlink" Target="https://nexuspj.poder-judicial.go.cr/document/sen-1-0034-534384" TargetMode="External"/><Relationship Id="rId2" Type="http://schemas.openxmlformats.org/officeDocument/2006/relationships/hyperlink" Target="https://nexuspj.poder-judicial.go.cr/" TargetMode="External"/><Relationship Id="rId1" Type="http://schemas.openxmlformats.org/officeDocument/2006/relationships/hyperlink" Target="http://www.pgrweb.go.cr/scij/busqueda/normativa/normas/nrm_texto_completo.aspx?nValor1=1&amp;nValor2=871&amp;param1=NRTC&amp;strTipM=TC" TargetMode="External"/><Relationship Id="rId6" Type="http://schemas.openxmlformats.org/officeDocument/2006/relationships/hyperlink" Target="https://nexuspj.poder-judicial.go.cr/document/sen-1-0007-193700" TargetMode="External"/><Relationship Id="rId11" Type="http://schemas.openxmlformats.org/officeDocument/2006/relationships/hyperlink" Target="https://nexuspj.poder-judicial.go.cr/document/sen-1-0007-428922" TargetMode="External"/><Relationship Id="rId5" Type="http://schemas.openxmlformats.org/officeDocument/2006/relationships/hyperlink" Target="https://nexuspj.poder-judicial.go.cr/" TargetMode="External"/><Relationship Id="rId15" Type="http://schemas.openxmlformats.org/officeDocument/2006/relationships/hyperlink" Target="https://nexuspj.poder-judicial.go.cr/document/sen-1-0007-506591" TargetMode="External"/><Relationship Id="rId10" Type="http://schemas.openxmlformats.org/officeDocument/2006/relationships/hyperlink" Target="https://nexuspj.poder-judicial.go.cr/" TargetMode="External"/><Relationship Id="rId4" Type="http://schemas.openxmlformats.org/officeDocument/2006/relationships/hyperlink" Target="https://nexuspj.poder-judicial.go.cr/document/sen-1-0034-491431" TargetMode="External"/><Relationship Id="rId9" Type="http://schemas.openxmlformats.org/officeDocument/2006/relationships/hyperlink" Target="https://nexuspj.poder-judicial.go.cr/document/sen-1-0007-684903" TargetMode="External"/><Relationship Id="rId14" Type="http://schemas.openxmlformats.org/officeDocument/2006/relationships/hyperlink" Target="https://nexuspj.poder-judicial.go.c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HRI.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0C40A-62E4-4F27-B4DB-BE8E97159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HRI.dotm</Template>
  <TotalTime>1</TotalTime>
  <Pages>34</Pages>
  <Words>15675</Words>
  <Characters>101179</Characters>
  <Application>Microsoft Office Word</Application>
  <DocSecurity>0</DocSecurity>
  <Lines>1718</Lines>
  <Paragraphs>302</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HRI/CORE/CRI/2019</vt:lpstr>
      <vt:lpstr>A/</vt:lpstr>
      <vt:lpstr>A/</vt:lpstr>
    </vt:vector>
  </TitlesOfParts>
  <Company>DCM</Company>
  <LinksUpToDate>false</LinksUpToDate>
  <CharactersWithSpaces>116733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HRI/CORE/CRI/2019</dc:title>
  <dc:subject/>
  <dc:creator>Anna BLAGODATSKIKH</dc:creator>
  <cp:keywords/>
  <cp:lastModifiedBy>Tatiana Chvets</cp:lastModifiedBy>
  <cp:revision>3</cp:revision>
  <cp:lastPrinted>2019-06-20T08:44:00Z</cp:lastPrinted>
  <dcterms:created xsi:type="dcterms:W3CDTF">2019-06-20T08:43:00Z</dcterms:created>
  <dcterms:modified xsi:type="dcterms:W3CDTF">2019-06-20T08:44:00Z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