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2006F0E" w14:textId="77777777" w:rsidTr="003A3D90">
        <w:trPr>
          <w:trHeight w:hRule="exact" w:val="851"/>
        </w:trPr>
        <w:tc>
          <w:tcPr>
            <w:tcW w:w="142" w:type="dxa"/>
            <w:tcBorders>
              <w:bottom w:val="single" w:sz="4" w:space="0" w:color="auto"/>
            </w:tcBorders>
          </w:tcPr>
          <w:p w14:paraId="50798839" w14:textId="77777777" w:rsidR="002D5AAC" w:rsidRDefault="002D5AAC" w:rsidP="00102DE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16BC008"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DB2DE20" w14:textId="77777777" w:rsidR="002D5AAC" w:rsidRDefault="00102DE3" w:rsidP="00102DE3">
            <w:pPr>
              <w:jc w:val="right"/>
            </w:pPr>
            <w:r w:rsidRPr="00102DE3">
              <w:rPr>
                <w:sz w:val="40"/>
              </w:rPr>
              <w:t>HRI</w:t>
            </w:r>
            <w:r>
              <w:t>/CORE/OMN/2019</w:t>
            </w:r>
          </w:p>
        </w:tc>
      </w:tr>
      <w:tr w:rsidR="002D5AAC" w:rsidRPr="00E5062E" w14:paraId="1BCDF479" w14:textId="77777777" w:rsidTr="003A3D90">
        <w:trPr>
          <w:trHeight w:hRule="exact" w:val="2835"/>
        </w:trPr>
        <w:tc>
          <w:tcPr>
            <w:tcW w:w="1280" w:type="dxa"/>
            <w:gridSpan w:val="2"/>
            <w:tcBorders>
              <w:top w:val="single" w:sz="4" w:space="0" w:color="auto"/>
              <w:bottom w:val="single" w:sz="12" w:space="0" w:color="auto"/>
            </w:tcBorders>
          </w:tcPr>
          <w:p w14:paraId="75B1489F" w14:textId="77777777" w:rsidR="002D5AAC" w:rsidRDefault="007B5263" w:rsidP="003A3D90">
            <w:pPr>
              <w:spacing w:before="120"/>
              <w:jc w:val="center"/>
            </w:pPr>
            <w:r>
              <w:rPr>
                <w:noProof/>
                <w:lang w:val="fr-CH" w:eastAsia="fr-CH"/>
              </w:rPr>
              <w:drawing>
                <wp:inline distT="0" distB="0" distL="0" distR="0" wp14:anchorId="6FCEC752" wp14:editId="6AC19524">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3BE21E"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6D5E512B" w14:textId="77777777" w:rsidR="002D5AAC" w:rsidRPr="00102DE3" w:rsidRDefault="00102DE3" w:rsidP="003A3D90">
            <w:pPr>
              <w:spacing w:before="240"/>
              <w:rPr>
                <w:lang w:val="en-US"/>
              </w:rPr>
            </w:pPr>
            <w:r w:rsidRPr="00102DE3">
              <w:rPr>
                <w:lang w:val="en-US"/>
              </w:rPr>
              <w:t>Distr.: General</w:t>
            </w:r>
          </w:p>
          <w:p w14:paraId="565CC845" w14:textId="77777777" w:rsidR="00102DE3" w:rsidRPr="00102DE3" w:rsidRDefault="00102DE3" w:rsidP="00102DE3">
            <w:pPr>
              <w:spacing w:line="240" w:lineRule="exact"/>
              <w:rPr>
                <w:lang w:val="en-US"/>
              </w:rPr>
            </w:pPr>
            <w:r w:rsidRPr="00102DE3">
              <w:rPr>
                <w:lang w:val="en-US"/>
              </w:rPr>
              <w:t>3 July 2019</w:t>
            </w:r>
          </w:p>
          <w:p w14:paraId="407BDD67" w14:textId="77777777" w:rsidR="00102DE3" w:rsidRPr="00102DE3" w:rsidRDefault="00102DE3" w:rsidP="00102DE3">
            <w:pPr>
              <w:spacing w:line="240" w:lineRule="exact"/>
              <w:rPr>
                <w:lang w:val="en-US"/>
              </w:rPr>
            </w:pPr>
            <w:r w:rsidRPr="00102DE3">
              <w:rPr>
                <w:lang w:val="en-US"/>
              </w:rPr>
              <w:t>Russian</w:t>
            </w:r>
          </w:p>
          <w:p w14:paraId="6AE98631" w14:textId="77777777" w:rsidR="00102DE3" w:rsidRPr="00102DE3" w:rsidRDefault="00102DE3" w:rsidP="00102DE3">
            <w:pPr>
              <w:spacing w:line="240" w:lineRule="exact"/>
              <w:rPr>
                <w:lang w:val="en-US"/>
              </w:rPr>
            </w:pPr>
            <w:r w:rsidRPr="00102DE3">
              <w:rPr>
                <w:lang w:val="en-US"/>
              </w:rPr>
              <w:t xml:space="preserve">Original: </w:t>
            </w:r>
            <w:r w:rsidR="00A4227C" w:rsidRPr="00E5062E">
              <w:rPr>
                <w:lang w:val="en-US"/>
              </w:rPr>
              <w:t xml:space="preserve"> Arabic</w:t>
            </w:r>
          </w:p>
        </w:tc>
      </w:tr>
    </w:tbl>
    <w:p w14:paraId="4728845F" w14:textId="77777777" w:rsidR="00102DE3" w:rsidRPr="001F4E84" w:rsidRDefault="00102DE3" w:rsidP="00102DE3">
      <w:pPr>
        <w:pStyle w:val="HMG"/>
      </w:pPr>
      <w:r w:rsidRPr="00E5062E">
        <w:rPr>
          <w:lang w:val="en-US"/>
        </w:rPr>
        <w:tab/>
      </w:r>
      <w:r w:rsidRPr="00E5062E">
        <w:rPr>
          <w:lang w:val="en-US"/>
        </w:rPr>
        <w:tab/>
      </w:r>
      <w:r>
        <w:rPr>
          <w:bCs/>
        </w:rPr>
        <w:t>Общий базовый документ, являющийся составной частью докладов государств-участников</w:t>
      </w:r>
    </w:p>
    <w:p w14:paraId="786B161D" w14:textId="77777777" w:rsidR="00102DE3" w:rsidRDefault="00102DE3" w:rsidP="00102DE3">
      <w:pPr>
        <w:pStyle w:val="HChG"/>
      </w:pPr>
      <w:r>
        <w:tab/>
      </w:r>
      <w:r>
        <w:tab/>
      </w:r>
      <w:r>
        <w:rPr>
          <w:bCs/>
        </w:rPr>
        <w:t>Оман</w:t>
      </w:r>
      <w:r w:rsidRPr="00F448E7">
        <w:rPr>
          <w:b w:val="0"/>
          <w:spacing w:val="5"/>
          <w:w w:val="104"/>
          <w:kern w:val="14"/>
          <w:sz w:val="20"/>
        </w:rPr>
        <w:footnoteReference w:customMarkFollows="1" w:id="1"/>
        <w:t>*</w:t>
      </w:r>
      <w:r>
        <w:rPr>
          <w:b w:val="0"/>
          <w:spacing w:val="5"/>
          <w:w w:val="104"/>
          <w:kern w:val="14"/>
          <w:sz w:val="20"/>
        </w:rPr>
        <w:t xml:space="preserve"> </w:t>
      </w:r>
      <w:r w:rsidRPr="00F448E7">
        <w:rPr>
          <w:b w:val="0"/>
          <w:spacing w:val="5"/>
          <w:w w:val="104"/>
          <w:kern w:val="14"/>
          <w:sz w:val="20"/>
        </w:rPr>
        <w:footnoteReference w:customMarkFollows="1" w:id="2"/>
        <w:t xml:space="preserve">** </w:t>
      </w:r>
    </w:p>
    <w:p w14:paraId="3F3C3C10" w14:textId="77777777" w:rsidR="00102DE3" w:rsidRDefault="00102DE3" w:rsidP="00102DE3">
      <w:pPr>
        <w:rPr>
          <w:b/>
          <w:bCs/>
          <w:sz w:val="28"/>
        </w:rPr>
      </w:pPr>
      <w:r>
        <w:rPr>
          <w:b/>
          <w:bCs/>
          <w:sz w:val="28"/>
        </w:rPr>
        <w:br w:type="page"/>
      </w:r>
    </w:p>
    <w:p w14:paraId="04D91073" w14:textId="77777777" w:rsidR="00102DE3" w:rsidRDefault="00102DE3" w:rsidP="00102DE3">
      <w:pPr>
        <w:spacing w:after="120"/>
        <w:rPr>
          <w:sz w:val="28"/>
        </w:rPr>
      </w:pPr>
      <w:r>
        <w:rPr>
          <w:sz w:val="28"/>
        </w:rPr>
        <w:lastRenderedPageBreak/>
        <w:t>Содержание</w:t>
      </w:r>
    </w:p>
    <w:p w14:paraId="1658CF11" w14:textId="77777777" w:rsidR="00102DE3" w:rsidRDefault="00102DE3" w:rsidP="00102DE3">
      <w:pPr>
        <w:tabs>
          <w:tab w:val="right" w:pos="8929"/>
          <w:tab w:val="right" w:pos="9638"/>
        </w:tabs>
        <w:spacing w:after="120"/>
        <w:ind w:left="283"/>
        <w:rPr>
          <w:sz w:val="18"/>
        </w:rPr>
      </w:pPr>
      <w:r>
        <w:rPr>
          <w:i/>
          <w:sz w:val="18"/>
        </w:rPr>
        <w:tab/>
        <w:t>Пункты</w:t>
      </w:r>
      <w:r>
        <w:rPr>
          <w:i/>
          <w:sz w:val="18"/>
        </w:rPr>
        <w:tab/>
        <w:t>Стр.</w:t>
      </w:r>
    </w:p>
    <w:p w14:paraId="680C76FF" w14:textId="77777777" w:rsidR="00102DE3" w:rsidRPr="00F448E7" w:rsidRDefault="00102DE3" w:rsidP="00102DE3">
      <w:pPr>
        <w:tabs>
          <w:tab w:val="right" w:pos="850"/>
          <w:tab w:val="left" w:pos="1134"/>
          <w:tab w:val="left" w:pos="1559"/>
          <w:tab w:val="left" w:pos="1984"/>
          <w:tab w:val="left" w:leader="dot" w:pos="7654"/>
          <w:tab w:val="right" w:pos="8929"/>
          <w:tab w:val="right" w:pos="9638"/>
        </w:tabs>
        <w:spacing w:after="120"/>
      </w:pPr>
      <w:r w:rsidRPr="00F448E7">
        <w:tab/>
        <w:t>I.</w:t>
      </w:r>
      <w:r w:rsidRPr="00F448E7">
        <w:tab/>
        <w:t>Общие сведения о Султанате</w:t>
      </w:r>
      <w:r w:rsidRPr="00F448E7">
        <w:tab/>
      </w:r>
      <w:r w:rsidRPr="00F448E7">
        <w:tab/>
        <w:t>2−57</w:t>
      </w:r>
      <w:r w:rsidRPr="00F448E7">
        <w:tab/>
        <w:t>3</w:t>
      </w:r>
    </w:p>
    <w:p w14:paraId="413DFAD7" w14:textId="77777777" w:rsidR="00102DE3" w:rsidRPr="00F448E7" w:rsidRDefault="00102DE3" w:rsidP="00102DE3">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448E7">
        <w:t>A.</w:t>
      </w:r>
      <w:r w:rsidRPr="00F448E7">
        <w:tab/>
        <w:t xml:space="preserve">Демографические, экономические, социальные и культурные </w:t>
      </w:r>
      <w:r>
        <w:br/>
      </w:r>
      <w:r w:rsidRPr="00F448E7">
        <w:t>особенности</w:t>
      </w:r>
      <w:r w:rsidRPr="00F448E7">
        <w:tab/>
      </w:r>
      <w:r>
        <w:tab/>
      </w:r>
      <w:r w:rsidRPr="00F448E7">
        <w:t>5–14</w:t>
      </w:r>
      <w:r w:rsidRPr="00F448E7">
        <w:tab/>
        <w:t>3</w:t>
      </w:r>
    </w:p>
    <w:p w14:paraId="01CCDAA8" w14:textId="77777777" w:rsidR="00102DE3" w:rsidRPr="00F448E7" w:rsidRDefault="00102DE3" w:rsidP="00102DE3">
      <w:pPr>
        <w:tabs>
          <w:tab w:val="right" w:pos="850"/>
          <w:tab w:val="left" w:pos="1134"/>
          <w:tab w:val="left" w:pos="1559"/>
          <w:tab w:val="left" w:pos="1984"/>
          <w:tab w:val="left" w:leader="dot" w:pos="7654"/>
          <w:tab w:val="right" w:pos="8929"/>
          <w:tab w:val="right" w:pos="9638"/>
        </w:tabs>
        <w:spacing w:after="120"/>
      </w:pPr>
      <w:r>
        <w:tab/>
      </w:r>
      <w:r>
        <w:tab/>
      </w:r>
      <w:r w:rsidRPr="00F448E7">
        <w:t>B.</w:t>
      </w:r>
      <w:r w:rsidRPr="00F448E7">
        <w:tab/>
        <w:t>Конституционная, политическая и правовая структура государства</w:t>
      </w:r>
      <w:r w:rsidRPr="00F448E7">
        <w:tab/>
      </w:r>
      <w:r w:rsidRPr="00F448E7">
        <w:tab/>
        <w:t>15−57</w:t>
      </w:r>
      <w:r w:rsidRPr="00F448E7">
        <w:tab/>
        <w:t>5</w:t>
      </w:r>
    </w:p>
    <w:p w14:paraId="2AED1CA0"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rsidRPr="00F448E7">
        <w:tab/>
        <w:t>II.</w:t>
      </w:r>
      <w:r w:rsidRPr="00F448E7">
        <w:tab/>
        <w:t>Общая основа защиты и поощрения прав человека</w:t>
      </w:r>
      <w:r w:rsidRPr="00F448E7">
        <w:tab/>
      </w:r>
      <w:r w:rsidRPr="00F448E7">
        <w:tab/>
        <w:t>58−153</w:t>
      </w:r>
      <w:r w:rsidRPr="00F448E7">
        <w:tab/>
        <w:t>1</w:t>
      </w:r>
      <w:r w:rsidR="003A3691" w:rsidRPr="003A3691">
        <w:t>3</w:t>
      </w:r>
    </w:p>
    <w:p w14:paraId="656FE571"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tab/>
      </w:r>
      <w:r>
        <w:tab/>
      </w:r>
      <w:r w:rsidRPr="00F448E7">
        <w:t>A.</w:t>
      </w:r>
      <w:r w:rsidRPr="00F448E7">
        <w:tab/>
        <w:t>Принятие международных норм в области прав человека</w:t>
      </w:r>
      <w:r w:rsidRPr="00F448E7">
        <w:tab/>
      </w:r>
      <w:r w:rsidRPr="00F448E7">
        <w:tab/>
        <w:t>58−68</w:t>
      </w:r>
      <w:r w:rsidRPr="00F448E7">
        <w:tab/>
        <w:t>1</w:t>
      </w:r>
      <w:r w:rsidR="003A3691" w:rsidRPr="003A3691">
        <w:t>3</w:t>
      </w:r>
    </w:p>
    <w:p w14:paraId="10C1FD31"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tab/>
      </w:r>
      <w:r>
        <w:tab/>
      </w:r>
      <w:r w:rsidRPr="00F448E7">
        <w:t>B.</w:t>
      </w:r>
      <w:r w:rsidRPr="00F448E7">
        <w:tab/>
        <w:t>Правовая основа защиты прав человека на национальном уровне</w:t>
      </w:r>
      <w:r w:rsidRPr="00F448E7">
        <w:tab/>
      </w:r>
      <w:r w:rsidRPr="00F448E7">
        <w:tab/>
        <w:t>69−119</w:t>
      </w:r>
      <w:r w:rsidRPr="00F448E7">
        <w:tab/>
        <w:t>1</w:t>
      </w:r>
      <w:r w:rsidR="003A3691" w:rsidRPr="003A3691">
        <w:t>5</w:t>
      </w:r>
    </w:p>
    <w:p w14:paraId="7D1AEBCE"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tab/>
      </w:r>
      <w:r>
        <w:tab/>
      </w:r>
      <w:r w:rsidRPr="00F448E7">
        <w:t>C.</w:t>
      </w:r>
      <w:r w:rsidRPr="00F448E7">
        <w:tab/>
        <w:t>Основа защиты прав человека на национальном уровне</w:t>
      </w:r>
      <w:r w:rsidRPr="00F448E7">
        <w:tab/>
      </w:r>
      <w:r w:rsidRPr="00F448E7">
        <w:tab/>
        <w:t>120–139</w:t>
      </w:r>
      <w:r w:rsidRPr="00F448E7">
        <w:tab/>
        <w:t>2</w:t>
      </w:r>
      <w:r w:rsidR="003A3691" w:rsidRPr="003A3691">
        <w:t>3</w:t>
      </w:r>
    </w:p>
    <w:p w14:paraId="0CD54815"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tab/>
      </w:r>
      <w:r>
        <w:tab/>
      </w:r>
      <w:r w:rsidRPr="00F448E7">
        <w:t>D.</w:t>
      </w:r>
      <w:r w:rsidRPr="00F448E7">
        <w:tab/>
        <w:t xml:space="preserve">Порядок </w:t>
      </w:r>
      <w:r w:rsidR="002B7D46">
        <w:rPr>
          <w:bCs/>
        </w:rPr>
        <w:t xml:space="preserve">подготовки </w:t>
      </w:r>
      <w:r w:rsidRPr="00F448E7">
        <w:t>докладов на национальном уровне</w:t>
      </w:r>
      <w:r w:rsidRPr="00F448E7">
        <w:tab/>
      </w:r>
      <w:r w:rsidRPr="00F448E7">
        <w:tab/>
        <w:t>140−148</w:t>
      </w:r>
      <w:r w:rsidRPr="00F448E7">
        <w:tab/>
        <w:t>2</w:t>
      </w:r>
      <w:r w:rsidR="003A3691" w:rsidRPr="003A3691">
        <w:t>7</w:t>
      </w:r>
    </w:p>
    <w:p w14:paraId="6D3B060C"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tab/>
      </w:r>
      <w:r>
        <w:tab/>
      </w:r>
      <w:r w:rsidRPr="00F448E7">
        <w:t>E.</w:t>
      </w:r>
      <w:r w:rsidRPr="00F448E7">
        <w:tab/>
      </w:r>
      <w:r w:rsidR="003A3691">
        <w:rPr>
          <w:bCs/>
        </w:rPr>
        <w:t>Другая информация, касающаяся прав человека</w:t>
      </w:r>
      <w:r w:rsidRPr="00F448E7">
        <w:tab/>
      </w:r>
      <w:r w:rsidRPr="00F448E7">
        <w:tab/>
        <w:t>149−153</w:t>
      </w:r>
      <w:r w:rsidRPr="00F448E7">
        <w:tab/>
        <w:t>2</w:t>
      </w:r>
      <w:r w:rsidR="003A3691" w:rsidRPr="003A3691">
        <w:t>9</w:t>
      </w:r>
    </w:p>
    <w:p w14:paraId="0C63F1F3"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rsidRPr="00F448E7">
        <w:tab/>
        <w:t>III.</w:t>
      </w:r>
      <w:r w:rsidRPr="00F448E7">
        <w:tab/>
      </w:r>
      <w:proofErr w:type="spellStart"/>
      <w:r w:rsidRPr="00F448E7">
        <w:t>Недискриминация</w:t>
      </w:r>
      <w:proofErr w:type="spellEnd"/>
      <w:r w:rsidRPr="00F448E7">
        <w:t>, равенство и средства правовой защиты</w:t>
      </w:r>
      <w:r w:rsidRPr="00F448E7">
        <w:tab/>
      </w:r>
      <w:r w:rsidRPr="00F448E7">
        <w:tab/>
        <w:t>154−177</w:t>
      </w:r>
      <w:r w:rsidRPr="00F448E7">
        <w:tab/>
      </w:r>
      <w:r w:rsidR="003A3691" w:rsidRPr="003A3691">
        <w:t>30</w:t>
      </w:r>
    </w:p>
    <w:p w14:paraId="7145A6DB"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tab/>
      </w:r>
      <w:r>
        <w:tab/>
      </w:r>
      <w:r w:rsidRPr="00F448E7">
        <w:t>A.</w:t>
      </w:r>
      <w:r w:rsidRPr="00F448E7">
        <w:tab/>
      </w:r>
      <w:proofErr w:type="spellStart"/>
      <w:r w:rsidRPr="00F448E7">
        <w:t>Недискриминация</w:t>
      </w:r>
      <w:proofErr w:type="spellEnd"/>
      <w:r w:rsidRPr="00F448E7">
        <w:t xml:space="preserve"> и равенство</w:t>
      </w:r>
      <w:r w:rsidRPr="00F448E7">
        <w:tab/>
      </w:r>
      <w:r w:rsidRPr="00F448E7">
        <w:tab/>
        <w:t>154−162</w:t>
      </w:r>
      <w:r w:rsidRPr="00F448E7">
        <w:tab/>
      </w:r>
      <w:r w:rsidR="003A3691" w:rsidRPr="003A3691">
        <w:t>30</w:t>
      </w:r>
    </w:p>
    <w:p w14:paraId="181F0683" w14:textId="77777777" w:rsidR="00102DE3" w:rsidRPr="003A3691" w:rsidRDefault="00102DE3" w:rsidP="00102DE3">
      <w:pPr>
        <w:tabs>
          <w:tab w:val="right" w:pos="850"/>
          <w:tab w:val="left" w:pos="1134"/>
          <w:tab w:val="left" w:pos="1559"/>
          <w:tab w:val="left" w:pos="1984"/>
          <w:tab w:val="left" w:leader="dot" w:pos="7654"/>
          <w:tab w:val="right" w:pos="8929"/>
          <w:tab w:val="right" w:pos="9638"/>
        </w:tabs>
        <w:spacing w:after="120"/>
      </w:pPr>
      <w:r>
        <w:tab/>
      </w:r>
      <w:r>
        <w:tab/>
      </w:r>
      <w:r w:rsidRPr="00F448E7">
        <w:t>B.</w:t>
      </w:r>
      <w:r w:rsidRPr="00F448E7">
        <w:tab/>
        <w:t>Эффективные средства правовой защиты</w:t>
      </w:r>
      <w:r w:rsidRPr="00F448E7">
        <w:tab/>
      </w:r>
      <w:r w:rsidRPr="00F448E7">
        <w:tab/>
        <w:t>163−177</w:t>
      </w:r>
      <w:r w:rsidRPr="00F448E7">
        <w:tab/>
        <w:t>3</w:t>
      </w:r>
      <w:r w:rsidR="003A3691" w:rsidRPr="003A3691">
        <w:t>1</w:t>
      </w:r>
    </w:p>
    <w:p w14:paraId="7949993E" w14:textId="77777777" w:rsidR="00102DE3" w:rsidRPr="001F4E84" w:rsidRDefault="00102DE3" w:rsidP="00102DE3">
      <w:pPr>
        <w:tabs>
          <w:tab w:val="right" w:leader="dot" w:pos="7654"/>
          <w:tab w:val="right" w:pos="8929"/>
          <w:tab w:val="right" w:pos="9638"/>
        </w:tabs>
        <w:spacing w:after="120"/>
      </w:pPr>
      <w:r w:rsidRPr="001F4E84">
        <w:br w:type="page"/>
      </w:r>
    </w:p>
    <w:p w14:paraId="1788CE92" w14:textId="77777777" w:rsidR="00102DE3" w:rsidRPr="001F4E84" w:rsidRDefault="00102DE3" w:rsidP="00102DE3">
      <w:pPr>
        <w:pStyle w:val="SingleTxtG"/>
      </w:pPr>
      <w:bookmarkStart w:id="0" w:name="_GoBack"/>
      <w:bookmarkEnd w:id="0"/>
      <w:r>
        <w:lastRenderedPageBreak/>
        <w:t>1.</w:t>
      </w:r>
      <w:r>
        <w:tab/>
        <w:t>Султанат Оман представляет настоящий доклад, который является обновленным вариантом общего базового документа, сданного Султанатом на хранение в Секретариат Организации Объединенных Наций 11 апреля 2003 года. В этом документе учтены изменения, произошедшие в стране с точки зрения развития и в различных сферах, связанных с правами человека. Он является продолжением первого базового документа Султаната и периодических докладов, которые государство последовательно представляло различным договорным органам Организации Объединенных Наций и Совету по правам человека.</w:t>
      </w:r>
    </w:p>
    <w:p w14:paraId="76697201" w14:textId="77777777" w:rsidR="00102DE3" w:rsidRPr="001F4E84" w:rsidRDefault="00102DE3" w:rsidP="00102DE3">
      <w:pPr>
        <w:pStyle w:val="HChG"/>
      </w:pPr>
      <w:r>
        <w:rPr>
          <w:bCs/>
        </w:rPr>
        <w:tab/>
        <w:t>I.</w:t>
      </w:r>
      <w:r>
        <w:tab/>
      </w:r>
      <w:r>
        <w:rPr>
          <w:bCs/>
        </w:rPr>
        <w:t>Общие сведения о Султанате</w:t>
      </w:r>
    </w:p>
    <w:p w14:paraId="46478EB1" w14:textId="77777777" w:rsidR="00102DE3" w:rsidRPr="001F4E84" w:rsidRDefault="00102DE3" w:rsidP="00102DE3">
      <w:pPr>
        <w:pStyle w:val="SingleTxtG"/>
        <w:rPr>
          <w:bCs/>
        </w:rPr>
      </w:pPr>
      <w:r>
        <w:t>2.</w:t>
      </w:r>
      <w:r>
        <w:tab/>
        <w:t>На протяжении всей своей истории Оман являлся динамичным культурным центром, с древнейших времен поддерживавшим контакты со всеми цивилизациями античного мира. На протяжении столетий он вносил весомый вклад в развитие цивилизации. В различные периоды времени он был влиятельной морской и политической державой. Как и другие страны и народы, Оман может похвастаться долгой и богатой историей.</w:t>
      </w:r>
    </w:p>
    <w:p w14:paraId="4239FFBB" w14:textId="77777777" w:rsidR="00102DE3" w:rsidRPr="001F4E84" w:rsidRDefault="00102DE3" w:rsidP="00102DE3">
      <w:pPr>
        <w:pStyle w:val="SingleTxtG"/>
      </w:pPr>
      <w:r>
        <w:t>3.</w:t>
      </w:r>
      <w:r>
        <w:tab/>
        <w:t xml:space="preserve">Историки расходятся во мнениях по поводу происхождения названия страны. Одни считают, что оно происходит от названия одного из </w:t>
      </w:r>
      <w:proofErr w:type="spellStart"/>
      <w:r>
        <w:t>кахтанитских</w:t>
      </w:r>
      <w:proofErr w:type="spellEnd"/>
      <w:r>
        <w:t xml:space="preserve"> племен, другие связывают его с понятием стабильности или места поселения. В число древних историков, упоминавших страну под ее нынешним названием, входят Плиний и Птолемей, которые жили в первом и втором веках нашей эры соответственно. В</w:t>
      </w:r>
      <w:r w:rsidR="00205084">
        <w:t xml:space="preserve"> </w:t>
      </w:r>
      <w:r>
        <w:t xml:space="preserve">другие периоды Оман был известен также под иными названиями, такими как </w:t>
      </w:r>
      <w:proofErr w:type="spellStart"/>
      <w:r>
        <w:t>Маган</w:t>
      </w:r>
      <w:proofErr w:type="spellEnd"/>
      <w:r>
        <w:t xml:space="preserve"> и </w:t>
      </w:r>
      <w:proofErr w:type="spellStart"/>
      <w:r>
        <w:t>Мазун</w:t>
      </w:r>
      <w:proofErr w:type="spellEnd"/>
      <w:r>
        <w:t>.</w:t>
      </w:r>
    </w:p>
    <w:p w14:paraId="46148432" w14:textId="77777777" w:rsidR="00102DE3" w:rsidRPr="001F4E84" w:rsidRDefault="00102DE3" w:rsidP="00102DE3">
      <w:pPr>
        <w:pStyle w:val="SingleTxtG"/>
      </w:pPr>
      <w:r>
        <w:t>4.</w:t>
      </w:r>
      <w:r>
        <w:tab/>
        <w:t>Султанат Оман является независимым и суверенным арабским государством. Столица страны – Маскат. Государственная религия страны – ислам, а источник законодательства – исламский шариат, причем ислам исповедует большинство населения. Тем не менее последователи других религий могут свободно исповедовать свою веру. Официальным государственным языком является арабский, тогда как в сфере предпринимательства и в образовании</w:t>
      </w:r>
      <w:r w:rsidRPr="009F1450">
        <w:t xml:space="preserve"> </w:t>
      </w:r>
      <w:r>
        <w:t>широко используется</w:t>
      </w:r>
      <w:r w:rsidRPr="009F1450">
        <w:t xml:space="preserve"> </w:t>
      </w:r>
      <w:r>
        <w:t>английский язык.</w:t>
      </w:r>
    </w:p>
    <w:p w14:paraId="1C205526" w14:textId="77777777" w:rsidR="00102DE3" w:rsidRPr="001F4E84" w:rsidRDefault="00102DE3" w:rsidP="00102DE3">
      <w:pPr>
        <w:pStyle w:val="H1G"/>
      </w:pPr>
      <w:r>
        <w:rPr>
          <w:bCs/>
        </w:rPr>
        <w:tab/>
        <w:t>A.</w:t>
      </w:r>
      <w:r>
        <w:tab/>
      </w:r>
      <w:r>
        <w:rPr>
          <w:bCs/>
        </w:rPr>
        <w:t>Демографические, экономические, социальные и культурные особенности</w:t>
      </w:r>
    </w:p>
    <w:p w14:paraId="1F6F4442" w14:textId="77777777" w:rsidR="00102DE3" w:rsidRPr="001F4E84" w:rsidRDefault="00102DE3" w:rsidP="00102DE3">
      <w:pPr>
        <w:pStyle w:val="H23G"/>
        <w:rPr>
          <w:bCs/>
        </w:rPr>
      </w:pPr>
      <w:r>
        <w:tab/>
      </w:r>
      <w:r>
        <w:tab/>
      </w:r>
      <w:r>
        <w:rPr>
          <w:bCs/>
        </w:rPr>
        <w:t>Географическое положение</w:t>
      </w:r>
    </w:p>
    <w:p w14:paraId="0A9A6D53" w14:textId="77777777" w:rsidR="00102DE3" w:rsidRPr="001F4E84" w:rsidRDefault="00102DE3" w:rsidP="00102DE3">
      <w:pPr>
        <w:pStyle w:val="SingleTxtG"/>
        <w:rPr>
          <w:b/>
        </w:rPr>
      </w:pPr>
      <w:r>
        <w:t>5.</w:t>
      </w:r>
      <w:r>
        <w:tab/>
        <w:t>Султанат Оман расположен на юго-восточной оконечности Аравийского полуострова, между 16</w:t>
      </w:r>
      <w:r w:rsidRPr="007212E6">
        <w:rPr>
          <w:bCs/>
        </w:rPr>
        <w:t> </w:t>
      </w:r>
      <w:r>
        <w:t>40' и 26</w:t>
      </w:r>
      <w:r w:rsidRPr="007212E6">
        <w:rPr>
          <w:bCs/>
        </w:rPr>
        <w:t> </w:t>
      </w:r>
      <w:r>
        <w:t>20' северной широты и 51</w:t>
      </w:r>
      <w:r w:rsidRPr="007212E6">
        <w:rPr>
          <w:bCs/>
        </w:rPr>
        <w:t> </w:t>
      </w:r>
      <w:r>
        <w:t>50' и 59</w:t>
      </w:r>
      <w:r w:rsidRPr="007212E6">
        <w:rPr>
          <w:bCs/>
        </w:rPr>
        <w:t> </w:t>
      </w:r>
      <w:r>
        <w:t>40' восточной долготы. Его побережье простирается примерно на 3</w:t>
      </w:r>
      <w:r w:rsidR="00C24CF6">
        <w:t> </w:t>
      </w:r>
      <w:r>
        <w:t xml:space="preserve">165 км от Аравийского моря и выхода в Индийский океан на крайний юго-восток до Оманского залива и на север до полуострова </w:t>
      </w:r>
      <w:proofErr w:type="spellStart"/>
      <w:r>
        <w:t>Мусандам</w:t>
      </w:r>
      <w:proofErr w:type="spellEnd"/>
      <w:r>
        <w:t xml:space="preserve">, находящегося на стратегическом Ормузском проливе. </w:t>
      </w:r>
      <w:r>
        <w:br/>
        <w:t xml:space="preserve">На юго-западе Султанат граничит с Йеменской Республикой, на западе – с Саудовской Аравией, а на севере – с Объединенными Арабскими Эмиратами. В Оманском заливе и Ормузском проливе имеется несколько небольших островов, таких как Салама, а в Аравийском море – таких как </w:t>
      </w:r>
      <w:proofErr w:type="spellStart"/>
      <w:r>
        <w:t>Масира</w:t>
      </w:r>
      <w:proofErr w:type="spellEnd"/>
      <w:r>
        <w:t xml:space="preserve"> и прилегающие к ней островки, а также архипелаг Эль-</w:t>
      </w:r>
      <w:proofErr w:type="spellStart"/>
      <w:r>
        <w:t>Халания</w:t>
      </w:r>
      <w:proofErr w:type="spellEnd"/>
      <w:r>
        <w:t>.</w:t>
      </w:r>
    </w:p>
    <w:p w14:paraId="6160B85B" w14:textId="77777777" w:rsidR="00102DE3" w:rsidRPr="001F4E84" w:rsidRDefault="00102DE3" w:rsidP="00102DE3">
      <w:pPr>
        <w:pStyle w:val="SingleTxtG"/>
        <w:rPr>
          <w:b/>
        </w:rPr>
      </w:pPr>
      <w:r>
        <w:t>6.</w:t>
      </w:r>
      <w:r>
        <w:tab/>
        <w:t>Султанат имеет площадь около 309 500 км</w:t>
      </w:r>
      <w:r>
        <w:rPr>
          <w:vertAlign w:val="superscript"/>
        </w:rPr>
        <w:t>2</w:t>
      </w:r>
      <w:r>
        <w:t xml:space="preserve"> и характеризуется разнообразием рельефа.</w:t>
      </w:r>
    </w:p>
    <w:p w14:paraId="568D6588" w14:textId="77777777" w:rsidR="00102DE3" w:rsidRPr="001F4E84" w:rsidRDefault="00102DE3" w:rsidP="00102DE3">
      <w:pPr>
        <w:pStyle w:val="SingleTxtG"/>
      </w:pPr>
      <w:r>
        <w:t>7.</w:t>
      </w:r>
      <w:r>
        <w:tab/>
        <w:t xml:space="preserve">По данным на середину 2017 года, численность населения Султаната Оман составляла 4 559 963 человека, а темпы роста населения – около 6,1%. Разрыв между численностью мужчин, составляющих 65,4% населения, и численностью женщин (34,6%) объясняется присутствием трудящихся-мигрантов, большинство из которых мужского пола. С другой стороны, из 2,4 млн оманских граждан 49,6% составляют женщины. Общий коэффициент рождаемости населения Омана составляет 33,5 на 1 000 жителей, общий коэффициент смертности – 2,9%, а ожидаемая продолжительность жизни при рождении – около 76,9 года (74,8 года для мужчин и 79,2 года для женщин). В середине 2017 года численность мигрантов составляла </w:t>
      </w:r>
      <w:r>
        <w:lastRenderedPageBreak/>
        <w:t>2 054 594 человека, или 45% от общей численности населения. В приложении 1 (демографическая статистика) приводятся данные о численности населения, темпах роста численности населения и плотности населения за период 2013–2017 годов.</w:t>
      </w:r>
      <w:bookmarkStart w:id="1" w:name="_Hlk16513863"/>
      <w:bookmarkStart w:id="2" w:name="_Hlk15888886"/>
      <w:bookmarkEnd w:id="1"/>
      <w:bookmarkEnd w:id="2"/>
    </w:p>
    <w:p w14:paraId="097CF085" w14:textId="77777777" w:rsidR="00102DE3" w:rsidRPr="001F4E84" w:rsidRDefault="00102DE3" w:rsidP="00102DE3">
      <w:pPr>
        <w:pStyle w:val="SingleTxtG"/>
      </w:pPr>
      <w:r>
        <w:t>8.</w:t>
      </w:r>
      <w:r>
        <w:tab/>
        <w:t>Что касается распределения населения по возрастным группам, то</w:t>
      </w:r>
      <w:r w:rsidR="00C24CF6">
        <w:t> </w:t>
      </w:r>
      <w:r>
        <w:t>статистические данные на середину 2017 года свидетельствуют о том, что дети представляют собой значительный сегмент как населения в целом, так и граждан Омана. Дети в возрасте до 18 лет составляют 25% от общей численности населения и 42% от численности оманских граждан. Для молодых людей в возрасте 18–29 лет эти показатели составляют 27% и 23% соответственно, а для пожилых людей в возрасте старше 60 лет – 4% и 6% соответственно. Разрыв между этими двумя группами населения объясняется тем, что большинство мигрантов относятся к возрастной группе 15–64 лет. Доля иждивенцев составляет 33% (70% для оманцев и 5% для мигрантов). Более высокий показатель иждивенцев среди оманцев объясняется значительным числом детей и пожилых людей, а также тем, что проживающих в стране мигрантов не сопровождают члены их семей (более подробную информацию о возрастном составе населения и общей доле иждивенцев среди граждан страны и мигрантов в 2013–2017 годах можно получить, обратившись к демографическим экономическим показателям, приведенным в приложении 1).</w:t>
      </w:r>
      <w:bookmarkStart w:id="3" w:name="_Hlk15976118"/>
      <w:bookmarkEnd w:id="3"/>
    </w:p>
    <w:p w14:paraId="1923D731" w14:textId="77777777" w:rsidR="00102DE3" w:rsidRPr="001F4E84" w:rsidRDefault="00102DE3" w:rsidP="00102DE3">
      <w:pPr>
        <w:pStyle w:val="SingleTxtG"/>
      </w:pPr>
      <w:r>
        <w:t>9.</w:t>
      </w:r>
      <w:r>
        <w:tab/>
        <w:t>Султанат является одной из стран, где достигнут высокий уровень развития. В рамках усилий по обеспечению процветания общества в целом все без исключения мухафазы пользуются плодами успехов и многочисленных достижений Омана в области образования, здравоохранения, создания дорожной инфраструктуры, электрификации и водоснабжения, развития коммуникаций и оказания других услуг. На протяжении последних лет двумя главными характеристиками процесса развития были справедливость и равенство. В рейтинге развития человеческого потенциала Султанат занимает 52-е место. Достигнутый в 2015 году показатель, составляющий 0,796, относит его к странам с высоким уровнем развития человеческого потенциала, а прогресс государства в достижении Целей развития тысячелетия до 2015 года приветствовался в докладах ООН о человеческом развитии. Показатели развития человеческого потенциала Султаната по состоянию на 2015 год представлены в таблице ниже.</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078"/>
        <w:gridCol w:w="1526"/>
        <w:gridCol w:w="728"/>
        <w:gridCol w:w="910"/>
        <w:gridCol w:w="1119"/>
        <w:gridCol w:w="1848"/>
        <w:gridCol w:w="1295"/>
      </w:tblGrid>
      <w:tr w:rsidR="00102DE3" w:rsidRPr="00341080" w14:paraId="554B7E68" w14:textId="77777777" w:rsidTr="00640B99">
        <w:trPr>
          <w:tblHeader/>
        </w:trPr>
        <w:tc>
          <w:tcPr>
            <w:tcW w:w="1078" w:type="dxa"/>
            <w:tcBorders>
              <w:top w:val="single" w:sz="4" w:space="0" w:color="auto"/>
              <w:bottom w:val="single" w:sz="12" w:space="0" w:color="auto"/>
            </w:tcBorders>
            <w:shd w:val="clear" w:color="auto" w:fill="auto"/>
            <w:tcMar>
              <w:left w:w="28" w:type="dxa"/>
              <w:right w:w="28" w:type="dxa"/>
            </w:tcMar>
            <w:vAlign w:val="bottom"/>
          </w:tcPr>
          <w:p w14:paraId="0F03211C" w14:textId="77777777" w:rsidR="00102DE3" w:rsidRPr="00341080" w:rsidRDefault="00102DE3" w:rsidP="00640B99">
            <w:pPr>
              <w:spacing w:before="80" w:after="80" w:line="200" w:lineRule="exact"/>
              <w:rPr>
                <w:i/>
                <w:sz w:val="16"/>
                <w:szCs w:val="16"/>
              </w:rPr>
            </w:pPr>
            <w:r w:rsidRPr="00341080">
              <w:rPr>
                <w:i/>
                <w:iCs/>
                <w:sz w:val="16"/>
                <w:szCs w:val="16"/>
              </w:rPr>
              <w:t>Индекс развития человеческого потенциала</w:t>
            </w:r>
          </w:p>
        </w:tc>
        <w:tc>
          <w:tcPr>
            <w:tcW w:w="1526" w:type="dxa"/>
            <w:tcBorders>
              <w:top w:val="single" w:sz="4" w:space="0" w:color="auto"/>
              <w:bottom w:val="single" w:sz="12" w:space="0" w:color="auto"/>
            </w:tcBorders>
            <w:shd w:val="clear" w:color="auto" w:fill="auto"/>
            <w:tcMar>
              <w:left w:w="28" w:type="dxa"/>
              <w:right w:w="28" w:type="dxa"/>
            </w:tcMar>
            <w:vAlign w:val="bottom"/>
          </w:tcPr>
          <w:p w14:paraId="0619EC64" w14:textId="77777777" w:rsidR="00102DE3" w:rsidRPr="00341080" w:rsidRDefault="00102DE3" w:rsidP="00640B99">
            <w:pPr>
              <w:spacing w:before="80" w:after="80" w:line="200" w:lineRule="exact"/>
              <w:jc w:val="right"/>
              <w:rPr>
                <w:i/>
                <w:sz w:val="16"/>
                <w:szCs w:val="16"/>
              </w:rPr>
            </w:pPr>
            <w:r w:rsidRPr="00341080">
              <w:rPr>
                <w:i/>
                <w:iCs/>
                <w:sz w:val="16"/>
                <w:szCs w:val="16"/>
              </w:rPr>
              <w:t xml:space="preserve">Ожидаемая продолжительность жизни при рождении </w:t>
            </w:r>
            <w:r>
              <w:rPr>
                <w:i/>
                <w:iCs/>
                <w:sz w:val="16"/>
                <w:szCs w:val="16"/>
              </w:rPr>
              <w:br/>
            </w:r>
            <w:r w:rsidRPr="00341080">
              <w:rPr>
                <w:i/>
                <w:iCs/>
                <w:sz w:val="16"/>
                <w:szCs w:val="16"/>
              </w:rPr>
              <w:t>(лет)</w:t>
            </w:r>
          </w:p>
        </w:tc>
        <w:tc>
          <w:tcPr>
            <w:tcW w:w="728" w:type="dxa"/>
            <w:tcBorders>
              <w:top w:val="single" w:sz="4" w:space="0" w:color="auto"/>
              <w:bottom w:val="single" w:sz="12" w:space="0" w:color="auto"/>
            </w:tcBorders>
            <w:shd w:val="clear" w:color="auto" w:fill="auto"/>
            <w:tcMar>
              <w:left w:w="28" w:type="dxa"/>
              <w:right w:w="28" w:type="dxa"/>
            </w:tcMar>
            <w:vAlign w:val="bottom"/>
          </w:tcPr>
          <w:p w14:paraId="2B8E7B2A" w14:textId="77777777" w:rsidR="00102DE3" w:rsidRPr="00341080" w:rsidRDefault="00102DE3" w:rsidP="00640B99">
            <w:pPr>
              <w:spacing w:before="80" w:after="80" w:line="200" w:lineRule="exact"/>
              <w:jc w:val="right"/>
              <w:rPr>
                <w:i/>
                <w:sz w:val="16"/>
                <w:szCs w:val="16"/>
              </w:rPr>
            </w:pPr>
            <w:r w:rsidRPr="00341080">
              <w:rPr>
                <w:i/>
                <w:iCs/>
                <w:sz w:val="16"/>
                <w:szCs w:val="16"/>
              </w:rPr>
              <w:t>Среднее число лет обучения</w:t>
            </w:r>
          </w:p>
        </w:tc>
        <w:tc>
          <w:tcPr>
            <w:tcW w:w="910" w:type="dxa"/>
            <w:tcBorders>
              <w:top w:val="single" w:sz="4" w:space="0" w:color="auto"/>
              <w:bottom w:val="single" w:sz="12" w:space="0" w:color="auto"/>
            </w:tcBorders>
            <w:shd w:val="clear" w:color="auto" w:fill="auto"/>
            <w:tcMar>
              <w:left w:w="28" w:type="dxa"/>
              <w:right w:w="28" w:type="dxa"/>
            </w:tcMar>
            <w:vAlign w:val="bottom"/>
          </w:tcPr>
          <w:p w14:paraId="1417D500" w14:textId="77777777" w:rsidR="00102DE3" w:rsidRPr="00341080" w:rsidRDefault="00102DE3" w:rsidP="00640B99">
            <w:pPr>
              <w:spacing w:before="80" w:after="80" w:line="200" w:lineRule="exact"/>
              <w:jc w:val="right"/>
              <w:rPr>
                <w:i/>
                <w:sz w:val="16"/>
                <w:szCs w:val="16"/>
              </w:rPr>
            </w:pPr>
            <w:r w:rsidRPr="00341080">
              <w:rPr>
                <w:i/>
                <w:iCs/>
                <w:sz w:val="16"/>
                <w:szCs w:val="16"/>
              </w:rPr>
              <w:t>Ожидаемое среднее число лет обучения</w:t>
            </w:r>
          </w:p>
        </w:tc>
        <w:tc>
          <w:tcPr>
            <w:tcW w:w="1119" w:type="dxa"/>
            <w:tcBorders>
              <w:top w:val="single" w:sz="4" w:space="0" w:color="auto"/>
              <w:bottom w:val="single" w:sz="12" w:space="0" w:color="auto"/>
            </w:tcBorders>
            <w:shd w:val="clear" w:color="auto" w:fill="auto"/>
            <w:tcMar>
              <w:left w:w="28" w:type="dxa"/>
              <w:right w:w="28" w:type="dxa"/>
            </w:tcMar>
            <w:vAlign w:val="bottom"/>
          </w:tcPr>
          <w:p w14:paraId="71531333" w14:textId="77777777" w:rsidR="00102DE3" w:rsidRPr="00341080" w:rsidRDefault="00102DE3" w:rsidP="00640B99">
            <w:pPr>
              <w:spacing w:before="80" w:after="80" w:line="200" w:lineRule="exact"/>
              <w:jc w:val="right"/>
              <w:rPr>
                <w:i/>
                <w:sz w:val="16"/>
                <w:szCs w:val="16"/>
              </w:rPr>
            </w:pPr>
            <w:r w:rsidRPr="00341080">
              <w:rPr>
                <w:i/>
                <w:iCs/>
                <w:sz w:val="16"/>
                <w:szCs w:val="16"/>
              </w:rPr>
              <w:t>Валовой национальный доход на душу населения (в</w:t>
            </w:r>
            <w:r>
              <w:rPr>
                <w:i/>
                <w:iCs/>
                <w:sz w:val="16"/>
                <w:szCs w:val="16"/>
              </w:rPr>
              <w:t> </w:t>
            </w:r>
            <w:r w:rsidRPr="00341080">
              <w:rPr>
                <w:i/>
                <w:iCs/>
                <w:sz w:val="16"/>
                <w:szCs w:val="16"/>
              </w:rPr>
              <w:t>долл</w:t>
            </w:r>
            <w:r>
              <w:rPr>
                <w:i/>
                <w:iCs/>
                <w:sz w:val="16"/>
                <w:szCs w:val="16"/>
              </w:rPr>
              <w:t>.</w:t>
            </w:r>
            <w:r w:rsidRPr="00341080">
              <w:rPr>
                <w:i/>
                <w:iCs/>
                <w:sz w:val="16"/>
                <w:szCs w:val="16"/>
              </w:rPr>
              <w:t xml:space="preserve"> США)</w:t>
            </w:r>
          </w:p>
        </w:tc>
        <w:tc>
          <w:tcPr>
            <w:tcW w:w="1848" w:type="dxa"/>
            <w:tcBorders>
              <w:top w:val="single" w:sz="4" w:space="0" w:color="auto"/>
              <w:bottom w:val="single" w:sz="12" w:space="0" w:color="auto"/>
            </w:tcBorders>
            <w:shd w:val="clear" w:color="auto" w:fill="auto"/>
            <w:tcMar>
              <w:left w:w="28" w:type="dxa"/>
              <w:right w:w="28" w:type="dxa"/>
            </w:tcMar>
            <w:vAlign w:val="bottom"/>
          </w:tcPr>
          <w:p w14:paraId="1B148031" w14:textId="77777777" w:rsidR="00102DE3" w:rsidRPr="00341080" w:rsidRDefault="00102DE3" w:rsidP="00640B99">
            <w:pPr>
              <w:spacing w:before="80" w:after="80" w:line="200" w:lineRule="exact"/>
              <w:jc w:val="right"/>
              <w:rPr>
                <w:i/>
                <w:sz w:val="16"/>
                <w:szCs w:val="16"/>
              </w:rPr>
            </w:pPr>
            <w:r w:rsidRPr="00341080">
              <w:rPr>
                <w:i/>
                <w:iCs/>
                <w:sz w:val="16"/>
                <w:szCs w:val="16"/>
              </w:rPr>
              <w:t>Рейтинг по валовому национальному доходу на душу населения в</w:t>
            </w:r>
            <w:r>
              <w:rPr>
                <w:i/>
                <w:iCs/>
                <w:sz w:val="16"/>
                <w:szCs w:val="16"/>
              </w:rPr>
              <w:t> </w:t>
            </w:r>
            <w:r w:rsidRPr="00341080">
              <w:rPr>
                <w:i/>
                <w:iCs/>
                <w:sz w:val="16"/>
                <w:szCs w:val="16"/>
              </w:rPr>
              <w:t>индексе развития человеческого потенциала</w:t>
            </w:r>
          </w:p>
        </w:tc>
        <w:tc>
          <w:tcPr>
            <w:tcW w:w="1295" w:type="dxa"/>
            <w:tcBorders>
              <w:top w:val="single" w:sz="4" w:space="0" w:color="auto"/>
              <w:bottom w:val="single" w:sz="12" w:space="0" w:color="auto"/>
            </w:tcBorders>
            <w:shd w:val="clear" w:color="auto" w:fill="auto"/>
            <w:tcMar>
              <w:left w:w="28" w:type="dxa"/>
              <w:right w:w="28" w:type="dxa"/>
            </w:tcMar>
            <w:vAlign w:val="bottom"/>
          </w:tcPr>
          <w:p w14:paraId="7C86AA98" w14:textId="77777777" w:rsidR="00102DE3" w:rsidRPr="00341080" w:rsidRDefault="00102DE3" w:rsidP="00640B99">
            <w:pPr>
              <w:spacing w:before="80" w:after="80" w:line="200" w:lineRule="exact"/>
              <w:jc w:val="right"/>
              <w:rPr>
                <w:i/>
                <w:sz w:val="16"/>
                <w:szCs w:val="16"/>
              </w:rPr>
            </w:pPr>
            <w:r w:rsidRPr="00341080">
              <w:rPr>
                <w:i/>
                <w:iCs/>
                <w:sz w:val="16"/>
                <w:szCs w:val="16"/>
              </w:rPr>
              <w:t>Индекс развития человеческого потенциала, не</w:t>
            </w:r>
            <w:r>
              <w:rPr>
                <w:i/>
                <w:iCs/>
                <w:sz w:val="16"/>
                <w:szCs w:val="16"/>
              </w:rPr>
              <w:t> </w:t>
            </w:r>
            <w:r w:rsidRPr="00341080">
              <w:rPr>
                <w:i/>
                <w:iCs/>
                <w:sz w:val="16"/>
                <w:szCs w:val="16"/>
              </w:rPr>
              <w:t>привязанный к</w:t>
            </w:r>
            <w:r>
              <w:rPr>
                <w:i/>
                <w:iCs/>
                <w:sz w:val="16"/>
                <w:szCs w:val="16"/>
              </w:rPr>
              <w:t> </w:t>
            </w:r>
            <w:r w:rsidRPr="00341080">
              <w:rPr>
                <w:i/>
                <w:iCs/>
                <w:sz w:val="16"/>
                <w:szCs w:val="16"/>
              </w:rPr>
              <w:t>уровню дохода</w:t>
            </w:r>
          </w:p>
        </w:tc>
      </w:tr>
      <w:tr w:rsidR="00102DE3" w:rsidRPr="00341080" w14:paraId="2BB35D11" w14:textId="77777777" w:rsidTr="00640B99">
        <w:tc>
          <w:tcPr>
            <w:tcW w:w="1078" w:type="dxa"/>
            <w:tcBorders>
              <w:top w:val="single" w:sz="12" w:space="0" w:color="auto"/>
              <w:bottom w:val="single" w:sz="12" w:space="0" w:color="auto"/>
            </w:tcBorders>
            <w:shd w:val="clear" w:color="auto" w:fill="auto"/>
            <w:tcMar>
              <w:left w:w="28" w:type="dxa"/>
              <w:right w:w="28" w:type="dxa"/>
            </w:tcMar>
            <w:vAlign w:val="bottom"/>
          </w:tcPr>
          <w:p w14:paraId="4C3D38EB" w14:textId="77777777" w:rsidR="00102DE3" w:rsidRPr="00341080" w:rsidRDefault="00102DE3" w:rsidP="00640B99">
            <w:pPr>
              <w:spacing w:before="40" w:after="120" w:line="220" w:lineRule="exact"/>
              <w:rPr>
                <w:sz w:val="18"/>
                <w:szCs w:val="18"/>
              </w:rPr>
            </w:pPr>
            <w:r w:rsidRPr="00341080">
              <w:rPr>
                <w:sz w:val="18"/>
                <w:szCs w:val="18"/>
              </w:rPr>
              <w:t>0,796</w:t>
            </w:r>
          </w:p>
        </w:tc>
        <w:tc>
          <w:tcPr>
            <w:tcW w:w="1526" w:type="dxa"/>
            <w:tcBorders>
              <w:top w:val="single" w:sz="12" w:space="0" w:color="auto"/>
              <w:bottom w:val="single" w:sz="12" w:space="0" w:color="auto"/>
            </w:tcBorders>
            <w:shd w:val="clear" w:color="auto" w:fill="auto"/>
            <w:tcMar>
              <w:left w:w="28" w:type="dxa"/>
              <w:right w:w="28" w:type="dxa"/>
            </w:tcMar>
            <w:vAlign w:val="bottom"/>
          </w:tcPr>
          <w:p w14:paraId="63BD60BE" w14:textId="77777777" w:rsidR="00102DE3" w:rsidRPr="00341080" w:rsidRDefault="00102DE3" w:rsidP="00640B99">
            <w:pPr>
              <w:spacing w:before="40" w:after="120" w:line="220" w:lineRule="exact"/>
              <w:jc w:val="right"/>
              <w:rPr>
                <w:sz w:val="18"/>
                <w:szCs w:val="18"/>
              </w:rPr>
            </w:pPr>
            <w:r w:rsidRPr="00341080">
              <w:rPr>
                <w:sz w:val="18"/>
                <w:szCs w:val="18"/>
              </w:rPr>
              <w:t>77</w:t>
            </w:r>
          </w:p>
        </w:tc>
        <w:tc>
          <w:tcPr>
            <w:tcW w:w="728" w:type="dxa"/>
            <w:tcBorders>
              <w:top w:val="single" w:sz="12" w:space="0" w:color="auto"/>
              <w:bottom w:val="single" w:sz="12" w:space="0" w:color="auto"/>
            </w:tcBorders>
            <w:shd w:val="clear" w:color="auto" w:fill="auto"/>
            <w:tcMar>
              <w:left w:w="28" w:type="dxa"/>
              <w:right w:w="28" w:type="dxa"/>
            </w:tcMar>
            <w:vAlign w:val="bottom"/>
          </w:tcPr>
          <w:p w14:paraId="73353CE6" w14:textId="77777777" w:rsidR="00102DE3" w:rsidRPr="00341080" w:rsidRDefault="00102DE3" w:rsidP="00640B99">
            <w:pPr>
              <w:spacing w:before="40" w:after="120" w:line="220" w:lineRule="exact"/>
              <w:jc w:val="right"/>
              <w:rPr>
                <w:sz w:val="18"/>
                <w:szCs w:val="18"/>
              </w:rPr>
            </w:pPr>
            <w:r w:rsidRPr="00341080">
              <w:rPr>
                <w:sz w:val="18"/>
                <w:szCs w:val="18"/>
              </w:rPr>
              <w:t>13,7</w:t>
            </w:r>
          </w:p>
        </w:tc>
        <w:tc>
          <w:tcPr>
            <w:tcW w:w="910" w:type="dxa"/>
            <w:tcBorders>
              <w:top w:val="single" w:sz="12" w:space="0" w:color="auto"/>
              <w:bottom w:val="single" w:sz="12" w:space="0" w:color="auto"/>
            </w:tcBorders>
            <w:shd w:val="clear" w:color="auto" w:fill="auto"/>
            <w:tcMar>
              <w:left w:w="28" w:type="dxa"/>
              <w:right w:w="28" w:type="dxa"/>
            </w:tcMar>
            <w:vAlign w:val="bottom"/>
          </w:tcPr>
          <w:p w14:paraId="5C6E48A0" w14:textId="77777777" w:rsidR="00102DE3" w:rsidRPr="00341080" w:rsidRDefault="00102DE3" w:rsidP="00640B99">
            <w:pPr>
              <w:spacing w:before="40" w:after="120" w:line="220" w:lineRule="exact"/>
              <w:jc w:val="right"/>
              <w:rPr>
                <w:sz w:val="18"/>
                <w:szCs w:val="18"/>
              </w:rPr>
            </w:pPr>
            <w:r w:rsidRPr="00341080">
              <w:rPr>
                <w:sz w:val="18"/>
                <w:szCs w:val="18"/>
              </w:rPr>
              <w:t>8,1</w:t>
            </w:r>
          </w:p>
        </w:tc>
        <w:tc>
          <w:tcPr>
            <w:tcW w:w="1119" w:type="dxa"/>
            <w:tcBorders>
              <w:top w:val="single" w:sz="12" w:space="0" w:color="auto"/>
              <w:bottom w:val="single" w:sz="12" w:space="0" w:color="auto"/>
            </w:tcBorders>
            <w:shd w:val="clear" w:color="auto" w:fill="auto"/>
            <w:tcMar>
              <w:left w:w="28" w:type="dxa"/>
              <w:right w:w="28" w:type="dxa"/>
            </w:tcMar>
            <w:vAlign w:val="bottom"/>
          </w:tcPr>
          <w:p w14:paraId="0DE512BF" w14:textId="77777777" w:rsidR="00102DE3" w:rsidRPr="00341080" w:rsidRDefault="00102DE3" w:rsidP="00640B99">
            <w:pPr>
              <w:spacing w:before="40" w:after="120" w:line="220" w:lineRule="exact"/>
              <w:jc w:val="right"/>
              <w:rPr>
                <w:sz w:val="18"/>
                <w:szCs w:val="18"/>
              </w:rPr>
            </w:pPr>
            <w:r w:rsidRPr="00341080">
              <w:rPr>
                <w:sz w:val="18"/>
                <w:szCs w:val="18"/>
              </w:rPr>
              <w:t>34 402</w:t>
            </w:r>
          </w:p>
        </w:tc>
        <w:tc>
          <w:tcPr>
            <w:tcW w:w="1848" w:type="dxa"/>
            <w:tcBorders>
              <w:top w:val="single" w:sz="12" w:space="0" w:color="auto"/>
              <w:bottom w:val="single" w:sz="12" w:space="0" w:color="auto"/>
            </w:tcBorders>
            <w:shd w:val="clear" w:color="auto" w:fill="auto"/>
            <w:tcMar>
              <w:left w:w="28" w:type="dxa"/>
              <w:right w:w="28" w:type="dxa"/>
            </w:tcMar>
            <w:vAlign w:val="bottom"/>
          </w:tcPr>
          <w:p w14:paraId="280CDD17" w14:textId="77777777" w:rsidR="00102DE3" w:rsidRPr="00341080" w:rsidRDefault="00102DE3" w:rsidP="00640B99">
            <w:pPr>
              <w:spacing w:before="40" w:after="120" w:line="220" w:lineRule="exact"/>
              <w:jc w:val="right"/>
              <w:rPr>
                <w:sz w:val="18"/>
                <w:szCs w:val="18"/>
              </w:rPr>
            </w:pPr>
            <w:r w:rsidRPr="00341080">
              <w:rPr>
                <w:sz w:val="18"/>
                <w:szCs w:val="18"/>
              </w:rPr>
              <w:t>21</w:t>
            </w:r>
          </w:p>
        </w:tc>
        <w:tc>
          <w:tcPr>
            <w:tcW w:w="1295" w:type="dxa"/>
            <w:tcBorders>
              <w:top w:val="single" w:sz="12" w:space="0" w:color="auto"/>
              <w:bottom w:val="single" w:sz="12" w:space="0" w:color="auto"/>
            </w:tcBorders>
            <w:shd w:val="clear" w:color="auto" w:fill="auto"/>
            <w:tcMar>
              <w:left w:w="28" w:type="dxa"/>
              <w:right w:w="28" w:type="dxa"/>
            </w:tcMar>
            <w:vAlign w:val="bottom"/>
          </w:tcPr>
          <w:p w14:paraId="108A7B92" w14:textId="77777777" w:rsidR="00102DE3" w:rsidRPr="00341080" w:rsidRDefault="00102DE3" w:rsidP="00640B99">
            <w:pPr>
              <w:spacing w:before="40" w:after="120" w:line="220" w:lineRule="exact"/>
              <w:jc w:val="right"/>
              <w:rPr>
                <w:sz w:val="18"/>
                <w:szCs w:val="18"/>
              </w:rPr>
            </w:pPr>
            <w:r w:rsidRPr="00341080">
              <w:rPr>
                <w:sz w:val="18"/>
                <w:szCs w:val="18"/>
              </w:rPr>
              <w:t>0,796</w:t>
            </w:r>
          </w:p>
        </w:tc>
      </w:tr>
    </w:tbl>
    <w:p w14:paraId="1B062487" w14:textId="77777777" w:rsidR="00102DE3" w:rsidRPr="00341080" w:rsidRDefault="001D3893" w:rsidP="001D3893">
      <w:pPr>
        <w:pStyle w:val="SingleTxtG"/>
        <w:spacing w:before="120" w:line="240" w:lineRule="exact"/>
        <w:ind w:firstLine="170"/>
        <w:jc w:val="left"/>
        <w:rPr>
          <w:sz w:val="18"/>
          <w:szCs w:val="18"/>
          <w:rtl/>
        </w:rPr>
      </w:pPr>
      <w:r>
        <w:rPr>
          <w:i/>
          <w:iCs/>
          <w:sz w:val="18"/>
          <w:szCs w:val="18"/>
        </w:rPr>
        <w:t xml:space="preserve">*  </w:t>
      </w:r>
      <w:r w:rsidR="00102DE3" w:rsidRPr="001D3893">
        <w:rPr>
          <w:iCs/>
          <w:sz w:val="18"/>
          <w:szCs w:val="18"/>
        </w:rPr>
        <w:t>Источник</w:t>
      </w:r>
      <w:r w:rsidR="00102DE3" w:rsidRPr="001D3893">
        <w:rPr>
          <w:sz w:val="18"/>
          <w:szCs w:val="18"/>
        </w:rPr>
        <w:t>:</w:t>
      </w:r>
      <w:r w:rsidR="00102DE3" w:rsidRPr="00341080">
        <w:rPr>
          <w:sz w:val="18"/>
          <w:szCs w:val="18"/>
        </w:rPr>
        <w:t xml:space="preserve"> Высший совет по планированию.</w:t>
      </w:r>
    </w:p>
    <w:p w14:paraId="55B4103B" w14:textId="77777777" w:rsidR="00102DE3" w:rsidRPr="001F4E84" w:rsidRDefault="00102DE3" w:rsidP="00102DE3">
      <w:pPr>
        <w:pStyle w:val="SingleTxtG"/>
      </w:pPr>
      <w:r>
        <w:t>10.</w:t>
      </w:r>
      <w:r>
        <w:tab/>
        <w:t>Султанат прилагает усилия для достижения многих показателей в области прав человека, что в значительной степени способствует повышению уровня жизни населения. По оценкам, в 2017 году национальный доход на душу населения составил 61</w:t>
      </w:r>
      <w:r>
        <w:rPr>
          <w:lang w:val="en-US"/>
        </w:rPr>
        <w:t> </w:t>
      </w:r>
      <w:r>
        <w:t xml:space="preserve">659 долл. США. Ожидаемая продолжительность жизни при рождении достигла 77,9 года, а показатели младенческой смертности и смертности детей в возрасте </w:t>
      </w:r>
      <w:r w:rsidR="001D3893">
        <w:t>моложе</w:t>
      </w:r>
      <w:r>
        <w:t xml:space="preserve"> пяти лет </w:t>
      </w:r>
      <w:r w:rsidRPr="001F4E84">
        <w:t>–</w:t>
      </w:r>
      <w:r>
        <w:t xml:space="preserve"> 9,4 смерти и 11,4 смерти на 1 000 детей соответственно. </w:t>
      </w:r>
      <w:r>
        <w:br/>
        <w:t>В 2015</w:t>
      </w:r>
      <w:r w:rsidRPr="001F4E84">
        <w:t>–</w:t>
      </w:r>
      <w:r>
        <w:t>2016</w:t>
      </w:r>
      <w:r>
        <w:rPr>
          <w:lang w:val="en-US"/>
        </w:rPr>
        <w:t> </w:t>
      </w:r>
      <w:r>
        <w:t>годах чистый коэффициент охвата школьным образованием составлял 98,3% в начальной школе (дети в возрасте от 6 до 11 лет) и 95,6% среди детей в возрасте от 12 до 14 лет. По оценкам Национального статистического центра, в 2017 году уровень неграмотности среди лиц в возрасте от 15 до 79 лет составлял 6,25% по сравнению с 10,19% в 2012 году. Этот прогресс повлиял на остальные демографические, социальные, экономические и культурные показатели (добавление 3 к Руководящим принципам, приложения 1 и 2).</w:t>
      </w:r>
    </w:p>
    <w:p w14:paraId="77DF8252" w14:textId="77777777" w:rsidR="00102DE3" w:rsidRPr="001F4E84" w:rsidRDefault="00102DE3" w:rsidP="00102DE3">
      <w:pPr>
        <w:pStyle w:val="SingleTxtG"/>
      </w:pPr>
      <w:r>
        <w:t>11.</w:t>
      </w:r>
      <w:r>
        <w:tab/>
        <w:t xml:space="preserve">Что касается права на здоровье, то, взяв на себя обязательство предоставлять бесплатные медицинские услуги во всех мухафазах, Султанат добился значительных успехов, которыми на равной основе пользуются граждане и резиденты страны. В 2017–2018 годах суммы, выделенные на здравоохранение, составили 6,25% от </w:t>
      </w:r>
      <w:r>
        <w:lastRenderedPageBreak/>
        <w:t>общего объема государственных расходов, что оказало положительное влияние на медицинское обслуживание. В 2017 году в Султанате насчитывалось порядка 1 583 государственных и частных больниц и медицинских учреждений.</w:t>
      </w:r>
    </w:p>
    <w:p w14:paraId="54976A4A" w14:textId="77777777" w:rsidR="00102DE3" w:rsidRPr="001F4E84" w:rsidRDefault="00102DE3" w:rsidP="00102DE3">
      <w:pPr>
        <w:pStyle w:val="SingleTxtG"/>
      </w:pPr>
      <w:r>
        <w:t>12.</w:t>
      </w:r>
      <w:r>
        <w:tab/>
        <w:t>Власти придают большое значение образованию детей. Образование является бесплатным до окончания средней школы. В 2016–2017 годах суммы, выделенные на сектор образования, составили 10,4% от общего объема государственных расходов. В настоящее время в Султанате насчитывается 1 100 государственных школ, в</w:t>
      </w:r>
      <w:r w:rsidR="0082019C">
        <w:t> </w:t>
      </w:r>
      <w:r>
        <w:t>которых в 2016</w:t>
      </w:r>
      <w:r w:rsidR="003024DF">
        <w:t>/</w:t>
      </w:r>
      <w:r>
        <w:t>17</w:t>
      </w:r>
      <w:r w:rsidR="003024DF">
        <w:t xml:space="preserve"> </w:t>
      </w:r>
      <w:r>
        <w:t>учебном году обучались 564 356 человек. Число учеников частных школ составляет 103 358 человек.</w:t>
      </w:r>
    </w:p>
    <w:p w14:paraId="4FD5854E" w14:textId="77777777" w:rsidR="00102DE3" w:rsidRPr="001F4E84" w:rsidRDefault="00102DE3" w:rsidP="00102DE3">
      <w:pPr>
        <w:pStyle w:val="SingleTxtG"/>
      </w:pPr>
      <w:r>
        <w:t>13.</w:t>
      </w:r>
      <w:r>
        <w:tab/>
        <w:t>Осознавая органическую связь между правами человека и миром, власти обеспечивают наведение мостов дружбы и установление со всеми миролюбивыми государствами сердечных и сбалансированных отношений на основе взаимного уважения, соблюдают международные договоры и стандарты Организации Объединенных Наций, а также делают выбор в пользу урегулирования конфликтов мирными средствами в интересах глобальной безопасности и стабильности. В основе внешней политики Султаната, будь то на уровне Залива или на региональном и международном уровнях,</w:t>
      </w:r>
      <w:r w:rsidRPr="00E44FFE">
        <w:t xml:space="preserve"> </w:t>
      </w:r>
      <w:r>
        <w:t>лежит</w:t>
      </w:r>
      <w:r w:rsidRPr="00E44FFE">
        <w:t xml:space="preserve"> </w:t>
      </w:r>
      <w:r>
        <w:t>стратегия мира. Султанат постоянно находится в авангарде инициатив по поддержанию мира в регионе и сближению заинтересованных сторон, признавая, что сохранение целостности государств и интересов их народов на основе сотрудничества, справедливости и равенства расширяет перспективы развития и мира.</w:t>
      </w:r>
    </w:p>
    <w:p w14:paraId="4D67D4CE" w14:textId="77777777" w:rsidR="00102DE3" w:rsidRPr="001F4E84" w:rsidRDefault="00102DE3" w:rsidP="00102DE3">
      <w:pPr>
        <w:pStyle w:val="SingleTxtG"/>
      </w:pPr>
      <w:r>
        <w:t>14.</w:t>
      </w:r>
      <w:r>
        <w:tab/>
        <w:t>Султанат вносит вклад в деятельность различных региональных и международных организаций, направленную на поддержку работы по сохранению мира, укрепление уважения прав человека и содействие усилиям по борьбе с терроризмом. Он постоянно стремится выполнять свои обязанности в этих организациях для создания условий, благоприятствующих развитию и поддержанию региональн</w:t>
      </w:r>
      <w:r w:rsidR="00C47AD4">
        <w:t>ого</w:t>
      </w:r>
      <w:r>
        <w:t xml:space="preserve"> и международн</w:t>
      </w:r>
      <w:r w:rsidR="00C47AD4">
        <w:t>ого</w:t>
      </w:r>
      <w:r>
        <w:t xml:space="preserve"> мира и безопасности.</w:t>
      </w:r>
    </w:p>
    <w:p w14:paraId="235BCA04" w14:textId="77777777" w:rsidR="00102DE3" w:rsidRPr="001F4E84" w:rsidRDefault="00102DE3" w:rsidP="00102DE3">
      <w:pPr>
        <w:pStyle w:val="H1G"/>
      </w:pPr>
      <w:r>
        <w:rPr>
          <w:bCs/>
        </w:rPr>
        <w:tab/>
        <w:t>B.</w:t>
      </w:r>
      <w:r>
        <w:tab/>
      </w:r>
      <w:r>
        <w:rPr>
          <w:bCs/>
        </w:rPr>
        <w:t>Конституционная, политическая и правовая структура государства</w:t>
      </w:r>
    </w:p>
    <w:p w14:paraId="1361B381" w14:textId="77777777" w:rsidR="00102DE3" w:rsidRPr="001F4E84" w:rsidRDefault="00102DE3" w:rsidP="00102DE3">
      <w:pPr>
        <w:pStyle w:val="SingleTxtG"/>
        <w:rPr>
          <w:bCs/>
        </w:rPr>
      </w:pPr>
      <w:r>
        <w:t>15.</w:t>
      </w:r>
      <w:r>
        <w:tab/>
        <w:t xml:space="preserve">Оман является султанатом, власть в котором передается </w:t>
      </w:r>
      <w:proofErr w:type="gramStart"/>
      <w:r>
        <w:t>по наследству</w:t>
      </w:r>
      <w:proofErr w:type="gramEnd"/>
      <w:r>
        <w:t xml:space="preserve"> и система правления которого основана на справедливости, консультациях и равенстве. В соответствии с Основным законом граждане имеют право участвовать в управлении государственными делами на условиях, установленных законом.</w:t>
      </w:r>
    </w:p>
    <w:p w14:paraId="26300A3F" w14:textId="77777777" w:rsidR="00102DE3" w:rsidRPr="001F4E84" w:rsidRDefault="00102DE3" w:rsidP="00102DE3">
      <w:pPr>
        <w:pStyle w:val="SingleTxtG"/>
        <w:rPr>
          <w:bCs/>
        </w:rPr>
      </w:pPr>
      <w:r>
        <w:t>16.</w:t>
      </w:r>
      <w:r>
        <w:tab/>
        <w:t>В Основном законе (Конституции), обнародованном указом султана № 101/96 с поправками, внесенными указом султана № 99/2011, закреплены главные аспекты и основы современного государства, а также нормы, регулирующие отношения между его институтами, обязанности и ответственность трех ветвей власти (законодательной, исполнительной и судебной) и выполнение ими своей национальной роли в обстановке полного согласия и взаимодополняемости в интересах страны. Кроме того, Основной закон гарантирует права и свободы граждан в соответствии с принципом верховенства права.</w:t>
      </w:r>
    </w:p>
    <w:p w14:paraId="1C05D713" w14:textId="77777777" w:rsidR="00102DE3" w:rsidRPr="001F4E84" w:rsidRDefault="00102DE3" w:rsidP="00102DE3">
      <w:pPr>
        <w:pStyle w:val="SingleTxtG"/>
        <w:rPr>
          <w:bCs/>
        </w:rPr>
      </w:pPr>
      <w:r>
        <w:t>17.</w:t>
      </w:r>
      <w:r>
        <w:tab/>
        <w:t>В Султанате полномочия делятся между главой государства и тремя описанными ниже ветвями власти.</w:t>
      </w:r>
    </w:p>
    <w:p w14:paraId="2718B29F" w14:textId="77777777" w:rsidR="00102DE3" w:rsidRPr="001F4E84" w:rsidRDefault="00102DE3" w:rsidP="00102DE3">
      <w:pPr>
        <w:pStyle w:val="H23G"/>
      </w:pPr>
      <w:r>
        <w:tab/>
      </w:r>
      <w:r>
        <w:tab/>
      </w:r>
      <w:r>
        <w:rPr>
          <w:bCs/>
        </w:rPr>
        <w:t>Глава государства</w:t>
      </w:r>
    </w:p>
    <w:p w14:paraId="79893282" w14:textId="77777777" w:rsidR="00102DE3" w:rsidRPr="001F4E84" w:rsidRDefault="00102DE3" w:rsidP="00102DE3">
      <w:pPr>
        <w:pStyle w:val="SingleTxtG"/>
        <w:rPr>
          <w:bCs/>
        </w:rPr>
      </w:pPr>
      <w:r>
        <w:t>18.</w:t>
      </w:r>
      <w:r>
        <w:tab/>
        <w:t>Главой государства и верховным главнокомандующим вооруженными силами является султан. Он пользуется полным иммунитетом, и каждый человек обязан уважать его и повиноваться ему. Султан является символом национального единства, защиту которого он обеспечивает. В статье 42 Основного закона определены выполняемые им функции.</w:t>
      </w:r>
    </w:p>
    <w:p w14:paraId="1F63A0A3" w14:textId="77777777" w:rsidR="00102DE3" w:rsidRPr="00341080" w:rsidRDefault="00102DE3" w:rsidP="00102DE3">
      <w:pPr>
        <w:pStyle w:val="H23G"/>
      </w:pPr>
      <w:r w:rsidRPr="00341080">
        <w:lastRenderedPageBreak/>
        <w:tab/>
      </w:r>
      <w:r w:rsidRPr="00341080">
        <w:tab/>
        <w:t>Исполнительная власть</w:t>
      </w:r>
    </w:p>
    <w:p w14:paraId="4C1646FC" w14:textId="77777777" w:rsidR="00102DE3" w:rsidRPr="001F4E84" w:rsidRDefault="00102DE3" w:rsidP="00102DE3">
      <w:pPr>
        <w:pStyle w:val="SingleTxtG"/>
        <w:rPr>
          <w:bCs/>
        </w:rPr>
      </w:pPr>
      <w:r>
        <w:t>19.</w:t>
      </w:r>
      <w:r>
        <w:tab/>
        <w:t>Исполнительная власть принадлежит Совету министров, председателем которого является Его Величество султан. Совет оказывает султану содействие в определении и осуществлении общей политики государства. Он выносит рекомендации по экономическим, политическим, социальным и административным вопросам, предлагает законопроекты и указы, обеспечивает защиту интересов граждан и предоставление им необходимых услуг, работает над улучшением их положения в плане экономики, социального развития, здравоохранения и культуры, определяет общие цели и политику экономического, социального и административного развития и предлагает меры по обеспечению ее осуществления, гарантируя  надлежащее использование финансовых, экономических и кадровых ресурсов, рассматривает планы развития, разработанные компетентными органами, представляет их на утверждение султана и обеспечивает их мониторинг и реализацию, изучает представляемые министрами предложения по вопросам, входящим в сферу их компетенции, и принимает требуемые рекомендации и решения, осуществляет надзор за работой государственного административного аппарата и контролирует надлежащее решение стоящих перед ним задач и координацию между его элементами, обеспечивает общий надзор за выполнением законов, указов, регламентов, решений, договоров, конвенций и судебных решений, а также осуществляет любые другие полномочия, предоставляемые ему султаном или вытекающие из применения положений права. Совет министров имеет секретариат, который оказывает ему содействие в решении его задач.</w:t>
      </w:r>
    </w:p>
    <w:p w14:paraId="0DAE0D1D" w14:textId="77777777" w:rsidR="00102DE3" w:rsidRPr="001F4E84" w:rsidRDefault="00102DE3" w:rsidP="00102DE3">
      <w:pPr>
        <w:pStyle w:val="H23G"/>
      </w:pPr>
      <w:r>
        <w:tab/>
      </w:r>
      <w:r>
        <w:tab/>
      </w:r>
      <w:r>
        <w:rPr>
          <w:bCs/>
        </w:rPr>
        <w:t>Специализированные советы</w:t>
      </w:r>
    </w:p>
    <w:p w14:paraId="6939C3A9" w14:textId="77777777" w:rsidR="00102DE3" w:rsidRPr="001F4E84" w:rsidRDefault="00102DE3" w:rsidP="00102DE3">
      <w:pPr>
        <w:pStyle w:val="SingleTxtG"/>
        <w:rPr>
          <w:bCs/>
        </w:rPr>
      </w:pPr>
      <w:r>
        <w:t>20.</w:t>
      </w:r>
      <w:r>
        <w:tab/>
        <w:t>Статья 56 Основного закона предусматривает создание при Совете министров специализированных советов и определяет их полномочия. Члены этих советов назначаются указом султана, если иное не предусмотрено указом, регулирующим их создание.</w:t>
      </w:r>
    </w:p>
    <w:p w14:paraId="68141816" w14:textId="77777777" w:rsidR="00102DE3" w:rsidRPr="001F4E84" w:rsidRDefault="00102DE3" w:rsidP="00102DE3">
      <w:pPr>
        <w:pStyle w:val="H23G"/>
      </w:pPr>
      <w:r>
        <w:tab/>
      </w:r>
      <w:r>
        <w:tab/>
      </w:r>
      <w:r>
        <w:rPr>
          <w:bCs/>
        </w:rPr>
        <w:t>Совет по вопросам обороны</w:t>
      </w:r>
    </w:p>
    <w:p w14:paraId="65ED0132" w14:textId="77777777" w:rsidR="00102DE3" w:rsidRPr="001F4E84" w:rsidRDefault="00102DE3" w:rsidP="00102DE3">
      <w:pPr>
        <w:pStyle w:val="SingleTxtG"/>
        <w:rPr>
          <w:bCs/>
        </w:rPr>
      </w:pPr>
      <w:r>
        <w:t>21.</w:t>
      </w:r>
      <w:r>
        <w:tab/>
        <w:t>Совет по вопросам обороны был создан 28 декабря 1996 года в соответствии с указом султана № 105/96. Он функционирует под председательством султана, и в его состав входят восемь членов. Совет созывается султаном для рассмотрения вопросов, касающихся обеспечения безопасности Султаната.</w:t>
      </w:r>
    </w:p>
    <w:p w14:paraId="5053C902" w14:textId="77777777" w:rsidR="00102DE3" w:rsidRPr="001F4E84" w:rsidRDefault="00102DE3" w:rsidP="00102DE3">
      <w:pPr>
        <w:pStyle w:val="H23G"/>
      </w:pPr>
      <w:r>
        <w:tab/>
      </w:r>
      <w:r>
        <w:tab/>
      </w:r>
      <w:r>
        <w:rPr>
          <w:bCs/>
        </w:rPr>
        <w:t>Совет национальной безопасности</w:t>
      </w:r>
    </w:p>
    <w:p w14:paraId="39533681" w14:textId="77777777" w:rsidR="00102DE3" w:rsidRPr="001F4E84" w:rsidRDefault="00102DE3" w:rsidP="00102DE3">
      <w:pPr>
        <w:pStyle w:val="SingleTxtG"/>
        <w:rPr>
          <w:bCs/>
        </w:rPr>
      </w:pPr>
      <w:r>
        <w:t>22.</w:t>
      </w:r>
      <w:r>
        <w:tab/>
        <w:t>Совет национальной безопасности рассматривает все вопросы, касающиеся национальной безопасности. Его председателем является султан, а иногда – глава его кабинета. В состав органа входят генеральный инспектор полиции и таможни, начальник службы внутренней безопасности, начальник штаба вооруженных сил и начальник службы связи и координации. Совет может приглашать для участия в своей работе</w:t>
      </w:r>
      <w:r w:rsidRPr="00F81F35">
        <w:t xml:space="preserve"> </w:t>
      </w:r>
      <w:r>
        <w:t>других лиц. Генеральный секретарь Совета входит в состав кабинета султана.</w:t>
      </w:r>
    </w:p>
    <w:p w14:paraId="485ED877" w14:textId="77777777" w:rsidR="00102DE3" w:rsidRPr="001F4E84" w:rsidRDefault="00102DE3" w:rsidP="00102DE3">
      <w:pPr>
        <w:pStyle w:val="H23G"/>
      </w:pPr>
      <w:r>
        <w:tab/>
      </w:r>
      <w:r>
        <w:tab/>
      </w:r>
      <w:r>
        <w:rPr>
          <w:bCs/>
        </w:rPr>
        <w:t>Совет по финансовым вопросам и энергетическим ресурсам</w:t>
      </w:r>
    </w:p>
    <w:p w14:paraId="79A332C1" w14:textId="77777777" w:rsidR="00102DE3" w:rsidRPr="001F4E84" w:rsidRDefault="00102DE3" w:rsidP="00102DE3">
      <w:pPr>
        <w:pStyle w:val="SingleTxtG"/>
        <w:rPr>
          <w:bCs/>
        </w:rPr>
      </w:pPr>
      <w:r>
        <w:t>23.</w:t>
      </w:r>
      <w:r>
        <w:tab/>
        <w:t>Совет по финансовым вопросам и энергетическим ресурсам разрабатывает финансовую политику государства и решает все вопросы, касающиеся его валютно-финансовой системы. Он составляет годовой бюджет государства и рассматривает выделение кредитов на проекты развития, условия финансирования и реализации инвестиционных проектов в стране и за рубежом, а также любые другие вопросы, связанные с накоплениями, инвестициями, финансами и валютой. Кроме того, Совет занимается проблемой энергетических ресурсов, работая над развитием и укреплением их вклада в национальную экономику и над улучшением методов их использования. Председателем Совета является султан или его заместитель. Совет был реорганизован указом султана № 60/2011 от 9 мая 2011 года.</w:t>
      </w:r>
    </w:p>
    <w:p w14:paraId="04DF1B0A" w14:textId="77777777" w:rsidR="00102DE3" w:rsidRPr="001F4E84" w:rsidRDefault="00102DE3" w:rsidP="00102DE3">
      <w:pPr>
        <w:pStyle w:val="H23G"/>
      </w:pPr>
      <w:r>
        <w:lastRenderedPageBreak/>
        <w:tab/>
      </w:r>
      <w:r>
        <w:tab/>
      </w:r>
      <w:r>
        <w:rPr>
          <w:bCs/>
        </w:rPr>
        <w:t>Совет управляющих Центрального банка</w:t>
      </w:r>
    </w:p>
    <w:p w14:paraId="7E1D0B19" w14:textId="77777777" w:rsidR="00102DE3" w:rsidRPr="001F4E84" w:rsidRDefault="00102DE3" w:rsidP="00102DE3">
      <w:pPr>
        <w:pStyle w:val="SingleTxtG"/>
        <w:rPr>
          <w:bCs/>
        </w:rPr>
      </w:pPr>
      <w:r>
        <w:t>24.</w:t>
      </w:r>
      <w:r>
        <w:tab/>
        <w:t>Совет управляющих Центрального банка разрабатывает денежно-кредитную политику Султаната. Он уполномочен принимать все необходимые меры для обеспечения надлежащего управления Центральным банком, выпуска валюты и надзора за финансовыми учреждениями и банковскими операциями. В состав Совета входят шесть управляющих, назначаемых и контролируемых султаном. Совет был создан в соответствии с указом султана № 42/2017 от 5 сентября 2017 года и помещен под председательство Его Величества султана.</w:t>
      </w:r>
    </w:p>
    <w:p w14:paraId="3B3FAE53" w14:textId="77777777" w:rsidR="00102DE3" w:rsidRPr="001F4E84" w:rsidRDefault="00102DE3" w:rsidP="00102DE3">
      <w:pPr>
        <w:pStyle w:val="H23G"/>
      </w:pPr>
      <w:r>
        <w:tab/>
      </w:r>
      <w:r>
        <w:tab/>
      </w:r>
      <w:r>
        <w:rPr>
          <w:bCs/>
        </w:rPr>
        <w:t>Высший совет по планированию</w:t>
      </w:r>
    </w:p>
    <w:p w14:paraId="150F83E4" w14:textId="77777777" w:rsidR="00102DE3" w:rsidRPr="001F4E84" w:rsidRDefault="00102DE3" w:rsidP="00102DE3">
      <w:pPr>
        <w:pStyle w:val="SingleTxtG"/>
        <w:rPr>
          <w:bCs/>
        </w:rPr>
      </w:pPr>
      <w:r>
        <w:t>25.</w:t>
      </w:r>
      <w:r>
        <w:tab/>
        <w:t>Высший совет по планированию был учрежден указом султана № 30/2012 от 26 мая 2012 года. Он отвечает за разработку стратегий и политики устойчивого развития, а также за создание необходимых механизмов для их осуществления в целях обеспечения диверсификации экономики и оптимального использования имеющихся природных и кадровых ресурсов.</w:t>
      </w:r>
    </w:p>
    <w:p w14:paraId="0F437E39" w14:textId="77777777" w:rsidR="00102DE3" w:rsidRPr="001F4E84" w:rsidRDefault="00102DE3" w:rsidP="00102DE3">
      <w:pPr>
        <w:pStyle w:val="H23G"/>
      </w:pPr>
      <w:r>
        <w:tab/>
      </w:r>
      <w:r>
        <w:tab/>
      </w:r>
      <w:r>
        <w:rPr>
          <w:bCs/>
        </w:rPr>
        <w:t>Государственные органы, советы и комиссии</w:t>
      </w:r>
    </w:p>
    <w:p w14:paraId="2B4E139F" w14:textId="77777777" w:rsidR="00102DE3" w:rsidRPr="001F4E84" w:rsidRDefault="00102DE3" w:rsidP="00102DE3">
      <w:pPr>
        <w:pStyle w:val="SingleTxtG"/>
      </w:pPr>
      <w:r>
        <w:t>26.</w:t>
      </w:r>
      <w:r>
        <w:tab/>
        <w:t>Государственный административный аппарат состоит из ряда высоких комиссий, специализированных советов и государственных органов, каждый из которых осуществляет надзор за деятельностью конкретного сектора в координации с другими заинтересованными сторонами, в частности министерствами, в целях защиты общественных интересов и обеспечения надлежащего функционирования и координации деятельности органов, действующих в этом секторе. Министры и старшие должностные лица участвуют в деятельности комиссий, советов и органов, находящихся под их юрисдикцией. В число созданных органов входят:</w:t>
      </w:r>
    </w:p>
    <w:p w14:paraId="6D53761A" w14:textId="77777777" w:rsidR="00102DE3" w:rsidRPr="001F4E84" w:rsidRDefault="00102DE3" w:rsidP="00102DE3">
      <w:pPr>
        <w:pStyle w:val="Bullet1G"/>
        <w:numPr>
          <w:ilvl w:val="0"/>
          <w:numId w:val="22"/>
        </w:numPr>
        <w:kinsoku w:val="0"/>
        <w:overflowPunct w:val="0"/>
        <w:autoSpaceDE w:val="0"/>
        <w:autoSpaceDN w:val="0"/>
        <w:adjustRightInd w:val="0"/>
        <w:snapToGrid w:val="0"/>
      </w:pPr>
      <w:r>
        <w:t>Государственная служба финансовой и административной инспекции;</w:t>
      </w:r>
    </w:p>
    <w:p w14:paraId="35E6BE41" w14:textId="77777777" w:rsidR="00102DE3" w:rsidRPr="00155596" w:rsidRDefault="00102DE3" w:rsidP="00102DE3">
      <w:pPr>
        <w:pStyle w:val="Bullet1G"/>
        <w:numPr>
          <w:ilvl w:val="0"/>
          <w:numId w:val="22"/>
        </w:numPr>
        <w:kinsoku w:val="0"/>
        <w:overflowPunct w:val="0"/>
        <w:autoSpaceDE w:val="0"/>
        <w:autoSpaceDN w:val="0"/>
        <w:adjustRightInd w:val="0"/>
        <w:snapToGrid w:val="0"/>
        <w:rPr>
          <w:bCs/>
        </w:rPr>
      </w:pPr>
      <w:r>
        <w:t>Государственный совет по рынкам;</w:t>
      </w:r>
    </w:p>
    <w:p w14:paraId="701D925C" w14:textId="77777777" w:rsidR="00102DE3" w:rsidRPr="00155596" w:rsidRDefault="00102DE3" w:rsidP="00102DE3">
      <w:pPr>
        <w:pStyle w:val="Bullet1G"/>
        <w:numPr>
          <w:ilvl w:val="0"/>
          <w:numId w:val="22"/>
        </w:numPr>
        <w:kinsoku w:val="0"/>
        <w:overflowPunct w:val="0"/>
        <w:autoSpaceDE w:val="0"/>
        <w:autoSpaceDN w:val="0"/>
        <w:adjustRightInd w:val="0"/>
        <w:snapToGrid w:val="0"/>
        <w:rPr>
          <w:bCs/>
        </w:rPr>
      </w:pPr>
      <w:r>
        <w:t>Совет по вопросам образования;</w:t>
      </w:r>
    </w:p>
    <w:p w14:paraId="3984CFF4" w14:textId="77777777" w:rsidR="00102DE3" w:rsidRPr="00155596" w:rsidRDefault="00102DE3" w:rsidP="00102DE3">
      <w:pPr>
        <w:pStyle w:val="Bullet1G"/>
        <w:numPr>
          <w:ilvl w:val="0"/>
          <w:numId w:val="22"/>
        </w:numPr>
        <w:kinsoku w:val="0"/>
        <w:overflowPunct w:val="0"/>
        <w:autoSpaceDE w:val="0"/>
        <w:autoSpaceDN w:val="0"/>
        <w:adjustRightInd w:val="0"/>
        <w:snapToGrid w:val="0"/>
        <w:rPr>
          <w:bCs/>
        </w:rPr>
      </w:pPr>
      <w:r>
        <w:t>Совет научных исследований;</w:t>
      </w:r>
    </w:p>
    <w:p w14:paraId="372A9949" w14:textId="77777777" w:rsidR="00102DE3" w:rsidRPr="00155596" w:rsidRDefault="00102DE3" w:rsidP="00102DE3">
      <w:pPr>
        <w:pStyle w:val="Bullet1G"/>
        <w:numPr>
          <w:ilvl w:val="0"/>
          <w:numId w:val="22"/>
        </w:numPr>
        <w:kinsoku w:val="0"/>
        <w:overflowPunct w:val="0"/>
        <w:autoSpaceDE w:val="0"/>
        <w:autoSpaceDN w:val="0"/>
        <w:adjustRightInd w:val="0"/>
        <w:snapToGrid w:val="0"/>
        <w:rPr>
          <w:bCs/>
        </w:rPr>
      </w:pPr>
      <w:r>
        <w:t>Оманское благотворительное агентство;</w:t>
      </w:r>
    </w:p>
    <w:p w14:paraId="78475098" w14:textId="77777777" w:rsidR="00102DE3" w:rsidRPr="00155596" w:rsidRDefault="00102DE3" w:rsidP="00102DE3">
      <w:pPr>
        <w:pStyle w:val="Bullet1G"/>
        <w:numPr>
          <w:ilvl w:val="0"/>
          <w:numId w:val="22"/>
        </w:numPr>
        <w:kinsoku w:val="0"/>
        <w:overflowPunct w:val="0"/>
        <w:autoSpaceDE w:val="0"/>
        <w:autoSpaceDN w:val="0"/>
        <w:adjustRightInd w:val="0"/>
        <w:snapToGrid w:val="0"/>
        <w:rPr>
          <w:bCs/>
        </w:rPr>
      </w:pPr>
      <w:r>
        <w:t>Агентство по информационным технологиям;</w:t>
      </w:r>
    </w:p>
    <w:p w14:paraId="62EBD792" w14:textId="77777777" w:rsidR="00102DE3" w:rsidRPr="00155596" w:rsidRDefault="00102DE3" w:rsidP="00102DE3">
      <w:pPr>
        <w:pStyle w:val="Bullet1G"/>
        <w:numPr>
          <w:ilvl w:val="0"/>
          <w:numId w:val="22"/>
        </w:numPr>
        <w:kinsoku w:val="0"/>
        <w:overflowPunct w:val="0"/>
        <w:autoSpaceDE w:val="0"/>
        <w:autoSpaceDN w:val="0"/>
        <w:adjustRightInd w:val="0"/>
        <w:snapToGrid w:val="0"/>
        <w:rPr>
          <w:bCs/>
        </w:rPr>
      </w:pPr>
      <w:r>
        <w:t>Национальное агентство социального страхования;</w:t>
      </w:r>
    </w:p>
    <w:p w14:paraId="0CB9DBBA"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Национальное агентство по защите интересов потребителей;</w:t>
      </w:r>
    </w:p>
    <w:p w14:paraId="512F2052" w14:textId="77777777" w:rsidR="00102DE3" w:rsidRPr="00155596" w:rsidRDefault="00102DE3" w:rsidP="00102DE3">
      <w:pPr>
        <w:pStyle w:val="Bullet1G"/>
        <w:numPr>
          <w:ilvl w:val="0"/>
          <w:numId w:val="22"/>
        </w:numPr>
        <w:kinsoku w:val="0"/>
        <w:overflowPunct w:val="0"/>
        <w:autoSpaceDE w:val="0"/>
        <w:autoSpaceDN w:val="0"/>
        <w:adjustRightInd w:val="0"/>
        <w:snapToGrid w:val="0"/>
        <w:rPr>
          <w:bCs/>
        </w:rPr>
      </w:pPr>
      <w:r>
        <w:t>Национальный реестр рабочей силы;</w:t>
      </w:r>
    </w:p>
    <w:p w14:paraId="17F7DB02"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Национальное агентство по развитию малых и средних предприятий;</w:t>
      </w:r>
    </w:p>
    <w:p w14:paraId="1A99A0D0"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Национальное агентство гражданской обороны и помощи;</w:t>
      </w:r>
    </w:p>
    <w:p w14:paraId="12BB112D"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Национальное агентство по партнерству в интересах развития;</w:t>
      </w:r>
    </w:p>
    <w:p w14:paraId="2D8E9502"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Национальная комиссия по вопросам образования, науки и культуры;</w:t>
      </w:r>
    </w:p>
    <w:p w14:paraId="51F74744"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Национальная комиссия по делам молодежи;</w:t>
      </w:r>
    </w:p>
    <w:p w14:paraId="1675D7DE"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Национальная комиссия по вопросам кризисного управления;</w:t>
      </w:r>
    </w:p>
    <w:p w14:paraId="41E72329"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Национальная комиссия по делам семьи;</w:t>
      </w:r>
    </w:p>
    <w:p w14:paraId="5B3CA89F"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Национальная комиссия по защите инвалидов;</w:t>
      </w:r>
    </w:p>
    <w:p w14:paraId="411DB59A" w14:textId="77777777" w:rsidR="00102DE3" w:rsidRPr="001F4E84" w:rsidRDefault="00102DE3" w:rsidP="00102DE3">
      <w:pPr>
        <w:pStyle w:val="Bullet1G"/>
        <w:numPr>
          <w:ilvl w:val="0"/>
          <w:numId w:val="22"/>
        </w:numPr>
        <w:kinsoku w:val="0"/>
        <w:overflowPunct w:val="0"/>
        <w:autoSpaceDE w:val="0"/>
        <w:autoSpaceDN w:val="0"/>
        <w:adjustRightInd w:val="0"/>
        <w:snapToGrid w:val="0"/>
        <w:rPr>
          <w:bCs/>
        </w:rPr>
      </w:pPr>
      <w:r>
        <w:t>Национальная комиссия по борьбе с торговлей людьми.</w:t>
      </w:r>
    </w:p>
    <w:p w14:paraId="2BCCA69E" w14:textId="77777777" w:rsidR="00102DE3" w:rsidRPr="001F4E84" w:rsidRDefault="00102DE3" w:rsidP="00102DE3">
      <w:pPr>
        <w:pStyle w:val="H23G"/>
      </w:pPr>
      <w:r>
        <w:tab/>
      </w:r>
      <w:r>
        <w:tab/>
      </w:r>
      <w:r>
        <w:rPr>
          <w:bCs/>
        </w:rPr>
        <w:t>Законодательная власть</w:t>
      </w:r>
    </w:p>
    <w:p w14:paraId="6520D4C9" w14:textId="77777777" w:rsidR="00102DE3" w:rsidRPr="001F4E84" w:rsidRDefault="00102DE3" w:rsidP="00102DE3">
      <w:pPr>
        <w:pStyle w:val="SingleTxtG"/>
        <w:rPr>
          <w:bCs/>
        </w:rPr>
      </w:pPr>
      <w:r>
        <w:t>27.</w:t>
      </w:r>
      <w:r>
        <w:tab/>
        <w:t xml:space="preserve">На протяжении нескольких лет система </w:t>
      </w:r>
      <w:proofErr w:type="spellStart"/>
      <w:r>
        <w:t>шуры</w:t>
      </w:r>
      <w:proofErr w:type="spellEnd"/>
      <w:r>
        <w:t xml:space="preserve"> претерпевала постоянные изменения. В настоящее время она состоит из двух советов: Государственного совета и Консультативного совета. Указ султана № 99/2011 о внесении изменений в Основной </w:t>
      </w:r>
      <w:r>
        <w:lastRenderedPageBreak/>
        <w:t>закон наделяет Совет Омана многочисленными законодательными и надзорными полномочиями, позволяющими ему в полной мере выполнять свои функции.</w:t>
      </w:r>
    </w:p>
    <w:p w14:paraId="3790179C" w14:textId="77777777" w:rsidR="00102DE3" w:rsidRPr="001F4E84" w:rsidRDefault="00102DE3" w:rsidP="00102DE3">
      <w:pPr>
        <w:pStyle w:val="H23G"/>
      </w:pPr>
      <w:r>
        <w:tab/>
      </w:r>
      <w:r>
        <w:tab/>
      </w:r>
      <w:r>
        <w:rPr>
          <w:bCs/>
        </w:rPr>
        <w:t>Совет Омана</w:t>
      </w:r>
    </w:p>
    <w:p w14:paraId="2DE6876D" w14:textId="77777777" w:rsidR="00102DE3" w:rsidRPr="001F4E84" w:rsidRDefault="00102DE3" w:rsidP="00102DE3">
      <w:pPr>
        <w:pStyle w:val="SingleTxtG"/>
        <w:rPr>
          <w:bCs/>
        </w:rPr>
      </w:pPr>
      <w:r>
        <w:t>28.</w:t>
      </w:r>
      <w:r>
        <w:tab/>
        <w:t>Совет Омана состоит из Государственного совета, члены которого назначаются султаном, и Консультативного совета, члены которого избираются оманскими гражданами. Он созывается султаном для рассмотрения вопросов, входящих в его компетенцию, и принимает решения большинством голосов.</w:t>
      </w:r>
      <w:bookmarkStart w:id="4" w:name="_Hlk15978022"/>
      <w:bookmarkEnd w:id="4"/>
    </w:p>
    <w:p w14:paraId="7FE62C92" w14:textId="77777777" w:rsidR="00102DE3" w:rsidRPr="001F4E84" w:rsidRDefault="00102DE3" w:rsidP="00102DE3">
      <w:pPr>
        <w:pStyle w:val="SingleTxtG"/>
        <w:rPr>
          <w:bCs/>
        </w:rPr>
      </w:pPr>
      <w:r>
        <w:t>29.</w:t>
      </w:r>
      <w:r>
        <w:tab/>
        <w:t>Оба совета осуществляют законодательные функции в соответствии с положениями Основного закона, согласно которым подготовленные правительством законопроекты представляются Совету Омана для принятия или изменения до их обнародования Его Величеством султаном. Кроме того, Совет Омана уполномочен представлять правительству законопроекты для рассмотрения и передачи Совету. В соответствии с Основным законом проекты планов развития и государственных бюджетов, подготовленные Советом министров, должны представляться Консультативному совету для рассмотрения и передачи в Государственный совет вместе с вынесенными рекомендациями. Государственный совет, в свою очередь, рассматривает их и выносит свои рекомендации. Затем Председатель Государственного совета возвращает эти проекты Совету министров с рекомендациями обоих советов. Если рекомендации не принимаются, то последний обязан проинформировать об этом советы и представить им необходимые разъяснения.</w:t>
      </w:r>
    </w:p>
    <w:p w14:paraId="3C48E449" w14:textId="77777777" w:rsidR="00102DE3" w:rsidRPr="001F4E84" w:rsidRDefault="00102DE3" w:rsidP="00102DE3">
      <w:pPr>
        <w:pStyle w:val="H23G"/>
      </w:pPr>
      <w:r>
        <w:tab/>
      </w:r>
      <w:r>
        <w:tab/>
      </w:r>
      <w:r>
        <w:rPr>
          <w:bCs/>
        </w:rPr>
        <w:t>Государственный совет</w:t>
      </w:r>
    </w:p>
    <w:p w14:paraId="536A991D" w14:textId="77777777" w:rsidR="00102DE3" w:rsidRPr="001F4E84" w:rsidRDefault="00102DE3" w:rsidP="00102DE3">
      <w:pPr>
        <w:pStyle w:val="SingleTxtG"/>
        <w:rPr>
          <w:bCs/>
        </w:rPr>
      </w:pPr>
      <w:r>
        <w:t>30.</w:t>
      </w:r>
      <w:r>
        <w:tab/>
        <w:t>Являясь законодательным собранием и надзорным органом, Государственный совет выполняет одну из ключевых функций в общем процессе развития и изменения страны. Он является юридическим лицом и пользуется финансовой и административной независимостью. В его состав входят специалисты и опытные лица, которые позволяют ему компетентно выполнять свою миссию и играть важную институциональную роль в условиях верховенства права.</w:t>
      </w:r>
    </w:p>
    <w:p w14:paraId="3B80CA26" w14:textId="77777777" w:rsidR="00102DE3" w:rsidRPr="001F4E84" w:rsidRDefault="00102DE3" w:rsidP="00102DE3">
      <w:pPr>
        <w:pStyle w:val="SingleTxtG"/>
        <w:rPr>
          <w:bCs/>
        </w:rPr>
      </w:pPr>
      <w:r>
        <w:t>31.</w:t>
      </w:r>
      <w:r>
        <w:tab/>
        <w:t>В состав Государственного совета входят председатель и число членов, аналогичное числу членов Консультативного совета. Его члены назначаются указом султана. В текущем сроке полномочий (2015–2019 годы) Государственный совет состоит из президента и 84 членов, 14 из которых – женщины (17%); 61 член Совета – новые члены.</w:t>
      </w:r>
    </w:p>
    <w:p w14:paraId="56D7DAC3" w14:textId="77777777" w:rsidR="00102DE3" w:rsidRPr="001F4E84" w:rsidRDefault="00102DE3" w:rsidP="00102DE3">
      <w:pPr>
        <w:pStyle w:val="H23G"/>
        <w:rPr>
          <w:bCs/>
        </w:rPr>
      </w:pPr>
      <w:r>
        <w:tab/>
      </w:r>
      <w:r>
        <w:tab/>
      </w:r>
      <w:r>
        <w:rPr>
          <w:bCs/>
        </w:rPr>
        <w:t>Консультативный совет</w:t>
      </w:r>
    </w:p>
    <w:p w14:paraId="31F04534" w14:textId="77777777" w:rsidR="00102DE3" w:rsidRPr="001F4E84" w:rsidRDefault="00102DE3" w:rsidP="00102DE3">
      <w:pPr>
        <w:pStyle w:val="SingleTxtG"/>
        <w:rPr>
          <w:bCs/>
        </w:rPr>
      </w:pPr>
      <w:r>
        <w:t>32.</w:t>
      </w:r>
      <w:r>
        <w:tab/>
        <w:t>Консультативный совет является юридическим лицом и пользуется финансовой и административной независимостью. Его штаб-квартира расположена в мухафазе Маскат. В работе, выполняемой Советом в интересах народа, наступил новый этап вследствие расширения законодательных и общих полномочий Совета Омана. Эти новые полномочия укрепляют демократический характер и прозрачность парламентской деятельности в соответствии с императивами глобального развития и требованиями следующего этапа, который будет характеризоваться расширением участия граждан в процессе принятия решений.</w:t>
      </w:r>
    </w:p>
    <w:p w14:paraId="699BB7FA" w14:textId="77777777" w:rsidR="00102DE3" w:rsidRPr="001F4E84" w:rsidRDefault="00102DE3" w:rsidP="00102DE3">
      <w:pPr>
        <w:pStyle w:val="SingleTxtG"/>
        <w:rPr>
          <w:bCs/>
        </w:rPr>
      </w:pPr>
      <w:r>
        <w:t>33.</w:t>
      </w:r>
      <w:r>
        <w:tab/>
        <w:t>Консультативный совет состоит из выборных членов, представляющих все мухафазы Султаната. Мухафазы с населением, не превышающим 30 000 человек на дату открытия процедуры выдвижения кандидатур, представлены одним членом. Мухафазы, численность населения которых превышает эту цифру, представлены двумя членами. В текущем сроке полномочий (2015–2019 годы) Консультативный совет состоит из 84 членов, 1 из которых – женщина (1,2%).</w:t>
      </w:r>
    </w:p>
    <w:p w14:paraId="15EDD4BB" w14:textId="77777777" w:rsidR="00102DE3" w:rsidRPr="001F4E84" w:rsidRDefault="00102DE3" w:rsidP="00102DE3">
      <w:pPr>
        <w:pStyle w:val="SingleTxtG"/>
        <w:rPr>
          <w:bCs/>
        </w:rPr>
      </w:pPr>
      <w:r>
        <w:t>34.</w:t>
      </w:r>
      <w:r>
        <w:tab/>
        <w:t xml:space="preserve">Консультативный совет уполномочен задавать вопросы любому министру, который в нарушение закона выходит за рамки своих полномочий. Затем доклад представляется Его Величеству султану. Министерства ежегодно представляют Совету доклад о ходе осуществления проектов, которые они реализуют, и Совет может предложить каждому из них представить подробную информацию по некоторым </w:t>
      </w:r>
      <w:r>
        <w:lastRenderedPageBreak/>
        <w:t>вопросам, относящимся к его компетенции, а также начать диалог по этой теме с соответствующим министром.</w:t>
      </w:r>
    </w:p>
    <w:p w14:paraId="6006B46B" w14:textId="77777777" w:rsidR="00102DE3" w:rsidRPr="001F4E84" w:rsidRDefault="00102DE3" w:rsidP="00102DE3">
      <w:pPr>
        <w:pStyle w:val="SingleTxtG"/>
        <w:rPr>
          <w:bCs/>
        </w:rPr>
      </w:pPr>
      <w:r>
        <w:t>35.</w:t>
      </w:r>
      <w:r>
        <w:tab/>
        <w:t>Государственная служба финансовой и административной инспекции направляет копию своего годового отчета Государственному совету и Консультативному совету. Консультативный совет дает Совету министров свое заключение по законопроектам и планам развития, а также по проектам соглашений в экономической и социальной областях, которые правительство намерено принять или подписать либо к которым оно намеревается присоединиться.</w:t>
      </w:r>
    </w:p>
    <w:p w14:paraId="7C444655" w14:textId="77777777" w:rsidR="00102DE3" w:rsidRPr="001F4E84" w:rsidRDefault="00102DE3" w:rsidP="00102DE3">
      <w:pPr>
        <w:pStyle w:val="H23G"/>
      </w:pPr>
      <w:r>
        <w:tab/>
      </w:r>
      <w:r>
        <w:tab/>
      </w:r>
      <w:r>
        <w:rPr>
          <w:bCs/>
        </w:rPr>
        <w:t>Судебная власть</w:t>
      </w:r>
    </w:p>
    <w:p w14:paraId="624B266F" w14:textId="77777777" w:rsidR="00102DE3" w:rsidRPr="001F4E84" w:rsidRDefault="00102DE3" w:rsidP="00102DE3">
      <w:pPr>
        <w:pStyle w:val="SingleTxtG"/>
      </w:pPr>
      <w:r>
        <w:t>36.</w:t>
      </w:r>
      <w:r>
        <w:tab/>
        <w:t>С самого начала оманского возрождения Султанат решительного движется по пути прогресса и процветания к установлению верховенства права во всех областях. Одной из основных задач властей является установление судебного контроля и гарантирование верховенства права, а также приближение судебных органов к людям, на которых распространяется закон, с тем чтобы сделать справедливость и равенство основополагающими ценностями как для граждан, так и для жителей государства, учитывая ту важную роль, которую играет правосудие в развитии общества и в обеспечении безопасности и стабильности народов.</w:t>
      </w:r>
    </w:p>
    <w:p w14:paraId="780E5E64" w14:textId="77777777" w:rsidR="00102DE3" w:rsidRPr="001F4E84" w:rsidRDefault="00102DE3" w:rsidP="00102DE3">
      <w:pPr>
        <w:pStyle w:val="SingleTxtG"/>
        <w:rPr>
          <w:bCs/>
        </w:rPr>
      </w:pPr>
      <w:r>
        <w:t>37.</w:t>
      </w:r>
      <w:r>
        <w:tab/>
        <w:t>Статья 59 Основного закона гласит: «Верховенство права является основой управления. Права и свободы гарантируются честностью судебной власти, а также непредвзятостью и добросовестностью судей». Далее Основной закон предусматривает, что «судебная власть является независимой и осуществляется судами различных видов и уровней, которые выносят свои решения в соответствии с законом», и что «судьи подчиняются исключительно закону и могут быть уволены только в случаях, предусмотренных законом. Любое вмешательство в судебные вопросы или дела запрещено и является преступлением, наказуемым по закону. Закон определяет условия, которые должны быть выполнены для осуществления функций судьи, а также условия и процедуры, регулирующие назначение, перевод и продвижение магистратов по службе, гарантии, которыми они пользуются, условия их несменяемости и другие применимые к ним правила».</w:t>
      </w:r>
      <w:bookmarkStart w:id="5" w:name="_Hlk15984100"/>
      <w:bookmarkEnd w:id="5"/>
    </w:p>
    <w:p w14:paraId="5A481C03" w14:textId="77777777" w:rsidR="00102DE3" w:rsidRPr="001F4E84" w:rsidRDefault="00102DE3" w:rsidP="00102DE3">
      <w:pPr>
        <w:pStyle w:val="SingleTxtG"/>
        <w:rPr>
          <w:bCs/>
        </w:rPr>
      </w:pPr>
      <w:bookmarkStart w:id="6" w:name="_Hlk15990023"/>
      <w:r>
        <w:t>38.</w:t>
      </w:r>
      <w:r>
        <w:tab/>
        <w:t>В соответствии со статьей 62 Основного закона «закон классифицирует суды по категориям и уровням, а также определяет их функции и компетенцию».</w:t>
      </w:r>
    </w:p>
    <w:bookmarkEnd w:id="6"/>
    <w:p w14:paraId="1B677855" w14:textId="77777777" w:rsidR="00102DE3" w:rsidRPr="001F4E84" w:rsidRDefault="00102DE3" w:rsidP="00102DE3">
      <w:pPr>
        <w:pStyle w:val="H23G"/>
      </w:pPr>
      <w:r>
        <w:tab/>
      </w:r>
      <w:r>
        <w:tab/>
      </w:r>
      <w:r>
        <w:rPr>
          <w:bCs/>
        </w:rPr>
        <w:t>Высший совет магистратуры</w:t>
      </w:r>
    </w:p>
    <w:p w14:paraId="6B80152A" w14:textId="77777777" w:rsidR="00102DE3" w:rsidRPr="001F4E84" w:rsidRDefault="00102DE3" w:rsidP="00102DE3">
      <w:pPr>
        <w:pStyle w:val="SingleTxtG"/>
      </w:pPr>
      <w:r>
        <w:t>39.</w:t>
      </w:r>
      <w:r>
        <w:tab/>
        <w:t>Председателем Высшего совета магистратуры является султан, а его заместителем – Председатель Верховного суда. В соответствии с указом султана № 9/2012 все члены Совета являются представителями судебной власти и защищены от любого вмешательства со стороны исполнительной власти. Согласно указу, которым он был создан, Совет гарантирует независимость судебной власти и обеспечивает поощрение ценностей, принципов и этики, на которых основана его деятельность, а также соблюдение регулирующих ее правил. Кроме того, он курирует все судебные дела.</w:t>
      </w:r>
    </w:p>
    <w:p w14:paraId="2BB8E69E" w14:textId="77777777" w:rsidR="00102DE3" w:rsidRPr="001F4E84" w:rsidRDefault="00102DE3" w:rsidP="00102DE3">
      <w:pPr>
        <w:pStyle w:val="H23G"/>
      </w:pPr>
      <w:r>
        <w:tab/>
      </w:r>
      <w:r>
        <w:tab/>
      </w:r>
      <w:r>
        <w:rPr>
          <w:bCs/>
        </w:rPr>
        <w:t>Совет по административным вопросам судебной власти</w:t>
      </w:r>
    </w:p>
    <w:p w14:paraId="6F7406B3" w14:textId="77777777" w:rsidR="00102DE3" w:rsidRPr="001F4E84" w:rsidRDefault="00102DE3" w:rsidP="00102DE3">
      <w:pPr>
        <w:pStyle w:val="SingleTxtG"/>
      </w:pPr>
      <w:r>
        <w:t>40.</w:t>
      </w:r>
      <w:r>
        <w:tab/>
        <w:t xml:space="preserve">Указы султана № 9/2012 и № 10/2012 от 29 февраля 2012 года, касающиеся Высшего совета магистратуры, регулируют вопросы правосудия и отражают принцип построения государства, основанного на институтах и верховенстве права. Согласно указу № 10/2012 Совет по административным вопросам, учрежденный в соответствии с Законом о судебной власти, наделяется полномочиями Министерства юстиции в области административного управления судебной системой и судебной инспекции. В соответствии с этим указом судебная власть полностью независима от исполнительной власти и управляет своими собственными делами и делами своих сотрудников без какого-либо вмешательства со стороны министерств или других государственных органов любого рода. Аналогичным образом, указ султана № 54/2012 о создании секретариата Совета по административным вопросам судебной власти укрепил усилия Совета после его отделения от Министерства юстиции, направленные </w:t>
      </w:r>
      <w:r>
        <w:lastRenderedPageBreak/>
        <w:t>на завершение усилий Султаната по созданию развитой судебной системы с точки зрения как инфраструктуры, так и кадровых ресурсов.</w:t>
      </w:r>
    </w:p>
    <w:p w14:paraId="5131EFEC" w14:textId="77777777" w:rsidR="00102DE3" w:rsidRPr="001F4E84" w:rsidRDefault="00102DE3" w:rsidP="00102DE3">
      <w:pPr>
        <w:pStyle w:val="SingleTxtG"/>
      </w:pPr>
      <w:r>
        <w:t>41.</w:t>
      </w:r>
      <w:r>
        <w:tab/>
        <w:t>Система правосудия Омана претерпела значительные изменения с точки зрения инфраструктуры после открытия 25 мая 2016 года комплекса Верховного суда. Это событие является частью усилий по обеспечению судебной системы необходимой инфраструктурой и по предоставлению ее сотрудникам всех средств и услуг, необходимых для эффективного отправления правосудия в целях поощрения прав граждан. Параллельно с этим в нескольких мухафазах были построены дворцы правосудия, в числе которых можно упомянуть, в частности, дворец правосудия мухафазы Маскат, возведенный в соответствии с указом № 107/2015, и судебный комплекс мухафазы Эль-</w:t>
      </w:r>
      <w:proofErr w:type="spellStart"/>
      <w:r>
        <w:t>Бурайми</w:t>
      </w:r>
      <w:proofErr w:type="spellEnd"/>
      <w:r>
        <w:t>, возведенный в соответствии с указом № 41/2016. В других мухафазах также строятся подобные комплексы, с тем чтобы обеспечить судебную систему современной инфраструктурой, соизмеримой с достижениями на уровне законодательства. Судебные комплексы вносят важный вклад в реализацию политики по переходу Султаната к электронному управлению, с тем чтобы облегчить задачу получателей услуг в области отправления правосудия (судей, адвокатов и истцов), желающих ознакомиться с делами или отменить судебные решения.</w:t>
      </w:r>
    </w:p>
    <w:p w14:paraId="03CE03FC" w14:textId="77777777" w:rsidR="00102DE3" w:rsidRPr="001F4E84" w:rsidRDefault="00102DE3" w:rsidP="00102DE3">
      <w:pPr>
        <w:pStyle w:val="SingleTxtG"/>
      </w:pPr>
      <w:r>
        <w:t>42.</w:t>
      </w:r>
      <w:r>
        <w:tab/>
        <w:t>В Султанате существует два типа судебных систем:</w:t>
      </w:r>
    </w:p>
    <w:p w14:paraId="117B8675" w14:textId="77777777" w:rsidR="00102DE3" w:rsidRPr="001F4E84" w:rsidRDefault="00102DE3" w:rsidP="00102DE3">
      <w:pPr>
        <w:pStyle w:val="SingleTxtG"/>
        <w:ind w:firstLine="567"/>
      </w:pPr>
      <w:r>
        <w:t>a)</w:t>
      </w:r>
      <w:r>
        <w:tab/>
        <w:t>обычная судебная система: состоит из обычных судов различных инстанций (суды первой инстанции, апелляционные суды и Верховный суд). Эта судебная система регулируется Законом о судебной власти (указ султана № 90/99), Гражданским и торговым процессуальным кодексом (указ султана № 29/2002) и Уголовно-процессуальным кодексом (указ султана № 97/99). Суды правомочны рассматривать различные виды дел, в том числе гражданские, торговые, уголовные, касающиеся трудовых прав и статуса личности, и другие за исключением административных дел, которые относятся к компетенции административных судов. В этой связи следует отметить, что Чрезвычайный суд государственной безопасности был упразднен указом султана № 102/2010, в результате чего дела, подпадающие под юрисдикцию этого суда, были переданы на рассмотрение компетентных обычных судов;</w:t>
      </w:r>
    </w:p>
    <w:p w14:paraId="4AE1FAEA" w14:textId="77777777" w:rsidR="00102DE3" w:rsidRPr="001F4E84" w:rsidRDefault="00102DE3" w:rsidP="00102DE3">
      <w:pPr>
        <w:pStyle w:val="SingleTxtG"/>
        <w:ind w:firstLine="567"/>
      </w:pPr>
      <w:r>
        <w:t>b)</w:t>
      </w:r>
      <w:r>
        <w:tab/>
        <w:t>система административных судов: что касается этого аппарата, то</w:t>
      </w:r>
      <w:r w:rsidR="005E5F8E">
        <w:t> </w:t>
      </w:r>
      <w:r>
        <w:t>статья 67 Основного закона предусматривает следующее: «Закон закрепляет порядок урегулирования административных споров через специальную палату или трибунал, определяет его статус и процедуру осуществления им юрисдикции в административных вопросах». Именно с учетом этого указом султана № 91/99 был учрежден административный трибунал. Этот суд рассматривает административные жалобы на решения и действия государственного административного аппарата. В соответствии с указом султана № 3/2009 в Закон об административном суде были внесены поправки. Они расширяют полномочия суда по контролю за деятельностью служб государственного административного аппарата.</w:t>
      </w:r>
    </w:p>
    <w:p w14:paraId="5A63B6A0" w14:textId="77777777" w:rsidR="00102DE3" w:rsidRPr="001F4E84" w:rsidRDefault="00102DE3" w:rsidP="00102DE3">
      <w:pPr>
        <w:pStyle w:val="SingleTxtG"/>
      </w:pPr>
      <w:r>
        <w:t>43.</w:t>
      </w:r>
      <w:r>
        <w:tab/>
        <w:t>Прокуратура является одним из судебных органов государства. Как предусмотрено статьей 64 Основного закона, она отвечает за уголовное преследование от имени общества, курирует органы прокуратуры и обеспечивает применение уголовного законодательства, преследование правонарушителей и исполнение судебных решений.</w:t>
      </w:r>
    </w:p>
    <w:p w14:paraId="3E620D3D" w14:textId="77777777" w:rsidR="00102DE3" w:rsidRPr="001F4E84" w:rsidRDefault="00102DE3" w:rsidP="00102DE3">
      <w:pPr>
        <w:pStyle w:val="SingleTxtG"/>
      </w:pPr>
      <w:r>
        <w:t>44.</w:t>
      </w:r>
      <w:r>
        <w:tab/>
        <w:t>Прокуратура прошла несколько этапов, пока 28 февраля 2011 года не обрела полную независимость в соответствии с указом султана № 25/2011, статья 1 которого гласит: «Прокуратура пользуется административной и финансовой независимостью». Структура прокуратуры определена в указе султана № 50/2012.</w:t>
      </w:r>
    </w:p>
    <w:p w14:paraId="52A2B354" w14:textId="77777777" w:rsidR="00102DE3" w:rsidRPr="001F4E84" w:rsidRDefault="00102DE3" w:rsidP="00102DE3">
      <w:pPr>
        <w:pStyle w:val="SingleTxtG"/>
      </w:pPr>
      <w:r>
        <w:t>45.</w:t>
      </w:r>
      <w:r>
        <w:tab/>
        <w:t>В целях обеспечения соблюдения судебных гарантий и предоставления их в распоряжение частных лиц прокуратура открыла свои отделения во всех мухафазах и провинциях страны. В настоящее время в ее состав входят 12 общих управлений и</w:t>
      </w:r>
      <w:r w:rsidR="005E5F8E">
        <w:t> </w:t>
      </w:r>
      <w:r>
        <w:t xml:space="preserve">45 общих департаментов, а также 14 специализированных департаментов. Кроме того, прокуратура начала развивать электронную систему, связывающую ее со всеми другими заинтересованными сторонами, в частности с полицейскими участками и </w:t>
      </w:r>
      <w:r>
        <w:lastRenderedPageBreak/>
        <w:t>судебными органами, и позволяющую частным лицам направлять свои уведомления в режиме онлайн без необходимости личной явки.</w:t>
      </w:r>
    </w:p>
    <w:p w14:paraId="46C67302" w14:textId="77777777" w:rsidR="00102DE3" w:rsidRPr="001F4E84" w:rsidRDefault="00102DE3" w:rsidP="00102DE3">
      <w:pPr>
        <w:pStyle w:val="SingleTxtG"/>
      </w:pPr>
      <w:r>
        <w:t>46.</w:t>
      </w:r>
      <w:r>
        <w:tab/>
        <w:t>Если не объявлено чрезвычайное положение, то юрисдикция военных трибуналов ограничивается военными преступлениями, совершенными военнослужащими и сотрудниками сил безопасности. Эти трибуналы упоминаются в статье 62 Основного закона. Закон о военной юстиции был обнародован указом султана №</w:t>
      </w:r>
      <w:r w:rsidR="00D21CD4">
        <w:t> </w:t>
      </w:r>
      <w:r>
        <w:t>110/2011. В некоторые его положения были внесены поправки указом султана №</w:t>
      </w:r>
      <w:r w:rsidR="00D21CD4">
        <w:t> </w:t>
      </w:r>
      <w:r>
        <w:t>16/2018, в соответствии с которым, согласно договорам по международному гуманитарному праву, к военным преступлениям, преступлениям геноцида, преступлениям против человечности и преступлениям, совершенным против военнопленных и раненых, срок давности</w:t>
      </w:r>
      <w:r w:rsidRPr="006064E9">
        <w:t xml:space="preserve"> </w:t>
      </w:r>
      <w:r>
        <w:t>не применяется.</w:t>
      </w:r>
    </w:p>
    <w:p w14:paraId="4636F73B" w14:textId="77777777" w:rsidR="00102DE3" w:rsidRPr="001F4E84" w:rsidRDefault="00102DE3" w:rsidP="00102DE3">
      <w:pPr>
        <w:pStyle w:val="SingleTxtG"/>
      </w:pPr>
      <w:r>
        <w:t>47.</w:t>
      </w:r>
      <w:r>
        <w:tab/>
        <w:t xml:space="preserve">В соответствии со статьей 28 Основного закона в законодательстве Султаната нет религиозного закона, проводящего различие между мусульманами и последователями других конфессий. Статья 269 Уголовного кодекса, обнародованного указом султана № 7/2018, запрещает любое посягательство на </w:t>
      </w:r>
      <w:proofErr w:type="spellStart"/>
      <w:r>
        <w:t>богооткровенную</w:t>
      </w:r>
      <w:proofErr w:type="spellEnd"/>
      <w:r>
        <w:t xml:space="preserve"> религию, какой бы она ни была.</w:t>
      </w:r>
    </w:p>
    <w:p w14:paraId="45B774AA" w14:textId="77777777" w:rsidR="00102DE3" w:rsidRPr="001F4E84" w:rsidRDefault="00102DE3" w:rsidP="00102DE3">
      <w:pPr>
        <w:pStyle w:val="H23G"/>
      </w:pPr>
      <w:r>
        <w:tab/>
      </w:r>
      <w:r>
        <w:tab/>
      </w:r>
      <w:r>
        <w:rPr>
          <w:bCs/>
        </w:rPr>
        <w:t>Закон о выборах</w:t>
      </w:r>
    </w:p>
    <w:p w14:paraId="2A037C9E" w14:textId="77777777" w:rsidR="00102DE3" w:rsidRPr="001F4E84" w:rsidRDefault="00102DE3" w:rsidP="00102DE3">
      <w:pPr>
        <w:pStyle w:val="SingleTxtG"/>
      </w:pPr>
      <w:r>
        <w:t>48.</w:t>
      </w:r>
      <w:r>
        <w:tab/>
        <w:t>В Основном законе подчеркивается принцип проведения консультаций («</w:t>
      </w:r>
      <w:proofErr w:type="spellStart"/>
      <w:r>
        <w:t>шура</w:t>
      </w:r>
      <w:proofErr w:type="spellEnd"/>
      <w:r>
        <w:t xml:space="preserve">»). Этот принцип закреплен в статье 9, которая гласит: «Власть основывается на справедливости, консультациях, равенстве и праве граждан на участие в государственных делах». Кроме того, в статье 10 Основного закона закреплены основополагающие принципы, которыми руководствуется Султанат в своей политике, в том числе создание прочной основы для подлинных консультаций, основанных на наследии и ценностях нации и исламского шариата. В связи с этим был принят указ </w:t>
      </w:r>
      <w:proofErr w:type="spellStart"/>
      <w:r>
        <w:t>cултана</w:t>
      </w:r>
      <w:proofErr w:type="spellEnd"/>
      <w:r>
        <w:t xml:space="preserve"> № 94/91 от 12 ноября 1991 года о создании Консультативного совета, который является юридическим лицом, пользуется полной финансовой и административной независимостью и имеет штаб-квартиру в Маскате. В работе, выполняемой Советом в интересах народа, наступил новый этап вследствие расширения, согласно указу султана № 99/2011, сферы действия и полномочий Совета Омана, в состав которого входят Государственный совет и Консультативный совет.</w:t>
      </w:r>
      <w:bookmarkStart w:id="7" w:name="_Hlk16003384"/>
      <w:bookmarkEnd w:id="7"/>
    </w:p>
    <w:p w14:paraId="62D09196" w14:textId="77777777" w:rsidR="00102DE3" w:rsidRPr="001F4E84" w:rsidRDefault="00102DE3" w:rsidP="00102DE3">
      <w:pPr>
        <w:pStyle w:val="SingleTxtG"/>
      </w:pPr>
      <w:r>
        <w:t>49.</w:t>
      </w:r>
      <w:r>
        <w:tab/>
        <w:t xml:space="preserve">Закон о выборах членов Консультативного совета гарантирует каждому оманцу право баллотироваться в Совет в качестве кандидата и принимать участие в выборах членов этого органа в соответствии с применимыми правилами. Выборы членов Консультативного совета регулируются указом султана № 58/2013, статья 2 которого гласит: «Выборы </w:t>
      </w:r>
      <w:r w:rsidR="0003076C">
        <w:t>–</w:t>
      </w:r>
      <w:r>
        <w:t xml:space="preserve"> это право, которое избиратель должен осуществлять лично и которое не может быть делегировано по доверенности. Избиратель голосует на выборах только один раз в той мухафазе, в которой он зарегистрирован». Что касается статьи 23, то она гласит: «Каждый гражданин имеет право ходатайствовать о внесении в список избирателей, если он удовлетворяет следующим критериям:</w:t>
      </w:r>
    </w:p>
    <w:p w14:paraId="766E1FAD" w14:textId="77777777" w:rsidR="00102DE3" w:rsidRPr="001F4E84" w:rsidRDefault="00102DE3" w:rsidP="00102DE3">
      <w:pPr>
        <w:pStyle w:val="SingleTxtG"/>
        <w:ind w:left="2268" w:hanging="567"/>
      </w:pPr>
      <w:r>
        <w:t>1.</w:t>
      </w:r>
      <w:r>
        <w:tab/>
        <w:t>достиг на 1 января года выборов возраста 21 года в соответствии с удостоверением личности;</w:t>
      </w:r>
    </w:p>
    <w:p w14:paraId="79C2172C" w14:textId="77777777" w:rsidR="00102DE3" w:rsidRPr="001F4E84" w:rsidRDefault="00102DE3" w:rsidP="00102DE3">
      <w:pPr>
        <w:pStyle w:val="SingleTxtG"/>
        <w:ind w:left="2268" w:hanging="567"/>
      </w:pPr>
      <w:r>
        <w:t>2.</w:t>
      </w:r>
      <w:r>
        <w:tab/>
        <w:t>является уроженцем мухафазы или проживает в ней;</w:t>
      </w:r>
    </w:p>
    <w:p w14:paraId="25FFDF68" w14:textId="77777777" w:rsidR="00102DE3" w:rsidRPr="001F4E84" w:rsidRDefault="00102DE3" w:rsidP="00102DE3">
      <w:pPr>
        <w:pStyle w:val="SingleTxtG"/>
        <w:ind w:left="2268" w:hanging="567"/>
      </w:pPr>
      <w:r>
        <w:t>3.</w:t>
      </w:r>
      <w:r>
        <w:tab/>
        <w:t>не входит в состав сил безопасности или вооруженных сил».</w:t>
      </w:r>
    </w:p>
    <w:p w14:paraId="642A6C53" w14:textId="77777777" w:rsidR="00102DE3" w:rsidRPr="001F4E84" w:rsidRDefault="00102DE3" w:rsidP="00102DE3">
      <w:pPr>
        <w:pStyle w:val="SingleTxtG"/>
      </w:pPr>
      <w:r>
        <w:t>50.</w:t>
      </w:r>
      <w:r>
        <w:tab/>
        <w:t xml:space="preserve">Структура Высокой избирательной комиссии определена в статье 5 Закона. Ее главой является один из заместителей Председателя Верховного суда, а в ее состав входят один судья Верховного суда, который замещает Председателя в случае его отсутствия, один судья Апелляционного суда, один советник административного суда, заместитель Генерального прокурора и два должностных лица из Министерства внутренних дел. В соответствии со статьей 6 этого Закона Высокая комиссия уполномочена осуществлять надзор за выборами членов Совета, выносить решения по жалобам, касающимся выборов, следить за решениями, принимаемыми Главной избирательной комиссией и издаваемыми ею циркулярами по организации избирательного процесса, наблюдать за деятельностью избирательных комиссий, направлять уведомления Главной комиссии и подтверждать окончательные </w:t>
      </w:r>
      <w:r>
        <w:lastRenderedPageBreak/>
        <w:t>результаты выборов. Главная комиссия, председателем которой является представитель Министерства внутренних дел, состоит из представителей заинтересованных сторон. В соответствии со статьей 12 Закона министр внутренних дел назначает ее членов и докладчика и устанавливает правила процедуры.</w:t>
      </w:r>
    </w:p>
    <w:p w14:paraId="4A8A9A4C" w14:textId="77777777" w:rsidR="00102DE3" w:rsidRPr="001F4E84" w:rsidRDefault="00102DE3" w:rsidP="00102DE3">
      <w:pPr>
        <w:pStyle w:val="SingleTxtG"/>
      </w:pPr>
      <w:r>
        <w:t>51.</w:t>
      </w:r>
      <w:r>
        <w:tab/>
        <w:t>Статья 31 Основного закона наделяет все заинтересованные стороны правом оспаривать имена, фигурирующие в предварительных списках избирателей, путем подачи в избирательную комиссию мотивированного ходатайства в течение пяти дней после опубликования этих списков. Избирательная комиссия принимает решение по жалобе в десятидневный срок.</w:t>
      </w:r>
    </w:p>
    <w:p w14:paraId="424E2FE6" w14:textId="77777777" w:rsidR="00102DE3" w:rsidRPr="001F4E84" w:rsidRDefault="00102DE3" w:rsidP="00102DE3">
      <w:pPr>
        <w:pStyle w:val="SingleTxtG"/>
      </w:pPr>
      <w:r>
        <w:t>52.</w:t>
      </w:r>
      <w:r>
        <w:tab/>
        <w:t>В статье 34 Закона устанавливаются следующие условия для членства в Консультативном совете: быть уроженцем Омана, на момент выдвижения кандидатур достичь возраста как минимум 30 лет, иметь по крайней мере диплом об общем образовании, не быть окончательно осужденным за уголовное преступление или позорящее правонарушение либо правонарушение, наносящее ущерб, даже в случае реабилитации, быть внесенным в список избирателей, не иметь препятствий для участия в выборах вследствие вынесения соответствующего судебного постановления, не иметь психических заболеваний и не входить в состав вооруженных сил или сил безопасности. Согласно статье 64 Закона, любой кандидат, считающий себя пострадавшим, может оспорить результаты выборов путем направления в Высокую избирательную комиссию соответствующего ходатайства.</w:t>
      </w:r>
    </w:p>
    <w:p w14:paraId="4C905FAC" w14:textId="77777777" w:rsidR="00102DE3" w:rsidRPr="001F4E84" w:rsidRDefault="00102DE3" w:rsidP="00102DE3">
      <w:pPr>
        <w:pStyle w:val="SingleTxtG"/>
      </w:pPr>
      <w:r>
        <w:t>53.</w:t>
      </w:r>
      <w:r>
        <w:tab/>
        <w:t>Согласно статистическим данным, касающимся восьмой сессии Консультативного совета (2015–2018 годы), в выборах 85 членов приняли участие 127 955 избирателей-мужчин и 124 950 избирателей-женщин. Первоначально было выдвинуто 590 кандидатов, в том числе 20 женщин.</w:t>
      </w:r>
    </w:p>
    <w:p w14:paraId="59B33082" w14:textId="77777777" w:rsidR="00102DE3" w:rsidRPr="001F4E84" w:rsidRDefault="00102DE3" w:rsidP="00102DE3">
      <w:pPr>
        <w:pStyle w:val="SingleTxtG"/>
      </w:pPr>
      <w:r>
        <w:t>54.</w:t>
      </w:r>
      <w:r>
        <w:tab/>
        <w:t xml:space="preserve">Закон о муниципальных советах (указ султана № 116/2011) регулирует порядок избрания членов этих советов, созданных в 2012 году. Выборы проводятся один раз в четыре года и позволяют избирать представителей различных избирательных округов каждой мухафазы и представителей органов государственной власти. В компетенцию советов входит, в частности, вынесение заключений и рекомендаций по разработке нормативных актов, видов деятельности и услуг муниципалитетов. Общее функционирование каждого муниципального совета регулируется регламентом к Закону о муниципальных советах (постановление № 15/2012). В муниципальных советах, сформированных по итогам выборов, состоявшихся в 2016 году, заседают 202 члена, в том числе 7 женщин. </w:t>
      </w:r>
    </w:p>
    <w:p w14:paraId="4A58E210" w14:textId="77777777" w:rsidR="00102DE3" w:rsidRPr="001F4E84" w:rsidRDefault="00102DE3" w:rsidP="00102DE3">
      <w:pPr>
        <w:pStyle w:val="H23G"/>
      </w:pPr>
      <w:r>
        <w:tab/>
      </w:r>
      <w:r>
        <w:tab/>
      </w:r>
      <w:r>
        <w:rPr>
          <w:bCs/>
        </w:rPr>
        <w:t>Ассоциации гражданского общества</w:t>
      </w:r>
    </w:p>
    <w:p w14:paraId="4EE55CCC" w14:textId="77777777" w:rsidR="00102DE3" w:rsidRPr="001F4E84" w:rsidRDefault="00102DE3" w:rsidP="00102DE3">
      <w:pPr>
        <w:pStyle w:val="SingleTxtG"/>
      </w:pPr>
      <w:r>
        <w:t>55.</w:t>
      </w:r>
      <w:r>
        <w:tab/>
        <w:t>Статья 33 Основного закона гарантирует свободу создания обществ на основе национальной принадлежности. Закон об ассоциациях гражданского общества (указ султана № 14/2000) определяет условия осуществления права отдельных лиц на создание ассоциаций и закрепляет независимость таких ассоциаций. Он уполномочивает Министерство социального развития осуществлять надзор за этими ассоциациями при соблюдении их независимости. Закон предоставляет частным лицам право оспаривать решения Министерства социального развития, касающиеся ассоциаций гражданского общества, в административном суде. Он также уполномочивает совет директоров каждой ассоциации управлять ее делами в соответствии с положениями ее устава под надзором генеральной ассамблеи ассоциации.</w:t>
      </w:r>
    </w:p>
    <w:p w14:paraId="5025E7E8" w14:textId="77777777" w:rsidR="00102DE3" w:rsidRPr="001F4E84" w:rsidRDefault="00102DE3" w:rsidP="00102DE3">
      <w:pPr>
        <w:pStyle w:val="SingleTxtG"/>
      </w:pPr>
      <w:r>
        <w:t>56.</w:t>
      </w:r>
      <w:r>
        <w:tab/>
        <w:t xml:space="preserve">Правительство позаботилось об упрощении процедуры регистрации ассоциаций, с тем чтобы содействовать формированию гражданского общества, которое может вносить эффективный вклад в реализацию программ развития и поощрение прав человека. В Султанате насчитывается 32 профессиональные ассоциации с </w:t>
      </w:r>
      <w:r w:rsidR="0003076C">
        <w:t>6</w:t>
      </w:r>
      <w:r>
        <w:t xml:space="preserve"> отделениями на уровне мухафаз. Кроме того, в стране действуют 30</w:t>
      </w:r>
      <w:r w:rsidR="0003076C">
        <w:t> </w:t>
      </w:r>
      <w:r>
        <w:t>ассоциаций гражданского общества и благотворительных организаций. В 2017 году в Султанате имелось 62 женских ассоциации, в том числе 5 местных отделений. Помимо этого, в стране существует 12 ассоциаций иностранных диаспор, 9 из которых имеют свои отделения в мухафазах.</w:t>
      </w:r>
    </w:p>
    <w:p w14:paraId="593E9B67" w14:textId="77777777" w:rsidR="00102DE3" w:rsidRPr="001F4E84" w:rsidRDefault="00102DE3" w:rsidP="00102DE3">
      <w:pPr>
        <w:pStyle w:val="H23G"/>
      </w:pPr>
      <w:r>
        <w:lastRenderedPageBreak/>
        <w:tab/>
      </w:r>
      <w:r>
        <w:tab/>
      </w:r>
      <w:r>
        <w:rPr>
          <w:bCs/>
        </w:rPr>
        <w:t>Правосудие и мир</w:t>
      </w:r>
    </w:p>
    <w:p w14:paraId="51DC9C61" w14:textId="77777777" w:rsidR="00102DE3" w:rsidRPr="001F4E84" w:rsidRDefault="00102DE3" w:rsidP="00102DE3">
      <w:pPr>
        <w:pStyle w:val="SingleTxtG"/>
      </w:pPr>
      <w:r>
        <w:t>57.</w:t>
      </w:r>
      <w:r>
        <w:tab/>
        <w:t>Султанату удалось достичь политической стабильности и стабильности в области безопасности, а также обеспечить для своего населения экономическую стабильность и высокий уровень развития. Согласно отчету, опубликованному Всемирным экономическим форумом в апреле 2017 года, Оман входит в число стран, занимающих первые строчки мирового рейтинга по индексу безопасности, находясь на четвертом месте в перечне самых безопасных стран мира. Кроме того, Султанат занимает «нулевое» место в глобальном рейтинге по индексу терроризма, что делает его одной из стран, наименее подверженных террористическим угрозам. Ряд других показателей подтверждают безопасность, низкий уровень преступности и небольшую подверженность террористическим угрозам, которыми характеризуется оманское общество. Эту стабильность отражают различные показатели, касающиеся политической и правовой систем (показатели за 2017 год, касающиеся преступности, представлены в приложении 3).</w:t>
      </w:r>
    </w:p>
    <w:p w14:paraId="1768068A" w14:textId="77777777" w:rsidR="00102DE3" w:rsidRPr="001F4E84" w:rsidRDefault="00102DE3" w:rsidP="00102DE3">
      <w:pPr>
        <w:pStyle w:val="HChG"/>
      </w:pPr>
      <w:r>
        <w:rPr>
          <w:bCs/>
        </w:rPr>
        <w:tab/>
        <w:t>II.</w:t>
      </w:r>
      <w:r>
        <w:tab/>
      </w:r>
      <w:r>
        <w:rPr>
          <w:bCs/>
        </w:rPr>
        <w:t>Общая основа защиты и поощрения прав человека</w:t>
      </w:r>
    </w:p>
    <w:p w14:paraId="0CCF92AF" w14:textId="77777777" w:rsidR="00102DE3" w:rsidRPr="001F4E84" w:rsidRDefault="00102DE3" w:rsidP="00102DE3">
      <w:pPr>
        <w:pStyle w:val="H1G"/>
      </w:pPr>
      <w:r>
        <w:rPr>
          <w:bCs/>
        </w:rPr>
        <w:tab/>
        <w:t>A.</w:t>
      </w:r>
      <w:r>
        <w:tab/>
      </w:r>
      <w:r>
        <w:rPr>
          <w:bCs/>
        </w:rPr>
        <w:t>Принятие международных норм в области прав человека</w:t>
      </w:r>
    </w:p>
    <w:p w14:paraId="123B000B" w14:textId="77777777" w:rsidR="00102DE3" w:rsidRPr="001F4E84" w:rsidRDefault="00102DE3" w:rsidP="00102DE3">
      <w:pPr>
        <w:pStyle w:val="SingleTxtG"/>
        <w:rPr>
          <w:bCs/>
        </w:rPr>
      </w:pPr>
      <w:r>
        <w:t>58.</w:t>
      </w:r>
      <w:r>
        <w:tab/>
        <w:t>Султанат вносит свой вклад в поощрение и защиту прав человека, участвуя в разработке конвенций и протоколов по этой теме в рамках Генеральной Ассамблеи Организации Объединенных Наций, подписывая и ратифицируя многочисленные международные договоры по правам человека и протоколы к ним или присоединяясь ко всем вышеупомянутым документам и выполняя свои международные обязательства по ним.</w:t>
      </w:r>
    </w:p>
    <w:p w14:paraId="7C7D6FDF" w14:textId="77777777" w:rsidR="00102DE3" w:rsidRPr="001F4E84" w:rsidRDefault="00102DE3" w:rsidP="00102DE3">
      <w:pPr>
        <w:pStyle w:val="SingleTxtG"/>
      </w:pPr>
      <w:r>
        <w:t>59.</w:t>
      </w:r>
      <w:r>
        <w:tab/>
        <w:t>Кроме того, Султанат прилагает усилия для включения этих прав в национальные законы и приведения своего внутреннего законодательства в соответствие с положениями ратифицированных им договоров, а также обеспечивает представление договорным органам периодических докладов об осуществлении этих документов и выполнение их рекомендаций.</w:t>
      </w:r>
    </w:p>
    <w:p w14:paraId="7339C1F5" w14:textId="77777777" w:rsidR="00102DE3" w:rsidRPr="001F4E84" w:rsidRDefault="00102DE3" w:rsidP="00102DE3">
      <w:pPr>
        <w:pStyle w:val="H23G"/>
      </w:pPr>
      <w:r>
        <w:tab/>
      </w:r>
      <w:r>
        <w:tab/>
      </w:r>
      <w:r>
        <w:rPr>
          <w:bCs/>
        </w:rPr>
        <w:t>Присоединение к международным договорам по правам человека</w:t>
      </w:r>
    </w:p>
    <w:p w14:paraId="09D2CF44" w14:textId="77777777" w:rsidR="00102DE3" w:rsidRPr="001F4E84" w:rsidRDefault="00102DE3" w:rsidP="00102DE3">
      <w:pPr>
        <w:pStyle w:val="SingleTxtG"/>
      </w:pPr>
      <w:r>
        <w:t>60.</w:t>
      </w:r>
      <w:r>
        <w:tab/>
        <w:t>К концу 2017 года Султанат ратифицировал четыре основных международных договора по правам человека или присоединился к ним (Международная конвенция о ликвидации всех форм расовой дискриминации, Конвенция о правах ребенка, Конвенция о ликвидации всех форм дискриминации в отношении женщин и Конвенция о правах инвалидов), а также к двум факультативным протоколам к Конвенции о правах ребенка, а именно к Протоколу, касающемуся участия детей в вооруженных конфликтах, и Протоколу, касающемуся торговли детьми, детской проституции и детской порнографии.</w:t>
      </w:r>
    </w:p>
    <w:p w14:paraId="77660F88" w14:textId="77777777" w:rsidR="00102DE3" w:rsidRPr="001F4E84" w:rsidRDefault="00102DE3" w:rsidP="00102DE3">
      <w:pPr>
        <w:pStyle w:val="SingleTxtG"/>
      </w:pPr>
      <w:r>
        <w:t>61.</w:t>
      </w:r>
      <w:r>
        <w:tab/>
        <w:t>В соответствии с рекомендациями относительно присоединения к ряду международных договоров по правам человека, принятыми Оманом после представления в 2011 и 2015 годах двух своих национальных докладов в рамках универсального периодического обзора, Султанат, согласно решению 24/2015 Совета министров, согласился принять необходимые законодательные меры для присоединения к следующим договорам:</w:t>
      </w:r>
    </w:p>
    <w:p w14:paraId="216EDE94" w14:textId="77777777" w:rsidR="00102DE3" w:rsidRPr="001F4E84" w:rsidRDefault="00102DE3" w:rsidP="00102DE3">
      <w:pPr>
        <w:pStyle w:val="Bullet1G"/>
        <w:numPr>
          <w:ilvl w:val="0"/>
          <w:numId w:val="22"/>
        </w:numPr>
        <w:kinsoku w:val="0"/>
        <w:overflowPunct w:val="0"/>
        <w:autoSpaceDE w:val="0"/>
        <w:autoSpaceDN w:val="0"/>
        <w:adjustRightInd w:val="0"/>
        <w:snapToGrid w:val="0"/>
      </w:pPr>
      <w:r>
        <w:t>Международному пакту об экономических, социальных и культурных правах;</w:t>
      </w:r>
    </w:p>
    <w:p w14:paraId="355D8525" w14:textId="77777777" w:rsidR="00102DE3" w:rsidRPr="001F4E84" w:rsidRDefault="00102DE3" w:rsidP="00102DE3">
      <w:pPr>
        <w:pStyle w:val="Bullet1G"/>
        <w:numPr>
          <w:ilvl w:val="0"/>
          <w:numId w:val="22"/>
        </w:numPr>
        <w:kinsoku w:val="0"/>
        <w:overflowPunct w:val="0"/>
        <w:autoSpaceDE w:val="0"/>
        <w:autoSpaceDN w:val="0"/>
        <w:adjustRightInd w:val="0"/>
        <w:snapToGrid w:val="0"/>
      </w:pPr>
      <w:r>
        <w:t>Конвенции против пыток и других жестоких, бесчеловечных или унижающих достоинство видов обращения и наказания;</w:t>
      </w:r>
    </w:p>
    <w:p w14:paraId="5FC9AAD1" w14:textId="77777777" w:rsidR="00102DE3" w:rsidRPr="001F4E84" w:rsidRDefault="00102DE3" w:rsidP="00102DE3">
      <w:pPr>
        <w:pStyle w:val="Bullet1G"/>
        <w:numPr>
          <w:ilvl w:val="0"/>
          <w:numId w:val="22"/>
        </w:numPr>
        <w:kinsoku w:val="0"/>
        <w:overflowPunct w:val="0"/>
        <w:autoSpaceDE w:val="0"/>
        <w:autoSpaceDN w:val="0"/>
        <w:adjustRightInd w:val="0"/>
        <w:snapToGrid w:val="0"/>
      </w:pPr>
      <w:r>
        <w:t>Международной конвенции для защиты всех лиц от насильственных исчезновений.</w:t>
      </w:r>
    </w:p>
    <w:p w14:paraId="56AAED9D" w14:textId="77777777" w:rsidR="00102DE3" w:rsidRPr="001F4E84" w:rsidRDefault="00102DE3" w:rsidP="00102DE3">
      <w:pPr>
        <w:pStyle w:val="SingleTxtG"/>
      </w:pPr>
      <w:r>
        <w:t>62.</w:t>
      </w:r>
      <w:r>
        <w:tab/>
        <w:t>В таблице ниже приведены основные международные договоры и протоколы, которые Султанат ратифицировал или к которым он присоединился:</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6"/>
        <w:gridCol w:w="1959"/>
        <w:gridCol w:w="1645"/>
      </w:tblGrid>
      <w:tr w:rsidR="00102DE3" w:rsidRPr="00341080" w14:paraId="14CB78ED" w14:textId="77777777" w:rsidTr="005B65CF">
        <w:trPr>
          <w:tblHeader/>
        </w:trPr>
        <w:tc>
          <w:tcPr>
            <w:tcW w:w="3766" w:type="dxa"/>
            <w:tcBorders>
              <w:top w:val="single" w:sz="4" w:space="0" w:color="auto"/>
              <w:bottom w:val="single" w:sz="12" w:space="0" w:color="auto"/>
            </w:tcBorders>
            <w:shd w:val="clear" w:color="auto" w:fill="auto"/>
            <w:tcMar>
              <w:left w:w="28" w:type="dxa"/>
              <w:right w:w="28" w:type="dxa"/>
            </w:tcMar>
            <w:vAlign w:val="bottom"/>
          </w:tcPr>
          <w:p w14:paraId="766A8A21" w14:textId="77777777" w:rsidR="00102DE3" w:rsidRPr="00341080" w:rsidRDefault="00102DE3" w:rsidP="00640B99">
            <w:pPr>
              <w:spacing w:before="80" w:after="80" w:line="200" w:lineRule="exact"/>
              <w:rPr>
                <w:i/>
                <w:sz w:val="16"/>
              </w:rPr>
            </w:pPr>
            <w:r w:rsidRPr="00341080">
              <w:rPr>
                <w:i/>
                <w:sz w:val="16"/>
              </w:rPr>
              <w:lastRenderedPageBreak/>
              <w:t>Международный договор</w:t>
            </w:r>
          </w:p>
        </w:tc>
        <w:tc>
          <w:tcPr>
            <w:tcW w:w="1959" w:type="dxa"/>
            <w:tcBorders>
              <w:top w:val="single" w:sz="4" w:space="0" w:color="auto"/>
              <w:bottom w:val="single" w:sz="12" w:space="0" w:color="auto"/>
            </w:tcBorders>
            <w:shd w:val="clear" w:color="auto" w:fill="auto"/>
            <w:tcMar>
              <w:left w:w="28" w:type="dxa"/>
              <w:right w:w="28" w:type="dxa"/>
            </w:tcMar>
            <w:vAlign w:val="bottom"/>
          </w:tcPr>
          <w:p w14:paraId="70421BFB" w14:textId="77777777" w:rsidR="00102DE3" w:rsidRPr="00341080" w:rsidRDefault="00102DE3" w:rsidP="00640B99">
            <w:pPr>
              <w:spacing w:before="80" w:after="80" w:line="200" w:lineRule="exact"/>
              <w:rPr>
                <w:i/>
                <w:sz w:val="16"/>
              </w:rPr>
            </w:pPr>
            <w:r w:rsidRPr="00341080">
              <w:rPr>
                <w:i/>
                <w:sz w:val="16"/>
              </w:rPr>
              <w:t>Ратификация или присоединение</w:t>
            </w:r>
          </w:p>
        </w:tc>
        <w:tc>
          <w:tcPr>
            <w:tcW w:w="1645" w:type="dxa"/>
            <w:tcBorders>
              <w:top w:val="single" w:sz="4" w:space="0" w:color="auto"/>
              <w:bottom w:val="single" w:sz="12" w:space="0" w:color="auto"/>
            </w:tcBorders>
            <w:shd w:val="clear" w:color="auto" w:fill="auto"/>
            <w:tcMar>
              <w:left w:w="28" w:type="dxa"/>
              <w:right w:w="28" w:type="dxa"/>
            </w:tcMar>
            <w:vAlign w:val="bottom"/>
          </w:tcPr>
          <w:p w14:paraId="33386019" w14:textId="77777777" w:rsidR="00102DE3" w:rsidRPr="00341080" w:rsidRDefault="00102DE3" w:rsidP="00640B99">
            <w:pPr>
              <w:spacing w:before="80" w:after="80" w:line="200" w:lineRule="exact"/>
              <w:rPr>
                <w:i/>
                <w:sz w:val="16"/>
              </w:rPr>
            </w:pPr>
            <w:r w:rsidRPr="00341080">
              <w:rPr>
                <w:i/>
                <w:sz w:val="16"/>
              </w:rPr>
              <w:t>Указ султана</w:t>
            </w:r>
          </w:p>
        </w:tc>
      </w:tr>
      <w:tr w:rsidR="00102DE3" w:rsidRPr="00341080" w14:paraId="2B98FB5F" w14:textId="77777777" w:rsidTr="005B65CF">
        <w:trPr>
          <w:trHeight w:hRule="exact" w:val="113"/>
        </w:trPr>
        <w:tc>
          <w:tcPr>
            <w:tcW w:w="3766" w:type="dxa"/>
            <w:tcBorders>
              <w:top w:val="single" w:sz="12" w:space="0" w:color="auto"/>
            </w:tcBorders>
            <w:shd w:val="clear" w:color="auto" w:fill="auto"/>
            <w:tcMar>
              <w:left w:w="28" w:type="dxa"/>
              <w:right w:w="28" w:type="dxa"/>
            </w:tcMar>
          </w:tcPr>
          <w:p w14:paraId="5CEAC768" w14:textId="77777777" w:rsidR="00102DE3" w:rsidRPr="00341080" w:rsidRDefault="00102DE3" w:rsidP="00640B99">
            <w:pPr>
              <w:spacing w:before="40" w:after="120"/>
            </w:pPr>
          </w:p>
        </w:tc>
        <w:tc>
          <w:tcPr>
            <w:tcW w:w="1959" w:type="dxa"/>
            <w:tcBorders>
              <w:top w:val="single" w:sz="12" w:space="0" w:color="auto"/>
            </w:tcBorders>
            <w:shd w:val="clear" w:color="auto" w:fill="auto"/>
            <w:tcMar>
              <w:left w:w="28" w:type="dxa"/>
              <w:right w:w="28" w:type="dxa"/>
            </w:tcMar>
          </w:tcPr>
          <w:p w14:paraId="35F0BA2C" w14:textId="77777777" w:rsidR="00102DE3" w:rsidRPr="00341080" w:rsidRDefault="00102DE3" w:rsidP="00640B99">
            <w:pPr>
              <w:spacing w:before="40" w:after="120"/>
            </w:pPr>
          </w:p>
        </w:tc>
        <w:tc>
          <w:tcPr>
            <w:tcW w:w="1645" w:type="dxa"/>
            <w:tcBorders>
              <w:top w:val="single" w:sz="12" w:space="0" w:color="auto"/>
            </w:tcBorders>
            <w:shd w:val="clear" w:color="auto" w:fill="auto"/>
            <w:tcMar>
              <w:left w:w="28" w:type="dxa"/>
              <w:right w:w="28" w:type="dxa"/>
            </w:tcMar>
          </w:tcPr>
          <w:p w14:paraId="6F22F835" w14:textId="77777777" w:rsidR="00102DE3" w:rsidRPr="00341080" w:rsidRDefault="00102DE3" w:rsidP="00640B99">
            <w:pPr>
              <w:spacing w:before="40" w:after="120"/>
            </w:pPr>
          </w:p>
        </w:tc>
      </w:tr>
      <w:tr w:rsidR="00102DE3" w:rsidRPr="00341080" w14:paraId="5161410C" w14:textId="77777777" w:rsidTr="005B65CF">
        <w:tc>
          <w:tcPr>
            <w:tcW w:w="3766" w:type="dxa"/>
            <w:shd w:val="clear" w:color="auto" w:fill="auto"/>
            <w:tcMar>
              <w:left w:w="28" w:type="dxa"/>
              <w:right w:w="28" w:type="dxa"/>
            </w:tcMar>
          </w:tcPr>
          <w:p w14:paraId="26F03791" w14:textId="77777777" w:rsidR="00102DE3" w:rsidRPr="00341080" w:rsidRDefault="00102DE3" w:rsidP="00640B99">
            <w:pPr>
              <w:spacing w:before="40" w:after="120"/>
            </w:pPr>
            <w:r w:rsidRPr="00341080">
              <w:t>Международная конвенция о ликвидации всех форм расовой дискриминации, 1965 год</w:t>
            </w:r>
          </w:p>
        </w:tc>
        <w:tc>
          <w:tcPr>
            <w:tcW w:w="1959" w:type="dxa"/>
            <w:shd w:val="clear" w:color="auto" w:fill="auto"/>
            <w:tcMar>
              <w:left w:w="28" w:type="dxa"/>
              <w:right w:w="28" w:type="dxa"/>
            </w:tcMar>
          </w:tcPr>
          <w:p w14:paraId="68907729" w14:textId="77777777" w:rsidR="00102DE3" w:rsidRPr="00341080" w:rsidRDefault="00102DE3" w:rsidP="00640B99">
            <w:pPr>
              <w:spacing w:before="40" w:after="120"/>
            </w:pPr>
            <w:r w:rsidRPr="00341080">
              <w:t>2 января 2003 года</w:t>
            </w:r>
          </w:p>
        </w:tc>
        <w:tc>
          <w:tcPr>
            <w:tcW w:w="1645" w:type="dxa"/>
            <w:shd w:val="clear" w:color="auto" w:fill="auto"/>
            <w:tcMar>
              <w:left w:w="28" w:type="dxa"/>
              <w:right w:w="28" w:type="dxa"/>
            </w:tcMar>
          </w:tcPr>
          <w:p w14:paraId="093856A9" w14:textId="77777777" w:rsidR="00102DE3" w:rsidRPr="00341080" w:rsidRDefault="00102DE3" w:rsidP="00640B99">
            <w:pPr>
              <w:spacing w:before="40" w:after="120"/>
            </w:pPr>
            <w:r w:rsidRPr="00341080">
              <w:t>указ № 87/2002</w:t>
            </w:r>
          </w:p>
        </w:tc>
      </w:tr>
      <w:tr w:rsidR="00102DE3" w:rsidRPr="00341080" w14:paraId="54C859F0" w14:textId="77777777" w:rsidTr="005B65CF">
        <w:tc>
          <w:tcPr>
            <w:tcW w:w="3766" w:type="dxa"/>
            <w:shd w:val="clear" w:color="auto" w:fill="auto"/>
            <w:tcMar>
              <w:left w:w="28" w:type="dxa"/>
              <w:right w:w="28" w:type="dxa"/>
            </w:tcMar>
          </w:tcPr>
          <w:p w14:paraId="1B095748" w14:textId="77777777" w:rsidR="00102DE3" w:rsidRPr="00341080" w:rsidRDefault="00102DE3" w:rsidP="00640B99">
            <w:pPr>
              <w:spacing w:before="40" w:after="120"/>
            </w:pPr>
            <w:r w:rsidRPr="00341080">
              <w:t>Конвенция о ликвидации всех форм дискриминации в отношении женщин, 1979 год</w:t>
            </w:r>
          </w:p>
        </w:tc>
        <w:tc>
          <w:tcPr>
            <w:tcW w:w="1959" w:type="dxa"/>
            <w:shd w:val="clear" w:color="auto" w:fill="auto"/>
            <w:tcMar>
              <w:left w:w="28" w:type="dxa"/>
              <w:right w:w="28" w:type="dxa"/>
            </w:tcMar>
          </w:tcPr>
          <w:p w14:paraId="50662A8A" w14:textId="77777777" w:rsidR="00102DE3" w:rsidRPr="00341080" w:rsidRDefault="00102DE3" w:rsidP="00640B99">
            <w:pPr>
              <w:spacing w:before="40" w:after="120"/>
            </w:pPr>
            <w:r w:rsidRPr="00341080">
              <w:t>7 февраля 2006 года</w:t>
            </w:r>
          </w:p>
        </w:tc>
        <w:tc>
          <w:tcPr>
            <w:tcW w:w="1645" w:type="dxa"/>
            <w:shd w:val="clear" w:color="auto" w:fill="auto"/>
            <w:tcMar>
              <w:left w:w="28" w:type="dxa"/>
              <w:right w:w="28" w:type="dxa"/>
            </w:tcMar>
          </w:tcPr>
          <w:p w14:paraId="7A7AD19C" w14:textId="77777777" w:rsidR="00102DE3" w:rsidRPr="00341080" w:rsidRDefault="00102DE3" w:rsidP="00640B99">
            <w:pPr>
              <w:spacing w:before="40" w:after="120"/>
            </w:pPr>
            <w:r w:rsidRPr="00341080">
              <w:t>указ № 42/2005</w:t>
            </w:r>
          </w:p>
        </w:tc>
      </w:tr>
      <w:tr w:rsidR="00102DE3" w:rsidRPr="00341080" w14:paraId="465874FB" w14:textId="77777777" w:rsidTr="005B65CF">
        <w:tc>
          <w:tcPr>
            <w:tcW w:w="3766" w:type="dxa"/>
            <w:shd w:val="clear" w:color="auto" w:fill="auto"/>
            <w:tcMar>
              <w:left w:w="28" w:type="dxa"/>
              <w:right w:w="28" w:type="dxa"/>
            </w:tcMar>
          </w:tcPr>
          <w:p w14:paraId="252F273A" w14:textId="77777777" w:rsidR="00102DE3" w:rsidRPr="00341080" w:rsidRDefault="00102DE3" w:rsidP="00640B99">
            <w:pPr>
              <w:spacing w:before="40" w:after="120"/>
            </w:pPr>
            <w:r w:rsidRPr="00341080">
              <w:t>Конвенция о правах ребенка, 1989 год</w:t>
            </w:r>
          </w:p>
        </w:tc>
        <w:tc>
          <w:tcPr>
            <w:tcW w:w="1959" w:type="dxa"/>
            <w:shd w:val="clear" w:color="auto" w:fill="auto"/>
            <w:tcMar>
              <w:left w:w="28" w:type="dxa"/>
              <w:right w:w="28" w:type="dxa"/>
            </w:tcMar>
          </w:tcPr>
          <w:p w14:paraId="1D00AA26" w14:textId="77777777" w:rsidR="00102DE3" w:rsidRPr="00341080" w:rsidRDefault="00102DE3" w:rsidP="00640B99">
            <w:pPr>
              <w:spacing w:before="40" w:after="120"/>
            </w:pPr>
            <w:r w:rsidRPr="00341080">
              <w:t>присоединение 9</w:t>
            </w:r>
            <w:r>
              <w:t> </w:t>
            </w:r>
            <w:r w:rsidRPr="00341080">
              <w:t>декабря 1996 года</w:t>
            </w:r>
          </w:p>
        </w:tc>
        <w:tc>
          <w:tcPr>
            <w:tcW w:w="1645" w:type="dxa"/>
            <w:shd w:val="clear" w:color="auto" w:fill="auto"/>
            <w:tcMar>
              <w:left w:w="28" w:type="dxa"/>
              <w:right w:w="28" w:type="dxa"/>
            </w:tcMar>
          </w:tcPr>
          <w:p w14:paraId="3D8C319F" w14:textId="77777777" w:rsidR="00102DE3" w:rsidRPr="00341080" w:rsidRDefault="00102DE3" w:rsidP="00640B99">
            <w:pPr>
              <w:spacing w:before="40" w:after="120"/>
            </w:pPr>
            <w:r w:rsidRPr="00341080">
              <w:t>указы № 54/1996 и 99/1996</w:t>
            </w:r>
          </w:p>
        </w:tc>
      </w:tr>
      <w:tr w:rsidR="00102DE3" w:rsidRPr="00341080" w14:paraId="470543C0" w14:textId="77777777" w:rsidTr="005B65CF">
        <w:tc>
          <w:tcPr>
            <w:tcW w:w="3766" w:type="dxa"/>
            <w:shd w:val="clear" w:color="auto" w:fill="auto"/>
            <w:tcMar>
              <w:left w:w="28" w:type="dxa"/>
              <w:right w:w="28" w:type="dxa"/>
            </w:tcMar>
          </w:tcPr>
          <w:p w14:paraId="4A8CA151" w14:textId="77777777" w:rsidR="00102DE3" w:rsidRPr="00341080" w:rsidRDefault="00102DE3" w:rsidP="00640B99">
            <w:pPr>
              <w:spacing w:before="40" w:after="120"/>
            </w:pPr>
            <w:r w:rsidRPr="00341080">
              <w:t>Конвенция о правах инвалидов, 2006 год</w:t>
            </w:r>
          </w:p>
        </w:tc>
        <w:tc>
          <w:tcPr>
            <w:tcW w:w="1959" w:type="dxa"/>
            <w:shd w:val="clear" w:color="auto" w:fill="auto"/>
            <w:tcMar>
              <w:left w:w="28" w:type="dxa"/>
              <w:right w:w="28" w:type="dxa"/>
            </w:tcMar>
          </w:tcPr>
          <w:p w14:paraId="10157BFE" w14:textId="77777777" w:rsidR="00102DE3" w:rsidRPr="00341080" w:rsidRDefault="00102DE3" w:rsidP="00640B99">
            <w:pPr>
              <w:spacing w:before="40" w:after="120"/>
            </w:pPr>
            <w:r w:rsidRPr="00341080">
              <w:t>ратификация 17</w:t>
            </w:r>
            <w:r w:rsidR="005B65CF">
              <w:t> </w:t>
            </w:r>
            <w:r w:rsidRPr="00341080">
              <w:t>марта 2008 года</w:t>
            </w:r>
          </w:p>
        </w:tc>
        <w:tc>
          <w:tcPr>
            <w:tcW w:w="1645" w:type="dxa"/>
            <w:shd w:val="clear" w:color="auto" w:fill="auto"/>
            <w:tcMar>
              <w:left w:w="28" w:type="dxa"/>
              <w:right w:w="28" w:type="dxa"/>
            </w:tcMar>
          </w:tcPr>
          <w:p w14:paraId="23427167" w14:textId="77777777" w:rsidR="00102DE3" w:rsidRPr="00341080" w:rsidRDefault="00102DE3" w:rsidP="00640B99">
            <w:pPr>
              <w:spacing w:before="40" w:after="120"/>
            </w:pPr>
            <w:r w:rsidRPr="00341080">
              <w:t>указ № 121/2008</w:t>
            </w:r>
          </w:p>
        </w:tc>
      </w:tr>
      <w:tr w:rsidR="00102DE3" w:rsidRPr="00341080" w14:paraId="75747C70" w14:textId="77777777" w:rsidTr="005B65CF">
        <w:tc>
          <w:tcPr>
            <w:tcW w:w="3766" w:type="dxa"/>
            <w:tcBorders>
              <w:bottom w:val="single" w:sz="12" w:space="0" w:color="auto"/>
            </w:tcBorders>
            <w:shd w:val="clear" w:color="auto" w:fill="auto"/>
            <w:tcMar>
              <w:left w:w="28" w:type="dxa"/>
              <w:right w:w="28" w:type="dxa"/>
            </w:tcMar>
          </w:tcPr>
          <w:p w14:paraId="3004F398" w14:textId="77777777" w:rsidR="00102DE3" w:rsidRPr="00341080" w:rsidRDefault="00102DE3" w:rsidP="00640B99">
            <w:pPr>
              <w:spacing w:before="40" w:after="120"/>
            </w:pPr>
            <w:r w:rsidRPr="00341080">
              <w:t>Факультативный протокол к Конвенции о</w:t>
            </w:r>
            <w:r w:rsidR="005B65CF">
              <w:t> </w:t>
            </w:r>
            <w:r w:rsidRPr="00341080">
              <w:t>правах ребенка, касающийся участия детей в вооруженных конфликтах, и</w:t>
            </w:r>
            <w:r>
              <w:t> </w:t>
            </w:r>
            <w:r w:rsidRPr="00341080">
              <w:t>Факультативный протокол к Конвенции о правах ребенка, касающийся торговли детьми, детской проституции и детской порнографии</w:t>
            </w:r>
          </w:p>
        </w:tc>
        <w:tc>
          <w:tcPr>
            <w:tcW w:w="1959" w:type="dxa"/>
            <w:tcBorders>
              <w:bottom w:val="single" w:sz="12" w:space="0" w:color="auto"/>
            </w:tcBorders>
            <w:shd w:val="clear" w:color="auto" w:fill="auto"/>
            <w:tcMar>
              <w:left w:w="28" w:type="dxa"/>
              <w:right w:w="28" w:type="dxa"/>
            </w:tcMar>
          </w:tcPr>
          <w:p w14:paraId="4901D5B3" w14:textId="77777777" w:rsidR="00102DE3" w:rsidRPr="00341080" w:rsidRDefault="00102DE3" w:rsidP="00640B99">
            <w:pPr>
              <w:spacing w:before="40" w:after="120"/>
            </w:pPr>
            <w:r w:rsidRPr="00341080">
              <w:t>присоединение 17</w:t>
            </w:r>
            <w:r>
              <w:t> </w:t>
            </w:r>
            <w:r w:rsidRPr="00341080">
              <w:t>сентября 2004 года</w:t>
            </w:r>
          </w:p>
        </w:tc>
        <w:tc>
          <w:tcPr>
            <w:tcW w:w="1645" w:type="dxa"/>
            <w:tcBorders>
              <w:bottom w:val="single" w:sz="12" w:space="0" w:color="auto"/>
            </w:tcBorders>
            <w:shd w:val="clear" w:color="auto" w:fill="auto"/>
            <w:tcMar>
              <w:left w:w="28" w:type="dxa"/>
              <w:right w:w="28" w:type="dxa"/>
            </w:tcMar>
          </w:tcPr>
          <w:p w14:paraId="667018CE" w14:textId="77777777" w:rsidR="00102DE3" w:rsidRPr="00341080" w:rsidRDefault="00102DE3" w:rsidP="00640B99">
            <w:pPr>
              <w:spacing w:before="40" w:after="120"/>
            </w:pPr>
            <w:r w:rsidRPr="00341080">
              <w:t>указ № 41/2004</w:t>
            </w:r>
          </w:p>
        </w:tc>
      </w:tr>
    </w:tbl>
    <w:p w14:paraId="10D6BA38" w14:textId="77777777" w:rsidR="00102DE3" w:rsidRPr="001F4E84" w:rsidRDefault="00102DE3" w:rsidP="00102DE3">
      <w:pPr>
        <w:pStyle w:val="SingleTxtG"/>
        <w:spacing w:before="120"/>
      </w:pPr>
      <w:r>
        <w:t>63.</w:t>
      </w:r>
      <w:r>
        <w:tab/>
        <w:t>В дополнение к основным договорам и протоколам Султанат ратифицировал многие другие документы Организации Объединенных Наций по правам человека и международные и региональные конвенции международных или региональных организаций и учреждений либо присоединился к ним. В соответствии с добавлением 2 к Руководящим принципам более подробная информация об этих документах приводится в таблицах в приложении 4.</w:t>
      </w:r>
    </w:p>
    <w:p w14:paraId="18B2AE9E" w14:textId="77777777" w:rsidR="00102DE3" w:rsidRPr="001F4E84" w:rsidRDefault="00102DE3" w:rsidP="00102DE3">
      <w:pPr>
        <w:pStyle w:val="H4G"/>
      </w:pPr>
      <w:bookmarkStart w:id="8" w:name="_Hlk16069636"/>
      <w:r>
        <w:rPr>
          <w:iCs/>
        </w:rPr>
        <w:tab/>
        <w:t>a)</w:t>
      </w:r>
      <w:r>
        <w:tab/>
      </w:r>
      <w:r>
        <w:rPr>
          <w:iCs/>
        </w:rPr>
        <w:t>Изменения, внесенные в международные договоры</w:t>
      </w:r>
      <w:bookmarkEnd w:id="8"/>
    </w:p>
    <w:p w14:paraId="19E1A6B0" w14:textId="77777777" w:rsidR="00102DE3" w:rsidRPr="001F4E84" w:rsidRDefault="00102DE3" w:rsidP="00102DE3">
      <w:pPr>
        <w:pStyle w:val="SingleTxtG"/>
        <w:spacing w:before="120"/>
      </w:pPr>
      <w:r>
        <w:t>64.</w:t>
      </w:r>
      <w:r>
        <w:tab/>
        <w:t>Указом султана № 82/2002 Султанат ратифицировал поправку к пункту 2 статьи 43 Конвенции о правах ребенка, утвержденную Генеральной Ассамблеей Организации Объединенных Наций 21 декабря 1995 года.</w:t>
      </w:r>
    </w:p>
    <w:p w14:paraId="00C465C3" w14:textId="77777777" w:rsidR="00102DE3" w:rsidRPr="001F4E84" w:rsidRDefault="00102DE3" w:rsidP="00102DE3">
      <w:pPr>
        <w:pStyle w:val="SingleTxtG"/>
        <w:spacing w:before="120"/>
      </w:pPr>
      <w:r>
        <w:t>65.</w:t>
      </w:r>
      <w:r>
        <w:tab/>
        <w:t>Поправка к пункту 1 статьи 20 Конвенции о ликвидации всех форм дискриминации в отношении женщин была утверждена указом султана № 3/2019.</w:t>
      </w:r>
    </w:p>
    <w:p w14:paraId="0980A9AF" w14:textId="77777777" w:rsidR="00102DE3" w:rsidRPr="001F4E84" w:rsidRDefault="00102DE3" w:rsidP="00102DE3">
      <w:pPr>
        <w:pStyle w:val="H4G"/>
      </w:pPr>
      <w:r>
        <w:rPr>
          <w:iCs/>
        </w:rPr>
        <w:tab/>
        <w:t>b)</w:t>
      </w:r>
      <w:r>
        <w:tab/>
      </w:r>
      <w:r>
        <w:rPr>
          <w:iCs/>
        </w:rPr>
        <w:t>Оговорки и заявления</w:t>
      </w:r>
    </w:p>
    <w:p w14:paraId="27FA48C3" w14:textId="77777777" w:rsidR="00102DE3" w:rsidRPr="001F4E84" w:rsidRDefault="00102DE3" w:rsidP="00102DE3">
      <w:pPr>
        <w:pStyle w:val="SingleTxtG"/>
        <w:spacing w:before="120"/>
      </w:pPr>
      <w:r>
        <w:t>66.</w:t>
      </w:r>
      <w:r>
        <w:tab/>
        <w:t>При ратификации Конвенции о правах ребенка Султанат сделал пять оговорок (указ султана № 54/96). В соответствии с указом султана № 86/2011 эти оговорки были сняты, за исключением частичной оговорки к статье 14 Конвенции.</w:t>
      </w:r>
      <w:bookmarkStart w:id="9" w:name="_Hlk16599677"/>
      <w:bookmarkEnd w:id="9"/>
    </w:p>
    <w:p w14:paraId="47C629EF" w14:textId="77777777" w:rsidR="00102DE3" w:rsidRPr="001F4E84" w:rsidRDefault="00102DE3" w:rsidP="00102DE3">
      <w:pPr>
        <w:pStyle w:val="SingleTxtG"/>
        <w:spacing w:before="120"/>
      </w:pPr>
      <w:r>
        <w:t>67.</w:t>
      </w:r>
      <w:r>
        <w:tab/>
        <w:t>Кроме того, Султанат сделал пять оговорок к Конвенции о ликвидации всех форм дискриминации в отношении женщин. В соответствии с обязательствами, принятыми на себя по итогам рассмотрения своих докладов за 2011 и 2015 годы в рамках универсального периодического обзора, а также замечанием № 15 и рекомендацией № 16 Комитета по ликвидации дискриминации в отношении женщин в связи с рассмотрением первоначального доклада Омана и замечания № 9 и рекомендации № 10 этого же органа в связи с рассмотрением второго и третьего периодических докладов Омана Султанат, согласно указу султана № 3/2019 от 7</w:t>
      </w:r>
      <w:r w:rsidR="001F5C57">
        <w:t> </w:t>
      </w:r>
      <w:r>
        <w:t>января 2019 года, снял оговорку к пункту 4 статьи 15 Конвенции.</w:t>
      </w:r>
    </w:p>
    <w:p w14:paraId="184383CA" w14:textId="77777777" w:rsidR="00102DE3" w:rsidRPr="001F4E84" w:rsidRDefault="00102DE3" w:rsidP="00102DE3">
      <w:pPr>
        <w:pStyle w:val="H4G"/>
      </w:pPr>
      <w:r>
        <w:tab/>
        <w:t>c)</w:t>
      </w:r>
      <w:r>
        <w:tab/>
      </w:r>
      <w:r>
        <w:rPr>
          <w:iCs/>
        </w:rPr>
        <w:t>Отступления от обязательств, их сокращения или ограничения</w:t>
      </w:r>
    </w:p>
    <w:p w14:paraId="7123A2F6" w14:textId="77777777" w:rsidR="00102DE3" w:rsidRPr="001F4E84" w:rsidRDefault="00102DE3" w:rsidP="00102DE3">
      <w:pPr>
        <w:pStyle w:val="SingleTxtG"/>
        <w:spacing w:before="120"/>
      </w:pPr>
      <w:r>
        <w:t>68.</w:t>
      </w:r>
      <w:r>
        <w:tab/>
        <w:t>Султанат не делал никаких заявлений, отступлений, сокращений или ограничений в отношении международных договоров, которые он ратифицировал или к которым он присоединился.</w:t>
      </w:r>
    </w:p>
    <w:p w14:paraId="7F2FBB9D" w14:textId="77777777" w:rsidR="00102DE3" w:rsidRPr="001F4E84" w:rsidRDefault="00102DE3" w:rsidP="00102DE3">
      <w:pPr>
        <w:pStyle w:val="H1G"/>
      </w:pPr>
      <w:r>
        <w:rPr>
          <w:bCs/>
        </w:rPr>
        <w:lastRenderedPageBreak/>
        <w:tab/>
        <w:t>B.</w:t>
      </w:r>
      <w:r>
        <w:tab/>
      </w:r>
      <w:r>
        <w:rPr>
          <w:bCs/>
        </w:rPr>
        <w:t>Правовая основа защиты прав человека на национальном уровне</w:t>
      </w:r>
    </w:p>
    <w:p w14:paraId="653D66CD" w14:textId="77777777" w:rsidR="00102DE3" w:rsidRPr="001F4E84" w:rsidRDefault="00102DE3" w:rsidP="00102DE3">
      <w:pPr>
        <w:pStyle w:val="H23G"/>
      </w:pPr>
      <w:r>
        <w:tab/>
      </w:r>
      <w:r>
        <w:tab/>
      </w:r>
      <w:r>
        <w:rPr>
          <w:bCs/>
        </w:rPr>
        <w:t>Статус международных конвенций в рамках национального правового режима</w:t>
      </w:r>
    </w:p>
    <w:p w14:paraId="7F9DAE8B" w14:textId="77777777" w:rsidR="00102DE3" w:rsidRPr="001F4E84" w:rsidRDefault="00102DE3" w:rsidP="00102DE3">
      <w:pPr>
        <w:pStyle w:val="SingleTxtG"/>
        <w:spacing w:before="120"/>
      </w:pPr>
      <w:r>
        <w:t>69.</w:t>
      </w:r>
      <w:r>
        <w:tab/>
        <w:t>Позиция Султаната в отношении ратифицированных им международных договоров определена в статьях 72, 76 и 80 Основного закона. Они рассматриваются как неотъемлемая часть национального законодательства и приобретают силу закона, как только Султанат ратифицирует их или присоединяется к ним. Кроме того, в Основном законе приоритет отдается международным договорам, ратифицированным до его вступления в силу в 1996 году, а в статье 72 Основного закона предусматривается</w:t>
      </w:r>
      <w:r w:rsidRPr="00E34F87">
        <w:t xml:space="preserve"> </w:t>
      </w:r>
      <w:r>
        <w:t>в этой связи, что «применение настоящего Закона не наносит ущерба документам, связывающим Султанат с другими государствами или международными организациями». Законодательная власть Омана закрепила этот принцип в Основном законе, предусмотрев таким образом эффективную защиту прав человека, и включила его в национальное законодательство.</w:t>
      </w:r>
    </w:p>
    <w:p w14:paraId="5F3E1629" w14:textId="77777777" w:rsidR="00102DE3" w:rsidRPr="001F4E84" w:rsidRDefault="00102DE3" w:rsidP="00102DE3">
      <w:pPr>
        <w:pStyle w:val="H23G"/>
      </w:pPr>
      <w:r>
        <w:tab/>
      </w:r>
      <w:r>
        <w:tab/>
      </w:r>
      <w:r>
        <w:rPr>
          <w:bCs/>
        </w:rPr>
        <w:t>Защита прав человека в Основном законе</w:t>
      </w:r>
    </w:p>
    <w:p w14:paraId="6BE512E9" w14:textId="77777777" w:rsidR="00102DE3" w:rsidRPr="001F4E84" w:rsidRDefault="00102DE3" w:rsidP="00102DE3">
      <w:pPr>
        <w:pStyle w:val="SingleTxtG"/>
        <w:spacing w:before="120"/>
      </w:pPr>
      <w:r>
        <w:t>70.</w:t>
      </w:r>
      <w:r>
        <w:tab/>
        <w:t>Основной закон представляет собой главную основу для защиты прав человека. Он регулирует различные виды прав, в том числе экономические, социальные и образовательные права. Режим, установленный Основным законом, является главной защитой, предоставляемой правообладателям, и основой, на которой базируются суды при принятии решений относительно этих прав.</w:t>
      </w:r>
    </w:p>
    <w:p w14:paraId="4E1363B0" w14:textId="77777777" w:rsidR="00102DE3" w:rsidRPr="001F4E84" w:rsidRDefault="00102DE3" w:rsidP="00102DE3">
      <w:pPr>
        <w:pStyle w:val="SingleTxtG"/>
        <w:spacing w:before="120"/>
      </w:pPr>
      <w:r>
        <w:t>71.</w:t>
      </w:r>
      <w:r>
        <w:tab/>
        <w:t>В Основном законе содержатся многочисленные положения, гарантирующие права и свободы членов оманского общества. В статье 10 (Политические принципы) главы I Закона (Руководящие принципы государственной политики) закреплены принципы равенства и справедливости как общей основы государственной политики, предусматривающие «создание эффективной административной системы, гарантирующей гражданам справедливость, спокойствие и равенство и обеспечивающей соблюдение общественного порядка и защиту высших интересов страны».</w:t>
      </w:r>
    </w:p>
    <w:p w14:paraId="58E43845" w14:textId="77777777" w:rsidR="00102DE3" w:rsidRPr="001F4E84" w:rsidRDefault="00102DE3" w:rsidP="00102DE3">
      <w:pPr>
        <w:pStyle w:val="SingleTxtG"/>
        <w:spacing w:before="120"/>
      </w:pPr>
      <w:r>
        <w:t>72.</w:t>
      </w:r>
      <w:r>
        <w:tab/>
        <w:t>В статье 12 Основного закона, касающейся социальных принципов, подчеркивается право на равенство и справедливость в качестве базы для отношений между членами общества и предусматривается, что справедливость, равенство и равные возможности для оманского народа лежат в основе общества и гарантируются государством. Кроме того, в ней говорится: «Государственная служба должна приносить пользу обществу, и при выполнении своих обязанностей государственные служащие должны руководствоваться общественными интересами. Граждане имеют равный доступ к государственной службе в соответствии с условиями, установленными законом».</w:t>
      </w:r>
    </w:p>
    <w:p w14:paraId="464F8708" w14:textId="77777777" w:rsidR="00102DE3" w:rsidRPr="001F4E84" w:rsidRDefault="00102DE3" w:rsidP="00102DE3">
      <w:pPr>
        <w:pStyle w:val="SingleTxtG"/>
        <w:spacing w:before="120"/>
      </w:pPr>
      <w:r>
        <w:t>73.</w:t>
      </w:r>
      <w:r>
        <w:tab/>
        <w:t xml:space="preserve">Положения Основного закона, касающиеся социальных принципов, закрепляют ряд прав, таких как право на здоровье, право на здоровую окружающую среду и право на помощь, и гласят: «Государство придает должное значение общественному здравоохранению, а также средствам профилактики и лечения заболеваний и борьбы с эпидемиями. Оно обеспечивает оказание всем гражданам необходимых медицинских услуг, поощряет строительство больниц, амбулаторий и частных клиник под надзором государства в соответствии с правилами, установленными Законом. Оно работает также над сохранением окружающей среды и ее защитой от загрязнения». Кроме того, «государство гарантирует поддержку граждан и их семей в чрезвычайных ситуациях, в случае болезни, инвалидности и старости в порядке, предусмотренном системой социального обеспечения, и поощряет солидарность общества при несении тягот, связанных с катастрофами и иными подобными бедствиями». </w:t>
      </w:r>
    </w:p>
    <w:p w14:paraId="73FC212F" w14:textId="77777777" w:rsidR="00102DE3" w:rsidRPr="001F4E84" w:rsidRDefault="00102DE3" w:rsidP="00102DE3">
      <w:pPr>
        <w:pStyle w:val="SingleTxtG"/>
        <w:spacing w:before="120"/>
      </w:pPr>
      <w:r>
        <w:t>74.</w:t>
      </w:r>
      <w:r>
        <w:tab/>
        <w:t xml:space="preserve">Социальные принципы гарантируют также право на труд. В этой связи в пунктах 6 и 7 этих принципов говорится, что «государство принимает законы, защищающие права наемных работников и работодателей и регулирующие их взаимоотношения. Каждый гражданин имеет право заниматься выбранным им видом деятельности в рамках закона. Принуждение кого-либо к обязательной работе любого рода не разрешается, за исключением случаев, предусмотренных законом и для </w:t>
      </w:r>
      <w:r>
        <w:lastRenderedPageBreak/>
        <w:t>исполнения общественно значимых работ за справедливую плату». Равенство граждан в правах на занятие государственных должностей гарантируется, как уже отмечалось выше, на условиях, предусмотренных законом.</w:t>
      </w:r>
    </w:p>
    <w:p w14:paraId="2A91FBC4" w14:textId="77777777" w:rsidR="00102DE3" w:rsidRPr="001F4E84" w:rsidRDefault="00102DE3" w:rsidP="00102DE3">
      <w:pPr>
        <w:pStyle w:val="SingleTxtG"/>
        <w:spacing w:before="120"/>
      </w:pPr>
      <w:r>
        <w:t>75.</w:t>
      </w:r>
      <w:r>
        <w:tab/>
        <w:t>В силу важнейшей роли семьи в воспитании ребенка на здоровой основе и в духе уважения прав женщин согласно ценностям прав человека, мира и социальной солидарности в положениях Основного закона о социальных принципах, касающихся защиты семьи, подчеркивается: «Семья является основой общества, и</w:t>
      </w:r>
      <w:r w:rsidR="002E5D3E">
        <w:t> </w:t>
      </w:r>
      <w:r>
        <w:t xml:space="preserve">законодательство определяет средства обеспечения ее защиты, сохранения ее правового статуса, укрепления ее единства и ценностей, защиты ее членов и обеспечения условий, необходимых для развития их возможностей и способностей». </w:t>
      </w:r>
    </w:p>
    <w:p w14:paraId="3D745310" w14:textId="77777777" w:rsidR="00102DE3" w:rsidRPr="001F4E84" w:rsidRDefault="00102DE3" w:rsidP="00102DE3">
      <w:pPr>
        <w:pStyle w:val="SingleTxtG"/>
        <w:spacing w:before="120"/>
      </w:pPr>
      <w:r>
        <w:t>76.</w:t>
      </w:r>
      <w:r>
        <w:tab/>
        <w:t xml:space="preserve">При разработке Конституции специалисты уделяли особое внимание праву на образование. В этой связи статья 13 Основного закона гласит: «Образование является одной из основных движущих сил развития общества. Оно находится под эгидой государства, которое прилагает все усилия для обеспечения того, чтобы каждый член общества мог им воспользоваться». «Образование направлено на повышение культурного уровня населения, развитие научного мышления, укрепление стремления к знаниям, удовлетворение требований планов социально-экономического развития и формирование сильного телом и духом поколения, гордящегося своей нацией, своей родиной и своим наследием и заинтересованного в сохранении своих достижений». «Государство гарантирует общее образование, ведет работу по искоренению неграмотности и поощряет создание частных школ и институтов под его эгидой в соответствии с положениями законодательства». </w:t>
      </w:r>
    </w:p>
    <w:p w14:paraId="32A363E1" w14:textId="77777777" w:rsidR="00102DE3" w:rsidRPr="001F4E84" w:rsidRDefault="00102DE3" w:rsidP="00102DE3">
      <w:pPr>
        <w:pStyle w:val="SingleTxtG"/>
        <w:spacing w:before="120"/>
      </w:pPr>
      <w:r>
        <w:t>77.</w:t>
      </w:r>
      <w:r>
        <w:tab/>
        <w:t>Особое значение в Основном законе придается публичным правам и обязанностям. В статье 17 подчеркивается принцип равенства и предусматривается, что все граждане равны перед законом и имеют одинаковые права и обязанности без какого-либо различия по признаку пола, происхождения, цвета кожи, языка, религии, вероисповедания, места жительства или социального положения.</w:t>
      </w:r>
    </w:p>
    <w:p w14:paraId="413B8B20" w14:textId="77777777" w:rsidR="00102DE3" w:rsidRPr="001F4E84" w:rsidRDefault="00102DE3" w:rsidP="00102DE3">
      <w:pPr>
        <w:pStyle w:val="SingleTxtG"/>
        <w:spacing w:before="120"/>
      </w:pPr>
      <w:r>
        <w:t>78.</w:t>
      </w:r>
      <w:r>
        <w:tab/>
        <w:t>Для целей обеспечения защиты прав и свобод в статье 18 Основного закона гарантируется свобода личности и говорится, что ни одно лицо не может быть подвергнуто аресту, обыску, задержанию, тюремному заключению, домашнему аресту или ограничению свободы выбора места жительства либо свободы передвижения, кроме как в случаях, предусмотренных законом. В статье 20 запрещаются пытки всех видов, будь то физические или психические.</w:t>
      </w:r>
    </w:p>
    <w:p w14:paraId="2455230B" w14:textId="77777777" w:rsidR="00102DE3" w:rsidRPr="001F4E84" w:rsidRDefault="00102DE3" w:rsidP="00102DE3">
      <w:pPr>
        <w:pStyle w:val="SingleTxtG"/>
        <w:spacing w:before="120"/>
      </w:pPr>
      <w:r>
        <w:t>79.</w:t>
      </w:r>
      <w:r>
        <w:tab/>
        <w:t>Пункт 25 Основного закона гарантирует каждому право на обращение в суд, предусматривая: «Право на обращение в суд защищено и гарантируется каждому. Порядок и условия осуществления этого права</w:t>
      </w:r>
      <w:r w:rsidRPr="003C6D72">
        <w:t xml:space="preserve"> </w:t>
      </w:r>
      <w:r>
        <w:t>определяются</w:t>
      </w:r>
      <w:r w:rsidRPr="003C6D72">
        <w:t xml:space="preserve"> </w:t>
      </w:r>
      <w:r>
        <w:t>законодательством. Государство обеспечивает, насколько это возможно, приближение судебных органов к гражданам и оперативное рассмотрение дел.</w:t>
      </w:r>
    </w:p>
    <w:p w14:paraId="712E1D5B" w14:textId="77777777" w:rsidR="00102DE3" w:rsidRPr="001F4E84" w:rsidRDefault="00102DE3" w:rsidP="00102DE3">
      <w:pPr>
        <w:pStyle w:val="SingleTxtG"/>
        <w:spacing w:before="120"/>
      </w:pPr>
      <w:r>
        <w:t>80.</w:t>
      </w:r>
      <w:r>
        <w:tab/>
        <w:t>Статья 60 Основного закона предусматривает независимость судебной власти и судов всех видов и уровней. В статье 61 закреплен принцип независимости и несменяемости судей. Она запрещает любое вмешательство в дела правосудия, квалифицируя его в качестве преступления, наказуемого по закону.</w:t>
      </w:r>
    </w:p>
    <w:p w14:paraId="11292D63" w14:textId="77777777" w:rsidR="00102DE3" w:rsidRPr="001F4E84" w:rsidRDefault="00102DE3" w:rsidP="00102DE3">
      <w:pPr>
        <w:pStyle w:val="SingleTxtG"/>
        <w:spacing w:before="120"/>
      </w:pPr>
      <w:r>
        <w:t>81.</w:t>
      </w:r>
      <w:r>
        <w:tab/>
        <w:t xml:space="preserve">Аналогичным образом, Основной закон запрещает любое унижающее достоинство обращение и гарантирует эффективную защиту права на неприкосновенность частной жизни. Одним из примеров такой защиты является статья 27, которая гласит: «Жилище неприкосновенно; ни одно лицо не может войти в него без согласия его владельца, кроме как в случаях, установленных законом». </w:t>
      </w:r>
    </w:p>
    <w:p w14:paraId="73BEF638" w14:textId="77777777" w:rsidR="00102DE3" w:rsidRPr="001F4E84" w:rsidRDefault="00102DE3" w:rsidP="00102DE3">
      <w:pPr>
        <w:pStyle w:val="SingleTxtG"/>
        <w:spacing w:before="120"/>
      </w:pPr>
      <w:r>
        <w:t>82.</w:t>
      </w:r>
      <w:r>
        <w:tab/>
        <w:t>Статья 29 Основного закона предусматривает, что свобода мысли и свобода выражения мнений устно, письменно и посредством любого другого способа гарантируются законодательством. Статья 30 гарантирует свободу почтово</w:t>
      </w:r>
      <w:r w:rsidR="002E5CA9">
        <w:noBreakHyphen/>
      </w:r>
      <w:r>
        <w:t xml:space="preserve">телеграфных отправлений, телефонной связи и других средств передачи информации, гарантирует их конфиденциальность, а также запрещает наблюдение за ними, их раскрытие, воспрепятствование им или их конфискацию, кроме как в случаях, предусмотренных законом. Свобода печати и публикации гарантируется статьей 31 и может быть ограничена только в случае подстрекательства к мятежу, </w:t>
      </w:r>
      <w:r>
        <w:lastRenderedPageBreak/>
        <w:t>посягательства на государственную безопасность либо на достоинство или право человека.</w:t>
      </w:r>
    </w:p>
    <w:p w14:paraId="7FF8B894" w14:textId="77777777" w:rsidR="00102DE3" w:rsidRPr="001F4E84" w:rsidRDefault="00102DE3" w:rsidP="00102DE3">
      <w:pPr>
        <w:pStyle w:val="SingleTxtG"/>
        <w:spacing w:before="120"/>
      </w:pPr>
      <w:r>
        <w:t>83.</w:t>
      </w:r>
      <w:r>
        <w:tab/>
        <w:t>Статья 33 Основного закона гласит: «Свобода создавать национальные ассоциации для законных целей мирными средствами и в соответствии с положениями и целями настоящего Закона гарантируется в соответствии с условиями, предусмотренными законодательством. Запрещается создавать объединения, деятельность которых противоречит общественному порядку и носит тайный или военный характер, и ни одно лицо не может быть принуждено к вступлению в какую</w:t>
      </w:r>
      <w:r w:rsidR="002E5CA9">
        <w:noBreakHyphen/>
      </w:r>
      <w:r>
        <w:t>либо ассоциацию». Ряд ассоциаций, занимающихся вопросами прав человека, участвуют в подготовке национальных периодических докладов о выполнении международных договоров, а также в совещаниях договорных органов, посвященных рассмотрению этих докладов. В их число входят, в частности, Ассоциация оманских женщин, Оманская ассоциация по защите инвалидов, Оманская ассоциация писателей и литераторов и гильдия адвокатов.</w:t>
      </w:r>
      <w:bookmarkStart w:id="10" w:name="_Hlk16084767"/>
      <w:bookmarkEnd w:id="10"/>
    </w:p>
    <w:p w14:paraId="03CDF7E3" w14:textId="77777777" w:rsidR="00102DE3" w:rsidRPr="001F4E84" w:rsidRDefault="00102DE3" w:rsidP="00102DE3">
      <w:pPr>
        <w:pStyle w:val="SingleTxtG"/>
        <w:spacing w:before="120"/>
      </w:pPr>
      <w:r>
        <w:t>84.</w:t>
      </w:r>
      <w:r>
        <w:tab/>
        <w:t>В соответствии со статьей 35 Основного закона личность и имущество каждого иностранца, проживающего в Султанате, охраняются в соответствии с законодательством.</w:t>
      </w:r>
    </w:p>
    <w:p w14:paraId="0FAB6528" w14:textId="77777777" w:rsidR="00102DE3" w:rsidRPr="001F4E84" w:rsidRDefault="00102DE3" w:rsidP="00102DE3">
      <w:pPr>
        <w:pStyle w:val="H23G"/>
      </w:pPr>
      <w:r>
        <w:tab/>
      </w:r>
      <w:r>
        <w:tab/>
      </w:r>
      <w:r>
        <w:rPr>
          <w:bCs/>
        </w:rPr>
        <w:t>Защита прав человека в национальном законодательстве</w:t>
      </w:r>
    </w:p>
    <w:p w14:paraId="3D547105" w14:textId="77777777" w:rsidR="00102DE3" w:rsidRPr="001F4E84" w:rsidRDefault="00102DE3" w:rsidP="00102DE3">
      <w:pPr>
        <w:pStyle w:val="SingleTxtG"/>
        <w:spacing w:before="120"/>
      </w:pPr>
      <w:r>
        <w:t>85.</w:t>
      </w:r>
      <w:r>
        <w:tab/>
        <w:t>В целях обеспечения применения всех вышеупомянутых конституционных норм и принципов в области прав человека, изложенных в Основном законе, специалисты разработали многочисленные национальные законы, направленные на их защиту. Ниже рассматриваются тексты основных законов, нормативных актов и решений, касающиеся этих прав.</w:t>
      </w:r>
    </w:p>
    <w:p w14:paraId="6B809D36" w14:textId="77777777" w:rsidR="00102DE3" w:rsidRPr="001F4E84" w:rsidRDefault="00102DE3" w:rsidP="00102DE3">
      <w:pPr>
        <w:pStyle w:val="H23G"/>
      </w:pPr>
      <w:r>
        <w:tab/>
      </w:r>
      <w:r>
        <w:tab/>
      </w:r>
      <w:r>
        <w:rPr>
          <w:bCs/>
        </w:rPr>
        <w:t>Право на образование</w:t>
      </w:r>
    </w:p>
    <w:p w14:paraId="401C1D00" w14:textId="77777777" w:rsidR="00102DE3" w:rsidRPr="001F4E84" w:rsidRDefault="00102DE3" w:rsidP="00102DE3">
      <w:pPr>
        <w:pStyle w:val="SingleTxtG"/>
        <w:spacing w:before="120"/>
      </w:pPr>
      <w:r>
        <w:t>86.</w:t>
      </w:r>
      <w:r>
        <w:tab/>
        <w:t>Придавая большое значение системе образования, государство посвятило ей ряд законов, нормативных актов и министерских указов.</w:t>
      </w:r>
    </w:p>
    <w:p w14:paraId="1191508F" w14:textId="77777777" w:rsidR="00102DE3" w:rsidRPr="001F4E84" w:rsidRDefault="00102DE3" w:rsidP="00102DE3">
      <w:pPr>
        <w:pStyle w:val="SingleTxtG"/>
        <w:spacing w:before="120"/>
      </w:pPr>
      <w:r>
        <w:t>87.</w:t>
      </w:r>
      <w:r>
        <w:tab/>
        <w:t>В статье 36 Кодекса о детях, обнародованного указом султана № 22/2014, гарантируется право ребенка на бесплатное образование в государственных учебных заведениях, а также обязательный характер образования до окончания средней школы. Закон требует от официального опекуна записать ребенка в школу, следить за тем, чтобы он регулярно посещал занятия, и не позволять ему бросить учебу. В статье 38 определены цели образования на различных уровнях, наиболее важными из которых являются обеспечение развития ребенка и максимального раскрытия его физических и умственных способностей и возможностей, а также гарантия того, чтобы образовательные программы не противоречили достоинству ребенка и чтобы ребенок осознавал свою ценность.</w:t>
      </w:r>
    </w:p>
    <w:p w14:paraId="0ECC4356" w14:textId="77777777" w:rsidR="00102DE3" w:rsidRPr="001F4E84" w:rsidRDefault="00102DE3" w:rsidP="00102DE3">
      <w:pPr>
        <w:pStyle w:val="SingleTxtG"/>
        <w:spacing w:before="120"/>
      </w:pPr>
      <w:r>
        <w:t>88.</w:t>
      </w:r>
      <w:r>
        <w:tab/>
        <w:t>Что касается усилий по искоренению неграмотности, то Министерство образования и просвещения открыло центры образования для взрослых, в которых лица, прошедшие трехлетнюю программу обучения грамоте, а также те, кто уже научился читать и писать в государственных учебных заведениях, но бросил школу, могут продолжить обучение с седьмого по двенадцатый класс. В целях поощрения лиц, лишенных свободы, к продолжению учебы статья 22 Закона о тюрьмах, обнародованного указом султана № 48/98, предусматривает обязанность обеспечивать образование заключенных. Аналогичным образом, статья 26 того же Закона предусматривает выплату поощрительного вознаграждения заключенным, получившим общее или университетское образование.</w:t>
      </w:r>
    </w:p>
    <w:p w14:paraId="4D3FF55C" w14:textId="77777777" w:rsidR="00102DE3" w:rsidRPr="001F4E84" w:rsidRDefault="00102DE3" w:rsidP="00102DE3">
      <w:pPr>
        <w:pStyle w:val="SingleTxtG"/>
        <w:spacing w:before="120"/>
      </w:pPr>
      <w:r>
        <w:t>89.</w:t>
      </w:r>
      <w:r>
        <w:tab/>
        <w:t xml:space="preserve">В целях обеспечения реинтеграции несовершеннолетних правонарушителей в общество в соответствии со статьей 26 Закона об отправлении правосудия в отношении несовершеннолетних, обнародованного указом султана № 30/2008, Управление по делам несовершеннолетних уполномочено принимать меры защиты, с тем чтобы помочь несовершеннолетнему интегрироваться в общество после освобождения и устранить любые трудности, которые могут возникнуть у него при адаптации к новому положению, для предупреждения рецидивизма. Меры, принимаемые с этой целью, заключаются в оказании несовершеннолетнему помощи в </w:t>
      </w:r>
      <w:r>
        <w:lastRenderedPageBreak/>
        <w:t>завершении образования или профессиональной подготовки и в обеспечении ему источника дохода.</w:t>
      </w:r>
    </w:p>
    <w:p w14:paraId="29B4B053" w14:textId="77777777" w:rsidR="00102DE3" w:rsidRPr="001F4E84" w:rsidRDefault="00102DE3" w:rsidP="00102DE3">
      <w:pPr>
        <w:pStyle w:val="SingleTxtG"/>
        <w:spacing w:before="120"/>
      </w:pPr>
      <w:r>
        <w:t>90.</w:t>
      </w:r>
      <w:r>
        <w:tab/>
        <w:t>Помимо законов и политики в области образования следует отметить принятие ряда нормативных актов и министерских указов, регулирующих сферу образования, в</w:t>
      </w:r>
      <w:r w:rsidR="00B55BE5">
        <w:t> </w:t>
      </w:r>
      <w:r>
        <w:t>том числе:</w:t>
      </w:r>
    </w:p>
    <w:p w14:paraId="13DD3B31" w14:textId="77777777" w:rsidR="00102DE3" w:rsidRPr="001F4E84" w:rsidRDefault="00102DE3" w:rsidP="00102DE3">
      <w:pPr>
        <w:pStyle w:val="Bullet1G"/>
        <w:numPr>
          <w:ilvl w:val="0"/>
          <w:numId w:val="22"/>
        </w:numPr>
        <w:kinsoku w:val="0"/>
        <w:overflowPunct w:val="0"/>
        <w:autoSpaceDE w:val="0"/>
        <w:autoSpaceDN w:val="0"/>
        <w:adjustRightInd w:val="0"/>
        <w:snapToGrid w:val="0"/>
      </w:pPr>
      <w:r>
        <w:t>документ о концепции образования, принятый Султаном в мае 2017 года (в силу содержащихся в нем ресурсов и перечисленных в нем общих принципов и целей образования, он представляет собой основу для надлежащей политики, направленной на обеспечение непрерывного развития образования во всех его формах и на всех уровнях);</w:t>
      </w:r>
    </w:p>
    <w:p w14:paraId="293494E1" w14:textId="77777777" w:rsidR="00102DE3" w:rsidRPr="001F4E84" w:rsidRDefault="00102DE3" w:rsidP="00102DE3">
      <w:pPr>
        <w:pStyle w:val="Bullet1G"/>
        <w:numPr>
          <w:ilvl w:val="0"/>
          <w:numId w:val="22"/>
        </w:numPr>
        <w:kinsoku w:val="0"/>
        <w:overflowPunct w:val="0"/>
        <w:autoSpaceDE w:val="0"/>
        <w:autoSpaceDN w:val="0"/>
        <w:adjustRightInd w:val="0"/>
        <w:snapToGrid w:val="0"/>
      </w:pPr>
      <w:r>
        <w:t>нормативный акт, регулирующий вопросы учащихся государственных школ, обнародованный указом № 234/2017 Министерства образования и просвещения (этот нормативный акт предусматривает ряд мер, гарантирующих права учащихся, включая защиту от телесных наказаний);</w:t>
      </w:r>
    </w:p>
    <w:p w14:paraId="6140398D" w14:textId="77777777" w:rsidR="00102DE3" w:rsidRPr="001F4E84" w:rsidRDefault="00102DE3" w:rsidP="00102DE3">
      <w:pPr>
        <w:pStyle w:val="Bullet1G"/>
        <w:numPr>
          <w:ilvl w:val="0"/>
          <w:numId w:val="22"/>
        </w:numPr>
        <w:kinsoku w:val="0"/>
        <w:overflowPunct w:val="0"/>
        <w:autoSpaceDE w:val="0"/>
        <w:autoSpaceDN w:val="0"/>
        <w:adjustRightInd w:val="0"/>
        <w:snapToGrid w:val="0"/>
      </w:pPr>
      <w:r>
        <w:t>нормативный акт о признании иностранных высших учебных заведений и эквивалентности выдаваемых ими дипломов, обнародованный указом № 21/2015 Министерства высшего образования, предусматривает создание компетентной комиссии, в частности для признания иностранных высших учебных заведений и выдаваемых ими дипломов (нормативный акт устанавливает критерии признания дипломов, что дает широкому кругу студентов возможность продолжить образование);</w:t>
      </w:r>
    </w:p>
    <w:p w14:paraId="77ECD0CD" w14:textId="77777777" w:rsidR="00102DE3" w:rsidRPr="001F4E84" w:rsidRDefault="00102DE3" w:rsidP="00102DE3">
      <w:pPr>
        <w:pStyle w:val="Bullet1G"/>
        <w:numPr>
          <w:ilvl w:val="0"/>
          <w:numId w:val="22"/>
        </w:numPr>
        <w:kinsoku w:val="0"/>
        <w:overflowPunct w:val="0"/>
        <w:autoSpaceDE w:val="0"/>
        <w:autoSpaceDN w:val="0"/>
        <w:adjustRightInd w:val="0"/>
        <w:snapToGrid w:val="0"/>
      </w:pPr>
      <w:r>
        <w:t>нормативный акт о частных школах, обнародованный министерским указом № 287/2017, в котором закреплен комплекс прав, гарантирующих безопасность, физическую неприкосновенность и здоровье учащихся.</w:t>
      </w:r>
    </w:p>
    <w:p w14:paraId="53134EF8" w14:textId="77777777" w:rsidR="00102DE3" w:rsidRPr="001F4E84" w:rsidRDefault="00102DE3" w:rsidP="00102DE3">
      <w:pPr>
        <w:pStyle w:val="H23G"/>
      </w:pPr>
      <w:r>
        <w:tab/>
      </w:r>
      <w:r>
        <w:tab/>
      </w:r>
      <w:r>
        <w:rPr>
          <w:bCs/>
        </w:rPr>
        <w:t>Право на здоровье</w:t>
      </w:r>
    </w:p>
    <w:p w14:paraId="26C95BBC" w14:textId="77777777" w:rsidR="00102DE3" w:rsidRPr="00F448E7" w:rsidRDefault="00102DE3" w:rsidP="00102DE3">
      <w:pPr>
        <w:pStyle w:val="SingleTxtG"/>
        <w:spacing w:before="120"/>
      </w:pPr>
      <w:r>
        <w:t>91.</w:t>
      </w:r>
      <w:r>
        <w:tab/>
        <w:t>Следует отметить принятие указа султана № 36/2014 об организации Министерства здравоохранения и продлении его полномочий. Следует отметить также, что были приняты следующие министерские указы:</w:t>
      </w:r>
    </w:p>
    <w:p w14:paraId="15D0F465" w14:textId="77777777" w:rsidR="00102DE3" w:rsidRPr="001F4E84" w:rsidRDefault="00102DE3" w:rsidP="00102DE3">
      <w:pPr>
        <w:pStyle w:val="Bullet1G"/>
        <w:numPr>
          <w:ilvl w:val="0"/>
          <w:numId w:val="22"/>
        </w:numPr>
        <w:kinsoku w:val="0"/>
        <w:overflowPunct w:val="0"/>
        <w:autoSpaceDE w:val="0"/>
        <w:autoSpaceDN w:val="0"/>
        <w:adjustRightInd w:val="0"/>
        <w:snapToGrid w:val="0"/>
      </w:pPr>
      <w:r>
        <w:t>министерский указ № 142/2014 о внесении изменений в положение о фонде для выплаты компенсаций за врачебные ошибки;</w:t>
      </w:r>
    </w:p>
    <w:p w14:paraId="0C3C89E8" w14:textId="77777777" w:rsidR="00102DE3" w:rsidRPr="001F4E84" w:rsidRDefault="00102DE3" w:rsidP="00102DE3">
      <w:pPr>
        <w:pStyle w:val="Bullet1G"/>
        <w:numPr>
          <w:ilvl w:val="0"/>
          <w:numId w:val="22"/>
        </w:numPr>
        <w:kinsoku w:val="0"/>
        <w:overflowPunct w:val="0"/>
        <w:autoSpaceDE w:val="0"/>
        <w:autoSpaceDN w:val="0"/>
        <w:adjustRightInd w:val="0"/>
        <w:snapToGrid w:val="0"/>
      </w:pPr>
      <w:r>
        <w:t>указ № 120/2015 Министерства здравоохранения о статусе частных лечебных учреждений, специализирующихся на реабилитации потребителей наркотиков и наркотических лекарственных средств;</w:t>
      </w:r>
    </w:p>
    <w:p w14:paraId="09833A23" w14:textId="77777777" w:rsidR="00102DE3" w:rsidRPr="001F4E84" w:rsidRDefault="00102DE3" w:rsidP="00102DE3">
      <w:pPr>
        <w:pStyle w:val="Bullet1G"/>
        <w:numPr>
          <w:ilvl w:val="0"/>
          <w:numId w:val="22"/>
        </w:numPr>
        <w:kinsoku w:val="0"/>
        <w:overflowPunct w:val="0"/>
        <w:autoSpaceDE w:val="0"/>
        <w:autoSpaceDN w:val="0"/>
        <w:adjustRightInd w:val="0"/>
        <w:snapToGrid w:val="0"/>
      </w:pPr>
      <w:r>
        <w:t>министерский указ № 135/2015 о введении в действие положения о лечении за границей (этот указ устанавливает многочисленные права, дающие различным слоям общества возможность получения лечения за рубежом за счет государственных средств);</w:t>
      </w:r>
    </w:p>
    <w:p w14:paraId="0A5A14AE" w14:textId="77777777" w:rsidR="00102DE3" w:rsidRPr="001F4E84" w:rsidRDefault="00102DE3" w:rsidP="00102DE3">
      <w:pPr>
        <w:pStyle w:val="Bullet1G"/>
        <w:numPr>
          <w:ilvl w:val="0"/>
          <w:numId w:val="22"/>
        </w:numPr>
        <w:kinsoku w:val="0"/>
        <w:overflowPunct w:val="0"/>
        <w:autoSpaceDE w:val="0"/>
        <w:autoSpaceDN w:val="0"/>
        <w:adjustRightInd w:val="0"/>
        <w:snapToGrid w:val="0"/>
      </w:pPr>
      <w:r>
        <w:t>министерский указ № 29/2016, вводящий в действие положение Министерства по делам муниципалитетов и водных ресурсов о санитарных условиях, которые должны соблюдаться для осуществления деятельности в области здравоохранения.</w:t>
      </w:r>
    </w:p>
    <w:p w14:paraId="3CD80105" w14:textId="77777777" w:rsidR="00102DE3" w:rsidRPr="001F4E84" w:rsidRDefault="00102DE3" w:rsidP="00102DE3">
      <w:pPr>
        <w:pStyle w:val="H23G"/>
        <w:ind w:left="0" w:firstLine="0"/>
      </w:pPr>
      <w:r>
        <w:tab/>
      </w:r>
      <w:r>
        <w:tab/>
      </w:r>
      <w:bookmarkStart w:id="11" w:name="_Hlk16350164"/>
      <w:bookmarkEnd w:id="11"/>
      <w:r>
        <w:rPr>
          <w:bCs/>
        </w:rPr>
        <w:t>Право на труд</w:t>
      </w:r>
    </w:p>
    <w:p w14:paraId="45AC044B" w14:textId="77777777" w:rsidR="00102DE3" w:rsidRPr="001F4E84" w:rsidRDefault="00102DE3" w:rsidP="00102DE3">
      <w:pPr>
        <w:pStyle w:val="SingleTxtG"/>
        <w:spacing w:before="120"/>
      </w:pPr>
      <w:r>
        <w:t>92.</w:t>
      </w:r>
      <w:r>
        <w:tab/>
        <w:t>Закон о государственной гражданской службе, обнародованный указом султана</w:t>
      </w:r>
      <w:r w:rsidR="00B55BE5">
        <w:t> </w:t>
      </w:r>
      <w:r>
        <w:t>№</w:t>
      </w:r>
      <w:r w:rsidR="00B55BE5">
        <w:t> </w:t>
      </w:r>
      <w:r>
        <w:t>120/2004, наделяет всех должностных лиц равными правами и обязанностями независимо от их национальной принадлежности и пола. Он</w:t>
      </w:r>
      <w:r w:rsidR="00B55BE5">
        <w:t> </w:t>
      </w:r>
      <w:r>
        <w:t>регулирует отношения между должностным лицом и административной единицей, к которой он принадлежит, и гарантирует стабильность занятости и достойный жизненный уровень для работников и их семей, устанавливая минимальный размер заработной платы, адаптированный к условиям жизни. Кроме того, этот Закон предоставляет должностному лицу многие основополагающие гарантии, касающиеся его профессиональной карьеры и условий, в которых оно работает.</w:t>
      </w:r>
    </w:p>
    <w:p w14:paraId="732D852A" w14:textId="77777777" w:rsidR="00102DE3" w:rsidRPr="001F4E84" w:rsidRDefault="00102DE3" w:rsidP="00102DE3">
      <w:pPr>
        <w:pStyle w:val="SingleTxtG"/>
        <w:spacing w:before="120"/>
      </w:pPr>
      <w:r>
        <w:lastRenderedPageBreak/>
        <w:t>93.</w:t>
      </w:r>
      <w:r>
        <w:tab/>
        <w:t xml:space="preserve">В Трудовом кодексе, обнародованном указом султана № 35/2003, закреплены все правила, регулирующие осуществление права на труд, начиная с процедуры подписания трудового договора между работником и работодателем и вытекающих из этого последствий. В этой связи Кодексом запрещается наем для работы более </w:t>
      </w:r>
      <w:r w:rsidR="00CF415A">
        <w:t>9</w:t>
      </w:r>
      <w:r>
        <w:t xml:space="preserve"> часов в день при том понимании, что общее количество обычных и сверхурочных часов работы не может превышать </w:t>
      </w:r>
      <w:r w:rsidR="00CF415A">
        <w:t>12</w:t>
      </w:r>
      <w:r>
        <w:t xml:space="preserve"> часов в день и </w:t>
      </w:r>
      <w:r w:rsidR="00CF415A">
        <w:t>45</w:t>
      </w:r>
      <w:r>
        <w:t xml:space="preserve"> часов в неделю. Рабочее время должно прерываться одним или несколькими перерывами для принятия пищи или другими перерывами продолжительностью не менее получаса, так чтобы продолжительность непрерывного рабочего времени не превышала шести часов. Кодекс гарантирует также право работника на оплату выполненной сверхурочной работы или на компенсацию в виде отгула. Кроме того, Трудовой кодекс предоставляет работникам право на еженедельный отдых продолжительностью не менее двух дней подряд после пяти дней непрерывной работы, на ежегодный оплачиваемый отпуск продолжительностью не менее </w:t>
      </w:r>
      <w:r w:rsidR="00E0034D">
        <w:t>30</w:t>
      </w:r>
      <w:r>
        <w:t xml:space="preserve"> дней, а также на </w:t>
      </w:r>
      <w:r w:rsidR="00E0034D">
        <w:t>6</w:t>
      </w:r>
      <w:r>
        <w:t xml:space="preserve"> дней специального оплачиваемого отпуска в год при наличии исключительных обстоятельств в соответствии со статьей 61 Кодекса и министерским указом № 657/2011, регулирующим отпуск в силу непредвиденных обстоятельств.</w:t>
      </w:r>
    </w:p>
    <w:p w14:paraId="345A86E2" w14:textId="77777777" w:rsidR="00102DE3" w:rsidRPr="001F4E84" w:rsidRDefault="00102DE3" w:rsidP="00102DE3">
      <w:pPr>
        <w:pStyle w:val="SingleTxtG"/>
        <w:spacing w:before="120"/>
      </w:pPr>
      <w:r>
        <w:t>94.</w:t>
      </w:r>
      <w:r>
        <w:tab/>
        <w:t xml:space="preserve">В Трудовом кодексе закреплено равенство мужчин и женщин в отношении права на труд, оплаты труда и других финансовых выплат. Учитывая специфические особенности женщин и их социальную роль в семье, в Трудовом кодексе им были предоставлены многочисленные льготы. В частности, запрещается привлекать женщин к работе между девятью часами вечера и шестью часами утра, кроме случаев и задач, определенных в указе министра труда. Запрещается также наем женщин для выполнения работ, наносящих вред их здоровью или противоречащих нравственности, для тяжелых работ и других видов деятельности, определенных в министерском указе. В министерском указе № 128/2005 с поправками, внесенными в него указами № 580/2010 и № 656/2011, определяются ситуации, задачи и обстоятельства работы женщин, а также условия их занятости. Он требует от работодателя предоставления женщинам всех необходимых гарантий безопасности во время их поездок на работу и </w:t>
      </w:r>
      <w:proofErr w:type="gramStart"/>
      <w:r>
        <w:t>с работы</w:t>
      </w:r>
      <w:proofErr w:type="gramEnd"/>
      <w:r>
        <w:t xml:space="preserve"> и на протяжении рабочего дня.</w:t>
      </w:r>
    </w:p>
    <w:p w14:paraId="0FF551DD" w14:textId="77777777" w:rsidR="00102DE3" w:rsidRPr="001F4E84" w:rsidRDefault="00102DE3" w:rsidP="00102DE3">
      <w:pPr>
        <w:pStyle w:val="SingleTxtG"/>
        <w:spacing w:before="120"/>
      </w:pPr>
      <w:r>
        <w:t>95.</w:t>
      </w:r>
      <w:r>
        <w:tab/>
        <w:t>Трудовой кодекс защищает женщин от несправедливого увольнения по причине болезни, беременности или родов. Указ № 4/2011 Министерства торговли и промышленности регулирует некоторые виды производительной занятости на дому, что позволяет оманским женщинам заниматься предусмотренной этим указом профессиональной деятельностью, оставаясь дома.</w:t>
      </w:r>
    </w:p>
    <w:p w14:paraId="515242E2" w14:textId="77777777" w:rsidR="00102DE3" w:rsidRPr="001F4E84" w:rsidRDefault="00102DE3" w:rsidP="00102DE3">
      <w:pPr>
        <w:pStyle w:val="SingleTxtG"/>
        <w:spacing w:before="120"/>
      </w:pPr>
      <w:r>
        <w:t>96.</w:t>
      </w:r>
      <w:r>
        <w:tab/>
        <w:t>В целях обеспечения трудящимся женщинам защиты и безопасности</w:t>
      </w:r>
      <w:r w:rsidR="00E0034D">
        <w:t>,</w:t>
      </w:r>
      <w:r>
        <w:t xml:space="preserve"> в которых они нуждаются, нормативный акт о мерах по обеспечению безопасности и гигиены труда в учреждениях, регулируемых Трудовым кодексом, обнародованный министерским указом № 286/2008 с внесенными в него поправками, запрещает наем лиц для работы на строительных площадках и открытых местах в середине дня, когда жара достигает своего пика, в частности с 12 ч 30 мин до 15 ч 30 мин, в июне, июле и августе. Впоследствии в это положение были внесены поправки, допускающие отступления при некоторых четко определенных обстоятельствах.</w:t>
      </w:r>
    </w:p>
    <w:p w14:paraId="5BDCA966" w14:textId="77777777" w:rsidR="00102DE3" w:rsidRPr="001F4E84" w:rsidRDefault="00102DE3" w:rsidP="00102DE3">
      <w:pPr>
        <w:pStyle w:val="SingleTxtG"/>
        <w:spacing w:before="120"/>
      </w:pPr>
      <w:r>
        <w:t>97.</w:t>
      </w:r>
      <w:r>
        <w:tab/>
        <w:t>В 2006 году указом султана № 74/2006 в Трудовой кодекс была внесена поправка, позволяющая лицам, занятым в частном секторе, создавать профессиональные союзы в соответствии с международными трудовыми нормами. Члены профсоюзов обладают необходимой независимостью и пользуются защитой государства. Кроме того, трудящиеся имеют право на участие в забастовках и коллективных переговорах в порядке, установленном законодательством. После внесения поправок в Трудовой кодекс в июле 2018 года было зарегистрировано 256 синдикатов и 5 профессиональных союзов. Ранее был создан Всеобщий союз трудящихся Султаната, учредительный съезд которого состоялся 10 февраля 2010 года.</w:t>
      </w:r>
    </w:p>
    <w:p w14:paraId="3B5B8AF7" w14:textId="77777777" w:rsidR="00102DE3" w:rsidRPr="001F4E84" w:rsidRDefault="00102DE3" w:rsidP="00102DE3">
      <w:pPr>
        <w:pStyle w:val="SingleTxtG"/>
        <w:spacing w:before="120"/>
      </w:pPr>
      <w:r>
        <w:t>98.</w:t>
      </w:r>
      <w:r>
        <w:tab/>
        <w:t>В 2009</w:t>
      </w:r>
      <w:r>
        <w:rPr>
          <w:lang w:val="en-US"/>
        </w:rPr>
        <w:t> </w:t>
      </w:r>
      <w:r>
        <w:t xml:space="preserve">году, согласно указу султана № 63/2009, в Трудовой кодекс были внесены поправки, приводящие его в соответствие с Законом о борьбе с торговлей людьми и способствующие прекращению такой негативной практики, как принудительный труд, который может быть квалифицирован в качестве одного из </w:t>
      </w:r>
      <w:r>
        <w:lastRenderedPageBreak/>
        <w:t>проявлений торговли людьми. Данные поправки ужесточили наказания, применяемые к лицам, виновным в этом преступлении, укрепили правила, регулирующие трудоустройство трудящихся-мигрантов, и привели Кодекс в соответствие со всеми положениями Закона № 126/2008 о борьбе с торговлей людьми.</w:t>
      </w:r>
    </w:p>
    <w:p w14:paraId="41EF0890" w14:textId="77777777" w:rsidR="00102DE3" w:rsidRPr="001F4E84" w:rsidRDefault="00102DE3" w:rsidP="00102DE3">
      <w:pPr>
        <w:pStyle w:val="SingleTxtG"/>
        <w:spacing w:before="120"/>
      </w:pPr>
      <w:r>
        <w:t>99.</w:t>
      </w:r>
      <w:r>
        <w:tab/>
        <w:t>В целях обеспечения прав трудящихся согласно общим принципам Трудового кодекса указ № 189/2004 Министерства трудовых ресурсов с поправками, внесенными на основании нормативного акта об импорте иностранной рабочей силы, обнародованного указом султана № 1/2011 с внесенными в него поправками, регулирует условия найма иностранных работников, включая порядок их въезда в страну, трудовой договор, медицинское освидетельствование, которое им необходимо пройти, выдачу им рабочей карты, обязательство работодателя ежемесячно выплачивать им заработную плату и покрывать их расходы на проживание и питание, оплату проезда, их обязанности и механизмы урегулирования возможных конфликтов между работником и работодателем.</w:t>
      </w:r>
    </w:p>
    <w:p w14:paraId="0A284632" w14:textId="77777777" w:rsidR="00102DE3" w:rsidRPr="001F4E84" w:rsidRDefault="00102DE3" w:rsidP="00102DE3">
      <w:pPr>
        <w:pStyle w:val="SingleTxtG"/>
        <w:spacing w:before="120"/>
      </w:pPr>
      <w:r>
        <w:t>100.</w:t>
      </w:r>
      <w:r>
        <w:tab/>
        <w:t>Указ № 294/2006 Министерства трудовых ресурсов с внесенными в него поправками, регулирующий ведение коллективных переговоров, мирные забастовки и закрытие предприятий работодателями, позволяет трудящимся вступать в коллективные переговоры со своим работодателем в целях улучшения условий труда и определяет порядок осуществления права на забастовку и реализации своих прав. Этот указ гарантирует также права трудящихся в случае закрытия или банкротства предприятия.</w:t>
      </w:r>
    </w:p>
    <w:p w14:paraId="4619A363" w14:textId="77777777" w:rsidR="00102DE3" w:rsidRPr="001F4E84" w:rsidRDefault="00102DE3" w:rsidP="00102DE3">
      <w:pPr>
        <w:pStyle w:val="SingleTxtG"/>
        <w:spacing w:before="120"/>
      </w:pPr>
      <w:r>
        <w:t>101.</w:t>
      </w:r>
      <w:r>
        <w:tab/>
        <w:t xml:space="preserve">В Трудовом кодексе не проводится никакого различия между правами и обязанностями оманских трудящихся и </w:t>
      </w:r>
      <w:proofErr w:type="gramStart"/>
      <w:r>
        <w:t>правами</w:t>
      </w:r>
      <w:proofErr w:type="gramEnd"/>
      <w:r>
        <w:t xml:space="preserve"> и обязанностями иностранных работников. Так, статья 4 Кодекса гласит: «Положения настоящего Кодекса распространяются на всех работодателей и работников». Кроме того, Кодекс предусматривает, что любое правило, противоречащее положениям Кодекса, является ничтожным. Вместе с тем следует отметить, что министерские указы № 222/2013 и</w:t>
      </w:r>
      <w:r w:rsidR="00A650AF">
        <w:t> </w:t>
      </w:r>
      <w:r>
        <w:t>№ 541/2013 устанавливают размер заработной платы (в первом случае) и</w:t>
      </w:r>
      <w:r w:rsidR="00A650AF">
        <w:t> </w:t>
      </w:r>
      <w:r>
        <w:t>минимальную периодическую надбавку (во втором случае) только для оманских трудящихся, причем размер такой надбавки оговаривается в трудовом договоре или внутренних положениях компании. В случае противоречия между ними применяется наиболее выгодное для работника положение. В этой связи статья 23 предусматривает, что в трудовом договоре должен быть указан базовый оклад, а также любые другие льготы и надбавки, причитающиеся работникам. Кроме того, циркуляр № 2/2006 Министерства трудовых ресурсов начиная с 2006 года запрещает работодателю изымать паспорт работника в отсутствие соответствующего судебного решения. В целях облегчения жизни иностранных трудящихся и их усилий по вызову членов семей власти Омана начали выдавать им через службы регистрации актов гражданского состояния вид на жительство, который они могут использовать при обращениях в любые официальные инстанции в качестве документа, удостоверяющего личность, с тем чтобы не предъявлять свой паспорт.</w:t>
      </w:r>
    </w:p>
    <w:p w14:paraId="609DE1C8" w14:textId="77777777" w:rsidR="00102DE3" w:rsidRPr="001F4E84" w:rsidRDefault="00102DE3" w:rsidP="00102DE3">
      <w:pPr>
        <w:pStyle w:val="SingleTxtG"/>
        <w:spacing w:before="120"/>
      </w:pPr>
      <w:r>
        <w:t>102.</w:t>
      </w:r>
      <w:r>
        <w:tab/>
        <w:t>В соответствии с министерским указом № 99/2010 был создан комитет по национальному диалогу. В его состав входили три социальных партнера: правительство, работодатели и работники. Согласно министерскому указу № 72/2014 этот орган был восстановлен и уполномочен изучать предложения, направленные на совершенствование организации рынка труда и укрепление трудовых отношений между социальными партнерами. Кроме того, перед комитетом стоит задача изучения новых арабских и международных трудовых норм; его цель заключается в том, чтобы использовать их для укрепления социального диалога на благо трудовых отношений и сотрудничества, а также направлять усилия социальных партнеров на увеличение производства, повышение конкурентоспособности и согласование интересов трудящихся с интересами работодателей для стимулирования национальных усилий по обеспечению устойчивого глобального развития.</w:t>
      </w:r>
    </w:p>
    <w:p w14:paraId="23EBA72D" w14:textId="77777777" w:rsidR="00102DE3" w:rsidRPr="001F4E84" w:rsidRDefault="00102DE3" w:rsidP="00102DE3">
      <w:pPr>
        <w:pStyle w:val="SingleTxtG"/>
        <w:spacing w:before="120"/>
      </w:pPr>
      <w:r>
        <w:t>103.</w:t>
      </w:r>
      <w:r>
        <w:tab/>
        <w:t>Министерство трудовых ресурсов приняло указ № 294/2014, вносящий изменения в некоторые положения министерского указа № 570/2012 о порядке создания, функционирования и регистрации профессиональных союзов и Всеобщего союза трудящихся</w:t>
      </w:r>
      <w:r w:rsidRPr="00E835DF">
        <w:t xml:space="preserve"> </w:t>
      </w:r>
      <w:r>
        <w:t xml:space="preserve">Омана. Эта поправка, внесенная в пункт 1 статьи 8, дает </w:t>
      </w:r>
      <w:r>
        <w:lastRenderedPageBreak/>
        <w:t>профсоюзам право представлять своих членов и отстаивать их интересы в судебных органах.</w:t>
      </w:r>
    </w:p>
    <w:p w14:paraId="227923F2" w14:textId="77777777" w:rsidR="00102DE3" w:rsidRPr="001F4E84" w:rsidRDefault="00102DE3" w:rsidP="00102DE3">
      <w:pPr>
        <w:pStyle w:val="SingleTxtG"/>
        <w:spacing w:before="120"/>
      </w:pPr>
      <w:r>
        <w:t>104.</w:t>
      </w:r>
      <w:r>
        <w:tab/>
        <w:t>Своим указом № 10/2016 министр трудовых ресурсов учредил Комиссию по рассмотрению жалоб трудящихся. Этот указ определяет полномочия Комиссии в отношении предприятий частного сектора, предоставляющих населению государственные или базовые услуги, а также нефтяных компаний, нефтеперерабатывающих заводов, портов и аэропортов. Комиссия принимает решения по жалобам трудящихся и контролирует выполнение заключенных соглашений. Кроме того, она уполномочена при посредстве Главного управления по защите трудящихся проводить на предприятиях необходимые инспекции на основании жалоб трудящихся с целью их возможного урегулирования. Что касается министерского указа № 438/2013, то он предусматривает создание Комиссии по рассмотрению жалоб работников компаний частного сектора в целях облегчения ведения коллективных переговоров между сторонами конфликта и документирования достигнутых договоренностей.</w:t>
      </w:r>
    </w:p>
    <w:p w14:paraId="1C64B00A" w14:textId="77777777" w:rsidR="00102DE3" w:rsidRPr="001F4E84" w:rsidRDefault="00102DE3" w:rsidP="00102DE3">
      <w:pPr>
        <w:pStyle w:val="SingleTxtG"/>
        <w:spacing w:before="120"/>
      </w:pPr>
      <w:r>
        <w:t>105.</w:t>
      </w:r>
      <w:r>
        <w:tab/>
      </w:r>
      <w:r w:rsidRPr="00CD3335">
        <w:rPr>
          <w:spacing w:val="-4"/>
        </w:rPr>
        <w:t>Министерство торговли и промышленности приняло постановление</w:t>
      </w:r>
      <w:r>
        <w:rPr>
          <w:spacing w:val="-4"/>
        </w:rPr>
        <w:t xml:space="preserve"> </w:t>
      </w:r>
      <w:r w:rsidRPr="00CD3335">
        <w:rPr>
          <w:spacing w:val="-4"/>
        </w:rPr>
        <w:t>№</w:t>
      </w:r>
      <w:r>
        <w:rPr>
          <w:spacing w:val="-4"/>
        </w:rPr>
        <w:t xml:space="preserve"> </w:t>
      </w:r>
      <w:r w:rsidRPr="00CD3335">
        <w:rPr>
          <w:spacing w:val="-4"/>
        </w:rPr>
        <w:t>241/2016</w:t>
      </w:r>
      <w:r>
        <w:t>, которое регулирует деятельность уличных торговцев, с тем чтобы защищать их права, а также обеспечивать здоровье потребителей и соблюдение правил гигиены, изложенных в постановлении.</w:t>
      </w:r>
    </w:p>
    <w:p w14:paraId="5DC24127" w14:textId="77777777" w:rsidR="00102DE3" w:rsidRPr="001F4E84" w:rsidRDefault="00102DE3" w:rsidP="00102DE3">
      <w:pPr>
        <w:pStyle w:val="SingleTxtG"/>
        <w:spacing w:before="120"/>
      </w:pPr>
      <w:r>
        <w:t>106.</w:t>
      </w:r>
      <w:r>
        <w:tab/>
        <w:t>Указ № 153/2018 Министерства трудовых ресурсов, вносящий изменения в указ № 40/2017, регулирует неполный рабочий день, т.</w:t>
      </w:r>
      <w:r w:rsidR="00714F7B">
        <w:t> </w:t>
      </w:r>
      <w:r>
        <w:t>е. работу, продолжительность которой в часах или днях короче, чем установленная законом продолжительность обычного рабочего времени. Министерский указ № 32/2012 с поправками, внесенными министерским указом № 541/2013, закрепляет порядок установления минимального размера и выплаты периодической надбавки, причитающейся работникам. Согласно указу, эту надбавку могут получать только хорошо аттестованные работники со стажем работы не менее шести месяцев.</w:t>
      </w:r>
    </w:p>
    <w:p w14:paraId="004A66FD" w14:textId="77777777" w:rsidR="00102DE3" w:rsidRPr="001F4E84" w:rsidRDefault="00102DE3" w:rsidP="00102DE3">
      <w:pPr>
        <w:pStyle w:val="SingleTxtG"/>
        <w:spacing w:before="120"/>
      </w:pPr>
      <w:r>
        <w:t>107.</w:t>
      </w:r>
      <w:r>
        <w:tab/>
        <w:t>Статья 45 Трудового кодекса, обнародованного указом султана № 22/2014, запрещает использование детей на любых работах или видах деятельности, которые в силу своего характера или характерных для них условий могут причинить вред их здоровью, неприкосновенности или нравственности. Соответствующие задачи и направления деятельности определяются министром трудовых ресурсов по согласованию с заинтересованными сторонами. В этой связи следует отметить также принятие министерского указа № 217/2016, регулирующего труд несовершеннолетних и определяющего круг задач и профессий, в которых они могут быть заняты.</w:t>
      </w:r>
      <w:bookmarkStart w:id="12" w:name="_Hlk16167809"/>
      <w:bookmarkEnd w:id="12"/>
    </w:p>
    <w:p w14:paraId="415DA804" w14:textId="77777777" w:rsidR="00102DE3" w:rsidRPr="001F4E84" w:rsidRDefault="00102DE3" w:rsidP="00102DE3">
      <w:pPr>
        <w:pStyle w:val="H23G"/>
      </w:pPr>
      <w:r>
        <w:tab/>
      </w:r>
      <w:r>
        <w:tab/>
      </w:r>
      <w:r>
        <w:rPr>
          <w:bCs/>
        </w:rPr>
        <w:t>Право на социальное обеспечение и социальную помощь</w:t>
      </w:r>
    </w:p>
    <w:p w14:paraId="41036C75" w14:textId="77777777" w:rsidR="00102DE3" w:rsidRPr="001F4E84" w:rsidRDefault="00102DE3" w:rsidP="00102DE3">
      <w:pPr>
        <w:pStyle w:val="SingleTxtG"/>
        <w:spacing w:before="120"/>
      </w:pPr>
      <w:r>
        <w:t>108.</w:t>
      </w:r>
      <w:r>
        <w:tab/>
        <w:t>Во исполнение статьи 14 Основного закона и в соответствии с принципом социальной солидарности Закон о социальном обеспечении, обнародованный указом султана № 87/1984, предусматривает выплату ежемесячной пенсии лицам и семьям, лишенным или не имеющим средств к существованию, а также лицам, которые не получают пенсий по возрасту или получают пенсии в размере, недостаточном для удовлетворения потребностей членов их семей. В число лиц, получающих эти пособия, входят сироты, вдовы, разведенные женщины, семьи заключенных, инвалиды и лица с ограниченными возможностями здоровья. Гарантируя защиту малоимущих семей, законодатель стремился создать условия, благоприятствующие развитию, образованию и здоровью ребенка. При определении размера предоставляемых выплат законодатель учитывал размер семьи, в том числе число несовершеннолетних членов семьи и детей.</w:t>
      </w:r>
    </w:p>
    <w:p w14:paraId="3B64A5E9" w14:textId="77777777" w:rsidR="00102DE3" w:rsidRPr="001F4E84" w:rsidRDefault="00102DE3" w:rsidP="00102DE3">
      <w:pPr>
        <w:pStyle w:val="SingleTxtG"/>
        <w:spacing w:before="120"/>
      </w:pPr>
      <w:r>
        <w:t>109.</w:t>
      </w:r>
      <w:r>
        <w:tab/>
        <w:t xml:space="preserve">Следует отметить принятие указа султана № 44/2013 о системе социального обеспечения самостоятельно занятых и приравненных к ним лиц. Эта факультативная система, которая дополняет другие планы и программы социального страхования, находится в ведении учрежденного в соответствии с Законом о социальном страховании Фонда страхования на случай старости, инвалидности и смерти, который является органом, отдельным от Фонда страхования на случай производственных травм и заболеваний. Система социального страхования охватывает все слои </w:t>
      </w:r>
      <w:r>
        <w:lastRenderedPageBreak/>
        <w:t>населения, гарантируя стабильную занятость государственных служащих и трудящихся, работающих вне формального частного сектора.</w:t>
      </w:r>
    </w:p>
    <w:p w14:paraId="1F3DBA95" w14:textId="77777777" w:rsidR="00102DE3" w:rsidRPr="001F4E84" w:rsidRDefault="00102DE3" w:rsidP="00102DE3">
      <w:pPr>
        <w:pStyle w:val="SingleTxtG"/>
        <w:spacing w:before="120"/>
      </w:pPr>
      <w:r>
        <w:t>110.</w:t>
      </w:r>
      <w:r>
        <w:tab/>
        <w:t>Закон о социальном жилье, обнародованный указом султана № 37/2010, укрепил систему социального обеспечения. Он предусматривает предоставление жилья, оказание помощи или выдачу жилищного займа лицам, удовлетворяющим определенным критериям. Решения по всем ходатайствам малообеспеченных граждан, удовлетворяющих критериям, предусмотренным нормативным актом о применении Закона, принимает специальная комиссия Министерства жилищного строительства.</w:t>
      </w:r>
    </w:p>
    <w:p w14:paraId="1E2B9EED" w14:textId="77777777" w:rsidR="00102DE3" w:rsidRPr="001F4E84" w:rsidRDefault="00102DE3" w:rsidP="00102DE3">
      <w:pPr>
        <w:pStyle w:val="SingleTxtG"/>
        <w:spacing w:before="120"/>
      </w:pPr>
      <w:r>
        <w:t>111.</w:t>
      </w:r>
      <w:r>
        <w:tab/>
        <w:t>Министерство социального развития приняло указ № 72/2014, регулирующий вопросы социальной помощи. В соответствии с этим указом помощь оказывается пострадавшим от экстремальных погодных явлений, таких как ураганы и наводнения. Кроме того, экстренная помощь предоставляется лицам, непредвиденно оказавшимся в трудной социально-экономической ситуации. Поддержка оказывается также лицам, удовлетворяющим критериям для получения услуг социальной защиты, в случае отключения воды или электроэнергии либо таких серьезных заболеваний, как почечная недостаточность.</w:t>
      </w:r>
    </w:p>
    <w:p w14:paraId="0A7CB7CD" w14:textId="77777777" w:rsidR="00102DE3" w:rsidRPr="00591C67" w:rsidRDefault="00102DE3" w:rsidP="00102DE3">
      <w:pPr>
        <w:pStyle w:val="SingleTxtG"/>
        <w:spacing w:before="120"/>
      </w:pPr>
      <w:r>
        <w:t>112.</w:t>
      </w:r>
      <w:r>
        <w:tab/>
        <w:t>Помимо этого, следует отметить, что был принят министерский указ № 19/2016 о внесении изменений в некоторые положения нормативного акта о протезах и вспомогательных устройствах для инвалидов, обнародованного министерским указом № 254/2014 о предоставлении протезов и вспомогательных устройств инвалидам, пожилым людям и больным.</w:t>
      </w:r>
    </w:p>
    <w:p w14:paraId="6DA3F4CF" w14:textId="77777777" w:rsidR="00102DE3" w:rsidRPr="001F4E84" w:rsidRDefault="00102DE3" w:rsidP="00102DE3">
      <w:pPr>
        <w:pStyle w:val="SingleTxtG"/>
        <w:spacing w:before="120"/>
      </w:pPr>
      <w:r>
        <w:t>113.</w:t>
      </w:r>
      <w:r>
        <w:tab/>
        <w:t xml:space="preserve">Кроме того, Министерство социального развития приняло указ № 140/2016, регулирующий деятельность комиссий социального развития. Эти комиссии, охватывающие все мухафазы Султаната, предлагают и изучают проекты социального обслуживания, содействуют </w:t>
      </w:r>
      <w:proofErr w:type="spellStart"/>
      <w:r>
        <w:t>волонтерству</w:t>
      </w:r>
      <w:proofErr w:type="spellEnd"/>
      <w:r>
        <w:t xml:space="preserve"> и социальному обслуживанию, поддерживают добровольческие организации, проводят информационно-просветительскую работу с общественностью, поощряют инициативы по оказанию помощи инвалидам и детям, а также эффективный вклад граждан в работу по удовлетворению потребностей этих групп и решение социальных проблем.</w:t>
      </w:r>
    </w:p>
    <w:p w14:paraId="45F39206" w14:textId="77777777" w:rsidR="00102DE3" w:rsidRPr="001F4E84" w:rsidRDefault="00102DE3" w:rsidP="00102DE3">
      <w:pPr>
        <w:pStyle w:val="SingleTxtG"/>
        <w:spacing w:before="120"/>
      </w:pPr>
      <w:r>
        <w:t>114.</w:t>
      </w:r>
      <w:r>
        <w:tab/>
        <w:t xml:space="preserve">Указом № 95/2018 Министерства социального развития о фонде социальной солидарности предусмотрено открытие счета для финансирования выплаты алиментов, поддержки оказания услуг инвалидам и </w:t>
      </w:r>
      <w:proofErr w:type="gramStart"/>
      <w:r>
        <w:t>пожилым людям</w:t>
      </w:r>
      <w:proofErr w:type="gramEnd"/>
      <w:r>
        <w:t xml:space="preserve"> и помощи организациям гражданского общества. Деятельность фонда направлена на оказание материальной помощи бенефициарам, на содействие укреплению духа социальной солидарности и связей между членами общества, а также на увеличение вклада частного сектора в реализацию принципа социальной ответственности.</w:t>
      </w:r>
    </w:p>
    <w:p w14:paraId="2C35CE84" w14:textId="77777777" w:rsidR="00102DE3" w:rsidRPr="001F4E84" w:rsidRDefault="00102DE3" w:rsidP="00102DE3">
      <w:pPr>
        <w:pStyle w:val="H23G"/>
      </w:pPr>
      <w:r>
        <w:tab/>
      </w:r>
      <w:r>
        <w:tab/>
      </w:r>
      <w:r>
        <w:rPr>
          <w:bCs/>
        </w:rPr>
        <w:t>Право на обращение в суд</w:t>
      </w:r>
    </w:p>
    <w:p w14:paraId="27406BBB" w14:textId="77777777" w:rsidR="00102DE3" w:rsidRPr="001F4E84" w:rsidRDefault="00102DE3" w:rsidP="00102DE3">
      <w:pPr>
        <w:pStyle w:val="SingleTxtG"/>
        <w:spacing w:before="120"/>
        <w:rPr>
          <w:bCs/>
        </w:rPr>
      </w:pPr>
      <w:r>
        <w:t>115.</w:t>
      </w:r>
      <w:r>
        <w:tab/>
        <w:t>Что касается права на обращение в суд, гарантированного Основным законом, то законодатель четко определил в Гражданском и торговом процессуальном кодексе, обнародованном указом султана № 29/2002, порядок и необходимые условия реализации этого права, различные виды и уровни юрисдикции, судебные решения, их выполнение и способы их оспаривания.</w:t>
      </w:r>
    </w:p>
    <w:p w14:paraId="6D71AD3D" w14:textId="77777777" w:rsidR="00102DE3" w:rsidRPr="001F4E84" w:rsidRDefault="00102DE3" w:rsidP="00102DE3">
      <w:pPr>
        <w:pStyle w:val="SingleTxtG"/>
        <w:spacing w:before="120"/>
        <w:rPr>
          <w:bCs/>
        </w:rPr>
      </w:pPr>
      <w:r>
        <w:t>116.</w:t>
      </w:r>
      <w:r>
        <w:tab/>
        <w:t>Осуществление права на возбуждение уголовного дела регламентируется Уголовно-процессуальным кодексом, обнародованным указом султана № 97/99, который регулирует право лиц на возбуждение дела в соответствующих органах, производство в органах прокуратуры и уголовных судах, компетенцию прокуратуры, гарантии обвиняемых, включая их права при аресте, в ходе обыска или расследования, публичный характер слушаний, лишение свободы, право обвиняемого на обжалование приговора в суд по уголовным делам, а также условия общей или индивидуальной амнистии.</w:t>
      </w:r>
    </w:p>
    <w:p w14:paraId="3D0FE1DD" w14:textId="77777777" w:rsidR="00102DE3" w:rsidRPr="001F4E84" w:rsidRDefault="00102DE3" w:rsidP="00102DE3">
      <w:pPr>
        <w:pStyle w:val="SingleTxtG"/>
        <w:spacing w:before="120"/>
        <w:rPr>
          <w:bCs/>
        </w:rPr>
      </w:pPr>
      <w:r>
        <w:t>117.</w:t>
      </w:r>
      <w:r>
        <w:tab/>
        <w:t>Султанат подписал Эр-</w:t>
      </w:r>
      <w:proofErr w:type="spellStart"/>
      <w:r>
        <w:t>Риядскую</w:t>
      </w:r>
      <w:proofErr w:type="spellEnd"/>
      <w:r>
        <w:t xml:space="preserve"> конвенцию о взаимной правовой помощи, являющуюся региональным документом, а также двусторонние соглашения с рядом государств (Турция, Марокко и Индия). Целью данного шага является кодификация и структурирование отношений между правоприменительными органами государства в </w:t>
      </w:r>
      <w:r>
        <w:lastRenderedPageBreak/>
        <w:t>рамках гражданского, торгового и уголовного судопроизводства, а также судопроизводства по вопросам о личном статусе, с тем чтобы гарантировать права сторон судебного процесса, в частности право на юридическую помощь. Эти документы регулируют также порядок направления судебных уведомлений, выдачи обвиняемых и исполнения наказаний.</w:t>
      </w:r>
    </w:p>
    <w:p w14:paraId="2558B9EC" w14:textId="77777777" w:rsidR="00102DE3" w:rsidRPr="001F4E84" w:rsidRDefault="00102DE3" w:rsidP="00102DE3">
      <w:pPr>
        <w:pStyle w:val="SingleTxtG"/>
        <w:spacing w:before="120"/>
        <w:rPr>
          <w:bCs/>
        </w:rPr>
      </w:pPr>
      <w:r>
        <w:t>118.</w:t>
      </w:r>
      <w:r>
        <w:tab/>
        <w:t>Судебные, административные и прочие органы, занимающиеся вопросами прав человека, уже упоминались выше. К ним относятся судебные органы и прокуратура, Национальная комиссия по правам человека, Национальная комиссия по борьбе с торговлей людьми и Комиссия по приему жалоб на нарушения прав человека.</w:t>
      </w:r>
    </w:p>
    <w:p w14:paraId="57E15605" w14:textId="77777777" w:rsidR="00102DE3" w:rsidRPr="001F4E84" w:rsidRDefault="00102DE3" w:rsidP="00102DE3">
      <w:pPr>
        <w:pStyle w:val="SingleTxtG"/>
        <w:spacing w:before="120"/>
        <w:rPr>
          <w:bCs/>
        </w:rPr>
      </w:pPr>
      <w:r>
        <w:t>119.</w:t>
      </w:r>
      <w:r>
        <w:tab/>
        <w:t>В соответствии с Основным законом в национальных судах можно ссылаться на положения международных договоров по правам человека как на неотъемлемую часть национального законодательства.</w:t>
      </w:r>
    </w:p>
    <w:p w14:paraId="7AADDBFF" w14:textId="77777777" w:rsidR="00102DE3" w:rsidRPr="001F4E84" w:rsidRDefault="00102DE3" w:rsidP="00102DE3">
      <w:pPr>
        <w:pStyle w:val="H1G"/>
      </w:pPr>
      <w:r>
        <w:rPr>
          <w:bCs/>
        </w:rPr>
        <w:tab/>
        <w:t>C.</w:t>
      </w:r>
      <w:r>
        <w:tab/>
      </w:r>
      <w:r w:rsidR="00E74A0E" w:rsidRPr="00F448E7">
        <w:t>Основа защиты прав человека на национальном уровне</w:t>
      </w:r>
    </w:p>
    <w:p w14:paraId="7ADDD233" w14:textId="77777777" w:rsidR="00102DE3" w:rsidRPr="001F4E84" w:rsidRDefault="00102DE3" w:rsidP="00102DE3">
      <w:pPr>
        <w:pStyle w:val="H23G"/>
      </w:pPr>
      <w:r>
        <w:tab/>
        <w:t>a)</w:t>
      </w:r>
      <w:r>
        <w:tab/>
      </w:r>
      <w:r>
        <w:rPr>
          <w:bCs/>
        </w:rPr>
        <w:t>Парламентские органы и национальные организации по защите прав человека</w:t>
      </w:r>
    </w:p>
    <w:p w14:paraId="2AD5E571" w14:textId="77777777" w:rsidR="00102DE3" w:rsidRPr="001F4E84" w:rsidRDefault="00102DE3" w:rsidP="00102DE3">
      <w:pPr>
        <w:pStyle w:val="SingleTxtG"/>
        <w:spacing w:before="120"/>
        <w:rPr>
          <w:bCs/>
        </w:rPr>
      </w:pPr>
      <w:r>
        <w:t>120.</w:t>
      </w:r>
      <w:r>
        <w:tab/>
        <w:t>Параллельно с закладкой конституционных и законодательных основ защиты прав человека Султанат работает над созданием многочисленных учреждений по защите всех прав человека, наиболее важными из которых являются Совет Омана, муниципальные советы, Национальная комиссия по правам человека, Национальная комиссия по борьбе с торговлей людьми, Национальная комиссия по делам семьи, Национальная комиссия по контролю за осуществлением Конвенции о правах ребенка, Национальная комиссия по контролю за осуществлением Конвенции о ликвидации всех форм дискриминации в отношении женщин, Национальная комиссия по защите инвалидов, информационные агентства, организации гражданского общества, Высокая избирательная комиссия и национальное агентство государственной административной и финансовой инспекции.</w:t>
      </w:r>
    </w:p>
    <w:p w14:paraId="6ACFDDB7" w14:textId="77777777" w:rsidR="00102DE3" w:rsidRPr="001F4E84" w:rsidRDefault="00102DE3" w:rsidP="00102DE3">
      <w:pPr>
        <w:pStyle w:val="H4G"/>
      </w:pPr>
      <w:r>
        <w:tab/>
      </w:r>
      <w:r>
        <w:tab/>
      </w:r>
      <w:r>
        <w:rPr>
          <w:iCs/>
        </w:rPr>
        <w:t>Совет Омана</w:t>
      </w:r>
    </w:p>
    <w:p w14:paraId="4379A220" w14:textId="77777777" w:rsidR="00102DE3" w:rsidRPr="001F4E84" w:rsidRDefault="00102DE3" w:rsidP="00102DE3">
      <w:pPr>
        <w:pStyle w:val="SingleTxtG"/>
        <w:spacing w:before="120"/>
        <w:rPr>
          <w:bCs/>
        </w:rPr>
      </w:pPr>
      <w:r>
        <w:t>121.</w:t>
      </w:r>
      <w:r>
        <w:tab/>
        <w:t>Совет Омана, состоящий из двух палат – Государственного совета и Консультативного совета, наделен обширными законодательными и надзорными функциями. В частности, он вводит в действие законы, осуществляет контроль за деятельностью органов исполнительной власти и высказывает мнения по поводу международных договоров, что сообщает его работе дополнительный аспект, ориентированный на политические права граждан и их вклад в общий процесс развития в соответствии с поставленными целями. Законодательная власть также играет важную роль в мониторинге осуществления международных договоров по правам человека.</w:t>
      </w:r>
    </w:p>
    <w:p w14:paraId="2C4D8E27" w14:textId="77777777" w:rsidR="00102DE3" w:rsidRPr="001F4E84" w:rsidRDefault="00102DE3" w:rsidP="00102DE3">
      <w:pPr>
        <w:pStyle w:val="H4G"/>
      </w:pPr>
      <w:r>
        <w:tab/>
      </w:r>
      <w:r>
        <w:tab/>
      </w:r>
      <w:r>
        <w:rPr>
          <w:iCs/>
        </w:rPr>
        <w:t>Муниципальные советы</w:t>
      </w:r>
    </w:p>
    <w:p w14:paraId="3653308E" w14:textId="77777777" w:rsidR="00102DE3" w:rsidRPr="001F4E84" w:rsidRDefault="00102DE3" w:rsidP="00102DE3">
      <w:pPr>
        <w:pStyle w:val="SingleTxtG"/>
        <w:spacing w:before="120"/>
        <w:rPr>
          <w:bCs/>
        </w:rPr>
      </w:pPr>
      <w:r>
        <w:t>122.</w:t>
      </w:r>
      <w:r>
        <w:tab/>
        <w:t>Полномочия выборных муниципальных советов тесно связаны с правами человека, поскольку состоят в вынесении мнений и рекомендаций в отношении разработки на уровне мухафаз регламентов и муниципальных услуг, в том числе касающихся здравоохранения, охраны окружающей среды, а также проектов в области водоснабжения, дорог, парков, школ, жилья, мест отправления культа, защиты матери и ребенка и других государственных услуг, необходимых гражданам.</w:t>
      </w:r>
    </w:p>
    <w:p w14:paraId="307A8EE1" w14:textId="77777777" w:rsidR="00102DE3" w:rsidRPr="001F4E84" w:rsidRDefault="00102DE3" w:rsidP="00102DE3">
      <w:pPr>
        <w:pStyle w:val="H4G"/>
      </w:pPr>
      <w:r>
        <w:tab/>
      </w:r>
      <w:r>
        <w:tab/>
      </w:r>
      <w:r>
        <w:rPr>
          <w:iCs/>
        </w:rPr>
        <w:t>Национальная комиссия по правам человека</w:t>
      </w:r>
    </w:p>
    <w:p w14:paraId="68C818AA" w14:textId="77777777" w:rsidR="00102DE3" w:rsidRPr="00983950" w:rsidRDefault="00102DE3" w:rsidP="00102DE3">
      <w:pPr>
        <w:pStyle w:val="SingleTxtG"/>
        <w:spacing w:before="120"/>
      </w:pPr>
      <w:r>
        <w:t>123.</w:t>
      </w:r>
      <w:r>
        <w:tab/>
        <w:t xml:space="preserve">Комиссия, созданная в 2008 году указом султана № 124/2008, отвечает за достижение национальных и международных целей в области прав человека как для граждан, так и для резидентов страны. Ее деятельность направлена на распространение культуры прав человека во всех регионах Султаната. Комиссия была создана в соответствии с принципами, касающимися статуса национальных учреждений, занимающихся поощрением и защитой прав человека (Парижские принципы). В упомянутом указе закреплены правила, регулирующие порядок ее </w:t>
      </w:r>
      <w:r>
        <w:lastRenderedPageBreak/>
        <w:t>функционирования, ее полномочия и численность ее членов, в число которых входят представители Государственного совета, Консультативного совета, Национальной торгово-промышленной палаты, Всеобщего союза трудящихся</w:t>
      </w:r>
      <w:r w:rsidRPr="0013048D">
        <w:t xml:space="preserve"> </w:t>
      </w:r>
      <w:r>
        <w:t>Омана, один адвокат, три представителя организаций гражданского общества и по одному представителю от каждого из министерств, занимающихся вопросами прав человека, а именно: Министерства иностранных дел, Министерства внутренних дел, Министерства социального развития, Министерства юстиции, Министерства трудовых ресурсов и Министерства гражданских служб.</w:t>
      </w:r>
    </w:p>
    <w:p w14:paraId="5F67242C" w14:textId="77777777" w:rsidR="00102DE3" w:rsidRPr="001F4E84" w:rsidRDefault="00102DE3" w:rsidP="00102DE3">
      <w:pPr>
        <w:pStyle w:val="SingleTxtG"/>
        <w:spacing w:before="120"/>
        <w:rPr>
          <w:bCs/>
        </w:rPr>
      </w:pPr>
      <w:r>
        <w:t>124.</w:t>
      </w:r>
      <w:r>
        <w:tab/>
        <w:t>Комиссия следит за усилиями по защите прав человека и основных свобод в Султанате, базируясь на Основном законе и международных договорах. Она анализирует замечания других правительств и международных и неправительственных организаций, касающиеся положения в области прав человека в стране, и в сотрудничестве с компетентными органами проводит требуемые проверки и принимает в этой связи необходимые меры. Кроме того, она отслеживает и помогает устранять возможные нарушения прав человека или правонарушения, а также получает от физических лиц жалобы на нарушения прав и контролирует их рассмотрение.</w:t>
      </w:r>
    </w:p>
    <w:p w14:paraId="12E393D7" w14:textId="77777777" w:rsidR="00102DE3" w:rsidRPr="001F4E84" w:rsidRDefault="00102DE3" w:rsidP="00102DE3">
      <w:pPr>
        <w:pStyle w:val="SingleTxtG"/>
        <w:spacing w:before="120"/>
        <w:rPr>
          <w:bCs/>
        </w:rPr>
      </w:pPr>
      <w:r>
        <w:t>125.</w:t>
      </w:r>
      <w:r>
        <w:tab/>
        <w:t>Совместно с властями и гражданским обществом Комиссия следит за осуществлением ратифицированных Султанатом договоров по правам человека, а также участвует в подготовке периодических докладов о положении в области прав человека в стране и в их рассмотрении соответствующими договорными органами. В интересах транспарентности и дальнейшего повышения осведомленности общественности Комиссия с момента своего создания публикует национальный доклад о положении в области прав человека в Султанате, где рассматривает конкретные меры, принятые для улучшения положения в области прав человека и основных свобод в стране, и подытоживает проделанную работу в отношении полученных ею жалоб и проблем в области прав человека, с которыми сталкиваются некоторые лица.</w:t>
      </w:r>
    </w:p>
    <w:p w14:paraId="3FAB4924" w14:textId="77777777" w:rsidR="00102DE3" w:rsidRPr="001F4E84" w:rsidRDefault="00102DE3" w:rsidP="00102DE3">
      <w:pPr>
        <w:pStyle w:val="H4G"/>
      </w:pPr>
      <w:r>
        <w:tab/>
      </w:r>
      <w:r>
        <w:tab/>
      </w:r>
      <w:r>
        <w:rPr>
          <w:iCs/>
        </w:rPr>
        <w:t>Национальная комиссия по борьбе с торговлей людьми</w:t>
      </w:r>
    </w:p>
    <w:p w14:paraId="2921C019" w14:textId="77777777" w:rsidR="00102DE3" w:rsidRPr="001F4E84" w:rsidRDefault="00102DE3" w:rsidP="00102DE3">
      <w:pPr>
        <w:pStyle w:val="SingleTxtG"/>
        <w:spacing w:before="120"/>
        <w:rPr>
          <w:bCs/>
        </w:rPr>
      </w:pPr>
      <w:r>
        <w:t>126.</w:t>
      </w:r>
      <w:r>
        <w:tab/>
        <w:t>В качестве одной из мер по борьбе с принимающей все более значительные масштабы глобальной проблемой торговли людьми в Султанате был принят Закон о борьбе с торговлей людьми, обнародованный указом султана № 126/2008, и по решению Совета министров 2009 года, принятому в порядке реализации статьи 21 указанного Закона, была создана Национальная комиссия по борьбе с торговлей людьми. Комиссию возглавляет генеральный секретарь Министерства иностранных дел, и в ее состав входят представители различных государственных органов и неправительственных организаций. Она ежегодно представляет Совету министров доклад о национальных усилиях по борьбе с торговлей людьми. Кроме того, указом № 50/2017 от 1 ноября 2017 года прокуратура создала департамент по расследованию случаев торговли людьми и судебному преследованию виновных.</w:t>
      </w:r>
    </w:p>
    <w:p w14:paraId="0ED346A4" w14:textId="77777777" w:rsidR="00102DE3" w:rsidRPr="001F4E84" w:rsidRDefault="00102DE3" w:rsidP="00102DE3">
      <w:pPr>
        <w:pStyle w:val="SingleTxtG"/>
        <w:spacing w:before="120"/>
        <w:rPr>
          <w:bCs/>
        </w:rPr>
      </w:pPr>
      <w:r>
        <w:t>127.</w:t>
      </w:r>
      <w:r>
        <w:tab/>
        <w:t>Жертвам торговли людьми предоставляется медицинская и юридическая помощь, а также бесплатный доступ к центрам приема и службам правовой и социальной поддержки. В интересах подобных лиц создан оборудованный центр приема и ведется работа по повышению информированности населения посредством радиовещания и телевизионных программ, а также публикации тематических материалов в печатных средствах массовой информации. Полиция Омана и другие государственные учреждения вносят свой вклад в распространение информации, предоставляют консультативную помощь и оказывают жертвам поддержку по бесплатным телефонным линиям. Пострадавшим разрешается остаться в стране до окончания всех судебных разбирательств, если они того пожелают. Национальная комиссия по борьбе с торговлей людьми работает в тесном сотрудничестве с Национальной комиссией по правам человека. Страна добилась значительного прогресса в борьбе с торговлей людьми.</w:t>
      </w:r>
    </w:p>
    <w:p w14:paraId="5A49C6F6" w14:textId="77777777" w:rsidR="00102DE3" w:rsidRPr="001F4E84" w:rsidRDefault="00102DE3" w:rsidP="00102DE3">
      <w:pPr>
        <w:pStyle w:val="SingleTxtG"/>
        <w:spacing w:before="120"/>
        <w:rPr>
          <w:bCs/>
        </w:rPr>
      </w:pPr>
      <w:r>
        <w:t>128.</w:t>
      </w:r>
      <w:r>
        <w:tab/>
        <w:t xml:space="preserve">Национальная комиссия по борьбе с торговлей людьми разработала национальный план действий и приняла меры по оказанию помощи жертвам торговли людьми. Предпринимаемые усилия направлены, в частности, на выявление и судебное </w:t>
      </w:r>
      <w:r>
        <w:lastRenderedPageBreak/>
        <w:t>преследование виновных, и для этой цели при Апелляционном суде Маската была создана специальная палата. В национальном плане действий предусмотрено также укрепление механизмов сотрудничества между соответствующими органами государственного и частного секторов.</w:t>
      </w:r>
    </w:p>
    <w:p w14:paraId="5B62ACD9" w14:textId="77777777" w:rsidR="00102DE3" w:rsidRPr="001F4E84" w:rsidRDefault="00102DE3" w:rsidP="00102DE3">
      <w:pPr>
        <w:pStyle w:val="H4G"/>
      </w:pPr>
      <w:r>
        <w:tab/>
      </w:r>
      <w:r>
        <w:tab/>
      </w:r>
      <w:r>
        <w:rPr>
          <w:iCs/>
        </w:rPr>
        <w:t>Национальная комиссия по делам семьи</w:t>
      </w:r>
    </w:p>
    <w:p w14:paraId="738DE6BB" w14:textId="77777777" w:rsidR="00102DE3" w:rsidRPr="001F4E84" w:rsidRDefault="00102DE3" w:rsidP="00102DE3">
      <w:pPr>
        <w:pStyle w:val="SingleTxtG"/>
        <w:spacing w:before="120"/>
        <w:rPr>
          <w:bCs/>
        </w:rPr>
      </w:pPr>
      <w:r>
        <w:t>129.</w:t>
      </w:r>
      <w:r>
        <w:tab/>
        <w:t>В состав Национальной комиссии по делам семьи, созданной указом султана № 12/2007, входят представители различных национальных органов, таких как Министерство социального развития, Министерство здравоохранения, Министерство образования и просвещения, Министерство культуры и национального наследия, а также представители прокуратуры и Торгово-промышленной палаты. На нее возложен целый ряд обязанностей, в частности обеспечение координации между властями, государственными органами и добровольческими организациями, занимающимися вопросами семьи, сотрудничество со всеми арабскими и международными комиссиями и советами и с организациями, ответственными за решение этих проблем, разработка политики и программ в интересах семьи в социальной сфере, а также в области культуры и здравоохранения и мониторинг их осуществления в координации с компетентными органами, поощрение исследований по вопросам семьи, принятие последующих мер и выполнение решений и рекомендаций, принятых по итогам международных и региональных конференций, посвященных теме семьи, и вынесение мнений по поводу соответствующих международных и региональных документов. В соответствии с министерским указом № 300/2012 Комиссия была обеспечена национальным секретариатом для контроля за осуществлением Конвенции о правах ребенка.</w:t>
      </w:r>
    </w:p>
    <w:p w14:paraId="25D99556" w14:textId="77777777" w:rsidR="00102DE3" w:rsidRPr="001F4E84" w:rsidRDefault="00102DE3" w:rsidP="00102DE3">
      <w:pPr>
        <w:pStyle w:val="H4G"/>
      </w:pPr>
      <w:r>
        <w:tab/>
      </w:r>
      <w:r>
        <w:tab/>
      </w:r>
      <w:r>
        <w:rPr>
          <w:iCs/>
        </w:rPr>
        <w:t>Национальная комиссия по контролю за осуществлением Конвенции о правах ребенка</w:t>
      </w:r>
    </w:p>
    <w:p w14:paraId="2742D265" w14:textId="77777777" w:rsidR="00102DE3" w:rsidRPr="001F4E84" w:rsidRDefault="00102DE3" w:rsidP="00102DE3">
      <w:pPr>
        <w:pStyle w:val="SingleTxtG"/>
        <w:spacing w:before="120"/>
      </w:pPr>
      <w:r>
        <w:t>130.</w:t>
      </w:r>
      <w:r>
        <w:tab/>
        <w:t xml:space="preserve">Эта комиссия была создана во исполнение министерского указа № 56/2009 с поправками, внесенными министерским указом № 127/2014. В ее состав входят представители различных государственных органов, занимающихся вопросами прав ребенка, в частности Государственного совета, полиции, Министерства иностранных дел, Министерства социального развития, Министерства здравоохранения, Министерства образования и просвещения, Министерства по юридическим делам, Министерства по делам ислама и вакуфов, Министерства юстиции и Министерства информации, а также представители Университета имени султана </w:t>
      </w:r>
      <w:proofErr w:type="spellStart"/>
      <w:r>
        <w:t>Кабуса</w:t>
      </w:r>
      <w:proofErr w:type="spellEnd"/>
      <w:r>
        <w:t>, Национальной комиссии по правам человека и Национального статистического центра. Кроме того, ее членами являются такие организации гражданского общества, как ассоциация «Главное – дети», Ассоциация в защиту детей-инвалидов и Ассоциация быстрого реагирования. Комиссия обладает рядом полномочий, включая внесение предложений по реализации принципов Конвенции, создание необходимых механизмов и программ для обеспечения полной защиты всех детей, участие в разработке и осуществлении программ в интересах детей и в подготовке периодических докладов Султаната об осуществлении Конвенции о правах ребенка, а</w:t>
      </w:r>
      <w:r w:rsidR="004E019B">
        <w:t> </w:t>
      </w:r>
      <w:r>
        <w:t>также мониторинг и выполнение замечаний и рекомендаций Комитета по правам ребенка.</w:t>
      </w:r>
    </w:p>
    <w:p w14:paraId="498E317A" w14:textId="77777777" w:rsidR="00102DE3" w:rsidRPr="001F4E84" w:rsidRDefault="00102DE3" w:rsidP="00102DE3">
      <w:pPr>
        <w:pStyle w:val="H4G"/>
      </w:pPr>
      <w:r>
        <w:tab/>
      </w:r>
      <w:r>
        <w:tab/>
      </w:r>
      <w:r>
        <w:rPr>
          <w:iCs/>
        </w:rPr>
        <w:t>Национальная</w:t>
      </w:r>
      <w:r>
        <w:t xml:space="preserve"> </w:t>
      </w:r>
      <w:r>
        <w:rPr>
          <w:iCs/>
        </w:rPr>
        <w:t>комиссия по контролю за осуществлением Конвенции о ликвидации всех форм дискриминации в отношении женщин</w:t>
      </w:r>
    </w:p>
    <w:p w14:paraId="6F0CE56B" w14:textId="77777777" w:rsidR="00102DE3" w:rsidRPr="001F4E84" w:rsidRDefault="00102DE3" w:rsidP="00102DE3">
      <w:pPr>
        <w:pStyle w:val="SingleTxtG"/>
        <w:spacing w:before="120"/>
      </w:pPr>
      <w:r>
        <w:t>131.</w:t>
      </w:r>
      <w:r>
        <w:tab/>
        <w:t xml:space="preserve"> Эта комиссия была создана во исполнение министерского указа № 348/2005. В ее состав входят представители таких компетентных органов, как Государственный совет, Консультативный совет, Совет по административным вопросам судебной власти, прокуратура, Высшая комиссия по планированию, Министерство иностранных дел, Министерство социального развития, Министерство юстиции, Министерство по юридическим делам, Министерство высшего образования, Министерство образования и просвещения, Министерство сельского хозяйства и рыболовства, Министерство здравоохранения, Министерство гражданских служб, Министерство трудовых ресурсов и Министерство информации, а также представители Национального статистического центра, Университета имени султана </w:t>
      </w:r>
      <w:proofErr w:type="spellStart"/>
      <w:r>
        <w:lastRenderedPageBreak/>
        <w:t>Кабуса</w:t>
      </w:r>
      <w:proofErr w:type="spellEnd"/>
      <w:r>
        <w:t>, Комиссии по делам женщин Национального союза трудящихся Омана и Комиссии по правам человека и представители организаций гражданского общества, оманских женских организаций, Национальной организации инвалидов, гильдии адвокатов и Национальной ассоциации писателей и литераторов. В задачи Комиссии входит, в частности, контроль за осуществлением Конвенции о ликвидации всех форм дискриминации в отношении женщин и подготовка периодических докладов о ее выполнении.</w:t>
      </w:r>
    </w:p>
    <w:p w14:paraId="5CCA1A61" w14:textId="77777777" w:rsidR="00102DE3" w:rsidRPr="001F4E84" w:rsidRDefault="00102DE3" w:rsidP="00102DE3">
      <w:pPr>
        <w:pStyle w:val="H4G"/>
      </w:pPr>
      <w:r>
        <w:tab/>
      </w:r>
      <w:r>
        <w:tab/>
      </w:r>
      <w:r>
        <w:rPr>
          <w:iCs/>
        </w:rPr>
        <w:t>Национальная комиссия по защите инвалидов</w:t>
      </w:r>
    </w:p>
    <w:p w14:paraId="5062D347" w14:textId="77777777" w:rsidR="00102DE3" w:rsidRPr="001F4E84" w:rsidRDefault="00102DE3" w:rsidP="00102DE3">
      <w:pPr>
        <w:pStyle w:val="SingleTxtG"/>
        <w:spacing w:before="120"/>
        <w:rPr>
          <w:bCs/>
        </w:rPr>
      </w:pPr>
      <w:r>
        <w:t>132.</w:t>
      </w:r>
      <w:r>
        <w:tab/>
        <w:t xml:space="preserve"> Эту комиссию, созданную указом султана № 63/2008, возглавляет министр социального развития, и в ее состав входят представители компетентных государственных органов, частного сектора и реабилитационных центров, а также инвалиды. Одной из ее задач является обеспечение инвалидов протезами и вспомогательными устройствами. Государство предоставило Комиссии все финансовые ресурсы, необходимые ей для выполнения своих функций в полном объеме. В министерском указе № 179/2014 предусматривается, что председателем Комиссии является министр социального развития и что в ее состав входят представители различных компетентных министерств, частного сектора и соответствующих организаций гражданского общества. В задачи Комиссии входит разработка Национального плана по защите и интеграции инвалидов и создание программ для их защиты, реабилитации, профессиональной подготовки и поощрения. В 2015 году министерским указом № 193/2015 был создан технический комитет по защите инвалидов. Председателем комитета является начальник Управления по делам инвалидов, а в его состав входят должностные лица из других генеральных управлений и государственных учреждений, вооруженных сил, частного сектора и соответствующих организаций гражданского общества.</w:t>
      </w:r>
    </w:p>
    <w:p w14:paraId="7A50350A" w14:textId="77777777" w:rsidR="00102DE3" w:rsidRPr="001F4E84" w:rsidRDefault="00102DE3" w:rsidP="00102DE3">
      <w:pPr>
        <w:pStyle w:val="H4G"/>
      </w:pPr>
      <w:r>
        <w:tab/>
      </w:r>
      <w:r>
        <w:tab/>
      </w:r>
      <w:r>
        <w:rPr>
          <w:iCs/>
        </w:rPr>
        <w:t>Национальная комиссия по контролю за осуществлением Международной конвенции о ликвидации всех форм расовой дискриминации</w:t>
      </w:r>
    </w:p>
    <w:p w14:paraId="720FB033" w14:textId="77777777" w:rsidR="00102DE3" w:rsidRPr="001F4E84" w:rsidRDefault="00102DE3" w:rsidP="00102DE3">
      <w:pPr>
        <w:pStyle w:val="SingleTxtG"/>
        <w:spacing w:before="120"/>
      </w:pPr>
      <w:r>
        <w:t>133.</w:t>
      </w:r>
      <w:r>
        <w:tab/>
        <w:t xml:space="preserve"> По поручению Совета министров Министерство иностранных дел создало рабочую группу по контролю за осуществлением Международной конвенции о ликвидации всех форм расовой дискриминации. В настоящее время председателем этой рабочей группы является заместитель Председателя Верховного суда, а в ее состав входят представители прокуратуры, организаций гражданского общества и министерств, занимающихся вопросами защиты прав человека, в частности Министерства внутренних дел, Министерства иностранных дел, Министерства по юридическим делам, Министерства трудовых ресурсов, Министерства социального развития и Министерства образования и просвещения, а также представители Университета имени султана </w:t>
      </w:r>
      <w:proofErr w:type="spellStart"/>
      <w:r>
        <w:t>Кабуса</w:t>
      </w:r>
      <w:proofErr w:type="spellEnd"/>
      <w:r>
        <w:t>, Национальной комиссии по правам человека, Высшего совета по планированию и Совета по административным вопросам судебной власти. Группа следит за осуществлением Конвенции, занимается подготовкой периодических докладов о ее выполнении, участвует в их рассмотрении Комитетом по ликвидации расовой дискриминации, обеспечивает выполнение замечаний и рекомендаций Комитета, выносит рекомендации и предлагает меры по выполнению обязательств Султаната, вытекающих из Конвенции.</w:t>
      </w:r>
    </w:p>
    <w:p w14:paraId="5EE78033" w14:textId="77777777" w:rsidR="00102DE3" w:rsidRPr="001F4E84" w:rsidRDefault="00102DE3" w:rsidP="00102DE3">
      <w:pPr>
        <w:pStyle w:val="H23G"/>
      </w:pPr>
      <w:r>
        <w:rPr>
          <w:bCs/>
        </w:rPr>
        <w:tab/>
        <w:t>b)</w:t>
      </w:r>
      <w:r>
        <w:tab/>
      </w:r>
      <w:r>
        <w:rPr>
          <w:bCs/>
        </w:rPr>
        <w:t>Распространение международных договоров</w:t>
      </w:r>
      <w:r>
        <w:t xml:space="preserve"> </w:t>
      </w:r>
      <w:r>
        <w:rPr>
          <w:bCs/>
        </w:rPr>
        <w:t>и повышение осведомленности об</w:t>
      </w:r>
      <w:r>
        <w:rPr>
          <w:bCs/>
          <w:lang w:val="en-US"/>
        </w:rPr>
        <w:t> </w:t>
      </w:r>
      <w:r>
        <w:rPr>
          <w:bCs/>
        </w:rPr>
        <w:t>их положениях</w:t>
      </w:r>
    </w:p>
    <w:p w14:paraId="722DFF1D" w14:textId="77777777" w:rsidR="00102DE3" w:rsidRPr="001F4E84" w:rsidRDefault="00102DE3" w:rsidP="00102DE3">
      <w:pPr>
        <w:pStyle w:val="SingleTxtG"/>
        <w:spacing w:before="120"/>
        <w:rPr>
          <w:bCs/>
        </w:rPr>
      </w:pPr>
      <w:r>
        <w:t>134.</w:t>
      </w:r>
      <w:r>
        <w:tab/>
        <w:t xml:space="preserve">Как отмечалось выше, как только ратификационная грамота публикуется в </w:t>
      </w:r>
      <w:r w:rsidRPr="00A443BE">
        <w:rPr>
          <w:i/>
        </w:rPr>
        <w:t>Официальном вестнике</w:t>
      </w:r>
      <w:r>
        <w:t xml:space="preserve">, международный договор приобретает силу закона. В 2011 году правительство приняло решение публиковать в </w:t>
      </w:r>
      <w:r w:rsidRPr="00A443BE">
        <w:rPr>
          <w:i/>
        </w:rPr>
        <w:t>Официальном вестнике</w:t>
      </w:r>
      <w:r>
        <w:t xml:space="preserve"> тексты всех ратифицированных международных договоров, тогда как ранее публиковалась только ратификационная грамота. Эти договоры освещаются средствами массовой информации, публикуются на официальных веб</w:t>
      </w:r>
      <w:r w:rsidR="006B197D">
        <w:t>-</w:t>
      </w:r>
      <w:r>
        <w:t xml:space="preserve">сайтах министерств, занимающихся вопросами защиты прав человека или контролем за осуществлением международных договоров, и распространяются в печатном виде на арабском и английском языках. Ежегодно отмечаются международные, региональные и национальные дни прав человека. Комитеты, отвечающие за контроль за </w:t>
      </w:r>
      <w:r>
        <w:lastRenderedPageBreak/>
        <w:t>осуществлением международных договоров, организуют, совместно с различными средствами массовой информации, некоторыми организациями гражданского общества и соответствующими международными организациями, симпозиумы и информационные рабочие совещания в целях повышения осведомленности о положениях различных документов.</w:t>
      </w:r>
    </w:p>
    <w:p w14:paraId="69A0EC86" w14:textId="77777777" w:rsidR="00102DE3" w:rsidRPr="001F4E84" w:rsidRDefault="00102DE3" w:rsidP="00102DE3">
      <w:pPr>
        <w:pStyle w:val="SingleTxtG"/>
        <w:spacing w:before="120"/>
        <w:rPr>
          <w:bCs/>
        </w:rPr>
      </w:pPr>
      <w:r>
        <w:t>135.</w:t>
      </w:r>
      <w:r>
        <w:tab/>
        <w:t>Службы, ответственные за осуществление международных договоров, обеспечивают их распространение среди должностных лиц и специализированного персонала, чтобы те могли в достаточной степени ознакомиться с их положениями. Кроме того, они занимаются подготовкой должностных лиц, включая государственных служащих и сотрудников органов отправления правосудия и прокуратуры, адвокатов, военнослужащих, а также преподавателей, врачей, психотерапевтов, социологов и других заинтересованных лиц, по различным аспектам прав человека.</w:t>
      </w:r>
    </w:p>
    <w:p w14:paraId="5D9ECD95" w14:textId="77777777" w:rsidR="00102DE3" w:rsidRPr="001F4E84" w:rsidRDefault="00102DE3" w:rsidP="00102DE3">
      <w:pPr>
        <w:pStyle w:val="SingleTxtG"/>
        <w:spacing w:before="120"/>
        <w:rPr>
          <w:bCs/>
        </w:rPr>
      </w:pPr>
      <w:r>
        <w:t>136.</w:t>
      </w:r>
      <w:r>
        <w:tab/>
        <w:t>Просвещение в области прав человека является одним из элементов школьной программы, куда входят, в частности, поощрение защиты прав человека, терпимости и равенства между мужчинами и женщинами. Министерство образования и просвещения разработало руководство по включению концепций прав человека, прав ребенка и воспитания в духе мира в школьные программы на всех уровнях. В настоящее время ценности и принципы, касающиеся прав человека и прав ребенка, преподаются с первого по двенадцатый класс, поскольку Султанат проводит политику в области образования, основанную на правах человека.</w:t>
      </w:r>
    </w:p>
    <w:p w14:paraId="3041C577" w14:textId="77777777" w:rsidR="00102DE3" w:rsidRPr="001F4E84" w:rsidRDefault="00102DE3" w:rsidP="00102DE3">
      <w:pPr>
        <w:pStyle w:val="SingleTxtG"/>
        <w:spacing w:before="120"/>
        <w:rPr>
          <w:bCs/>
        </w:rPr>
      </w:pPr>
      <w:r>
        <w:t>137.</w:t>
      </w:r>
      <w:r>
        <w:tab/>
        <w:t>С согласия Его Величества султана Совет Омана по вопросам образования принял в мае 2017 года документ о концепции образования, который служит основой для разработки национальной политики, способной обеспечить постоянное развитие образования на всех его этапах и во всех областях. В числе 10 основных источников этого документа фигурируют международные договоры. Кроме того, в документе упоминаются 16 принципов, лежащих в основе общих целей образования, воспитания в духе уважения прав и обязанностей личности, образования в интересах устойчивого развития и воспитания в духе мира и взаимопонимания.</w:t>
      </w:r>
    </w:p>
    <w:p w14:paraId="66413521" w14:textId="77777777" w:rsidR="00102DE3" w:rsidRPr="001F4E84" w:rsidRDefault="00102DE3" w:rsidP="00102DE3">
      <w:pPr>
        <w:pStyle w:val="SingleTxtG"/>
        <w:spacing w:before="120"/>
        <w:rPr>
          <w:bCs/>
        </w:rPr>
      </w:pPr>
      <w:r>
        <w:t>138.</w:t>
      </w:r>
      <w:r>
        <w:tab/>
        <w:t xml:space="preserve">Султанат поощряет права человека, ведя работу по повышению осведомленности и информированности общественности о правах человека и международных договорах через прессу, радио, телевидение и Интернет. Для журналистов организуются мероприятия по ознакомлению с положениями этих документов. Министерство по делам ислама и вакуфов также проводит информационно-просветительскую работу по концепциям прав человека посредством проповедей в местах отправления культа и по случаю различных религиозных церемоний. Кроме того, это министерство издает журнал </w:t>
      </w:r>
      <w:r w:rsidRPr="00944377">
        <w:rPr>
          <w:i/>
        </w:rPr>
        <w:t>Взаимопонимание</w:t>
      </w:r>
      <w:r>
        <w:t xml:space="preserve"> (ранее называвшийся </w:t>
      </w:r>
      <w:r w:rsidRPr="00944377">
        <w:rPr>
          <w:i/>
        </w:rPr>
        <w:t>Терпимость</w:t>
      </w:r>
      <w:r>
        <w:t>), посвященный укреплению межконфессионального диалога и распространению культуры мира.</w:t>
      </w:r>
    </w:p>
    <w:p w14:paraId="6EA01717" w14:textId="77777777" w:rsidR="00102DE3" w:rsidRPr="001F4E84" w:rsidRDefault="00102DE3" w:rsidP="00102DE3">
      <w:pPr>
        <w:pStyle w:val="SingleTxtG"/>
        <w:spacing w:before="120"/>
        <w:rPr>
          <w:bCs/>
        </w:rPr>
      </w:pPr>
      <w:r>
        <w:t>139.</w:t>
      </w:r>
      <w:r>
        <w:tab/>
        <w:t>Многие организации гражданского общества вносят свой вклад в распространение культуры прав человека, уделяя особое внимание женщинам, детям, инвалидам, беднейшим семьям и другим группам, охватываемым международными договорами. Они также ведут работу по повышению осведомленности о вопросах прав человека и о международных договорах в сфере своей компетенции. Кроме того, организации гражданского общества участвуют в подготовке периодических докладов Султаната, а также в контроле за выполнением замечаний и рекомендаций договорных органов по этим докладам.</w:t>
      </w:r>
    </w:p>
    <w:p w14:paraId="0EA2C0F9" w14:textId="77777777" w:rsidR="00102DE3" w:rsidRPr="001F4E84" w:rsidRDefault="00102DE3" w:rsidP="00102DE3">
      <w:pPr>
        <w:pStyle w:val="H1G"/>
      </w:pPr>
      <w:r>
        <w:rPr>
          <w:bCs/>
        </w:rPr>
        <w:tab/>
        <w:t>D.</w:t>
      </w:r>
      <w:r>
        <w:tab/>
      </w:r>
      <w:r>
        <w:rPr>
          <w:bCs/>
        </w:rPr>
        <w:t>Порядок подготовки докладов на национальном уровне</w:t>
      </w:r>
    </w:p>
    <w:p w14:paraId="14D1CE6D" w14:textId="77777777" w:rsidR="00102DE3" w:rsidRPr="001F4E84" w:rsidRDefault="00102DE3" w:rsidP="00102DE3">
      <w:pPr>
        <w:pStyle w:val="SingleTxtG"/>
        <w:spacing w:before="120"/>
        <w:rPr>
          <w:bCs/>
        </w:rPr>
      </w:pPr>
      <w:r>
        <w:t>140.</w:t>
      </w:r>
      <w:r>
        <w:tab/>
        <w:t xml:space="preserve">Законодательные, исполнительные и судебные органы, а также организации гражданского общества придают большое значение процессу подготовки национальных докладов о мерах, принятых Султанатом для выполнения своих обязательств по ратифицированным международным договорам по правам человека. Таким образом, Султанат обеспечивает выполнение своих обязательств по Конвенции о правах ребенка и двум протоколам к ней, по Международной конвенции о </w:t>
      </w:r>
      <w:r>
        <w:lastRenderedPageBreak/>
        <w:t>ликвидации всех форм расовой дискриминации, по Конвенции о ликвидации всех форм дискриминации в отношении женщин и по Конвенции о правах инвалидов, представляя периодические доклады о мерах, принятых его законодательными, исполнительными и судебными органами для выполнения обязательств, вытекающих из положений этих договоров.</w:t>
      </w:r>
    </w:p>
    <w:p w14:paraId="4FE8E764" w14:textId="77777777" w:rsidR="00102DE3" w:rsidRPr="001F4E84" w:rsidRDefault="00102DE3" w:rsidP="00102DE3">
      <w:pPr>
        <w:pStyle w:val="SingleTxtG"/>
        <w:spacing w:before="120"/>
        <w:rPr>
          <w:bCs/>
        </w:rPr>
      </w:pPr>
      <w:r>
        <w:t>141.</w:t>
      </w:r>
      <w:r>
        <w:tab/>
        <w:t>В этой связи Султанат обеспечивает участие в осуществлении международных договоров всех заинтересованных сторон, начиная с Национальной комиссии по правам человека, местных ассоциаций и организаций гражданского общества, а также законодательных и судебных органов, с тем чтобы придать докладам авторитетность и транспарентность, необходимые для получения договорными органами четкого представления о прогрессе, достигнутом Султанатом в выполнении своих обязательств.</w:t>
      </w:r>
    </w:p>
    <w:p w14:paraId="3501BF38" w14:textId="77777777" w:rsidR="00102DE3" w:rsidRPr="001F4E84" w:rsidRDefault="00102DE3" w:rsidP="00102DE3">
      <w:pPr>
        <w:pStyle w:val="SingleTxtG"/>
        <w:spacing w:before="120"/>
        <w:rPr>
          <w:bCs/>
        </w:rPr>
      </w:pPr>
      <w:r>
        <w:t>142.</w:t>
      </w:r>
      <w:r>
        <w:tab/>
        <w:t>Министерство иностранных дел координирует с органами, выполняющими контроль за осуществлением международных договоров в области прав человека, процесс подготовки и представления докладов в рамках универсального периодического обзора и периодических докладов об осуществлении международных договоров и последующую деятельность по указанным докладам вместе с договорными органами, а также участвует в подготовке и рассмотрении докладов</w:t>
      </w:r>
      <w:r w:rsidRPr="00052A15">
        <w:t xml:space="preserve"> </w:t>
      </w:r>
      <w:r>
        <w:t>через своих представителей.</w:t>
      </w:r>
    </w:p>
    <w:p w14:paraId="1F11A3A8" w14:textId="77777777" w:rsidR="00102DE3" w:rsidRPr="001F4E84" w:rsidRDefault="00102DE3" w:rsidP="00102DE3">
      <w:pPr>
        <w:pStyle w:val="SingleTxtG"/>
        <w:spacing w:before="120"/>
        <w:rPr>
          <w:bCs/>
        </w:rPr>
      </w:pPr>
      <w:r>
        <w:t>143.</w:t>
      </w:r>
      <w:r>
        <w:tab/>
        <w:t xml:space="preserve">Под эгидой Министерства социального развития Султанат учредил комиссию, объединяющую стороны, участвующие в контроле за осуществлением международных договоров и в представлении периодических докладов, и она в качестве органа, ответственного за надзор за выполнением трех международных договоров и двух факультативных протоколов, подготовила первый общий базовый документ, представленный 11 апреля 2013 года. В состав этой комиссии входили представители Министерства иностранных дел, Министерства по юридическим делам и Министерства социального развития, а также Государственного совета и Национальной комиссии по правам человека и Университета имени султана </w:t>
      </w:r>
      <w:proofErr w:type="spellStart"/>
      <w:r>
        <w:t>Кабуса</w:t>
      </w:r>
      <w:proofErr w:type="spellEnd"/>
      <w:r>
        <w:t>. При обновлении базового документа власти обеспечивали участие в этом процессе наибольшего возможного числа министерств и государственных органов, а также представителей организаций гражданского общества.</w:t>
      </w:r>
    </w:p>
    <w:p w14:paraId="02C0357B" w14:textId="77777777" w:rsidR="00102DE3" w:rsidRPr="001F4E84" w:rsidRDefault="00102DE3" w:rsidP="00102DE3">
      <w:pPr>
        <w:pStyle w:val="SingleTxtG"/>
        <w:spacing w:before="120"/>
        <w:rPr>
          <w:bCs/>
        </w:rPr>
      </w:pPr>
      <w:r>
        <w:t>144.</w:t>
      </w:r>
      <w:r>
        <w:tab/>
        <w:t>Стороны, участвующие в подготовке периодических докладов, организуют конференции, симпозиумы или круглые столы, посвященные рассмотрению и утверждению подготовленных докладов до их представления соответствующим договорным органам. Кроме того, они обеспечивают распространение в средствах массовой информации и на веб</w:t>
      </w:r>
      <w:r w:rsidR="00AD52A7">
        <w:t>-</w:t>
      </w:r>
      <w:r>
        <w:t>сайтах указанных докладов, а также заключительных замечаний и рекомендаций, вынесенных договорными органами по докладам Султаната, на арабском и английском языках.</w:t>
      </w:r>
    </w:p>
    <w:p w14:paraId="22D0742C" w14:textId="77777777" w:rsidR="00102DE3" w:rsidRPr="001F4E84" w:rsidRDefault="00102DE3" w:rsidP="00102DE3">
      <w:pPr>
        <w:pStyle w:val="SingleTxtG"/>
        <w:spacing w:before="120"/>
        <w:rPr>
          <w:bCs/>
        </w:rPr>
      </w:pPr>
      <w:r>
        <w:t>145.</w:t>
      </w:r>
      <w:r>
        <w:tab/>
        <w:t>Султанат придает особое значение обсуждениям, рекомендациям и заключительным замечаниям договорных органов. Соответствующие ведомства представляют полученные замечания и рекомендации Совету министров, который, в</w:t>
      </w:r>
      <w:r w:rsidR="00AD52A7">
        <w:t> </w:t>
      </w:r>
      <w:r>
        <w:t>свою очередь, поручает министерствам и заинтересованным сторонам изучить их и принять меры по выполнению вынесенных рекомендаций в установленные сроки. Органы, ответственные за последующую деятельность и выполнение рекомендаций, обеспечивают распространение последних в своих документах и через различные средства массовой информации, с тем чтобы широкая общественность имела возможность с ними ознакомиться.</w:t>
      </w:r>
    </w:p>
    <w:p w14:paraId="32057037" w14:textId="77777777" w:rsidR="00102DE3" w:rsidRPr="001F4E84" w:rsidRDefault="00102DE3" w:rsidP="00102DE3">
      <w:pPr>
        <w:pStyle w:val="SingleTxtG"/>
        <w:spacing w:before="120"/>
        <w:rPr>
          <w:bCs/>
        </w:rPr>
      </w:pPr>
      <w:r>
        <w:t>146.</w:t>
      </w:r>
      <w:r>
        <w:tab/>
        <w:t>При подготовке своих периодических докладов об осуществлении международных договоров Султанат неизменно придерживается руководящих принципов, разработанных договорными органами. В ходе этого процесса он обеспечивает как четкое и прозрачное представление мер, принятых с целью осуществления положений договоров, так и освещение возникших трудностей.</w:t>
      </w:r>
    </w:p>
    <w:p w14:paraId="15AEA940" w14:textId="77777777" w:rsidR="00102DE3" w:rsidRPr="001F4E84" w:rsidRDefault="00102DE3" w:rsidP="00102DE3">
      <w:pPr>
        <w:pStyle w:val="SingleTxtG"/>
        <w:spacing w:before="120"/>
        <w:rPr>
          <w:bCs/>
        </w:rPr>
      </w:pPr>
      <w:r>
        <w:t>147.</w:t>
      </w:r>
      <w:r>
        <w:tab/>
        <w:t xml:space="preserve">В соответствии с мандатом, установленным Министерством социального развития, различные профильные комитеты ведут работу по мониторингу выполнения соглашений о процессе подготовки периодических докладов о правах детей, женщин и инвалидов. Кроме того, Министерство иностранных дел в рамках своей рабочей </w:t>
      </w:r>
      <w:r>
        <w:lastRenderedPageBreak/>
        <w:t>группы следит за подготовкой докладов по Конвенции о ликвидации всех форм дискриминации в отношении женщин.</w:t>
      </w:r>
    </w:p>
    <w:p w14:paraId="689FC9B9" w14:textId="77777777" w:rsidR="00102DE3" w:rsidRPr="001F4E84" w:rsidRDefault="00102DE3" w:rsidP="00102DE3">
      <w:pPr>
        <w:pStyle w:val="SingleTxtG"/>
        <w:spacing w:before="120"/>
        <w:rPr>
          <w:bCs/>
          <w:spacing w:val="-2"/>
        </w:rPr>
      </w:pPr>
      <w:r>
        <w:t>148.</w:t>
      </w:r>
      <w:r>
        <w:tab/>
        <w:t>В 2014 году Султанат представил свой второй национальный доклад в рамках универсального периодического обзора. Этот доклад был рассмотрен 5 ноября 2015 года и принят 10 ноября 2015 года. Султанат полностью или частично согласился с 169 рекомендациями, принял к сведению 28 рекомендаций и отклонил 36 рекомендаций, которые были сочтены либо несовместимыми с исламским шариатом, либо противоречащими законам и ценностям Султаната, либо преждевременными.</w:t>
      </w:r>
    </w:p>
    <w:p w14:paraId="550AB75D" w14:textId="77777777" w:rsidR="00102DE3" w:rsidRPr="001F4E84" w:rsidRDefault="00102DE3" w:rsidP="00102DE3">
      <w:pPr>
        <w:pStyle w:val="H1G"/>
      </w:pPr>
      <w:r>
        <w:rPr>
          <w:bCs/>
        </w:rPr>
        <w:tab/>
        <w:t>E.</w:t>
      </w:r>
      <w:r>
        <w:tab/>
      </w:r>
      <w:r>
        <w:rPr>
          <w:bCs/>
        </w:rPr>
        <w:t>Другая информация, касающаяся прав человека</w:t>
      </w:r>
    </w:p>
    <w:p w14:paraId="17295FFA" w14:textId="77777777" w:rsidR="00102DE3" w:rsidRPr="001F4E84" w:rsidRDefault="00102DE3" w:rsidP="00102DE3">
      <w:pPr>
        <w:pStyle w:val="SingleTxtG"/>
        <w:spacing w:before="120"/>
        <w:rPr>
          <w:bCs/>
        </w:rPr>
      </w:pPr>
      <w:r>
        <w:t>149.</w:t>
      </w:r>
      <w:r>
        <w:tab/>
        <w:t>Цели в области устойчивого развития являются одним из основных элементов пятилетнего плана (2016–2020 годы). В этом плане содержится призыв учитывать эволюцию международных документов по вопросам развития, включая Повестку дня в области устойчивого развития на период до 2030 года, принятую Генеральной Ассамблеей Организации Объединенных Наций 28 сентября 2015 года, в частности ее пункт 8, в котором подчеркивается необходимость «содействия поступательному, всеохватному и устойчивому экономическому росту, полной и производительной занятости и достойной работе для всех». Для реализации этих принципов в качестве основной задачи плана определен переход от экономики, основанной на одном ресурсе </w:t>
      </w:r>
      <w:r w:rsidRPr="001F4E84">
        <w:t>–</w:t>
      </w:r>
      <w:r>
        <w:t> нефти, к диверсифицированной экономике, опирающейся на другие перспективные секторы, с целью уменьшения отрицательных последствий внешних потрясений, вызванных неустойчивостью мировых цен на нефть.</w:t>
      </w:r>
    </w:p>
    <w:p w14:paraId="2953B098" w14:textId="77777777" w:rsidR="00102DE3" w:rsidRPr="001F4E84" w:rsidRDefault="00102DE3" w:rsidP="00102DE3">
      <w:pPr>
        <w:pStyle w:val="SingleTxtG"/>
        <w:spacing w:before="120"/>
        <w:rPr>
          <w:bCs/>
        </w:rPr>
      </w:pPr>
      <w:r>
        <w:t>150.</w:t>
      </w:r>
      <w:r>
        <w:tab/>
        <w:t>Султанат создал группу по контролю за достижением целей в области устойчивого развития под председательством секретариата Высшего совета по планированию и в составе представителей различных министерств, гражданского общества и частного сектора. Заинтересованным сторонам было предложено включить цели в области устойчивого развития в число приоритетов их пятилетних планов развития. Султанат участвует в работе нескольких региональных комиссий, отвечающих за контроль за достижением целей в области устойчивого развития. Указанная группа также принимает участие в различных международных симпозиумах, конференциях и рабочих группах, отвечающих за контроль за достижением целей в области устойчивого развития. Для достижения этих целей Султанат работает над укреплением национального потенциала. Национальный статистический центр в сотрудничестве с соответствующими министерствами занимается подготовкой технических докладов о прогрессе в достижении некоторых целей.</w:t>
      </w:r>
    </w:p>
    <w:p w14:paraId="0AAA8898" w14:textId="77777777" w:rsidR="00102DE3" w:rsidRPr="001F4E84" w:rsidRDefault="00102DE3" w:rsidP="00102DE3">
      <w:pPr>
        <w:pStyle w:val="SingleTxtG"/>
        <w:spacing w:before="120"/>
        <w:rPr>
          <w:bCs/>
        </w:rPr>
      </w:pPr>
      <w:r>
        <w:t>151.</w:t>
      </w:r>
      <w:r>
        <w:tab/>
        <w:t>Параллельно с постановкой целей в области устойчивого развития Султанат разработал ряд национальных стратегий или их проектов, в число которых входят Национальная стратегия социальной работы (2016</w:t>
      </w:r>
      <w:r w:rsidRPr="001F4E84">
        <w:t>–</w:t>
      </w:r>
      <w:r>
        <w:t xml:space="preserve">2025 годы) Министерства социального развития, проект Национальной стратегии в интересах детей </w:t>
      </w:r>
      <w:r>
        <w:br/>
        <w:t>(2016</w:t>
      </w:r>
      <w:r w:rsidRPr="001F4E84">
        <w:t>–</w:t>
      </w:r>
      <w:r>
        <w:t>2025 годы), проект стратегии охраны здоровья женщин, которая является частью долгосрочного плана действий Султаната в области здравоохранения на период до 2050</w:t>
      </w:r>
      <w:r>
        <w:rPr>
          <w:lang w:val="en-US"/>
        </w:rPr>
        <w:t> </w:t>
      </w:r>
      <w:r>
        <w:t>года, проект стратегии устойчивого сельского хозяйства и развития сельских районов на период до 2040 года и проект национальной стратегии в области образования на период до 2040 года. Цели в области устойчивого развития были включены в эти стратегии, планы и проекты в соответствии с особенностями каждого сектора. Соответствующие министерства и ведомства работают над достижением своих целей на основе пятилетних планов осуществления на период до 2030 года.</w:t>
      </w:r>
    </w:p>
    <w:p w14:paraId="4B46ECBC" w14:textId="77777777" w:rsidR="00102DE3" w:rsidRPr="001F4E84" w:rsidRDefault="00102DE3" w:rsidP="00102DE3">
      <w:pPr>
        <w:pStyle w:val="SingleTxtG"/>
        <w:spacing w:before="120"/>
        <w:rPr>
          <w:bCs/>
        </w:rPr>
      </w:pPr>
      <w:r>
        <w:t>152.</w:t>
      </w:r>
      <w:r>
        <w:tab/>
        <w:t>Национальный статистический центр осуществляет мониторинг показателей достижения целей в области устойчивого развития и обеспечивает их регулярное обновление. В координации с разрабатывающими их сторонами он обеспечивает наличие нужных данных, собирает новые показатели из различных источников и составляет статистические модели, необходимые для оценки в тех случаях, когда данные отсутствуют.</w:t>
      </w:r>
    </w:p>
    <w:p w14:paraId="7AF4C701" w14:textId="77777777" w:rsidR="00102DE3" w:rsidRPr="001F4E84" w:rsidRDefault="00102DE3" w:rsidP="00102DE3">
      <w:pPr>
        <w:pStyle w:val="SingleTxtG"/>
        <w:spacing w:before="120"/>
        <w:rPr>
          <w:bCs/>
        </w:rPr>
      </w:pPr>
      <w:r>
        <w:lastRenderedPageBreak/>
        <w:t>153.</w:t>
      </w:r>
      <w:r>
        <w:tab/>
        <w:t>В настоящее время Султанат разрабатывает свою концепцию будущего страны на период до 2040 года, которая будет строиться вокруг трех основных элементов: «человек и общество» (с упором на то, что гражданин Омана является основой и целью общего процесса развития, и на важность построения динамичного общества, обеспечивающего благосостояние и процветание граждан); «экономика и развитие» (приоритетное внимание уделяется созданию процветающей и диверсифицированной экономики и высвобождению всего национального экономического потенциала, созданию рабочих мест и обеспечению надлежащего распределения потенциала в области развития между различными мухафазами в целях обеспечения их роста и процветания); и «благое управление и институциональная эффективность» (цель состоит в том, чтобы претворять в жизнь принципы благого управления и верховенства права для обеспечения оптимального использования имеющихся ресурсов и улучшения оказания услуг). Ожидается, что предварительный проект разработанной Султанатом концепции будущего на период до 2040 года будет опубликован Высшим советом по планированию в конце 2018 года.</w:t>
      </w:r>
    </w:p>
    <w:p w14:paraId="1B8361FC" w14:textId="77777777" w:rsidR="00102DE3" w:rsidRPr="001F4E84" w:rsidRDefault="00102DE3" w:rsidP="00102DE3">
      <w:pPr>
        <w:pStyle w:val="HChG"/>
      </w:pPr>
      <w:r>
        <w:rPr>
          <w:bCs/>
        </w:rPr>
        <w:tab/>
        <w:t>III.</w:t>
      </w:r>
      <w:r>
        <w:tab/>
      </w:r>
      <w:proofErr w:type="spellStart"/>
      <w:r>
        <w:rPr>
          <w:bCs/>
        </w:rPr>
        <w:t>Недискриминация</w:t>
      </w:r>
      <w:proofErr w:type="spellEnd"/>
      <w:r>
        <w:rPr>
          <w:bCs/>
        </w:rPr>
        <w:t>, равенство и средства правовой защиты</w:t>
      </w:r>
    </w:p>
    <w:p w14:paraId="1A52B453" w14:textId="77777777" w:rsidR="00102DE3" w:rsidRPr="001F4E84" w:rsidRDefault="00102DE3" w:rsidP="00102DE3">
      <w:pPr>
        <w:pStyle w:val="H1G"/>
      </w:pPr>
      <w:r>
        <w:rPr>
          <w:bCs/>
        </w:rPr>
        <w:tab/>
        <w:t>A.</w:t>
      </w:r>
      <w:r>
        <w:tab/>
      </w:r>
      <w:proofErr w:type="spellStart"/>
      <w:r>
        <w:rPr>
          <w:bCs/>
        </w:rPr>
        <w:t>Недискриминация</w:t>
      </w:r>
      <w:proofErr w:type="spellEnd"/>
      <w:r>
        <w:rPr>
          <w:bCs/>
        </w:rPr>
        <w:t xml:space="preserve"> и равенство</w:t>
      </w:r>
    </w:p>
    <w:p w14:paraId="71DC9B55" w14:textId="77777777" w:rsidR="00102DE3" w:rsidRPr="001F4E84" w:rsidRDefault="00102DE3" w:rsidP="00102DE3">
      <w:pPr>
        <w:pStyle w:val="SingleTxtG"/>
        <w:spacing w:before="120"/>
        <w:rPr>
          <w:bCs/>
        </w:rPr>
      </w:pPr>
      <w:r>
        <w:t>154.</w:t>
      </w:r>
      <w:r>
        <w:tab/>
        <w:t>Органы исполнительной, законодательной и судебной власти, а также организации гражданского общества уделяют всестороннее внимание вопросу равенства и запрещения всех форм дискриминации.</w:t>
      </w:r>
      <w:r w:rsidRPr="00902507">
        <w:t xml:space="preserve"> </w:t>
      </w:r>
      <w:r>
        <w:t xml:space="preserve">Два этих принципа закреплены в статье 9 Основного закона в следующей формулировке: «Власть основывается на справедливости, консультациях, равенстве и праве граждан на участие в государственных делах». Что касается статьи 17, то в ней также упоминаются принципы равенства и </w:t>
      </w:r>
      <w:proofErr w:type="spellStart"/>
      <w:r>
        <w:t>недискриминации</w:t>
      </w:r>
      <w:proofErr w:type="spellEnd"/>
      <w:r>
        <w:t>: «Все граждане равны перед законом и имеют одинаковые права и обязанности без какой-либо дискриминации по признаку пола, происхождения, цвета кожи, языка, религии, вероисповедания, места проживания или социального положения». Кроме того, в соответствии со статьей 35, иностранцы, проживающие в Султанате, пользуются правовой защитой своей личности и имущества. Эти принципы, закрепленные в Основном законе, подтверждены во всех национальных законах, и именно на них основывается присоединение Султаната к Международной конвенции о ликвидации всех форм расовой дискриминации, Конвенции о ликвидации всех форм дискриминации в отношении женщин, а также к другим договорам по правам человека, запрещающим дискриминацию и устанавливающим равенство.</w:t>
      </w:r>
    </w:p>
    <w:p w14:paraId="373FFB26" w14:textId="77777777" w:rsidR="00102DE3" w:rsidRPr="001F4E84" w:rsidRDefault="00102DE3" w:rsidP="00102DE3">
      <w:pPr>
        <w:pStyle w:val="SingleTxtG"/>
        <w:spacing w:before="120"/>
        <w:rPr>
          <w:bCs/>
        </w:rPr>
      </w:pPr>
      <w:r>
        <w:t>155.</w:t>
      </w:r>
      <w:r>
        <w:tab/>
        <w:t>При разработке своих законов Султанат следил за тем, чтобы они соответствовали Основному закону и были свободны от какой-либо дискриминации по признакам, упомянутым в статье 17. В этой связи в статье 2 b) Кодекса законов о детях, обнародованного указом султана № 22/2004, закреплено право не подвергаться дискриминации по признаку цвета кожи, пола, происхождения, языка, религии, социального положения или по любому другому признаку.</w:t>
      </w:r>
    </w:p>
    <w:p w14:paraId="2C92B09B" w14:textId="77777777" w:rsidR="00102DE3" w:rsidRPr="001F4E84" w:rsidRDefault="00102DE3" w:rsidP="00102DE3">
      <w:pPr>
        <w:pStyle w:val="SingleTxtG"/>
        <w:spacing w:before="120"/>
        <w:rPr>
          <w:bCs/>
        </w:rPr>
      </w:pPr>
      <w:r>
        <w:t>156.</w:t>
      </w:r>
      <w:r>
        <w:tab/>
        <w:t xml:space="preserve">Изложенные в Основном законе руководящие принципы, регулирующие деятельность государства в политической, экономической, социальной и культурной областях, а также в сфере безопасности, запрещают дискриминацию во всех ее формах и гарантируют каждому человеку осуществление его прав в вышеупомянутых областях на равноправной основе. В рамках борьбы с дискриминацией Султанат принял законы, устанавливающие уголовную ответственность за любые акты расовой дискриминации. В этой связи Уголовный кодекс, обнародованный указом султана № 7/2018, устанавливает уголовную ответственность за любое подстрекательство к расовой дискриминации и в статье 108 предусматривает следующее: «Любое лицо, поощряющее религиозные или конфессиональные беспорядки... наказывается лишением свободы на срок до </w:t>
      </w:r>
      <w:r w:rsidR="009D71E0">
        <w:t>десяти</w:t>
      </w:r>
      <w:r>
        <w:t xml:space="preserve"> лет». Из этого текста </w:t>
      </w:r>
      <w:r>
        <w:lastRenderedPageBreak/>
        <w:t>следует, что законодательство Султаната запрещает дискриминацию во всех ее формах и предусматривает суровые наказания для лиц, признанных виновными в ней.</w:t>
      </w:r>
    </w:p>
    <w:p w14:paraId="128DEEF2" w14:textId="77777777" w:rsidR="00102DE3" w:rsidRPr="001F4E84" w:rsidRDefault="00102DE3" w:rsidP="00102DE3">
      <w:pPr>
        <w:pStyle w:val="SingleTxtG"/>
        <w:spacing w:before="120"/>
        <w:rPr>
          <w:bCs/>
        </w:rPr>
      </w:pPr>
      <w:r>
        <w:t>157.</w:t>
      </w:r>
      <w:r>
        <w:tab/>
        <w:t>Трудовой кодекс и Закон о государственной гражданской службе устанавливают равенство мужчин и женщин в отношении права на труд и его практических последствий. Так, женщины составляют 41,5% работников государственного сектора и 24% трудящихся частного сектора. Они добились также успехов в области государственного управления, где занимают 21% руководящих должностей старшего и среднего звена.</w:t>
      </w:r>
    </w:p>
    <w:p w14:paraId="6A147C13" w14:textId="77777777" w:rsidR="00102DE3" w:rsidRPr="001F4E84" w:rsidRDefault="00102DE3" w:rsidP="00102DE3">
      <w:pPr>
        <w:pStyle w:val="SingleTxtG"/>
        <w:spacing w:before="120"/>
        <w:rPr>
          <w:bCs/>
        </w:rPr>
      </w:pPr>
      <w:r>
        <w:t>158.</w:t>
      </w:r>
      <w:r>
        <w:tab/>
        <w:t xml:space="preserve">В рамках своей политики в области образования Султанат гарантирует принцип равенства и </w:t>
      </w:r>
      <w:proofErr w:type="spellStart"/>
      <w:r>
        <w:t>недискриминации</w:t>
      </w:r>
      <w:proofErr w:type="spellEnd"/>
      <w:r>
        <w:t xml:space="preserve"> как в государственных, так и в частных школах, где любое лицо имеет право на образование без каких-либо различий между гражданами и резидентами страны. Согласно принципу сосуществования лиц независимо от их гражданства, многочисленные концепции, касающиеся равенства и </w:t>
      </w:r>
      <w:proofErr w:type="spellStart"/>
      <w:r>
        <w:t>недискриминации</w:t>
      </w:r>
      <w:proofErr w:type="spellEnd"/>
      <w:r>
        <w:t>, включены в образовательные программы в виде текстов и изображений, иллюстрирующих участие семей различного этнического происхождения в разных видах деятельности. Таким образом поощряются принятие друг друга независимо от гражданства и сосуществование с другими людьми независимо от их внешнего вида и цвета кожи. Кроме того, Султанат принял политику, необходимую для ускорения достижения гендерного равенства в сфере образования, обеспечив охват девочек школьным образованием на уровне 50%. В настоящее время девочки составляют 55% всех студентов университета.</w:t>
      </w:r>
    </w:p>
    <w:p w14:paraId="2EE8CDA7" w14:textId="77777777" w:rsidR="00102DE3" w:rsidRPr="001F4E84" w:rsidRDefault="00102DE3" w:rsidP="00102DE3">
      <w:pPr>
        <w:pStyle w:val="SingleTxtG"/>
        <w:spacing w:before="120"/>
        <w:rPr>
          <w:bCs/>
        </w:rPr>
      </w:pPr>
      <w:r>
        <w:t>159.</w:t>
      </w:r>
      <w:r>
        <w:tab/>
        <w:t>Помимо того, что некоторые стипендии на обучение за рубежом выделяются только девочкам, в 2016 году девочки составили 54% от общего числа оманских студентов, поступивших в местные и зарубежные учебные заведения. В 2016 году количество выпускниц высших учебных заведений увеличилось на 93% по сравнению с 2012 годом, и женщины составили 59,3% от общего числа выпускников.</w:t>
      </w:r>
    </w:p>
    <w:p w14:paraId="342656F6" w14:textId="77777777" w:rsidR="00102DE3" w:rsidRPr="001F4E84" w:rsidRDefault="00102DE3" w:rsidP="00102DE3">
      <w:pPr>
        <w:pStyle w:val="SingleTxtG"/>
        <w:spacing w:before="120"/>
        <w:rPr>
          <w:bCs/>
        </w:rPr>
      </w:pPr>
      <w:r>
        <w:t>160.</w:t>
      </w:r>
      <w:r>
        <w:tab/>
        <w:t>Султанат стремится обеспечить равномерное распределение услуг в области здравоохранения, образования и в прочих сферах между всеми регионами страны, не проводя различий между сельскими и городскими районами. Национальное законодательство гарантирует защиту лиц, принадлежащих к группам населения с низким уровнем дохода, таким как разведенные женщины, вдовы и инвалиды, которым назначается пенсия в соответствии с правилами, установленными указом султана № 87/84.</w:t>
      </w:r>
    </w:p>
    <w:p w14:paraId="3DE2E64C" w14:textId="77777777" w:rsidR="00102DE3" w:rsidRPr="001F4E84" w:rsidRDefault="00102DE3" w:rsidP="00102DE3">
      <w:pPr>
        <w:pStyle w:val="SingleTxtG"/>
        <w:spacing w:before="120"/>
        <w:rPr>
          <w:bCs/>
        </w:rPr>
      </w:pPr>
      <w:r>
        <w:t>161.</w:t>
      </w:r>
      <w:r>
        <w:tab/>
        <w:t xml:space="preserve">Султанат обеспечивает поощрение принципов равенства и соблюдения прав человека посредством проведения информационных кампаний в средствах массовой информации и реализации просветительских программ. Таким образом, никакого различия между различными группами населения не проводится, поскольку все жители Султаната находятся под защитой государства, постоянно стремящегося к построению гармоничного общества. </w:t>
      </w:r>
    </w:p>
    <w:p w14:paraId="44A9BDA9" w14:textId="77777777" w:rsidR="00102DE3" w:rsidRPr="001F4E84" w:rsidRDefault="00102DE3" w:rsidP="00102DE3">
      <w:pPr>
        <w:pStyle w:val="SingleTxtG"/>
        <w:spacing w:before="120"/>
        <w:rPr>
          <w:bCs/>
        </w:rPr>
      </w:pPr>
      <w:r>
        <w:t>162.</w:t>
      </w:r>
      <w:r>
        <w:tab/>
        <w:t>Власти принимают временные меры, направленные на ускорение достижения равенства между мужчинами и женщинами. В частности, они оказывают медийную поддержку женщинам-кандидатам в члены Консультативного совета и муниципальных советов в целях содействия их избранию и закрепляют за женщинами</w:t>
      </w:r>
      <w:r w:rsidRPr="00E92152">
        <w:t xml:space="preserve"> </w:t>
      </w:r>
      <w:r>
        <w:t>стипендии на обучение за рубежом. В 2012 году в состав муниципальных советов впервые вошли четыре женщины. В декабре 2016 года женщины получили семь мест на муниципальных выборах. Аналогичным образом, доля участия женщин</w:t>
      </w:r>
      <w:r w:rsidR="00474302">
        <w:noBreakHyphen/>
      </w:r>
      <w:r>
        <w:t xml:space="preserve">избирателей в муниципальных выборах выросла с 28,6% на первых выборах до 46% на вторых. </w:t>
      </w:r>
    </w:p>
    <w:p w14:paraId="3EDDE43F" w14:textId="77777777" w:rsidR="00102DE3" w:rsidRPr="001F4E84" w:rsidRDefault="00102DE3" w:rsidP="00102DE3">
      <w:pPr>
        <w:pStyle w:val="H1G"/>
      </w:pPr>
      <w:r>
        <w:rPr>
          <w:bCs/>
        </w:rPr>
        <w:tab/>
        <w:t>B.</w:t>
      </w:r>
      <w:r>
        <w:rPr>
          <w:bCs/>
        </w:rPr>
        <w:tab/>
        <w:t>Эффективные средства правовой защиты</w:t>
      </w:r>
    </w:p>
    <w:p w14:paraId="618A1548" w14:textId="77777777" w:rsidR="00102DE3" w:rsidRPr="001F4E84" w:rsidRDefault="00102DE3" w:rsidP="00102DE3">
      <w:pPr>
        <w:pStyle w:val="SingleTxtG"/>
        <w:spacing w:before="120"/>
        <w:rPr>
          <w:bCs/>
        </w:rPr>
      </w:pPr>
      <w:r>
        <w:t>163.</w:t>
      </w:r>
      <w:r>
        <w:tab/>
        <w:t xml:space="preserve">Жители Султаната располагают широким спектром средств правовой защиты: они могут обращаться либо в компетентные суды, либо в одну из специализированных комиссий, таких как Национальная комиссия по правам человека. Доступ к правосудию является конституционным правом, гарантированным статьей 25 </w:t>
      </w:r>
      <w:r>
        <w:lastRenderedPageBreak/>
        <w:t>Основного закона: «Право на обращение в суд защищается и гарантируется для всех. В законе оговариваются порядок и условия осуществления этого права, и государство обеспечивает, насколько это возможно, приближение судебных органов к гражданам и ускорение судебных разбирательств». Статья 23 гласит: «В ходе судебного разбирательства обвиняемый имеет право быть представленным лицом, способным обеспечить его защиту. В законодательстве уточняются обстоятельства, требующие присутствия адвоката, и предусматривается возможность обращаться в суд и защищать свои права</w:t>
      </w:r>
      <w:r w:rsidRPr="00EB111D">
        <w:t xml:space="preserve"> </w:t>
      </w:r>
      <w:r>
        <w:t>для малоимущих». Таким образом, жертвы нарушений могут обращаться в суды различных видов и уровней, в зависимости от характера нарушенного права.</w:t>
      </w:r>
    </w:p>
    <w:p w14:paraId="095F678A" w14:textId="77777777" w:rsidR="00102DE3" w:rsidRPr="001F4E84" w:rsidRDefault="00102DE3" w:rsidP="00102DE3">
      <w:pPr>
        <w:pStyle w:val="SingleTxtG"/>
        <w:spacing w:before="120"/>
        <w:rPr>
          <w:bCs/>
        </w:rPr>
      </w:pPr>
      <w:r>
        <w:t>164.</w:t>
      </w:r>
      <w:r>
        <w:tab/>
        <w:t xml:space="preserve">Национальные законы закрепляют право физических лиц, будь то граждане или резиденты страны, обращаться в суд. В частности, они гарантируют право требовать возмещения ущерба в рамках гражданского права. В этой связи в Гражданском кодексе, обнародованном указом султана № 29/2013, определяется процедура, которую необходимо соблюдать для получения компенсации за причиненный ущерб. Кроме того, пострадавшие могут добиваться возмещения ущерба в соответствии со статьей 20 Уголовно-процессуального кодекса, которая гласит: «Любое лицо, которое считает, что ему непосредственно нанесен ущерб в результате преступления, может подать на ответчика в уголовный суд за гражданские убытки на любой стадии разбирательства при условии, что сделает это до завершения состязательного процесса». </w:t>
      </w:r>
    </w:p>
    <w:p w14:paraId="2C13E0B1" w14:textId="77777777" w:rsidR="00102DE3" w:rsidRPr="001F4E84" w:rsidRDefault="00102DE3" w:rsidP="00102DE3">
      <w:pPr>
        <w:pStyle w:val="SingleTxtG"/>
        <w:spacing w:before="120"/>
        <w:rPr>
          <w:bCs/>
        </w:rPr>
      </w:pPr>
      <w:r>
        <w:t>165.</w:t>
      </w:r>
      <w:r>
        <w:tab/>
        <w:t>Уголовный кодекс, обнародованный указом султана № 7/2018, представляет собой важный шаг вперед в уголовном законодательстве. Целая глава Кодекса посвящена положениям, предусматривающим уголовную ответственность за воспрепятствование судебному разбирательству и введение правосудия в заблуждение.</w:t>
      </w:r>
    </w:p>
    <w:p w14:paraId="119FABB0" w14:textId="77777777" w:rsidR="00102DE3" w:rsidRPr="001F4E84" w:rsidRDefault="00102DE3" w:rsidP="00102DE3">
      <w:pPr>
        <w:pStyle w:val="SingleTxtG"/>
        <w:spacing w:before="120"/>
        <w:rPr>
          <w:bCs/>
        </w:rPr>
      </w:pPr>
      <w:r>
        <w:t>166.</w:t>
      </w:r>
      <w:r>
        <w:tab/>
        <w:t>Сторонам, не имеющим достаточных средств, предоставляется правовая помощь; она состоит в освобождении от оплаты судебных издержек, а также от оплаты услуг адвоката в рамках процедур, когда закон требует его присутствия. В соответствии с нормативным актом о правовой помощи лицам, не имеющим достаточных средств, опубликованным в указе № 91/2009 Министерства юстиции от 14 февраля 2009 года, данное освобождение распространяется также на затраты на публикацию судебных уведомлений и оплату услуг экспертов.</w:t>
      </w:r>
    </w:p>
    <w:p w14:paraId="358A3A0F" w14:textId="77777777" w:rsidR="00102DE3" w:rsidRPr="001F4E84" w:rsidRDefault="00102DE3" w:rsidP="00102DE3">
      <w:pPr>
        <w:pStyle w:val="SingleTxtG"/>
        <w:spacing w:before="120"/>
        <w:rPr>
          <w:bCs/>
        </w:rPr>
      </w:pPr>
      <w:r>
        <w:t>167.</w:t>
      </w:r>
      <w:r>
        <w:tab/>
        <w:t xml:space="preserve">В соответствии с положениями, гарантирующими право несовершеннолетних на справедливое судебное разбирательство, участие адвоката в производстве по делам несовершеннолетних является обязательным. В этой связи в статье 39 Закона об отправлении правосудия в отношении несовершеннолетних говорится: «Родители несовершеннолетнего или других лиц, указанных в предыдущей статье, обязаны назначить адвоката для защиты несовершеннолетнего правонарушителя; в случае возникновения препятствий суд назначает адвоката </w:t>
      </w:r>
      <w:proofErr w:type="spellStart"/>
      <w:r>
        <w:t>ex</w:t>
      </w:r>
      <w:proofErr w:type="spellEnd"/>
      <w:r>
        <w:t xml:space="preserve"> </w:t>
      </w:r>
      <w:proofErr w:type="spellStart"/>
      <w:r>
        <w:t>officio</w:t>
      </w:r>
      <w:proofErr w:type="spellEnd"/>
      <w:r>
        <w:t xml:space="preserve">». </w:t>
      </w:r>
    </w:p>
    <w:p w14:paraId="12E210FE" w14:textId="77777777" w:rsidR="00102DE3" w:rsidRPr="001F4E84" w:rsidRDefault="00102DE3" w:rsidP="00102DE3">
      <w:pPr>
        <w:pStyle w:val="SingleTxtG"/>
        <w:spacing w:before="120"/>
        <w:rPr>
          <w:bCs/>
        </w:rPr>
      </w:pPr>
      <w:r>
        <w:t>168.</w:t>
      </w:r>
      <w:r>
        <w:tab/>
        <w:t>В соответствии с вышеупомянутыми положениями Основного закона государство приняло необходимые меры для приближения судебных органов к гражданам и ускорения судебных разбирательств. С учетом географических масштабов Султаната власти обеспечивают, чтобы во всех провинциях и мухафазах страны действовали обычные и административные суды всех уровней. Отправление правосудия возложено на следующие судебные органы:</w:t>
      </w:r>
    </w:p>
    <w:p w14:paraId="05B294F4" w14:textId="77777777" w:rsidR="00102DE3" w:rsidRPr="001F4E84" w:rsidRDefault="00102DE3" w:rsidP="00102DE3">
      <w:pPr>
        <w:pStyle w:val="H23G"/>
      </w:pPr>
      <w:r>
        <w:rPr>
          <w:bCs/>
        </w:rPr>
        <w:tab/>
        <w:t>a)</w:t>
      </w:r>
      <w:r>
        <w:rPr>
          <w:bCs/>
        </w:rPr>
        <w:tab/>
        <w:t>Верховный суд</w:t>
      </w:r>
    </w:p>
    <w:p w14:paraId="2F08FC5B" w14:textId="77777777" w:rsidR="00102DE3" w:rsidRPr="001F4E84" w:rsidRDefault="00102DE3" w:rsidP="00102DE3">
      <w:pPr>
        <w:pStyle w:val="SingleTxtG"/>
        <w:spacing w:before="120"/>
        <w:rPr>
          <w:bCs/>
        </w:rPr>
      </w:pPr>
      <w:r>
        <w:t>169.</w:t>
      </w:r>
      <w:r>
        <w:tab/>
        <w:t xml:space="preserve">Высшей судебной инстанцией страны является Верховный суд. Он был создан во исполнение Закона о судебной власти, обнародованного указом султана № 90/90 с внесенными в него поправками. Это единый судебный орган со штаб-квартирой в Маскате. В его состав входят Председатель, а также ряд заместителей Председателя и магистратов. Он уполномочен рассматривать апелляции сторон судебного разбирательства на окончательные решения, вынесенные судами. Кроме того, он уполномочен рассматривать апелляции на окончательные судебные решения, </w:t>
      </w:r>
      <w:r>
        <w:lastRenderedPageBreak/>
        <w:t>вынесенные Генеральным прокурором, если считает, что суд нарушил, неправильно истолковал или неправильно применил закон.</w:t>
      </w:r>
    </w:p>
    <w:p w14:paraId="06C5ECE1" w14:textId="77777777" w:rsidR="00102DE3" w:rsidRPr="001F4E84" w:rsidRDefault="00102DE3" w:rsidP="00102DE3">
      <w:pPr>
        <w:pStyle w:val="H23G"/>
      </w:pPr>
      <w:bookmarkStart w:id="13" w:name="_Hlk16345354"/>
      <w:r>
        <w:rPr>
          <w:bCs/>
        </w:rPr>
        <w:tab/>
        <w:t>b)</w:t>
      </w:r>
      <w:r>
        <w:rPr>
          <w:bCs/>
        </w:rPr>
        <w:tab/>
        <w:t>Апелляционные суды (судебные органы второй ступени)</w:t>
      </w:r>
    </w:p>
    <w:bookmarkEnd w:id="13"/>
    <w:p w14:paraId="721D2197" w14:textId="77777777" w:rsidR="00102DE3" w:rsidRPr="001F4E84" w:rsidRDefault="00102DE3" w:rsidP="00102DE3">
      <w:pPr>
        <w:pStyle w:val="SingleTxtG"/>
        <w:spacing w:before="120"/>
        <w:rPr>
          <w:bCs/>
        </w:rPr>
      </w:pPr>
      <w:r>
        <w:t>170.</w:t>
      </w:r>
      <w:r>
        <w:tab/>
        <w:t>В компетенцию апелляционных судов входит рассмотрение апелляций на решения судов первой инстанции, подлежащие обжалованию в соответствии с законодательством. Такие суды не уполномочены рассматривать дела в первой инстанции, поскольку апелляция является средством обращения не к судьям, рассматривавшим дело, а к другим магистратам в целях исправления ошибки, допущенной в первой инстанции. Апелляционные суды были созданы на основании указов султана. В их состав входят Председатель и ряд судей. При необходимости создаются апелляционные палаты. Председателем апелляционной палаты является Председатель апелляционного суда и его старшие судьи. Решения принимаются тремя судьями. В настоящее время в Султанате насчитывается 13 апелляционных судов, распределенных по всем мухафазам.</w:t>
      </w:r>
    </w:p>
    <w:p w14:paraId="629EA45A" w14:textId="77777777" w:rsidR="00102DE3" w:rsidRPr="001F4E84" w:rsidRDefault="00102DE3" w:rsidP="00102DE3">
      <w:pPr>
        <w:pStyle w:val="H23G"/>
      </w:pPr>
      <w:r>
        <w:rPr>
          <w:bCs/>
        </w:rPr>
        <w:tab/>
        <w:t>c)</w:t>
      </w:r>
      <w:r>
        <w:rPr>
          <w:bCs/>
        </w:rPr>
        <w:tab/>
        <w:t>Суды первой инстанции</w:t>
      </w:r>
    </w:p>
    <w:p w14:paraId="7B13EC54" w14:textId="77777777" w:rsidR="00102DE3" w:rsidRPr="001F4E84" w:rsidRDefault="00102DE3" w:rsidP="00102DE3">
      <w:pPr>
        <w:pStyle w:val="SingleTxtG"/>
        <w:spacing w:before="120"/>
        <w:rPr>
          <w:bCs/>
        </w:rPr>
      </w:pPr>
      <w:r>
        <w:t>171.</w:t>
      </w:r>
      <w:r>
        <w:tab/>
        <w:t>Суды первой инстанции рассматривают дела в первой инстанции. Они состоят из одного судьи или коллегии из трех судей. В настоящее время в Султанате насчитывается 44 суда первой инстанции, распределенных по всем регионам страны и имеющих в своем составе председателя и ряд судей. В случае необходимости могут создаваться палаты под председательством магистрата не ниже первого судьи суда первой инстанции.</w:t>
      </w:r>
    </w:p>
    <w:p w14:paraId="465E5856" w14:textId="77777777" w:rsidR="00102DE3" w:rsidRPr="001F4E84" w:rsidRDefault="00102DE3" w:rsidP="00102DE3">
      <w:pPr>
        <w:pStyle w:val="SingleTxtG"/>
        <w:spacing w:before="120"/>
        <w:rPr>
          <w:bCs/>
        </w:rPr>
      </w:pPr>
      <w:r>
        <w:t>172.</w:t>
      </w:r>
      <w:r>
        <w:tab/>
        <w:t xml:space="preserve">Жалобы на действия государственного административного аппарата могут подаваться в административный суд, положение о котором было обнародовано указом султана № 91/99 с поправками, внесенными указом султана № 3/2009, и который является независимым судебным органом для урегулирования административных споров, касающихся, в частности, государственных служащих, административных решений, требований о возмещении ущерба и административных договоров. В соответствии со статьей 2 Закона об административном суде в состав этого судебного органа входят палаты первой инстанции и по крайней мере одна апелляционная палата. В настоящее время Султанат располагает тремя палатами первой инстанции и двумя апелляционными палатами, расположенными в месте нахождения суда в Маскате. В соответствии с целью приближения судебных органов к гражданам и сокращения сроков судебных разбирательств 18 июня 2006 года в </w:t>
      </w:r>
      <w:proofErr w:type="spellStart"/>
      <w:r>
        <w:t>Салале</w:t>
      </w:r>
      <w:proofErr w:type="spellEnd"/>
      <w:r>
        <w:t xml:space="preserve"> была создана судебная палата в соответствии с указом султана № 61/2006. Еще одна судебная палата была создана в Сухаре 5 декабря 2010 года в соответствии с указом султана № 118/2010.</w:t>
      </w:r>
    </w:p>
    <w:p w14:paraId="2C6FC4F8" w14:textId="77777777" w:rsidR="00102DE3" w:rsidRPr="001F4E84" w:rsidRDefault="00102DE3" w:rsidP="00102DE3">
      <w:pPr>
        <w:pStyle w:val="H23G"/>
      </w:pPr>
      <w:r>
        <w:rPr>
          <w:bCs/>
        </w:rPr>
        <w:tab/>
        <w:t>d)</w:t>
      </w:r>
      <w:r>
        <w:rPr>
          <w:bCs/>
        </w:rPr>
        <w:tab/>
        <w:t>Апелляционные комиссии</w:t>
      </w:r>
    </w:p>
    <w:p w14:paraId="56E41CE2" w14:textId="77777777" w:rsidR="00102DE3" w:rsidRPr="001F4E84" w:rsidRDefault="00102DE3" w:rsidP="00102DE3">
      <w:pPr>
        <w:pStyle w:val="SingleTxtG"/>
        <w:keepNext/>
        <w:spacing w:before="120"/>
        <w:rPr>
          <w:bCs/>
        </w:rPr>
      </w:pPr>
      <w:r>
        <w:t>173.</w:t>
      </w:r>
      <w:r>
        <w:tab/>
        <w:t>С учетом прав, которые Основной закон предоставляет гражданам в плане средств правовой защиты и социальной справедливости, а также в соответствии с положениями международных договоров, участником которых является Султанат, и принципов функционирования некоторых учреждений, в частности Парижских принципов, национальное законодательство предусматривает различные внесудебные средства правовой защиты, которые могут быть использованы комиссиями, занимающимися защитой прав граждан. Так, граждане могут воспользоваться несудебными средствами правовой защиты через различные комиссии, такие как:</w:t>
      </w:r>
    </w:p>
    <w:p w14:paraId="0834EC30" w14:textId="77777777" w:rsidR="00102DE3" w:rsidRPr="001F4E84" w:rsidRDefault="00102DE3" w:rsidP="00102DE3">
      <w:pPr>
        <w:pStyle w:val="H4G"/>
      </w:pPr>
      <w:r>
        <w:tab/>
        <w:t>a)</w:t>
      </w:r>
      <w:r>
        <w:tab/>
      </w:r>
      <w:r>
        <w:rPr>
          <w:iCs/>
        </w:rPr>
        <w:t>Национальная комиссия по правам человека</w:t>
      </w:r>
    </w:p>
    <w:p w14:paraId="715597FE" w14:textId="77777777" w:rsidR="00102DE3" w:rsidRPr="001F4E84" w:rsidRDefault="00102DE3" w:rsidP="00102DE3">
      <w:pPr>
        <w:pStyle w:val="SingleTxtG"/>
        <w:spacing w:before="120"/>
        <w:rPr>
          <w:bCs/>
        </w:rPr>
      </w:pPr>
      <w:r>
        <w:t>174.</w:t>
      </w:r>
      <w:r>
        <w:tab/>
        <w:t xml:space="preserve">Национальная комиссия по правам человека была создана во исполнение указа султана № 124/2008. В соответствии с законодательством она обладает правосубъектностью и пользуется административной и финансовой независимостью, что позволяет ей в полной мере выполнять свои функции. Комиссии было предоставлено множество полномочий в области прав человека, главное из которых заключается в отслеживании любых преступлений и нарушений в отношении этих прав и оказании помощи в их устранении. Закон требует от государственных </w:t>
      </w:r>
      <w:r>
        <w:lastRenderedPageBreak/>
        <w:t xml:space="preserve">административных органов сотрудничать с Комиссией и предоставлять ей все данные и информацию, необходимые для выполнения ее функций. Таким образом, лица, считающие себя жертвами нарушений своих прав, могут обратиться в Комиссию, которая обладает необходимыми полномочиями для обеспечения отправления правосудия. Комиссия создала круглосуточную телефонную линию для получения соответствующей информации и жалоб на нарушения прав, гарантированных Основным законом и другими существующими законами, а также международными договорами по правам человека, участником которых является Султанат. </w:t>
      </w:r>
      <w:r>
        <w:br/>
        <w:t>В 2016–2017 годах она получила более 80 запросов и жалоб и в сотрудничестве с соответствующими органами власти помогла урегулировать многие из них.</w:t>
      </w:r>
    </w:p>
    <w:p w14:paraId="7BB4F211" w14:textId="77777777" w:rsidR="00102DE3" w:rsidRPr="001F4E84" w:rsidRDefault="00102DE3" w:rsidP="00102DE3">
      <w:pPr>
        <w:pStyle w:val="H4G"/>
      </w:pPr>
      <w:r>
        <w:rPr>
          <w:iCs/>
        </w:rPr>
        <w:tab/>
        <w:t>b)</w:t>
      </w:r>
      <w:r>
        <w:tab/>
      </w:r>
      <w:r>
        <w:rPr>
          <w:iCs/>
        </w:rPr>
        <w:t>Комиссии по вопросам посредничества и примирения</w:t>
      </w:r>
    </w:p>
    <w:p w14:paraId="67B76DAF" w14:textId="77777777" w:rsidR="00102DE3" w:rsidRPr="001F4E84" w:rsidRDefault="00102DE3" w:rsidP="00102DE3">
      <w:pPr>
        <w:pStyle w:val="SingleTxtG"/>
        <w:spacing w:before="120"/>
        <w:rPr>
          <w:bCs/>
        </w:rPr>
      </w:pPr>
      <w:r>
        <w:t>175.</w:t>
      </w:r>
      <w:r>
        <w:tab/>
        <w:t>Комиссии по вопросам посредничества и примирения были созданы указом султана № 98/2005 от 28 ноября 2005 года. Они являются одним из важнейших элементов процесса восстановления справедливости и утверждения прав самым простым, быстрым и наименее затратным для граждан способом в соответствии с принципом, согласно которому правосудие является обязанностью и ответственностью государства. Эти комиссии, находящиеся в ведении Министерства юстиции, специализируются на урегулировании всех споров – до обращения в суд – путем примирения, независимо от того, является ли предмет спора гражданским, коммерческим или связанным с личным статусом. В соответствии со статьей 3 Закона о посредничестве и примирении обращение в эти комиссии является факультативным. Услуги комиссий ориентированы на граждан, резидентов и предприятия Омана. Статистические данные свидетельствуют о том, что ими пользуется значительное число людей, и это показывает, что общество осведомлено о преимуществах дружественного урегулирования споров. В 2014 году было подано 18 592 ходатайства об арбитраже, в 2015 году–18 047 ходатайств, а в 2016 году – 18 934 ходатайства.</w:t>
      </w:r>
    </w:p>
    <w:p w14:paraId="02F7C7FE" w14:textId="77777777" w:rsidR="00102DE3" w:rsidRPr="001F4E84" w:rsidRDefault="00102DE3" w:rsidP="00102DE3">
      <w:pPr>
        <w:pStyle w:val="H4G"/>
      </w:pPr>
      <w:r>
        <w:rPr>
          <w:iCs/>
        </w:rPr>
        <w:tab/>
        <w:t>c)</w:t>
      </w:r>
      <w:r>
        <w:tab/>
      </w:r>
      <w:r>
        <w:rPr>
          <w:iCs/>
        </w:rPr>
        <w:t>Комиссия по рассмотрению жалоб трудящихся</w:t>
      </w:r>
    </w:p>
    <w:p w14:paraId="76C00096" w14:textId="77777777" w:rsidR="00102DE3" w:rsidRPr="001F4E84" w:rsidRDefault="00102DE3" w:rsidP="00102DE3">
      <w:pPr>
        <w:pStyle w:val="SingleTxtG"/>
        <w:spacing w:before="120"/>
        <w:rPr>
          <w:bCs/>
        </w:rPr>
      </w:pPr>
      <w:r>
        <w:t>176.</w:t>
      </w:r>
      <w:r>
        <w:tab/>
        <w:t>Комиссия по рассмотрению жалоб трудящихся была учреждена указом № 10/2016 министра трудовых ресурсов. Ее председателем является представитель Министерства трудовых ресурсов. Задача Комиссии заключается в рассмотрении и урегулировании жалоб трудящихся и в контроле за выполнением достигнутых договоренностей. Согласно статье 2 вышеупомянутого указа, до рассмотрения спора она может обратиться в Главное управление по защите трудящихся с просьбой о проведении инспекции на рабочем месте в связи с жалобами работников.</w:t>
      </w:r>
    </w:p>
    <w:p w14:paraId="3EE365DE" w14:textId="77777777" w:rsidR="00102DE3" w:rsidRDefault="00102DE3" w:rsidP="00102DE3">
      <w:pPr>
        <w:pStyle w:val="SingleTxtG"/>
        <w:spacing w:before="120"/>
      </w:pPr>
      <w:r>
        <w:t>177.</w:t>
      </w:r>
      <w:r>
        <w:tab/>
        <w:t>В 2013–2017 годах Комиссией был рассмотрен 21 спор, касавшийся жалоб трудящихся. 7 дел были урегулированы, а 14 были переданы в соответствующий суд. Вместе с тем следует отметить, что большинство споров рассматрива</w:t>
      </w:r>
      <w:r w:rsidR="00D7623F">
        <w:t>е</w:t>
      </w:r>
      <w:r>
        <w:t>тся и урегулиру</w:t>
      </w:r>
      <w:r w:rsidR="00D7623F">
        <w:t>е</w:t>
      </w:r>
      <w:r>
        <w:t>тся социальными партнерами без необходимости обращения в Комиссию.</w:t>
      </w:r>
    </w:p>
    <w:p w14:paraId="34C7CB4B" w14:textId="77777777" w:rsidR="00102DE3" w:rsidRPr="00F448E7" w:rsidRDefault="00102DE3" w:rsidP="00102DE3">
      <w:pPr>
        <w:pStyle w:val="SingleTxtG"/>
        <w:spacing w:before="240" w:after="0"/>
        <w:jc w:val="center"/>
        <w:rPr>
          <w:bCs/>
          <w:u w:val="single"/>
        </w:rPr>
      </w:pPr>
      <w:r>
        <w:rPr>
          <w:u w:val="single"/>
        </w:rPr>
        <w:tab/>
      </w:r>
      <w:r>
        <w:rPr>
          <w:u w:val="single"/>
        </w:rPr>
        <w:tab/>
      </w:r>
      <w:r>
        <w:rPr>
          <w:u w:val="single"/>
        </w:rPr>
        <w:tab/>
      </w:r>
      <w:r>
        <w:rPr>
          <w:u w:val="single"/>
        </w:rPr>
        <w:tab/>
      </w:r>
    </w:p>
    <w:sectPr w:rsidR="00102DE3" w:rsidRPr="00F448E7" w:rsidSect="00102D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C956" w14:textId="77777777" w:rsidR="006C21F0" w:rsidRPr="00A312BC" w:rsidRDefault="006C21F0" w:rsidP="00A312BC"/>
  </w:endnote>
  <w:endnote w:type="continuationSeparator" w:id="0">
    <w:p w14:paraId="16FFE23F" w14:textId="77777777" w:rsidR="006C21F0" w:rsidRPr="00A312BC" w:rsidRDefault="006C21F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FA84" w14:textId="77777777" w:rsidR="00102DE3" w:rsidRPr="00102DE3" w:rsidRDefault="00102DE3">
    <w:pPr>
      <w:pStyle w:val="a8"/>
    </w:pPr>
    <w:r w:rsidRPr="00102DE3">
      <w:rPr>
        <w:b/>
        <w:sz w:val="18"/>
      </w:rPr>
      <w:fldChar w:fldCharType="begin"/>
    </w:r>
    <w:r w:rsidRPr="00102DE3">
      <w:rPr>
        <w:b/>
        <w:sz w:val="18"/>
      </w:rPr>
      <w:instrText xml:space="preserve"> PAGE  \* MERGEFORMAT </w:instrText>
    </w:r>
    <w:r w:rsidRPr="00102DE3">
      <w:rPr>
        <w:b/>
        <w:sz w:val="18"/>
      </w:rPr>
      <w:fldChar w:fldCharType="separate"/>
    </w:r>
    <w:r w:rsidRPr="00102DE3">
      <w:rPr>
        <w:b/>
        <w:noProof/>
        <w:sz w:val="18"/>
      </w:rPr>
      <w:t>2</w:t>
    </w:r>
    <w:r w:rsidRPr="00102DE3">
      <w:rPr>
        <w:b/>
        <w:sz w:val="18"/>
      </w:rPr>
      <w:fldChar w:fldCharType="end"/>
    </w:r>
    <w:r>
      <w:rPr>
        <w:b/>
        <w:sz w:val="18"/>
      </w:rPr>
      <w:tab/>
    </w:r>
    <w:r>
      <w:t>GE.19-11266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2163" w14:textId="77777777" w:rsidR="00102DE3" w:rsidRPr="00102DE3" w:rsidRDefault="00102DE3" w:rsidP="00102DE3">
    <w:pPr>
      <w:pStyle w:val="a8"/>
      <w:tabs>
        <w:tab w:val="clear" w:pos="9639"/>
        <w:tab w:val="right" w:pos="9638"/>
      </w:tabs>
      <w:rPr>
        <w:b/>
        <w:sz w:val="18"/>
      </w:rPr>
    </w:pPr>
    <w:r>
      <w:t>GE.19-11266</w:t>
    </w:r>
    <w:r>
      <w:tab/>
    </w:r>
    <w:r w:rsidRPr="00102DE3">
      <w:rPr>
        <w:b/>
        <w:sz w:val="18"/>
      </w:rPr>
      <w:fldChar w:fldCharType="begin"/>
    </w:r>
    <w:r w:rsidRPr="00102DE3">
      <w:rPr>
        <w:b/>
        <w:sz w:val="18"/>
      </w:rPr>
      <w:instrText xml:space="preserve"> PAGE  \* MERGEFORMAT </w:instrText>
    </w:r>
    <w:r w:rsidRPr="00102DE3">
      <w:rPr>
        <w:b/>
        <w:sz w:val="18"/>
      </w:rPr>
      <w:fldChar w:fldCharType="separate"/>
    </w:r>
    <w:r w:rsidRPr="00102DE3">
      <w:rPr>
        <w:b/>
        <w:noProof/>
        <w:sz w:val="18"/>
      </w:rPr>
      <w:t>3</w:t>
    </w:r>
    <w:r w:rsidRPr="00102D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B0E4" w14:textId="77777777" w:rsidR="00042B72" w:rsidRPr="00102DE3" w:rsidRDefault="00102DE3" w:rsidP="00102DE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281AC41" wp14:editId="43B9E63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11266  (</w:t>
    </w:r>
    <w:proofErr w:type="gramEnd"/>
    <w:r>
      <w:t>R)</w:t>
    </w:r>
    <w:r>
      <w:rPr>
        <w:lang w:val="en-US"/>
      </w:rPr>
      <w:t xml:space="preserve">  131219  1</w:t>
    </w:r>
    <w:r w:rsidR="00321F80">
      <w:rPr>
        <w:lang w:val="en-US"/>
      </w:rPr>
      <w:t>7</w:t>
    </w:r>
    <w:r>
      <w:rPr>
        <w:lang w:val="en-US"/>
      </w:rPr>
      <w:t>1219</w:t>
    </w:r>
    <w:r>
      <w:br/>
    </w:r>
    <w:r w:rsidRPr="00102DE3">
      <w:rPr>
        <w:rFonts w:ascii="C39T30Lfz" w:hAnsi="C39T30Lfz"/>
        <w:kern w:val="14"/>
        <w:sz w:val="56"/>
      </w:rPr>
      <w:t></w:t>
    </w:r>
    <w:r w:rsidRPr="00102DE3">
      <w:rPr>
        <w:rFonts w:ascii="C39T30Lfz" w:hAnsi="C39T30Lfz"/>
        <w:kern w:val="14"/>
        <w:sz w:val="56"/>
      </w:rPr>
      <w:t></w:t>
    </w:r>
    <w:r w:rsidRPr="00102DE3">
      <w:rPr>
        <w:rFonts w:ascii="C39T30Lfz" w:hAnsi="C39T30Lfz"/>
        <w:kern w:val="14"/>
        <w:sz w:val="56"/>
      </w:rPr>
      <w:t></w:t>
    </w:r>
    <w:r w:rsidRPr="00102DE3">
      <w:rPr>
        <w:rFonts w:ascii="C39T30Lfz" w:hAnsi="C39T30Lfz"/>
        <w:kern w:val="14"/>
        <w:sz w:val="56"/>
      </w:rPr>
      <w:t></w:t>
    </w:r>
    <w:r w:rsidRPr="00102DE3">
      <w:rPr>
        <w:rFonts w:ascii="C39T30Lfz" w:hAnsi="C39T30Lfz"/>
        <w:kern w:val="14"/>
        <w:sz w:val="56"/>
      </w:rPr>
      <w:t></w:t>
    </w:r>
    <w:r w:rsidRPr="00102DE3">
      <w:rPr>
        <w:rFonts w:ascii="C39T30Lfz" w:hAnsi="C39T30Lfz"/>
        <w:kern w:val="14"/>
        <w:sz w:val="56"/>
      </w:rPr>
      <w:t></w:t>
    </w:r>
    <w:r w:rsidRPr="00102DE3">
      <w:rPr>
        <w:rFonts w:ascii="C39T30Lfz" w:hAnsi="C39T30Lfz"/>
        <w:kern w:val="14"/>
        <w:sz w:val="56"/>
      </w:rPr>
      <w:t></w:t>
    </w:r>
    <w:r w:rsidRPr="00102DE3">
      <w:rPr>
        <w:rFonts w:ascii="C39T30Lfz" w:hAnsi="C39T30Lfz"/>
        <w:kern w:val="14"/>
        <w:sz w:val="56"/>
      </w:rPr>
      <w:t></w:t>
    </w:r>
    <w:r w:rsidRPr="00102DE3">
      <w:rPr>
        <w:rFonts w:ascii="C39T30Lfz" w:hAnsi="C39T30Lfz"/>
        <w:kern w:val="14"/>
        <w:sz w:val="56"/>
      </w:rPr>
      <w:t></w:t>
    </w:r>
    <w:r>
      <w:rPr>
        <w:noProof/>
      </w:rPr>
      <w:drawing>
        <wp:anchor distT="0" distB="0" distL="114300" distR="114300" simplePos="0" relativeHeight="251659264" behindDoc="0" locked="0" layoutInCell="1" allowOverlap="1" wp14:anchorId="4DC0E8ED" wp14:editId="7CB4B7FE">
          <wp:simplePos x="0" y="0"/>
          <wp:positionH relativeFrom="margin">
            <wp:posOffset>5489575</wp:posOffset>
          </wp:positionH>
          <wp:positionV relativeFrom="margin">
            <wp:posOffset>8855710</wp:posOffset>
          </wp:positionV>
          <wp:extent cx="561975" cy="561975"/>
          <wp:effectExtent l="0" t="0" r="9525" b="9525"/>
          <wp:wrapNone/>
          <wp:docPr id="2" name="Рисунок 1" descr="https://undocs.org/m2/QRCode.ashx?DS=HRI/CORE/OMN/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OMN/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65C4" w14:textId="77777777" w:rsidR="006C21F0" w:rsidRPr="001075E9" w:rsidRDefault="006C21F0" w:rsidP="001075E9">
      <w:pPr>
        <w:tabs>
          <w:tab w:val="right" w:pos="2155"/>
        </w:tabs>
        <w:spacing w:after="80" w:line="240" w:lineRule="auto"/>
        <w:ind w:left="680"/>
        <w:rPr>
          <w:u w:val="single"/>
        </w:rPr>
      </w:pPr>
      <w:r>
        <w:rPr>
          <w:u w:val="single"/>
        </w:rPr>
        <w:tab/>
      </w:r>
    </w:p>
  </w:footnote>
  <w:footnote w:type="continuationSeparator" w:id="0">
    <w:p w14:paraId="52949EDB" w14:textId="77777777" w:rsidR="006C21F0" w:rsidRDefault="006C21F0" w:rsidP="00407B78">
      <w:pPr>
        <w:tabs>
          <w:tab w:val="right" w:pos="2155"/>
        </w:tabs>
        <w:spacing w:after="80"/>
        <w:ind w:left="680"/>
        <w:rPr>
          <w:u w:val="single"/>
        </w:rPr>
      </w:pPr>
      <w:r>
        <w:rPr>
          <w:u w:val="single"/>
        </w:rPr>
        <w:tab/>
      </w:r>
    </w:p>
  </w:footnote>
  <w:footnote w:id="1">
    <w:p w14:paraId="3C037AB1" w14:textId="77777777" w:rsidR="00102DE3" w:rsidRPr="001F4E84" w:rsidRDefault="00102DE3" w:rsidP="00102DE3">
      <w:pPr>
        <w:pStyle w:val="ad"/>
      </w:pPr>
      <w:r>
        <w:tab/>
        <w:t>*</w:t>
      </w:r>
      <w:r>
        <w:tab/>
        <w:t>Настоящий документ выпускается без официального редактирования.</w:t>
      </w:r>
    </w:p>
  </w:footnote>
  <w:footnote w:id="2">
    <w:p w14:paraId="6C86B609" w14:textId="77777777" w:rsidR="00102DE3" w:rsidRPr="001F4E84" w:rsidRDefault="00102DE3" w:rsidP="00102DE3">
      <w:pPr>
        <w:pStyle w:val="ad"/>
      </w:pPr>
      <w:r>
        <w:tab/>
        <w:t>**</w:t>
      </w:r>
      <w:r>
        <w:tab/>
        <w:t>C приложением можно ознакомиться в архиве секретариата и на его веб-сайте.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4351" w14:textId="2CC0F72F" w:rsidR="00102DE3" w:rsidRPr="00102DE3" w:rsidRDefault="00E5062E">
    <w:pPr>
      <w:pStyle w:val="a5"/>
    </w:pPr>
    <w:r>
      <w:fldChar w:fldCharType="begin"/>
    </w:r>
    <w:r>
      <w:instrText xml:space="preserve"> TITLE  \* MERGEFORMAT </w:instrText>
    </w:r>
    <w:r>
      <w:fldChar w:fldCharType="separate"/>
    </w:r>
    <w:r>
      <w:t>HRI/CORE/OMN/2019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E1A5" w14:textId="439B30AC" w:rsidR="00102DE3" w:rsidRPr="00102DE3" w:rsidRDefault="00E5062E" w:rsidP="00102DE3">
    <w:pPr>
      <w:pStyle w:val="a5"/>
      <w:jc w:val="right"/>
    </w:pPr>
    <w:r>
      <w:fldChar w:fldCharType="begin"/>
    </w:r>
    <w:r>
      <w:instrText xml:space="preserve"> TITLE  \* MERGEFORMAT </w:instrText>
    </w:r>
    <w:r>
      <w:fldChar w:fldCharType="separate"/>
    </w:r>
    <w:r>
      <w:t>HRI/CORE/OMN/2019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926" w14:textId="77777777" w:rsidR="00102DE3" w:rsidRDefault="00102DE3" w:rsidP="00102DE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C24A3858"/>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 w:numId="22">
    <w:abstractNumId w:val="17"/>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F0"/>
    <w:rsid w:val="0003076C"/>
    <w:rsid w:val="00033EE1"/>
    <w:rsid w:val="00042B72"/>
    <w:rsid w:val="0005105F"/>
    <w:rsid w:val="000558BD"/>
    <w:rsid w:val="00081D9E"/>
    <w:rsid w:val="000B57E7"/>
    <w:rsid w:val="000B6373"/>
    <w:rsid w:val="000F09DF"/>
    <w:rsid w:val="000F61B2"/>
    <w:rsid w:val="00102DE3"/>
    <w:rsid w:val="001075E9"/>
    <w:rsid w:val="00180183"/>
    <w:rsid w:val="0018024D"/>
    <w:rsid w:val="00181061"/>
    <w:rsid w:val="0018649F"/>
    <w:rsid w:val="00196389"/>
    <w:rsid w:val="001B3EF6"/>
    <w:rsid w:val="001C7A89"/>
    <w:rsid w:val="001D3893"/>
    <w:rsid w:val="001F5C57"/>
    <w:rsid w:val="0020092A"/>
    <w:rsid w:val="00205084"/>
    <w:rsid w:val="00205D9D"/>
    <w:rsid w:val="002115B8"/>
    <w:rsid w:val="00231B15"/>
    <w:rsid w:val="00291476"/>
    <w:rsid w:val="002A2EFC"/>
    <w:rsid w:val="002B1258"/>
    <w:rsid w:val="002B7D46"/>
    <w:rsid w:val="002C0E18"/>
    <w:rsid w:val="002C6A31"/>
    <w:rsid w:val="002D5AAC"/>
    <w:rsid w:val="002E5067"/>
    <w:rsid w:val="002E5CA9"/>
    <w:rsid w:val="002E5D3E"/>
    <w:rsid w:val="002F405F"/>
    <w:rsid w:val="002F7EEC"/>
    <w:rsid w:val="00301299"/>
    <w:rsid w:val="003024DF"/>
    <w:rsid w:val="00307FB6"/>
    <w:rsid w:val="00317339"/>
    <w:rsid w:val="00321F80"/>
    <w:rsid w:val="00322004"/>
    <w:rsid w:val="003402C2"/>
    <w:rsid w:val="00365920"/>
    <w:rsid w:val="00373BCE"/>
    <w:rsid w:val="00381C24"/>
    <w:rsid w:val="003958D0"/>
    <w:rsid w:val="003A3691"/>
    <w:rsid w:val="003A3D90"/>
    <w:rsid w:val="003B00E5"/>
    <w:rsid w:val="00407B78"/>
    <w:rsid w:val="00424203"/>
    <w:rsid w:val="00452493"/>
    <w:rsid w:val="00454E07"/>
    <w:rsid w:val="00460D2E"/>
    <w:rsid w:val="00471B10"/>
    <w:rsid w:val="00472C5C"/>
    <w:rsid w:val="00474302"/>
    <w:rsid w:val="004A240A"/>
    <w:rsid w:val="004D541E"/>
    <w:rsid w:val="004E019B"/>
    <w:rsid w:val="0050108D"/>
    <w:rsid w:val="00513081"/>
    <w:rsid w:val="00517901"/>
    <w:rsid w:val="00526683"/>
    <w:rsid w:val="0052762B"/>
    <w:rsid w:val="00565172"/>
    <w:rsid w:val="005709E0"/>
    <w:rsid w:val="00572E19"/>
    <w:rsid w:val="005961C8"/>
    <w:rsid w:val="005B65CF"/>
    <w:rsid w:val="005D7914"/>
    <w:rsid w:val="005E2B41"/>
    <w:rsid w:val="005E5F8E"/>
    <w:rsid w:val="005F0B42"/>
    <w:rsid w:val="006427F2"/>
    <w:rsid w:val="00643B3B"/>
    <w:rsid w:val="00647E5B"/>
    <w:rsid w:val="00681A10"/>
    <w:rsid w:val="006A1ED8"/>
    <w:rsid w:val="006B197D"/>
    <w:rsid w:val="006C2031"/>
    <w:rsid w:val="006C21F0"/>
    <w:rsid w:val="006D461A"/>
    <w:rsid w:val="006F35EE"/>
    <w:rsid w:val="007021FF"/>
    <w:rsid w:val="00712895"/>
    <w:rsid w:val="00714F7B"/>
    <w:rsid w:val="007327F1"/>
    <w:rsid w:val="00757357"/>
    <w:rsid w:val="007B5263"/>
    <w:rsid w:val="008112DC"/>
    <w:rsid w:val="0082019C"/>
    <w:rsid w:val="00825F8D"/>
    <w:rsid w:val="00830E31"/>
    <w:rsid w:val="00834B71"/>
    <w:rsid w:val="0086445C"/>
    <w:rsid w:val="00894693"/>
    <w:rsid w:val="008A08D7"/>
    <w:rsid w:val="008B6909"/>
    <w:rsid w:val="00906890"/>
    <w:rsid w:val="00911BE4"/>
    <w:rsid w:val="00943923"/>
    <w:rsid w:val="00944377"/>
    <w:rsid w:val="00946182"/>
    <w:rsid w:val="00951972"/>
    <w:rsid w:val="009608F3"/>
    <w:rsid w:val="009729BC"/>
    <w:rsid w:val="009A24AC"/>
    <w:rsid w:val="009D71E0"/>
    <w:rsid w:val="00A312BC"/>
    <w:rsid w:val="00A4227C"/>
    <w:rsid w:val="00A443BE"/>
    <w:rsid w:val="00A650AF"/>
    <w:rsid w:val="00A658A6"/>
    <w:rsid w:val="00A84021"/>
    <w:rsid w:val="00A84D35"/>
    <w:rsid w:val="00A917B3"/>
    <w:rsid w:val="00AB4B51"/>
    <w:rsid w:val="00AD3606"/>
    <w:rsid w:val="00AD52A7"/>
    <w:rsid w:val="00AD5305"/>
    <w:rsid w:val="00B10CC7"/>
    <w:rsid w:val="00B539E7"/>
    <w:rsid w:val="00B55BE5"/>
    <w:rsid w:val="00B62458"/>
    <w:rsid w:val="00BC18B2"/>
    <w:rsid w:val="00BC20F3"/>
    <w:rsid w:val="00BD33EE"/>
    <w:rsid w:val="00C106D6"/>
    <w:rsid w:val="00C24CF6"/>
    <w:rsid w:val="00C47AD4"/>
    <w:rsid w:val="00C60F0C"/>
    <w:rsid w:val="00C677F7"/>
    <w:rsid w:val="00C77D3E"/>
    <w:rsid w:val="00C805C9"/>
    <w:rsid w:val="00C92939"/>
    <w:rsid w:val="00CA1679"/>
    <w:rsid w:val="00CB151C"/>
    <w:rsid w:val="00CE5A1A"/>
    <w:rsid w:val="00CE6069"/>
    <w:rsid w:val="00CF415A"/>
    <w:rsid w:val="00CF55F6"/>
    <w:rsid w:val="00D21CD4"/>
    <w:rsid w:val="00D33D63"/>
    <w:rsid w:val="00D43008"/>
    <w:rsid w:val="00D7623F"/>
    <w:rsid w:val="00D90028"/>
    <w:rsid w:val="00D90138"/>
    <w:rsid w:val="00DC7155"/>
    <w:rsid w:val="00DF71B9"/>
    <w:rsid w:val="00E0034D"/>
    <w:rsid w:val="00E5062E"/>
    <w:rsid w:val="00E73F76"/>
    <w:rsid w:val="00E74A0E"/>
    <w:rsid w:val="00E96223"/>
    <w:rsid w:val="00EA2C9F"/>
    <w:rsid w:val="00ED0BDA"/>
    <w:rsid w:val="00ED4505"/>
    <w:rsid w:val="00EF1360"/>
    <w:rsid w:val="00EF3220"/>
    <w:rsid w:val="00F468C0"/>
    <w:rsid w:val="00F817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CE096"/>
  <w15:docId w15:val="{A9C1EA16-1E4F-4A38-9412-4136F007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CE6069"/>
    <w:pPr>
      <w:keepNext/>
      <w:outlineLvl w:val="1"/>
    </w:pPr>
    <w:rPr>
      <w:rFonts w:cs="Arial"/>
      <w:bCs/>
      <w:iCs/>
      <w:szCs w:val="28"/>
    </w:rPr>
  </w:style>
  <w:style w:type="paragraph" w:styleId="3">
    <w:name w:val="heading 3"/>
    <w:basedOn w:val="a"/>
    <w:next w:val="a"/>
    <w:semiHidden/>
    <w:rsid w:val="00CE6069"/>
    <w:pPr>
      <w:keepNext/>
      <w:spacing w:before="240" w:after="60"/>
      <w:outlineLvl w:val="2"/>
    </w:pPr>
    <w:rPr>
      <w:rFonts w:ascii="Arial" w:hAnsi="Arial" w:cs="Arial"/>
      <w:b/>
      <w:bCs/>
      <w:sz w:val="26"/>
      <w:szCs w:val="26"/>
    </w:rPr>
  </w:style>
  <w:style w:type="paragraph" w:styleId="4">
    <w:name w:val="heading 4"/>
    <w:basedOn w:val="a"/>
    <w:next w:val="a"/>
    <w:semiHidden/>
    <w:rsid w:val="00CE6069"/>
    <w:pPr>
      <w:keepNext/>
      <w:spacing w:before="240" w:after="60"/>
      <w:outlineLvl w:val="3"/>
    </w:pPr>
    <w:rPr>
      <w:b/>
      <w:bCs/>
      <w:sz w:val="28"/>
      <w:szCs w:val="28"/>
    </w:rPr>
  </w:style>
  <w:style w:type="paragraph" w:styleId="5">
    <w:name w:val="heading 5"/>
    <w:basedOn w:val="a"/>
    <w:next w:val="a"/>
    <w:semiHidden/>
    <w:rsid w:val="00CE6069"/>
    <w:pPr>
      <w:spacing w:before="240" w:after="60"/>
      <w:outlineLvl w:val="4"/>
    </w:pPr>
    <w:rPr>
      <w:b/>
      <w:bCs/>
      <w:i/>
      <w:iCs/>
      <w:sz w:val="26"/>
      <w:szCs w:val="26"/>
    </w:rPr>
  </w:style>
  <w:style w:type="paragraph" w:styleId="6">
    <w:name w:val="heading 6"/>
    <w:basedOn w:val="a"/>
    <w:next w:val="a"/>
    <w:semiHidden/>
    <w:rsid w:val="00CE6069"/>
    <w:pPr>
      <w:spacing w:before="240" w:after="60"/>
      <w:outlineLvl w:val="5"/>
    </w:pPr>
    <w:rPr>
      <w:b/>
      <w:bCs/>
      <w:sz w:val="22"/>
    </w:rPr>
  </w:style>
  <w:style w:type="paragraph" w:styleId="7">
    <w:name w:val="heading 7"/>
    <w:basedOn w:val="a"/>
    <w:next w:val="a"/>
    <w:semiHidden/>
    <w:rsid w:val="00CE6069"/>
    <w:pPr>
      <w:spacing w:before="240" w:after="60"/>
      <w:outlineLvl w:val="6"/>
    </w:pPr>
    <w:rPr>
      <w:sz w:val="24"/>
      <w:szCs w:val="24"/>
    </w:rPr>
  </w:style>
  <w:style w:type="paragraph" w:styleId="8">
    <w:name w:val="heading 8"/>
    <w:basedOn w:val="a"/>
    <w:next w:val="a"/>
    <w:semiHidden/>
    <w:rsid w:val="00CE6069"/>
    <w:pPr>
      <w:spacing w:before="240" w:after="60"/>
      <w:outlineLvl w:val="7"/>
    </w:pPr>
    <w:rPr>
      <w:i/>
      <w:iCs/>
      <w:sz w:val="24"/>
      <w:szCs w:val="24"/>
    </w:rPr>
  </w:style>
  <w:style w:type="paragraph" w:styleId="9">
    <w:name w:val="heading 9"/>
    <w:basedOn w:val="a"/>
    <w:next w:val="a"/>
    <w:semiHidden/>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2B1258"/>
    <w:pPr>
      <w:spacing w:after="120"/>
      <w:ind w:left="1134" w:right="1134"/>
      <w:jc w:val="both"/>
    </w:pPr>
    <w:rPr>
      <w:rFonts w:eastAsia="Times New Roman" w:cs="Times New Roman"/>
      <w:szCs w:val="20"/>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946182"/>
    <w:rPr>
      <w:sz w:val="16"/>
      <w:lang w:val="en-GB" w:eastAsia="ru-RU"/>
    </w:rPr>
  </w:style>
  <w:style w:type="character" w:styleId="aa">
    <w:name w:val="footnote reference"/>
    <w:aliases w:val="4_G"/>
    <w:basedOn w:val="a0"/>
    <w:qFormat/>
    <w:rsid w:val="00946182"/>
    <w:rPr>
      <w:rFonts w:ascii="Times New Roman" w:hAnsi="Times New Roman"/>
      <w:dstrike w:val="0"/>
      <w:sz w:val="18"/>
      <w:vertAlign w:val="superscript"/>
    </w:rPr>
  </w:style>
  <w:style w:type="character" w:styleId="ab">
    <w:name w:val="endnote reference"/>
    <w:aliases w:val="1_G"/>
    <w:basedOn w:val="aa"/>
    <w:qFormat/>
    <w:rsid w:val="00946182"/>
    <w:rPr>
      <w:rFonts w:ascii="Times New Roman" w:hAnsi="Times New Roman"/>
      <w:dstrike w:val="0"/>
      <w:sz w:val="18"/>
      <w:vertAlign w:val="superscript"/>
    </w:rPr>
  </w:style>
  <w:style w:type="table" w:styleId="ac">
    <w:name w:val="Table Grid"/>
    <w:basedOn w:val="a1"/>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Char,Footnote Text Blue,EUMC_Lábjegyzetszöveg + 13 pt,Félkövér,Dolt,Középre zárt Char,Középre zárt Char Char,Középre zárt,Märk,Footnote Text Char1,Footnote Text Char Char,Footnote Text Char2 Char Char"/>
    <w:basedOn w:val="a"/>
    <w:link w:val="ae"/>
    <w:uiPriority w:val="99"/>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Char Знак,Footnote Text Blue Знак,EUMC_Lábjegyzetszöveg + 13 pt Знак,Félkövér Знак,Dolt Знак,Középre zárt Char Знак,Középre zárt Char Char Знак,Középre zárt Знак,Märk Знак,Footnote Text Char1 Знак,Footnote Text Char Char Знак"/>
    <w:basedOn w:val="a0"/>
    <w:link w:val="ad"/>
    <w:uiPriority w:val="99"/>
    <w:rsid w:val="00946182"/>
    <w:rPr>
      <w:sz w:val="18"/>
      <w:lang w:val="ru-RU" w:eastAsia="ru-RU"/>
    </w:rPr>
  </w:style>
  <w:style w:type="paragraph" w:styleId="af">
    <w:name w:val="endnote text"/>
    <w:aliases w:val="2_G"/>
    <w:basedOn w:val="ad"/>
    <w:link w:val="af0"/>
    <w:qFormat/>
    <w:rsid w:val="00946182"/>
  </w:style>
  <w:style w:type="character" w:customStyle="1" w:styleId="af0">
    <w:name w:val="Текст концевой сноски Знак"/>
    <w:aliases w:val="2_G Знак"/>
    <w:basedOn w:val="a0"/>
    <w:link w:val="af"/>
    <w:rsid w:val="00946182"/>
    <w:rPr>
      <w:sz w:val="18"/>
      <w:lang w:val="ru-RU" w:eastAsia="ru-RU"/>
    </w:rPr>
  </w:style>
  <w:style w:type="character" w:customStyle="1" w:styleId="10">
    <w:name w:val="Заголовок 1 Знак"/>
    <w:aliases w:val="Table_G Знак"/>
    <w:basedOn w:val="a0"/>
    <w:link w:val="1"/>
    <w:rsid w:val="00946182"/>
    <w:rPr>
      <w:rFonts w:cs="Arial"/>
      <w:b/>
      <w:bCs/>
      <w:szCs w:val="32"/>
      <w:lang w:val="ru-RU" w:eastAsia="ru-RU"/>
    </w:rPr>
  </w:style>
  <w:style w:type="character" w:styleId="af1">
    <w:name w:val="Hyperlink"/>
    <w:basedOn w:val="a0"/>
    <w:rsid w:val="00946182"/>
    <w:rPr>
      <w:color w:val="0000FF" w:themeColor="hyperlink"/>
      <w:u w:val="none"/>
    </w:rPr>
  </w:style>
  <w:style w:type="character" w:styleId="af2">
    <w:name w:val="FollowedHyperlink"/>
    <w:basedOn w:val="a0"/>
    <w:rsid w:val="00946182"/>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B268-F7CC-45BE-8D16-7FD12020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34</Pages>
  <Words>17574</Words>
  <Characters>100177</Characters>
  <Application>Microsoft Office Word</Application>
  <DocSecurity>0</DocSecurity>
  <Lines>834</Lines>
  <Paragraphs>235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HRI/CORE/OMN/2019</vt:lpstr>
      <vt:lpstr>A/</vt:lpstr>
      <vt:lpstr>A/</vt:lpstr>
    </vt:vector>
  </TitlesOfParts>
  <Company>DCM</Company>
  <LinksUpToDate>false</LinksUpToDate>
  <CharactersWithSpaces>117516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HRI/CORE/OMN/2019</dc:title>
  <dc:subject/>
  <dc:creator>Shuvalova NATALIA</dc:creator>
  <cp:keywords/>
  <cp:lastModifiedBy>Natalia Shuvalova</cp:lastModifiedBy>
  <cp:revision>3</cp:revision>
  <cp:lastPrinted>2019-12-16T15:26:00Z</cp:lastPrinted>
  <dcterms:created xsi:type="dcterms:W3CDTF">2019-12-16T15:25:00Z</dcterms:created>
  <dcterms:modified xsi:type="dcterms:W3CDTF">2019-12-16T15:27:00Z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