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rPr>
          <w:rFonts w:hint="eastAsia"/>
        </w:rPr>
      </w:pPr>
    </w:p>
    <w:p w:rsidR="00000000" w:rsidRDefault="00000000">
      <w:pPr>
        <w:pStyle w:val="Heading2"/>
        <w:spacing w:before="240"/>
        <w:rPr>
          <w:rFonts w:hint="eastAsia"/>
        </w:rPr>
      </w:pPr>
      <w:r>
        <w:rPr>
          <w:rFonts w:hint="eastAsia"/>
        </w:rPr>
        <w:t>作为签约国报告组成部分的核心文件</w:t>
      </w:r>
    </w:p>
    <w:p w:rsidR="00000000" w:rsidRDefault="00000000">
      <w:pPr>
        <w:pStyle w:val="Heading2"/>
        <w:spacing w:before="240"/>
        <w:rPr>
          <w:rFonts w:hint="eastAsia"/>
        </w:rPr>
      </w:pPr>
      <w:r>
        <w:rPr>
          <w:rFonts w:hint="eastAsia"/>
        </w:rPr>
        <w:t>瑞</w:t>
      </w:r>
      <w:r>
        <w:rPr>
          <w:rFonts w:hint="eastAsia"/>
        </w:rPr>
        <w:t xml:space="preserve">   </w:t>
      </w:r>
      <w:r>
        <w:rPr>
          <w:rFonts w:hint="eastAsia"/>
        </w:rPr>
        <w:t>典</w:t>
      </w:r>
    </w:p>
    <w:p w:rsidR="00000000" w:rsidRDefault="00000000">
      <w:pPr>
        <w:rPr>
          <w:rFonts w:hint="eastAsia"/>
        </w:rPr>
      </w:pPr>
    </w:p>
    <w:p w:rsidR="00000000" w:rsidRDefault="00000000">
      <w:pPr>
        <w:jc w:val="right"/>
        <w:rPr>
          <w:rFonts w:hint="eastAsia"/>
        </w:rPr>
      </w:pPr>
      <w:r>
        <w:t>[2001</w:t>
      </w:r>
      <w:r>
        <w:rPr>
          <w:rFonts w:hint="eastAsia"/>
        </w:rPr>
        <w:t>年</w:t>
      </w:r>
      <w:r>
        <w:rPr>
          <w:rFonts w:hint="eastAsia"/>
        </w:rPr>
        <w:t>12</w:t>
      </w:r>
      <w:r>
        <w:rPr>
          <w:rFonts w:hint="eastAsia"/>
        </w:rPr>
        <w:t>月</w:t>
      </w:r>
      <w:r>
        <w:rPr>
          <w:rFonts w:hint="eastAsia"/>
        </w:rPr>
        <w:t>24</w:t>
      </w:r>
      <w:r>
        <w:rPr>
          <w:rFonts w:hint="eastAsia"/>
        </w:rPr>
        <w:t>日</w:t>
      </w:r>
      <w:r>
        <w:t>]</w:t>
      </w:r>
    </w:p>
    <w:p w:rsidR="00000000" w:rsidRDefault="00000000">
      <w:pPr>
        <w:pStyle w:val="Heading2"/>
        <w:rPr>
          <w:rFonts w:hint="eastAsia"/>
        </w:rPr>
      </w:pPr>
      <w:r>
        <w:br w:type="page"/>
      </w:r>
      <w:r>
        <w:rPr>
          <w:rFonts w:hint="eastAsia"/>
        </w:rPr>
        <w:t>作为签约国报告组成部分的核心文件</w:t>
      </w:r>
      <w:r>
        <w:rPr>
          <w:rFonts w:hint="eastAsia"/>
          <w:spacing w:val="-40"/>
        </w:rPr>
        <w:t>――</w:t>
      </w:r>
      <w:r>
        <w:rPr>
          <w:rFonts w:hint="eastAsia"/>
          <w:spacing w:val="-40"/>
        </w:rPr>
        <w:t xml:space="preserve"> </w:t>
      </w:r>
      <w:r>
        <w:rPr>
          <w:rFonts w:hint="eastAsia"/>
        </w:rPr>
        <w:t>瑞典</w:t>
      </w:r>
    </w:p>
    <w:p w:rsidR="00000000" w:rsidRDefault="00000000">
      <w:pPr>
        <w:pStyle w:val="Heading2"/>
        <w:rPr>
          <w:rFonts w:hint="eastAsia"/>
        </w:rPr>
      </w:pPr>
      <w:r>
        <w:rPr>
          <w:rFonts w:hint="eastAsia"/>
        </w:rPr>
        <w:t>一、土地和人民</w:t>
      </w:r>
    </w:p>
    <w:p w:rsidR="00000000" w:rsidRDefault="00000000">
      <w:pPr>
        <w:rPr>
          <w:rFonts w:hint="eastAsia"/>
        </w:rPr>
      </w:pPr>
      <w:r>
        <w:rPr>
          <w:rFonts w:hint="eastAsia"/>
        </w:rPr>
        <w:tab/>
        <w:t xml:space="preserve">1.  </w:t>
      </w:r>
      <w:r>
        <w:rPr>
          <w:rFonts w:hint="eastAsia"/>
        </w:rPr>
        <w:t>瑞典的陆地面积为</w:t>
      </w:r>
      <w:r>
        <w:rPr>
          <w:rFonts w:hint="eastAsia"/>
        </w:rPr>
        <w:t>45</w:t>
      </w:r>
      <w:r>
        <w:rPr>
          <w:rFonts w:hint="eastAsia"/>
        </w:rPr>
        <w:t>万平方公里。人口为</w:t>
      </w:r>
      <w:r>
        <w:rPr>
          <w:rFonts w:hint="eastAsia"/>
        </w:rPr>
        <w:t>890</w:t>
      </w:r>
      <w:r>
        <w:rPr>
          <w:rFonts w:hint="eastAsia"/>
        </w:rPr>
        <w:t>万。预计在今后十年里人口将增加大约</w:t>
      </w:r>
      <w:r>
        <w:rPr>
          <w:rFonts w:hint="eastAsia"/>
        </w:rPr>
        <w:t>20</w:t>
      </w:r>
      <w:r>
        <w:rPr>
          <w:rFonts w:hint="eastAsia"/>
        </w:rPr>
        <w:t>万人。国内大部分地区人口稀少。</w:t>
      </w:r>
      <w:r>
        <w:rPr>
          <w:rFonts w:hint="eastAsia"/>
        </w:rPr>
        <w:t>85%</w:t>
      </w:r>
      <w:r>
        <w:rPr>
          <w:rFonts w:hint="eastAsia"/>
        </w:rPr>
        <w:t>的人口住在瑞典的南半部，主要集中在城市地区，例如斯德哥尔摩</w:t>
      </w:r>
      <w:r>
        <w:rPr>
          <w:rFonts w:hint="eastAsia"/>
        </w:rPr>
        <w:t>(170</w:t>
      </w:r>
      <w:r>
        <w:rPr>
          <w:rFonts w:hint="eastAsia"/>
        </w:rPr>
        <w:t>万居民，包括郊区的人口</w:t>
      </w:r>
      <w:r>
        <w:rPr>
          <w:rFonts w:hint="eastAsia"/>
        </w:rPr>
        <w:t>)</w:t>
      </w:r>
      <w:r>
        <w:rPr>
          <w:rFonts w:hint="eastAsia"/>
        </w:rPr>
        <w:t>、哥德堡</w:t>
      </w:r>
      <w:r>
        <w:rPr>
          <w:rFonts w:hint="eastAsia"/>
        </w:rPr>
        <w:t>(80</w:t>
      </w:r>
      <w:r>
        <w:rPr>
          <w:rFonts w:hint="eastAsia"/>
        </w:rPr>
        <w:t>万居民</w:t>
      </w:r>
      <w:r>
        <w:rPr>
          <w:rFonts w:hint="eastAsia"/>
        </w:rPr>
        <w:t>)</w:t>
      </w:r>
      <w:r>
        <w:rPr>
          <w:rFonts w:hint="eastAsia"/>
        </w:rPr>
        <w:t>和南方的马尔默</w:t>
      </w:r>
      <w:r>
        <w:rPr>
          <w:rFonts w:hint="eastAsia"/>
        </w:rPr>
        <w:t>(50</w:t>
      </w:r>
      <w:r>
        <w:rPr>
          <w:rFonts w:hint="eastAsia"/>
        </w:rPr>
        <w:t>万居民</w:t>
      </w:r>
      <w:r>
        <w:rPr>
          <w:rFonts w:hint="eastAsia"/>
        </w:rPr>
        <w:t>)</w:t>
      </w:r>
      <w:r>
        <w:rPr>
          <w:rFonts w:hint="eastAsia"/>
        </w:rPr>
        <w:t>。</w:t>
      </w:r>
    </w:p>
    <w:p w:rsidR="00000000" w:rsidRDefault="00000000">
      <w:pPr>
        <w:rPr>
          <w:rFonts w:hint="eastAsia"/>
        </w:rPr>
      </w:pPr>
      <w:r>
        <w:rPr>
          <w:rFonts w:hint="eastAsia"/>
        </w:rPr>
        <w:tab/>
        <w:t xml:space="preserve">2.  </w:t>
      </w:r>
      <w:r>
        <w:rPr>
          <w:rFonts w:hint="eastAsia"/>
        </w:rPr>
        <w:t>绝大多数人是瑞典人，以瑞典语为母语。瑞典是一个以种族和文化多样性为特点的国家。国内有</w:t>
      </w:r>
      <w:r>
        <w:rPr>
          <w:rFonts w:hint="eastAsia"/>
        </w:rPr>
        <w:t>5</w:t>
      </w:r>
      <w:r>
        <w:rPr>
          <w:rFonts w:hint="eastAsia"/>
        </w:rPr>
        <w:t>个已确立的少数民族：萨米族、瑞典芬兰族、托尼达勒族、罗姆人和犹太人。国外出生的居民人数超过</w:t>
      </w:r>
      <w:r>
        <w:rPr>
          <w:rFonts w:hint="eastAsia"/>
        </w:rPr>
        <w:t>90</w:t>
      </w:r>
      <w:r>
        <w:rPr>
          <w:rFonts w:hint="eastAsia"/>
        </w:rPr>
        <w:t>万人，来自</w:t>
      </w:r>
      <w:r>
        <w:rPr>
          <w:rFonts w:hint="eastAsia"/>
        </w:rPr>
        <w:t>150</w:t>
      </w:r>
      <w:r>
        <w:rPr>
          <w:rFonts w:hint="eastAsia"/>
        </w:rPr>
        <w:t>多个国家。此外，在瑞典出生的将近</w:t>
      </w:r>
      <w:r>
        <w:rPr>
          <w:rFonts w:hint="eastAsia"/>
        </w:rPr>
        <w:t>80</w:t>
      </w:r>
      <w:r>
        <w:rPr>
          <w:rFonts w:hint="eastAsia"/>
        </w:rPr>
        <w:t>万人至少有父母一方出生在国外。这意味着，全部人口的大约五分之一要么出生在国外，要么出生在瑞典，但至少父母一方出生在国外。主要移民群体来自芬兰、南斯拉夫、挪威、丹麦、德国、波兰、伊朗伊斯兰共和国、伊拉克和土耳其。</w:t>
      </w:r>
    </w:p>
    <w:p w:rsidR="00000000" w:rsidRDefault="00000000">
      <w:pPr>
        <w:rPr>
          <w:rFonts w:hint="eastAsia"/>
        </w:rPr>
      </w:pPr>
      <w:r>
        <w:rPr>
          <w:rFonts w:hint="eastAsia"/>
        </w:rPr>
        <w:tab/>
        <w:t xml:space="preserve">3.  </w:t>
      </w:r>
      <w:r>
        <w:rPr>
          <w:rFonts w:hint="eastAsia"/>
        </w:rPr>
        <w:t>尽管瑞典是一个世俗社会，但大约</w:t>
      </w:r>
      <w:r>
        <w:rPr>
          <w:rFonts w:hint="eastAsia"/>
        </w:rPr>
        <w:t>83%</w:t>
      </w:r>
      <w:r>
        <w:rPr>
          <w:rFonts w:hint="eastAsia"/>
        </w:rPr>
        <w:t>的人口属于瑞典圣公会。</w:t>
      </w:r>
    </w:p>
    <w:p w:rsidR="00000000" w:rsidRDefault="00000000">
      <w:pPr>
        <w:rPr>
          <w:rFonts w:hint="eastAsia"/>
        </w:rPr>
      </w:pPr>
      <w:r>
        <w:rPr>
          <w:rFonts w:hint="eastAsia"/>
        </w:rPr>
        <w:tab/>
        <w:t xml:space="preserve">4.  </w:t>
      </w:r>
      <w:r>
        <w:rPr>
          <w:rFonts w:hint="eastAsia"/>
        </w:rPr>
        <w:t>据估计，</w:t>
      </w:r>
      <w:r>
        <w:rPr>
          <w:rFonts w:hint="eastAsia"/>
        </w:rPr>
        <w:t>100%</w:t>
      </w:r>
      <w:r>
        <w:rPr>
          <w:rFonts w:hint="eastAsia"/>
        </w:rPr>
        <w:t>的瑞典成年人识字。</w:t>
      </w:r>
    </w:p>
    <w:p w:rsidR="00000000" w:rsidRDefault="00000000">
      <w:pPr>
        <w:rPr>
          <w:rFonts w:hint="eastAsia"/>
        </w:rPr>
      </w:pPr>
      <w:r>
        <w:rPr>
          <w:rFonts w:hint="eastAsia"/>
        </w:rPr>
        <w:tab/>
        <w:t xml:space="preserve">5.  </w:t>
      </w:r>
      <w:r>
        <w:rPr>
          <w:rFonts w:hint="eastAsia"/>
        </w:rPr>
        <w:t>瑞典的预期寿命很高，男子为</w:t>
      </w:r>
      <w:r>
        <w:rPr>
          <w:rFonts w:hint="eastAsia"/>
        </w:rPr>
        <w:t>77.5</w:t>
      </w:r>
      <w:r>
        <w:rPr>
          <w:rFonts w:hint="eastAsia"/>
        </w:rPr>
        <w:t>岁，女子为</w:t>
      </w:r>
      <w:r>
        <w:rPr>
          <w:rFonts w:hint="eastAsia"/>
        </w:rPr>
        <w:t>82</w:t>
      </w:r>
      <w:r>
        <w:rPr>
          <w:rFonts w:hint="eastAsia"/>
        </w:rPr>
        <w:t>岁。生育率为</w:t>
      </w:r>
      <w:r>
        <w:rPr>
          <w:rFonts w:hint="eastAsia"/>
        </w:rPr>
        <w:t>1.55(2000</w:t>
      </w:r>
      <w:r>
        <w:rPr>
          <w:rFonts w:hint="eastAsia"/>
        </w:rPr>
        <w:t>年</w:t>
      </w:r>
      <w:r>
        <w:rPr>
          <w:rFonts w:hint="eastAsia"/>
        </w:rPr>
        <w:t>)</w:t>
      </w:r>
      <w:r>
        <w:rPr>
          <w:rFonts w:hint="eastAsia"/>
        </w:rPr>
        <w:t>。</w:t>
      </w:r>
      <w:r>
        <w:rPr>
          <w:rFonts w:hint="eastAsia"/>
        </w:rPr>
        <w:t>2000</w:t>
      </w:r>
      <w:r>
        <w:rPr>
          <w:rFonts w:hint="eastAsia"/>
        </w:rPr>
        <w:t>年，</w:t>
      </w:r>
      <w:r>
        <w:rPr>
          <w:rFonts w:hint="eastAsia"/>
        </w:rPr>
        <w:t>12</w:t>
      </w:r>
      <w:r>
        <w:rPr>
          <w:rFonts w:hint="eastAsia"/>
        </w:rPr>
        <w:t>个月的婴儿死亡率，男婴为</w:t>
      </w:r>
      <w:r>
        <w:rPr>
          <w:rFonts w:hint="eastAsia"/>
        </w:rPr>
        <w:t>1000</w:t>
      </w:r>
      <w:r>
        <w:rPr>
          <w:rFonts w:hint="eastAsia"/>
        </w:rPr>
        <w:t>活产</w:t>
      </w:r>
      <w:r>
        <w:rPr>
          <w:rFonts w:hint="eastAsia"/>
        </w:rPr>
        <w:t xml:space="preserve">4.0, </w:t>
      </w:r>
      <w:r>
        <w:rPr>
          <w:rFonts w:hint="eastAsia"/>
        </w:rPr>
        <w:t>女婴为</w:t>
      </w:r>
      <w:r>
        <w:rPr>
          <w:rFonts w:hint="eastAsia"/>
        </w:rPr>
        <w:t>2.8</w:t>
      </w:r>
      <w:r>
        <w:rPr>
          <w:rFonts w:hint="eastAsia"/>
        </w:rPr>
        <w:t>。</w:t>
      </w:r>
      <w:r>
        <w:rPr>
          <w:rFonts w:hint="eastAsia"/>
        </w:rPr>
        <w:t>1998</w:t>
      </w:r>
      <w:r>
        <w:rPr>
          <w:rFonts w:hint="eastAsia"/>
        </w:rPr>
        <w:t>年，瑞典发生了</w:t>
      </w:r>
      <w:r>
        <w:rPr>
          <w:rFonts w:hint="eastAsia"/>
        </w:rPr>
        <w:t>7</w:t>
      </w:r>
      <w:r>
        <w:rPr>
          <w:rFonts w:hint="eastAsia"/>
        </w:rPr>
        <w:t>起产妇死亡。</w:t>
      </w:r>
    </w:p>
    <w:p w:rsidR="00000000" w:rsidRDefault="00000000">
      <w:pPr>
        <w:rPr>
          <w:rFonts w:hint="eastAsia"/>
        </w:rPr>
      </w:pPr>
      <w:r>
        <w:rPr>
          <w:rFonts w:hint="eastAsia"/>
        </w:rPr>
        <w:tab/>
        <w:t>6.  65</w:t>
      </w:r>
      <w:r>
        <w:rPr>
          <w:rFonts w:hint="eastAsia"/>
        </w:rPr>
        <w:t>岁以上妇女的百分比为</w:t>
      </w:r>
      <w:r>
        <w:rPr>
          <w:rFonts w:hint="eastAsia"/>
        </w:rPr>
        <w:t>19.6,</w:t>
      </w:r>
      <w:r>
        <w:rPr>
          <w:rFonts w:hint="eastAsia"/>
        </w:rPr>
        <w:t>男子为</w:t>
      </w:r>
      <w:r>
        <w:rPr>
          <w:rFonts w:hint="eastAsia"/>
        </w:rPr>
        <w:t>14.8</w:t>
      </w:r>
      <w:r>
        <w:rPr>
          <w:rFonts w:hint="eastAsia"/>
        </w:rPr>
        <w:t>；</w:t>
      </w:r>
      <w:r>
        <w:rPr>
          <w:rFonts w:hint="eastAsia"/>
        </w:rPr>
        <w:t>17.7%</w:t>
      </w:r>
      <w:r>
        <w:rPr>
          <w:rFonts w:hint="eastAsia"/>
        </w:rPr>
        <w:t>的女性人口不满</w:t>
      </w:r>
      <w:r>
        <w:rPr>
          <w:rFonts w:hint="eastAsia"/>
        </w:rPr>
        <w:t>15</w:t>
      </w:r>
      <w:r>
        <w:rPr>
          <w:rFonts w:hint="eastAsia"/>
        </w:rPr>
        <w:t>岁，而男性人口为</w:t>
      </w:r>
      <w:r>
        <w:rPr>
          <w:rFonts w:hint="eastAsia"/>
        </w:rPr>
        <w:t>19.0%</w:t>
      </w:r>
      <w:r>
        <w:rPr>
          <w:rFonts w:hint="eastAsia"/>
        </w:rPr>
        <w:t>。</w:t>
      </w:r>
    </w:p>
    <w:p w:rsidR="00000000" w:rsidRDefault="00000000">
      <w:pPr>
        <w:rPr>
          <w:rFonts w:hint="eastAsia"/>
        </w:rPr>
      </w:pPr>
      <w:r>
        <w:rPr>
          <w:rFonts w:hint="eastAsia"/>
        </w:rPr>
        <w:tab/>
        <w:t>7.  2000</w:t>
      </w:r>
      <w:r>
        <w:rPr>
          <w:rFonts w:hint="eastAsia"/>
        </w:rPr>
        <w:t>年，</w:t>
      </w:r>
      <w:r>
        <w:rPr>
          <w:rFonts w:hint="eastAsia"/>
        </w:rPr>
        <w:t>79%</w:t>
      </w:r>
      <w:r>
        <w:rPr>
          <w:rFonts w:hint="eastAsia"/>
        </w:rPr>
        <w:t>的</w:t>
      </w:r>
      <w:r>
        <w:rPr>
          <w:rFonts w:hint="eastAsia"/>
        </w:rPr>
        <w:t>20</w:t>
      </w:r>
      <w:r>
        <w:rPr>
          <w:rFonts w:hint="eastAsia"/>
        </w:rPr>
        <w:t>至</w:t>
      </w:r>
      <w:r>
        <w:rPr>
          <w:rFonts w:hint="eastAsia"/>
        </w:rPr>
        <w:t>64</w:t>
      </w:r>
      <w:r>
        <w:rPr>
          <w:rFonts w:hint="eastAsia"/>
        </w:rPr>
        <w:t>岁的妇女参加工作，而男子为</w:t>
      </w:r>
      <w:r>
        <w:rPr>
          <w:rFonts w:hint="eastAsia"/>
        </w:rPr>
        <w:t>84%</w:t>
      </w:r>
      <w:r>
        <w:rPr>
          <w:rFonts w:hint="eastAsia"/>
        </w:rPr>
        <w:t>。</w:t>
      </w:r>
    </w:p>
    <w:p w:rsidR="00000000" w:rsidRDefault="00000000">
      <w:pPr>
        <w:rPr>
          <w:rFonts w:hint="eastAsia"/>
        </w:rPr>
      </w:pPr>
      <w:r>
        <w:rPr>
          <w:rFonts w:hint="eastAsia"/>
        </w:rPr>
        <w:tab/>
        <w:t>8.  2000</w:t>
      </w:r>
      <w:r>
        <w:rPr>
          <w:rFonts w:hint="eastAsia"/>
        </w:rPr>
        <w:t>年，总失业率是劳力的</w:t>
      </w:r>
      <w:r>
        <w:rPr>
          <w:rFonts w:hint="eastAsia"/>
        </w:rPr>
        <w:t>4.7%</w:t>
      </w:r>
      <w:r>
        <w:rPr>
          <w:rFonts w:hint="eastAsia"/>
        </w:rPr>
        <w:t>，北欧居民为</w:t>
      </w:r>
      <w:r>
        <w:rPr>
          <w:rFonts w:hint="eastAsia"/>
        </w:rPr>
        <w:t>6.7%</w:t>
      </w:r>
      <w:r>
        <w:rPr>
          <w:rFonts w:hint="eastAsia"/>
        </w:rPr>
        <w:t>，其他外国公民为</w:t>
      </w:r>
      <w:r>
        <w:rPr>
          <w:rFonts w:hint="eastAsia"/>
        </w:rPr>
        <w:t>16.9%</w:t>
      </w:r>
      <w:r>
        <w:rPr>
          <w:rFonts w:hint="eastAsia"/>
        </w:rPr>
        <w:t>。</w:t>
      </w:r>
    </w:p>
    <w:p w:rsidR="00000000" w:rsidRDefault="00000000">
      <w:pPr>
        <w:rPr>
          <w:rFonts w:hint="eastAsia"/>
        </w:rPr>
      </w:pPr>
      <w:r>
        <w:rPr>
          <w:rFonts w:hint="eastAsia"/>
        </w:rPr>
        <w:tab/>
        <w:t xml:space="preserve">9.  </w:t>
      </w:r>
      <w:r>
        <w:rPr>
          <w:rFonts w:hint="eastAsia"/>
        </w:rPr>
        <w:t>在二十世纪，瑞典从一个基本上农业国发展成为一个工业国。由于这种发展，瑞典人口达到了一个很高的生活水准。</w:t>
      </w:r>
      <w:r>
        <w:rPr>
          <w:rFonts w:hint="eastAsia"/>
        </w:rPr>
        <w:t>1999</w:t>
      </w:r>
      <w:r>
        <w:rPr>
          <w:rFonts w:hint="eastAsia"/>
        </w:rPr>
        <w:t>年，瑞典男女的人均收入分别为</w:t>
      </w:r>
      <w:r>
        <w:rPr>
          <w:rFonts w:hint="eastAsia"/>
        </w:rPr>
        <w:t>198,900</w:t>
      </w:r>
      <w:r>
        <w:rPr>
          <w:rFonts w:hint="eastAsia"/>
        </w:rPr>
        <w:t>瑞典克朗和</w:t>
      </w:r>
      <w:r>
        <w:rPr>
          <w:rFonts w:hint="eastAsia"/>
        </w:rPr>
        <w:t>137,000</w:t>
      </w:r>
      <w:r>
        <w:rPr>
          <w:rFonts w:hint="eastAsia"/>
        </w:rPr>
        <w:t>瑞典克朗。</w:t>
      </w:r>
    </w:p>
    <w:p w:rsidR="00000000" w:rsidRDefault="00000000">
      <w:pPr>
        <w:spacing w:after="320"/>
        <w:rPr>
          <w:rFonts w:hint="eastAsia"/>
        </w:rPr>
      </w:pPr>
      <w:r>
        <w:rPr>
          <w:rFonts w:hint="eastAsia"/>
        </w:rPr>
        <w:tab/>
        <w:t>10.  2000</w:t>
      </w:r>
      <w:r>
        <w:rPr>
          <w:rFonts w:hint="eastAsia"/>
        </w:rPr>
        <w:t>年，瑞典国内生产总值达</w:t>
      </w:r>
      <w:r>
        <w:rPr>
          <w:rFonts w:hint="eastAsia"/>
        </w:rPr>
        <w:t>20,830</w:t>
      </w:r>
      <w:r>
        <w:rPr>
          <w:rFonts w:hint="eastAsia"/>
        </w:rPr>
        <w:t>亿瑞典克朗。外债</w:t>
      </w:r>
      <w:r>
        <w:rPr>
          <w:rFonts w:hint="eastAsia"/>
        </w:rPr>
        <w:t>(</w:t>
      </w:r>
      <w:r>
        <w:rPr>
          <w:rFonts w:hint="eastAsia"/>
        </w:rPr>
        <w:t>不包括股份和股票</w:t>
      </w:r>
      <w:r>
        <w:rPr>
          <w:rFonts w:hint="eastAsia"/>
        </w:rPr>
        <w:t>)</w:t>
      </w:r>
      <w:r>
        <w:rPr>
          <w:rFonts w:hint="eastAsia"/>
        </w:rPr>
        <w:t>为</w:t>
      </w:r>
      <w:r>
        <w:rPr>
          <w:rFonts w:hint="eastAsia"/>
        </w:rPr>
        <w:t>2,360</w:t>
      </w:r>
      <w:r>
        <w:rPr>
          <w:rFonts w:hint="eastAsia"/>
        </w:rPr>
        <w:t>亿瑞典克朗。</w:t>
      </w:r>
      <w:r>
        <w:rPr>
          <w:rFonts w:hint="eastAsia"/>
        </w:rPr>
        <w:t>2001</w:t>
      </w:r>
      <w:r>
        <w:rPr>
          <w:rFonts w:hint="eastAsia"/>
        </w:rPr>
        <w:t>年</w:t>
      </w:r>
      <w:r>
        <w:rPr>
          <w:rFonts w:hint="eastAsia"/>
        </w:rPr>
        <w:t>7</w:t>
      </w:r>
      <w:r>
        <w:rPr>
          <w:rFonts w:hint="eastAsia"/>
        </w:rPr>
        <w:t>月，通货膨胀率为</w:t>
      </w:r>
      <w:r>
        <w:rPr>
          <w:rFonts w:hint="eastAsia"/>
        </w:rPr>
        <w:t>2.9%</w:t>
      </w:r>
      <w:r>
        <w:rPr>
          <w:rFonts w:hint="eastAsia"/>
        </w:rPr>
        <w:t>。</w:t>
      </w:r>
    </w:p>
    <w:p w:rsidR="00000000" w:rsidRDefault="00000000">
      <w:pPr>
        <w:pStyle w:val="Heading2"/>
        <w:rPr>
          <w:rFonts w:hint="eastAsia"/>
        </w:rPr>
      </w:pPr>
      <w:r>
        <w:rPr>
          <w:rFonts w:hint="eastAsia"/>
        </w:rPr>
        <w:t>二、总体政治结构</w:t>
      </w:r>
    </w:p>
    <w:p w:rsidR="00000000" w:rsidRDefault="00000000">
      <w:pPr>
        <w:rPr>
          <w:rFonts w:hint="eastAsia"/>
        </w:rPr>
      </w:pPr>
      <w:r>
        <w:rPr>
          <w:rFonts w:hint="eastAsia"/>
        </w:rPr>
        <w:tab/>
        <w:t xml:space="preserve">11.  </w:t>
      </w:r>
      <w:r>
        <w:rPr>
          <w:rFonts w:hint="eastAsia"/>
        </w:rPr>
        <w:t>瑞典是一个议会民主传统悠久的君主立宪制国家。瑞典议会制在十九世纪开始演变，当时政治权力从君主转到议会手里。</w:t>
      </w:r>
      <w:r>
        <w:rPr>
          <w:rFonts w:hint="eastAsia"/>
        </w:rPr>
        <w:t>1809</w:t>
      </w:r>
      <w:r>
        <w:rPr>
          <w:rFonts w:hint="eastAsia"/>
        </w:rPr>
        <w:t>年《宪法》</w:t>
      </w:r>
      <w:r>
        <w:rPr>
          <w:rFonts w:hint="eastAsia"/>
          <w:spacing w:val="-50"/>
        </w:rPr>
        <w:t>―</w:t>
      </w:r>
      <w:r>
        <w:rPr>
          <w:rFonts w:hint="eastAsia"/>
        </w:rPr>
        <w:t>―《政府约法》</w:t>
      </w:r>
      <w:r>
        <w:rPr>
          <w:rFonts w:hint="eastAsia"/>
        </w:rPr>
        <w:t>(</w:t>
      </w:r>
      <w:r>
        <w:t>regeringsformen)</w:t>
      </w:r>
      <w:r>
        <w:rPr>
          <w:rFonts w:hint="eastAsia"/>
        </w:rPr>
        <w:t>规定了国家行政和立法机关之间政治权力分离的原则。</w:t>
      </w:r>
    </w:p>
    <w:p w:rsidR="00000000" w:rsidRDefault="00000000">
      <w:pPr>
        <w:rPr>
          <w:rFonts w:hint="eastAsia"/>
        </w:rPr>
      </w:pPr>
      <w:r>
        <w:rPr>
          <w:rFonts w:hint="eastAsia"/>
        </w:rPr>
        <w:tab/>
        <w:t xml:space="preserve">12.  </w:t>
      </w:r>
      <w:r>
        <w:rPr>
          <w:rFonts w:hint="eastAsia"/>
        </w:rPr>
        <w:t>二十世纪初，选民范围逐步扩大。</w:t>
      </w:r>
      <w:r>
        <w:rPr>
          <w:rFonts w:hint="eastAsia"/>
        </w:rPr>
        <w:t>1909</w:t>
      </w:r>
      <w:r>
        <w:rPr>
          <w:rFonts w:hint="eastAsia"/>
        </w:rPr>
        <w:t>年实行男子普遍选举，而</w:t>
      </w:r>
      <w:r>
        <w:rPr>
          <w:rFonts w:hint="eastAsia"/>
        </w:rPr>
        <w:t>1921</w:t>
      </w:r>
      <w:r>
        <w:rPr>
          <w:rFonts w:hint="eastAsia"/>
        </w:rPr>
        <w:t>年实行女子普遍选举。</w:t>
      </w:r>
    </w:p>
    <w:p w:rsidR="00000000" w:rsidRDefault="00000000">
      <w:pPr>
        <w:rPr>
          <w:rFonts w:hint="eastAsia"/>
        </w:rPr>
      </w:pPr>
      <w:r>
        <w:rPr>
          <w:rFonts w:hint="eastAsia"/>
        </w:rPr>
        <w:tab/>
        <w:t xml:space="preserve">13.  </w:t>
      </w:r>
      <w:r>
        <w:rPr>
          <w:rFonts w:hint="eastAsia"/>
        </w:rPr>
        <w:t>在二十世纪前半叶里，瑞典开始发展成为一个福利国家。在这一时期，瑞典的社会保障制度发展起来并得到扩大，而经济得到普遍的发展。</w:t>
      </w:r>
    </w:p>
    <w:p w:rsidR="00000000" w:rsidRDefault="00000000">
      <w:pPr>
        <w:rPr>
          <w:rFonts w:hint="eastAsia"/>
        </w:rPr>
      </w:pPr>
      <w:r>
        <w:rPr>
          <w:rFonts w:hint="eastAsia"/>
        </w:rPr>
        <w:tab/>
        <w:t xml:space="preserve">14.  </w:t>
      </w:r>
      <w:r>
        <w:rPr>
          <w:rFonts w:hint="eastAsia"/>
        </w:rPr>
        <w:t>除了第二次世界大战期间由一个联合政府统治以外，从</w:t>
      </w:r>
      <w:r>
        <w:rPr>
          <w:rFonts w:hint="eastAsia"/>
        </w:rPr>
        <w:t>1932</w:t>
      </w:r>
      <w:r>
        <w:rPr>
          <w:rFonts w:hint="eastAsia"/>
        </w:rPr>
        <w:t>年到</w:t>
      </w:r>
      <w:r>
        <w:rPr>
          <w:rFonts w:hint="eastAsia"/>
        </w:rPr>
        <w:t>1976</w:t>
      </w:r>
      <w:r>
        <w:rPr>
          <w:rFonts w:hint="eastAsia"/>
        </w:rPr>
        <w:t>年选举为止，社会民主党执掌权力，</w:t>
      </w:r>
      <w:r>
        <w:rPr>
          <w:rFonts w:hint="eastAsia"/>
        </w:rPr>
        <w:t>1976</w:t>
      </w:r>
      <w:r>
        <w:rPr>
          <w:rFonts w:hint="eastAsia"/>
        </w:rPr>
        <w:t>年，社会民主党人竞选失败，右翼政党掌权。</w:t>
      </w:r>
      <w:r>
        <w:rPr>
          <w:rFonts w:hint="eastAsia"/>
        </w:rPr>
        <w:t>1982</w:t>
      </w:r>
      <w:r>
        <w:rPr>
          <w:rFonts w:hint="eastAsia"/>
        </w:rPr>
        <w:t>年，社会民主党再次掌权，但在</w:t>
      </w:r>
      <w:r>
        <w:rPr>
          <w:rFonts w:hint="eastAsia"/>
        </w:rPr>
        <w:t>1991</w:t>
      </w:r>
      <w:r>
        <w:rPr>
          <w:rFonts w:hint="eastAsia"/>
        </w:rPr>
        <w:t>年的大选中，再次让位于由四个政党组成的非社会主义联盟，但在</w:t>
      </w:r>
      <w:r>
        <w:rPr>
          <w:rFonts w:hint="eastAsia"/>
        </w:rPr>
        <w:t>1994</w:t>
      </w:r>
      <w:r>
        <w:rPr>
          <w:rFonts w:hint="eastAsia"/>
        </w:rPr>
        <w:t>年再次掌权，并在</w:t>
      </w:r>
      <w:r>
        <w:rPr>
          <w:rFonts w:hint="eastAsia"/>
        </w:rPr>
        <w:t>1998</w:t>
      </w:r>
      <w:r>
        <w:rPr>
          <w:rFonts w:hint="eastAsia"/>
        </w:rPr>
        <w:t>年大选后保持政权。现行政府与另外两个议会政党</w:t>
      </w:r>
      <w:r>
        <w:rPr>
          <w:rFonts w:hint="eastAsia"/>
          <w:spacing w:val="-40"/>
        </w:rPr>
        <w:t>――</w:t>
      </w:r>
      <w:r>
        <w:rPr>
          <w:rFonts w:hint="eastAsia"/>
          <w:spacing w:val="-40"/>
        </w:rPr>
        <w:t xml:space="preserve"> </w:t>
      </w:r>
      <w:r>
        <w:rPr>
          <w:rFonts w:hint="eastAsia"/>
        </w:rPr>
        <w:t>左翼党和绿党密切合作。</w:t>
      </w:r>
    </w:p>
    <w:p w:rsidR="00000000" w:rsidRDefault="00000000">
      <w:pPr>
        <w:rPr>
          <w:rFonts w:hint="eastAsia"/>
        </w:rPr>
      </w:pPr>
      <w:r>
        <w:rPr>
          <w:rFonts w:hint="eastAsia"/>
        </w:rPr>
        <w:tab/>
        <w:t xml:space="preserve">15.  </w:t>
      </w:r>
      <w:r>
        <w:rPr>
          <w:rFonts w:hint="eastAsia"/>
        </w:rPr>
        <w:t>瑞典自</w:t>
      </w:r>
      <w:r>
        <w:rPr>
          <w:rFonts w:hint="eastAsia"/>
        </w:rPr>
        <w:t>1995</w:t>
      </w:r>
      <w:r>
        <w:rPr>
          <w:rFonts w:hint="eastAsia"/>
        </w:rPr>
        <w:t>年起成为欧洲联盟的成员国。</w:t>
      </w:r>
    </w:p>
    <w:p w:rsidR="00000000" w:rsidRDefault="00000000">
      <w:pPr>
        <w:rPr>
          <w:rFonts w:hint="eastAsia"/>
        </w:rPr>
      </w:pPr>
      <w:r>
        <w:rPr>
          <w:rFonts w:hint="eastAsia"/>
        </w:rPr>
        <w:tab/>
        <w:t xml:space="preserve">16.  </w:t>
      </w:r>
      <w:r>
        <w:rPr>
          <w:rFonts w:hint="eastAsia"/>
        </w:rPr>
        <w:t>现行《瑞典宪法》包括以下四部单独的法律：</w:t>
      </w:r>
      <w:r>
        <w:rPr>
          <w:rFonts w:hint="eastAsia"/>
        </w:rPr>
        <w:t>1974</w:t>
      </w:r>
      <w:r>
        <w:rPr>
          <w:rFonts w:hint="eastAsia"/>
        </w:rPr>
        <w:t>年《政府约法》</w:t>
      </w:r>
      <w:r>
        <w:rPr>
          <w:rFonts w:hint="eastAsia"/>
        </w:rPr>
        <w:t>(</w:t>
      </w:r>
      <w:r>
        <w:rPr>
          <w:rFonts w:hint="eastAsia"/>
        </w:rPr>
        <w:t>为了便于引用，有时称为《宪法》</w:t>
      </w:r>
      <w:r>
        <w:rPr>
          <w:rFonts w:hint="eastAsia"/>
        </w:rPr>
        <w:t>)</w:t>
      </w:r>
      <w:r>
        <w:rPr>
          <w:rFonts w:hint="eastAsia"/>
        </w:rPr>
        <w:t>、</w:t>
      </w:r>
      <w:r>
        <w:rPr>
          <w:rFonts w:hint="eastAsia"/>
        </w:rPr>
        <w:t>1810</w:t>
      </w:r>
      <w:r>
        <w:rPr>
          <w:rFonts w:hint="eastAsia"/>
        </w:rPr>
        <w:t>年通过和</w:t>
      </w:r>
      <w:r>
        <w:rPr>
          <w:rFonts w:hint="eastAsia"/>
        </w:rPr>
        <w:t>1979</w:t>
      </w:r>
      <w:r>
        <w:rPr>
          <w:rFonts w:hint="eastAsia"/>
        </w:rPr>
        <w:t>年修正的《继承法》、</w:t>
      </w:r>
      <w:r>
        <w:rPr>
          <w:rFonts w:hint="eastAsia"/>
        </w:rPr>
        <w:t>1949</w:t>
      </w:r>
      <w:r>
        <w:rPr>
          <w:rFonts w:hint="eastAsia"/>
        </w:rPr>
        <w:t>年《出版自由法》和</w:t>
      </w:r>
      <w:r>
        <w:rPr>
          <w:rFonts w:hint="eastAsia"/>
        </w:rPr>
        <w:t>1991</w:t>
      </w:r>
      <w:r>
        <w:rPr>
          <w:rFonts w:hint="eastAsia"/>
        </w:rPr>
        <w:t>年《言论自由法》。《宪法》的基础是人民主权、代议民主制和议会制等原则。</w:t>
      </w:r>
    </w:p>
    <w:p w:rsidR="00000000" w:rsidRDefault="00000000">
      <w:pPr>
        <w:rPr>
          <w:rFonts w:hint="eastAsia"/>
        </w:rPr>
      </w:pPr>
      <w:r>
        <w:rPr>
          <w:rFonts w:hint="eastAsia"/>
        </w:rPr>
        <w:tab/>
        <w:t xml:space="preserve">17.  </w:t>
      </w:r>
      <w:r>
        <w:rPr>
          <w:rFonts w:hint="eastAsia"/>
        </w:rPr>
        <w:t>立法权主要属于议会</w:t>
      </w:r>
      <w:r>
        <w:rPr>
          <w:rFonts w:hint="eastAsia"/>
        </w:rPr>
        <w:t>(</w:t>
      </w:r>
      <w:r>
        <w:t>Riksdag</w:t>
      </w:r>
      <w:r>
        <w:rPr>
          <w:rFonts w:hint="eastAsia"/>
        </w:rPr>
        <w:t>)</w:t>
      </w:r>
      <w:r>
        <w:rPr>
          <w:rFonts w:hint="eastAsia"/>
        </w:rPr>
        <w:t>，但政府拥有某些次要的规章制定权力。议会为一院制，由直接选举产生。选民包括目前或先前居住在瑞典的所有</w:t>
      </w:r>
      <w:r>
        <w:rPr>
          <w:rFonts w:hint="eastAsia"/>
        </w:rPr>
        <w:t>18</w:t>
      </w:r>
      <w:r>
        <w:rPr>
          <w:rFonts w:hint="eastAsia"/>
        </w:rPr>
        <w:t>岁和</w:t>
      </w:r>
      <w:r>
        <w:rPr>
          <w:rFonts w:hint="eastAsia"/>
        </w:rPr>
        <w:t>18</w:t>
      </w:r>
      <w:r>
        <w:rPr>
          <w:rFonts w:hint="eastAsia"/>
        </w:rPr>
        <w:t>岁以上的瑞典公民。议会有</w:t>
      </w:r>
      <w:r>
        <w:rPr>
          <w:rFonts w:hint="eastAsia"/>
        </w:rPr>
        <w:t>349</w:t>
      </w:r>
      <w:r>
        <w:rPr>
          <w:rFonts w:hint="eastAsia"/>
        </w:rPr>
        <w:t>个席位。选举方法是根据比例制制定的。大选每四年的</w:t>
      </w:r>
      <w:r>
        <w:rPr>
          <w:rFonts w:hint="eastAsia"/>
        </w:rPr>
        <w:t>9</w:t>
      </w:r>
      <w:r>
        <w:rPr>
          <w:rFonts w:hint="eastAsia"/>
        </w:rPr>
        <w:t>月第</w:t>
      </w:r>
      <w:r>
        <w:rPr>
          <w:rFonts w:hint="eastAsia"/>
        </w:rPr>
        <w:t>3</w:t>
      </w:r>
      <w:r>
        <w:rPr>
          <w:rFonts w:hint="eastAsia"/>
        </w:rPr>
        <w:t>个星期日举行。政府可以在普通选举之间要求进行特别选举。</w:t>
      </w:r>
    </w:p>
    <w:p w:rsidR="00000000" w:rsidRDefault="00000000">
      <w:pPr>
        <w:rPr>
          <w:rFonts w:hint="eastAsia"/>
        </w:rPr>
      </w:pPr>
      <w:r>
        <w:rPr>
          <w:rFonts w:hint="eastAsia"/>
        </w:rPr>
        <w:tab/>
        <w:t xml:space="preserve">18.  </w:t>
      </w:r>
      <w:r>
        <w:rPr>
          <w:rFonts w:hint="eastAsia"/>
        </w:rPr>
        <w:t>市政选举与大选同时举行。除了瑞典公民以外，合法居住在瑞典的欧洲联盟、挪威和冰岛公民以及在瑞典合法居住满</w:t>
      </w:r>
      <w:r>
        <w:rPr>
          <w:rFonts w:hint="eastAsia"/>
        </w:rPr>
        <w:t>3</w:t>
      </w:r>
      <w:r>
        <w:rPr>
          <w:rFonts w:hint="eastAsia"/>
        </w:rPr>
        <w:t>年以上的其他外国国民可以参加这些选举。</w:t>
      </w:r>
    </w:p>
    <w:p w:rsidR="00000000" w:rsidRDefault="00000000">
      <w:pPr>
        <w:rPr>
          <w:rFonts w:hint="eastAsia"/>
        </w:rPr>
      </w:pPr>
      <w:r>
        <w:rPr>
          <w:rFonts w:hint="eastAsia"/>
        </w:rPr>
        <w:tab/>
        <w:t xml:space="preserve">19.  </w:t>
      </w:r>
      <w:r>
        <w:rPr>
          <w:rFonts w:hint="eastAsia"/>
        </w:rPr>
        <w:t>可以参加议会选举的人也可以参加欧洲联盟议会的选举。</w:t>
      </w:r>
    </w:p>
    <w:p w:rsidR="00000000" w:rsidRDefault="00000000">
      <w:pPr>
        <w:rPr>
          <w:rFonts w:hint="eastAsia"/>
        </w:rPr>
      </w:pPr>
      <w:r>
        <w:rPr>
          <w:rFonts w:hint="eastAsia"/>
        </w:rPr>
        <w:tab/>
        <w:t xml:space="preserve">20.  </w:t>
      </w:r>
      <w:r>
        <w:rPr>
          <w:rFonts w:hint="eastAsia"/>
        </w:rPr>
        <w:t>议会的一个重要职责是控制政府行使的行政权力，议会可以以绝对多数投不信任票，让个别部长或整个政府辞职，除非政府在一周内要求重新选举。</w:t>
      </w:r>
    </w:p>
    <w:p w:rsidR="00000000" w:rsidRDefault="00000000">
      <w:pPr>
        <w:rPr>
          <w:rFonts w:hint="eastAsia"/>
        </w:rPr>
      </w:pPr>
      <w:r>
        <w:rPr>
          <w:rFonts w:hint="eastAsia"/>
        </w:rPr>
        <w:tab/>
        <w:t xml:space="preserve">21.  </w:t>
      </w:r>
      <w:r>
        <w:rPr>
          <w:rFonts w:hint="eastAsia"/>
        </w:rPr>
        <w:t>进一步的立法控制由法律委员会</w:t>
      </w:r>
      <w:r>
        <w:rPr>
          <w:rFonts w:hint="eastAsia"/>
        </w:rPr>
        <w:t>(</w:t>
      </w:r>
      <w:r>
        <w:t>Lagrådet</w:t>
      </w:r>
      <w:r>
        <w:rPr>
          <w:rFonts w:hint="eastAsia"/>
        </w:rPr>
        <w:t>)</w:t>
      </w:r>
      <w:r>
        <w:rPr>
          <w:rFonts w:hint="eastAsia"/>
        </w:rPr>
        <w:t>行使，该委员会由最高法院和最高行政法院的成员组成。该委员会就政府提交它的法案草案提出意见。这些意见是向公众开放的。但政府没有义务根据该委员会提出的建议采取行动。</w:t>
      </w:r>
    </w:p>
    <w:p w:rsidR="00000000" w:rsidRDefault="00000000">
      <w:pPr>
        <w:rPr>
          <w:rFonts w:hint="eastAsia"/>
        </w:rPr>
      </w:pPr>
      <w:r>
        <w:rPr>
          <w:rFonts w:hint="eastAsia"/>
        </w:rPr>
        <w:tab/>
        <w:t xml:space="preserve">22.  </w:t>
      </w:r>
      <w:r>
        <w:rPr>
          <w:rFonts w:hint="eastAsia"/>
        </w:rPr>
        <w:t>国王作为国家元首的职责主要是礼仪性的。政府的交替在国家元首出席的一次特别内阁会议上进行。他宣布议会年会开幕，并主持外交咨询委员会。首相应该向国家元首通报国家事务。</w:t>
      </w:r>
    </w:p>
    <w:p w:rsidR="00000000" w:rsidRDefault="00000000">
      <w:pPr>
        <w:rPr>
          <w:rFonts w:hint="eastAsia"/>
        </w:rPr>
      </w:pPr>
      <w:r>
        <w:rPr>
          <w:rFonts w:hint="eastAsia"/>
        </w:rPr>
        <w:tab/>
        <w:t xml:space="preserve">23.  </w:t>
      </w:r>
      <w:r>
        <w:rPr>
          <w:rFonts w:hint="eastAsia"/>
        </w:rPr>
        <w:t>政治权力属于政府。《宪法》规定，政府而不是君主拥有正式的政府决定权。新的首相由议长在同议会中有代表的政党磋商以后向议会提名。首相任命内阁部长，选定各部部长，他有权随时解除内阁部长的职务。</w:t>
      </w:r>
    </w:p>
    <w:p w:rsidR="00000000" w:rsidRDefault="00000000">
      <w:pPr>
        <w:rPr>
          <w:rFonts w:hint="eastAsia"/>
        </w:rPr>
      </w:pPr>
      <w:r>
        <w:rPr>
          <w:rFonts w:hint="eastAsia"/>
        </w:rPr>
        <w:tab/>
        <w:t xml:space="preserve">24.  </w:t>
      </w:r>
      <w:r>
        <w:rPr>
          <w:rFonts w:hint="eastAsia"/>
        </w:rPr>
        <w:t>按照集体负责的原则，整个政府负责作出政府决定。</w:t>
      </w:r>
    </w:p>
    <w:p w:rsidR="00000000" w:rsidRDefault="00000000">
      <w:pPr>
        <w:rPr>
          <w:rFonts w:hint="eastAsia"/>
        </w:rPr>
      </w:pPr>
      <w:r>
        <w:rPr>
          <w:rFonts w:hint="eastAsia"/>
        </w:rPr>
        <w:tab/>
        <w:t xml:space="preserve">25.  </w:t>
      </w:r>
      <w:r>
        <w:rPr>
          <w:rFonts w:hint="eastAsia"/>
        </w:rPr>
        <w:t>司法系统由普通法院和行政法院组成。审理一般事务的法院是地区法院、上诉法院和最高法院。审理行政事务的法院是地区行政法院、上诉行政法院和最高行政法院。</w:t>
      </w:r>
    </w:p>
    <w:p w:rsidR="00000000" w:rsidRDefault="00000000">
      <w:pPr>
        <w:spacing w:after="320"/>
        <w:rPr>
          <w:rFonts w:hint="eastAsia"/>
        </w:rPr>
      </w:pPr>
      <w:r>
        <w:rPr>
          <w:rFonts w:hint="eastAsia"/>
        </w:rPr>
        <w:tab/>
        <w:t xml:space="preserve">26.  </w:t>
      </w:r>
      <w:r>
        <w:rPr>
          <w:rFonts w:hint="eastAsia"/>
        </w:rPr>
        <w:t>根据《政府约法》第</w:t>
      </w:r>
      <w:r>
        <w:rPr>
          <w:rFonts w:hint="eastAsia"/>
        </w:rPr>
        <w:t>11</w:t>
      </w:r>
      <w:r>
        <w:rPr>
          <w:rFonts w:hint="eastAsia"/>
        </w:rPr>
        <w:t>章第</w:t>
      </w:r>
      <w:r>
        <w:rPr>
          <w:rFonts w:hint="eastAsia"/>
        </w:rPr>
        <w:t>2</w:t>
      </w:r>
      <w:r>
        <w:rPr>
          <w:rFonts w:hint="eastAsia"/>
        </w:rPr>
        <w:t>节，政府当局和议会都不能左右法院审理中的案件的结果，也不得试图对法院在特定案件中实施法律规则施加影响。</w:t>
      </w:r>
    </w:p>
    <w:p w:rsidR="00000000" w:rsidRDefault="00000000">
      <w:pPr>
        <w:pStyle w:val="Heading2"/>
        <w:rPr>
          <w:rFonts w:hint="eastAsia"/>
        </w:rPr>
      </w:pPr>
      <w:r>
        <w:rPr>
          <w:rFonts w:hint="eastAsia"/>
        </w:rPr>
        <w:t>三、保护人权的一般法律框架</w:t>
      </w:r>
    </w:p>
    <w:p w:rsidR="00000000" w:rsidRDefault="00000000">
      <w:pPr>
        <w:spacing w:after="320"/>
        <w:rPr>
          <w:rFonts w:hint="eastAsia"/>
        </w:rPr>
      </w:pPr>
      <w:r>
        <w:rPr>
          <w:rFonts w:hint="eastAsia"/>
        </w:rPr>
        <w:tab/>
        <w:t xml:space="preserve">27.  </w:t>
      </w:r>
      <w:r>
        <w:rPr>
          <w:rFonts w:hint="eastAsia"/>
        </w:rPr>
        <w:t>瑞典法律受到大陆法和普通法的影响，但比较接近于大陆法律体系。瑞典法律基本上参照成文法，而判例法作为法律的渊源发挥辅助作用。然而，法律不是载于一部全面的法典，而是载于一些主要法规和一些具体的法令。</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拥有人权管辖权的机构</w:t>
      </w:r>
    </w:p>
    <w:p w:rsidR="00000000" w:rsidRDefault="00000000">
      <w:r>
        <w:rPr>
          <w:rFonts w:hint="eastAsia"/>
        </w:rPr>
        <w:tab/>
        <w:t xml:space="preserve">28.  </w:t>
      </w:r>
      <w:r>
        <w:rPr>
          <w:rFonts w:hint="eastAsia"/>
        </w:rPr>
        <w:t>瑞典关于保护个人免遭国家侵犯的立法上溯到大约</w:t>
      </w:r>
      <w:r>
        <w:rPr>
          <w:rFonts w:hint="eastAsia"/>
        </w:rPr>
        <w:t>1350</w:t>
      </w:r>
      <w:r>
        <w:rPr>
          <w:rFonts w:hint="eastAsia"/>
        </w:rPr>
        <w:t>年。现在《瑞典政府约法》载列了各项基本权利和自由，其中第二章载有基本权利和自由。另外还有《出版自由法》和《言论自由法》，这也是《宪法》的组成部分。</w:t>
      </w:r>
    </w:p>
    <w:p w:rsidR="00000000" w:rsidRDefault="00000000">
      <w:pPr>
        <w:spacing w:after="320"/>
        <w:rPr>
          <w:rFonts w:hint="eastAsia"/>
        </w:rPr>
      </w:pPr>
      <w:r>
        <w:rPr>
          <w:rFonts w:hint="eastAsia"/>
        </w:rPr>
        <w:tab/>
        <w:t xml:space="preserve">29.  </w:t>
      </w:r>
      <w:r>
        <w:rPr>
          <w:rFonts w:hint="eastAsia"/>
        </w:rPr>
        <w:t>正如上文所提到，由法院负责司法裁判，而国家和市政行政机构负责公共行政。因此法律事务由普通法院、行政法院和行政当局处理。《宪法》规定，法院、行政当局和履行公共行政职责的其他机构应在履行职责时应维护法律规定的人人平等原则并保持客观性和公正性。</w:t>
      </w:r>
      <w:r>
        <w:rPr>
          <w:rFonts w:hint="eastAsia"/>
        </w:rPr>
        <w:t xml:space="preserve"> </w:t>
      </w:r>
    </w:p>
    <w:p w:rsidR="00000000" w:rsidRDefault="00000000">
      <w:pPr>
        <w:pStyle w:val="Heading3"/>
        <w:rPr>
          <w:rFonts w:hint="eastAsia"/>
        </w:rPr>
      </w:pPr>
      <w:r>
        <w:rPr>
          <w:rFonts w:hint="eastAsia"/>
          <w:u w:val="none"/>
        </w:rPr>
        <w:t xml:space="preserve">1.  </w:t>
      </w:r>
      <w:r>
        <w:rPr>
          <w:rFonts w:hint="eastAsia"/>
        </w:rPr>
        <w:t>法</w:t>
      </w:r>
      <w:r>
        <w:rPr>
          <w:rFonts w:hint="eastAsia"/>
        </w:rPr>
        <w:t xml:space="preserve">  </w:t>
      </w:r>
      <w:r>
        <w:rPr>
          <w:rFonts w:hint="eastAsia"/>
        </w:rPr>
        <w:t>院</w:t>
      </w:r>
    </w:p>
    <w:p w:rsidR="00000000" w:rsidRDefault="00000000">
      <w:pPr>
        <w:rPr>
          <w:rFonts w:hint="eastAsia"/>
        </w:rPr>
      </w:pPr>
      <w:r>
        <w:rPr>
          <w:rFonts w:hint="eastAsia"/>
        </w:rPr>
        <w:tab/>
        <w:t xml:space="preserve">30.  </w:t>
      </w:r>
      <w:r>
        <w:rPr>
          <w:rFonts w:hint="eastAsia"/>
        </w:rPr>
        <w:t>法院负责司法裁判</w:t>
      </w:r>
      <w:r>
        <w:rPr>
          <w:rFonts w:hint="eastAsia"/>
        </w:rPr>
        <w:t>(</w:t>
      </w:r>
      <w:r>
        <w:rPr>
          <w:rFonts w:hint="eastAsia"/>
        </w:rPr>
        <w:t>《政府约法》第一章第</w:t>
      </w:r>
      <w:r>
        <w:rPr>
          <w:rFonts w:hint="eastAsia"/>
        </w:rPr>
        <w:t>8</w:t>
      </w:r>
      <w:r>
        <w:rPr>
          <w:rFonts w:hint="eastAsia"/>
        </w:rPr>
        <w:t>节</w:t>
      </w:r>
      <w:r>
        <w:rPr>
          <w:rFonts w:hint="eastAsia"/>
        </w:rPr>
        <w:t>)</w:t>
      </w:r>
      <w:r>
        <w:rPr>
          <w:rFonts w:hint="eastAsia"/>
        </w:rPr>
        <w:t>。《政府约法》第十一章第</w:t>
      </w:r>
      <w:r>
        <w:rPr>
          <w:rFonts w:hint="eastAsia"/>
        </w:rPr>
        <w:t>3</w:t>
      </w:r>
      <w:r>
        <w:rPr>
          <w:rFonts w:hint="eastAsia"/>
        </w:rPr>
        <w:t>节规定，除非根据法律，国民私人之间的法律争端不得由法院以外的任何当局处理。《政府约法》第二章第</w:t>
      </w:r>
      <w:r>
        <w:rPr>
          <w:rFonts w:hint="eastAsia"/>
        </w:rPr>
        <w:t>9</w:t>
      </w:r>
      <w:r>
        <w:rPr>
          <w:rFonts w:hint="eastAsia"/>
        </w:rPr>
        <w:t>节保证，剥夺自由的行为应始终由法院毫不拖延地加以审查。关于司法机构的组织问题，《政府约法》提到最高法院和最高行政法院</w:t>
      </w:r>
      <w:r>
        <w:rPr>
          <w:rFonts w:hint="eastAsia"/>
        </w:rPr>
        <w:t>(</w:t>
      </w:r>
      <w:r>
        <w:rPr>
          <w:rFonts w:hint="eastAsia"/>
        </w:rPr>
        <w:t>《政府约法》第十一章第</w:t>
      </w:r>
      <w:r>
        <w:rPr>
          <w:rFonts w:hint="eastAsia"/>
        </w:rPr>
        <w:t>1</w:t>
      </w:r>
      <w:r>
        <w:rPr>
          <w:rFonts w:hint="eastAsia"/>
        </w:rPr>
        <w:t>节</w:t>
      </w:r>
      <w:r>
        <w:rPr>
          <w:rFonts w:hint="eastAsia"/>
        </w:rPr>
        <w:t>)</w:t>
      </w:r>
      <w:r>
        <w:rPr>
          <w:rFonts w:hint="eastAsia"/>
        </w:rPr>
        <w:t>，并规定，任何其他法院必须依照法律设立。关于法院的司法裁判职责、法院组织的主要特点和法律程序的规定应由法令加以规定</w:t>
      </w:r>
      <w:r>
        <w:rPr>
          <w:rFonts w:hint="eastAsia"/>
        </w:rPr>
        <w:t>(</w:t>
      </w:r>
      <w:r>
        <w:rPr>
          <w:rFonts w:hint="eastAsia"/>
        </w:rPr>
        <w:t>《政府约法》第十一章第</w:t>
      </w:r>
      <w:r>
        <w:rPr>
          <w:rFonts w:hint="eastAsia"/>
        </w:rPr>
        <w:t>4</w:t>
      </w:r>
      <w:r>
        <w:rPr>
          <w:rFonts w:hint="eastAsia"/>
        </w:rPr>
        <w:t>节</w:t>
      </w:r>
      <w:r>
        <w:rPr>
          <w:rFonts w:hint="eastAsia"/>
        </w:rPr>
        <w:t>)</w:t>
      </w:r>
      <w:r>
        <w:rPr>
          <w:rFonts w:hint="eastAsia"/>
        </w:rPr>
        <w:t>。</w:t>
      </w:r>
    </w:p>
    <w:p w:rsidR="00000000" w:rsidRDefault="00000000">
      <w:pPr>
        <w:rPr>
          <w:rFonts w:hint="eastAsia"/>
        </w:rPr>
      </w:pPr>
      <w:r>
        <w:rPr>
          <w:rFonts w:hint="eastAsia"/>
        </w:rPr>
        <w:tab/>
        <w:t xml:space="preserve">31.  </w:t>
      </w:r>
      <w:r>
        <w:rPr>
          <w:rFonts w:hint="eastAsia"/>
        </w:rPr>
        <w:t>《政府约法》保证法院的独立性。议会、政府或任何其他公共机构均不得确定法院如何裁决某一案件，或者法院在其他情况下如何对特定案件实施法律规则</w:t>
      </w:r>
      <w:r>
        <w:rPr>
          <w:rFonts w:hint="eastAsia"/>
        </w:rPr>
        <w:t>(</w:t>
      </w:r>
      <w:r>
        <w:rPr>
          <w:rFonts w:hint="eastAsia"/>
        </w:rPr>
        <w:t>《政府约法》第十一章第</w:t>
      </w:r>
      <w:r>
        <w:rPr>
          <w:rFonts w:hint="eastAsia"/>
        </w:rPr>
        <w:t>2</w:t>
      </w:r>
      <w:r>
        <w:rPr>
          <w:rFonts w:hint="eastAsia"/>
        </w:rPr>
        <w:t>节</w:t>
      </w:r>
      <w:r>
        <w:rPr>
          <w:rFonts w:hint="eastAsia"/>
        </w:rPr>
        <w:t>)</w:t>
      </w:r>
      <w:r>
        <w:rPr>
          <w:rFonts w:hint="eastAsia"/>
        </w:rPr>
        <w:t>。只有在以下情况下才可以撤消法官的职务：他们由于刑事犯罪或严重或反复渎职，已显然表明不再适合于担任这一职务，或他们有法律义务领取养老金退休</w:t>
      </w:r>
      <w:r>
        <w:rPr>
          <w:rFonts w:hint="eastAsia"/>
        </w:rPr>
        <w:t>(</w:t>
      </w:r>
      <w:r>
        <w:rPr>
          <w:rFonts w:hint="eastAsia"/>
        </w:rPr>
        <w:t>《政府约法》第十一章第</w:t>
      </w:r>
      <w:r>
        <w:rPr>
          <w:rFonts w:hint="eastAsia"/>
        </w:rPr>
        <w:t>5</w:t>
      </w:r>
      <w:r>
        <w:rPr>
          <w:rFonts w:hint="eastAsia"/>
        </w:rPr>
        <w:t>节</w:t>
      </w:r>
      <w:r>
        <w:rPr>
          <w:rFonts w:hint="eastAsia"/>
        </w:rPr>
        <w:t>)</w:t>
      </w:r>
      <w:r>
        <w:rPr>
          <w:rFonts w:hint="eastAsia"/>
        </w:rPr>
        <w:t>。</w:t>
      </w:r>
    </w:p>
    <w:p w:rsidR="00000000" w:rsidRDefault="00000000">
      <w:pPr>
        <w:rPr>
          <w:rFonts w:hint="eastAsia"/>
        </w:rPr>
      </w:pPr>
      <w:r>
        <w:rPr>
          <w:rFonts w:hint="eastAsia"/>
        </w:rPr>
        <w:tab/>
        <w:t xml:space="preserve">32.  </w:t>
      </w:r>
      <w:r>
        <w:rPr>
          <w:rFonts w:hint="eastAsia"/>
        </w:rPr>
        <w:t>瑞典于</w:t>
      </w:r>
      <w:r>
        <w:rPr>
          <w:rFonts w:hint="eastAsia"/>
        </w:rPr>
        <w:t>1952</w:t>
      </w:r>
      <w:r>
        <w:rPr>
          <w:rFonts w:hint="eastAsia"/>
        </w:rPr>
        <w:t>年批准了《欧洲保护人权与基本自由公约》。除了第</w:t>
      </w:r>
      <w:r>
        <w:rPr>
          <w:rFonts w:hint="eastAsia"/>
        </w:rPr>
        <w:t>12</w:t>
      </w:r>
      <w:r>
        <w:rPr>
          <w:rFonts w:hint="eastAsia"/>
        </w:rPr>
        <w:t>号议定书以外，瑞典还批准了该公约的所有附加议定书。瑞典对该公约和附加议定书没有作任何保留。瑞典从一开始就承认欧洲人权委员会有权受理个人和非政府组织提出的请愿。</w:t>
      </w:r>
      <w:r>
        <w:rPr>
          <w:rFonts w:hint="eastAsia"/>
        </w:rPr>
        <w:t>1966</w:t>
      </w:r>
      <w:r>
        <w:rPr>
          <w:rFonts w:hint="eastAsia"/>
        </w:rPr>
        <w:t>年，瑞典宣布，它承认欧洲人权法院审理申诉的管辖权。根据</w:t>
      </w:r>
      <w:r>
        <w:rPr>
          <w:rFonts w:hint="eastAsia"/>
        </w:rPr>
        <w:t>1995</w:t>
      </w:r>
      <w:r>
        <w:rPr>
          <w:rFonts w:hint="eastAsia"/>
        </w:rPr>
        <w:t>年生效的一项特别法令</w:t>
      </w:r>
      <w:r>
        <w:rPr>
          <w:rFonts w:hint="eastAsia"/>
        </w:rPr>
        <w:t>(</w:t>
      </w:r>
      <w:r>
        <w:rPr>
          <w:rFonts w:hint="eastAsia"/>
        </w:rPr>
        <w:t>第</w:t>
      </w:r>
      <w:r>
        <w:rPr>
          <w:rFonts w:hint="eastAsia"/>
        </w:rPr>
        <w:t>1994</w:t>
      </w:r>
      <w:r>
        <w:rPr>
          <w:rFonts w:hint="eastAsia"/>
        </w:rPr>
        <w:t>：</w:t>
      </w:r>
      <w:r>
        <w:rPr>
          <w:rFonts w:hint="eastAsia"/>
        </w:rPr>
        <w:t>1219</w:t>
      </w:r>
      <w:r>
        <w:rPr>
          <w:rFonts w:hint="eastAsia"/>
        </w:rPr>
        <w:t>号法令</w:t>
      </w:r>
      <w:r>
        <w:rPr>
          <w:rFonts w:hint="eastAsia"/>
        </w:rPr>
        <w:t>)</w:t>
      </w:r>
      <w:r>
        <w:rPr>
          <w:rFonts w:hint="eastAsia"/>
        </w:rPr>
        <w:t>，该公约和附加议定书已经纳入瑞典法律系统。因此瑞典法院和行政当局应在其决策中像所有其他瑞典法规一样，适用该公约和附加议定书。</w:t>
      </w:r>
    </w:p>
    <w:p w:rsidR="00000000" w:rsidRDefault="00000000">
      <w:pPr>
        <w:spacing w:after="320"/>
        <w:rPr>
          <w:rFonts w:hint="eastAsia"/>
        </w:rPr>
      </w:pPr>
      <w:r>
        <w:rPr>
          <w:rFonts w:hint="eastAsia"/>
        </w:rPr>
        <w:tab/>
        <w:t xml:space="preserve">33.  </w:t>
      </w:r>
      <w:r>
        <w:rPr>
          <w:rFonts w:hint="eastAsia"/>
        </w:rPr>
        <w:t>瑞典批准了《国际刑事法院罗马规约》并在其国内立法中执行该规约。</w:t>
      </w:r>
    </w:p>
    <w:p w:rsidR="00000000" w:rsidRDefault="00000000">
      <w:pPr>
        <w:pStyle w:val="Heading3"/>
        <w:rPr>
          <w:rFonts w:hint="eastAsia"/>
        </w:rPr>
      </w:pPr>
      <w:r>
        <w:rPr>
          <w:rFonts w:hint="eastAsia"/>
          <w:u w:val="none"/>
        </w:rPr>
        <w:t xml:space="preserve">2.  </w:t>
      </w:r>
      <w:r>
        <w:rPr>
          <w:rFonts w:hint="eastAsia"/>
        </w:rPr>
        <w:t>行政当局</w:t>
      </w:r>
    </w:p>
    <w:p w:rsidR="00000000" w:rsidRDefault="00000000">
      <w:pPr>
        <w:rPr>
          <w:rFonts w:hint="eastAsia"/>
        </w:rPr>
      </w:pPr>
      <w:r>
        <w:rPr>
          <w:rFonts w:hint="eastAsia"/>
        </w:rPr>
        <w:tab/>
        <w:t xml:space="preserve">34.  </w:t>
      </w:r>
      <w:r>
        <w:rPr>
          <w:rFonts w:hint="eastAsia"/>
        </w:rPr>
        <w:t>行政机构分中央政府和地方政府，负责公共行政</w:t>
      </w:r>
      <w:r>
        <w:rPr>
          <w:rFonts w:hint="eastAsia"/>
        </w:rPr>
        <w:t>(</w:t>
      </w:r>
      <w:r>
        <w:rPr>
          <w:rFonts w:hint="eastAsia"/>
        </w:rPr>
        <w:t>《政府约法》第一章第</w:t>
      </w:r>
      <w:r>
        <w:rPr>
          <w:rFonts w:hint="eastAsia"/>
        </w:rPr>
        <w:t>8</w:t>
      </w:r>
      <w:r>
        <w:rPr>
          <w:rFonts w:hint="eastAsia"/>
        </w:rPr>
        <w:t>节</w:t>
      </w:r>
      <w:r>
        <w:rPr>
          <w:rFonts w:hint="eastAsia"/>
        </w:rPr>
        <w:t>)</w:t>
      </w:r>
      <w:r>
        <w:rPr>
          <w:rFonts w:hint="eastAsia"/>
        </w:rPr>
        <w:t>。行政当局应执行的许多任务具有执法因素并不明显的服务的性质，例如教育、国防、保健等。但许多这些当局还实施对国民私人极为重要的法律规则，例如关于税额评定、社会福利服务、物质环境规划、环境保护的法律规则。对于行政当局关于法律事务的决定通常可以提出上诉，在许多情况下，对上诉的审查由行政法院负责。</w:t>
      </w:r>
    </w:p>
    <w:p w:rsidR="00000000" w:rsidRDefault="00000000">
      <w:pPr>
        <w:rPr>
          <w:rFonts w:hint="eastAsia"/>
        </w:rPr>
      </w:pPr>
      <w:r>
        <w:rPr>
          <w:rFonts w:hint="eastAsia"/>
        </w:rPr>
        <w:tab/>
        <w:t xml:space="preserve">35.  </w:t>
      </w:r>
      <w:r>
        <w:rPr>
          <w:rFonts w:hint="eastAsia"/>
        </w:rPr>
        <w:t>瑞典行政当局在与政府的关系上比较独立，这种独立性由《政府约法》加以保证。中央行政委员会直接隶属于政府，而不是隶属于有关部长</w:t>
      </w:r>
      <w:r>
        <w:rPr>
          <w:rFonts w:hint="eastAsia"/>
        </w:rPr>
        <w:t>(</w:t>
      </w:r>
      <w:r>
        <w:rPr>
          <w:rFonts w:hint="eastAsia"/>
        </w:rPr>
        <w:t>《政府约法》第十一章第</w:t>
      </w:r>
      <w:r>
        <w:rPr>
          <w:rFonts w:hint="eastAsia"/>
        </w:rPr>
        <w:t>6</w:t>
      </w:r>
      <w:r>
        <w:rPr>
          <w:rFonts w:hint="eastAsia"/>
        </w:rPr>
        <w:t>节</w:t>
      </w:r>
      <w:r>
        <w:rPr>
          <w:rFonts w:hint="eastAsia"/>
        </w:rPr>
        <w:t>)</w:t>
      </w:r>
      <w:r>
        <w:rPr>
          <w:rFonts w:hint="eastAsia"/>
        </w:rPr>
        <w:t>。议会、政府或任何其他当局均不得就对国民私人或地方政府组织行使公共权力的特定案件或关于应用法律的特定案件而对某个当局的决定发号施令</w:t>
      </w:r>
      <w:r>
        <w:rPr>
          <w:rFonts w:hint="eastAsia"/>
        </w:rPr>
        <w:t>(</w:t>
      </w:r>
      <w:r>
        <w:rPr>
          <w:rFonts w:hint="eastAsia"/>
        </w:rPr>
        <w:t>《政府约法》第十一章第</w:t>
      </w:r>
      <w:r>
        <w:rPr>
          <w:rFonts w:hint="eastAsia"/>
        </w:rPr>
        <w:t>7</w:t>
      </w:r>
      <w:r>
        <w:rPr>
          <w:rFonts w:hint="eastAsia"/>
        </w:rPr>
        <w:t>节</w:t>
      </w:r>
      <w:r>
        <w:rPr>
          <w:rFonts w:hint="eastAsia"/>
        </w:rPr>
        <w:t>)</w:t>
      </w:r>
      <w:r>
        <w:rPr>
          <w:rFonts w:hint="eastAsia"/>
        </w:rPr>
        <w:t>。在这一方面，只能以一般规则的形式发出指示。在其他情况下，上级机构也可以就特定案件发出指示。如果法院或任何其他公共机关认为，某项规定与基本法的规定，即与构成宪法的某项法令的规定相抵触，或与任何其他高级法规的规定相抵触，或者认为，在提出这项规定时，所规定的程序已在任何重要事项中被撤消，就可以不实施这项规定。但如果这项规定得到议会或政府的批准，只有在明显错误的情况下才可以不予理会</w:t>
      </w:r>
      <w:r>
        <w:rPr>
          <w:rFonts w:hint="eastAsia"/>
        </w:rPr>
        <w:t>(</w:t>
      </w:r>
      <w:r>
        <w:rPr>
          <w:rFonts w:hint="eastAsia"/>
        </w:rPr>
        <w:t>《政府约法》第十一章第</w:t>
      </w:r>
      <w:r>
        <w:rPr>
          <w:rFonts w:hint="eastAsia"/>
        </w:rPr>
        <w:t>14</w:t>
      </w:r>
      <w:r>
        <w:rPr>
          <w:rFonts w:hint="eastAsia"/>
        </w:rPr>
        <w:t>节</w:t>
      </w:r>
      <w:r>
        <w:rPr>
          <w:rFonts w:hint="eastAsia"/>
        </w:rPr>
        <w:t>)</w:t>
      </w:r>
      <w:r>
        <w:rPr>
          <w:rFonts w:hint="eastAsia"/>
        </w:rPr>
        <w:t>。</w:t>
      </w:r>
    </w:p>
    <w:p w:rsidR="00000000" w:rsidRDefault="00000000">
      <w:pPr>
        <w:rPr>
          <w:rFonts w:hint="eastAsia"/>
        </w:rPr>
      </w:pPr>
      <w:r>
        <w:rPr>
          <w:rFonts w:hint="eastAsia"/>
        </w:rPr>
        <w:tab/>
        <w:t xml:space="preserve">36.  </w:t>
      </w:r>
      <w:r>
        <w:rPr>
          <w:rFonts w:hint="eastAsia"/>
        </w:rPr>
        <w:t>上述所有当局多少都具有涉及人权的管辖权。换言之，由于人权问题渗透到社会的各个方面，这些当局处理的各种诉讼在一定程度上涉及到这些问题。</w:t>
      </w:r>
    </w:p>
    <w:p w:rsidR="00000000" w:rsidRDefault="00000000">
      <w:pPr>
        <w:rPr>
          <w:rFonts w:hint="eastAsia"/>
        </w:rPr>
      </w:pPr>
      <w:r>
        <w:rPr>
          <w:rFonts w:hint="eastAsia"/>
        </w:rPr>
        <w:tab/>
        <w:t xml:space="preserve">37.  </w:t>
      </w:r>
      <w:r>
        <w:rPr>
          <w:rFonts w:hint="eastAsia"/>
        </w:rPr>
        <w:t>然而瑞典没有宪法法院。此外，没有任何其他当局被授权仅仅根据各项国际公约表达的人权观点采取立场。这方面的原因可能是，尽管瑞典履行了在人权领域的国际义务，但国际人权文书本身没有成为瑞典国内法律系统的组成部分</w:t>
      </w:r>
      <w:r>
        <w:rPr>
          <w:rFonts w:hint="eastAsia"/>
        </w:rPr>
        <w:t>(</w:t>
      </w:r>
      <w:r>
        <w:rPr>
          <w:rFonts w:hint="eastAsia"/>
        </w:rPr>
        <w:t>参阅以下</w:t>
      </w:r>
      <w:r>
        <w:rPr>
          <w:rFonts w:hint="eastAsia"/>
        </w:rPr>
        <w:t>D</w:t>
      </w:r>
      <w:r>
        <w:rPr>
          <w:rFonts w:hint="eastAsia"/>
        </w:rPr>
        <w:t>节中提供的资料</w:t>
      </w:r>
      <w:r>
        <w:rPr>
          <w:rFonts w:hint="eastAsia"/>
        </w:rPr>
        <w:t>)</w:t>
      </w:r>
      <w:r>
        <w:rPr>
          <w:rFonts w:hint="eastAsia"/>
        </w:rPr>
        <w:t>。</w:t>
      </w:r>
    </w:p>
    <w:p w:rsidR="00000000" w:rsidRDefault="00000000">
      <w:pPr>
        <w:rPr>
          <w:rFonts w:hint="eastAsia"/>
        </w:rPr>
      </w:pPr>
      <w:r>
        <w:rPr>
          <w:rFonts w:hint="eastAsia"/>
        </w:rPr>
        <w:tab/>
        <w:t xml:space="preserve">38.  </w:t>
      </w:r>
      <w:r>
        <w:rPr>
          <w:rFonts w:hint="eastAsia"/>
        </w:rPr>
        <w:t>在这一方面，有些机构是值得注意的。它们构成了瑞典监察专员系统。瑞典有</w:t>
      </w:r>
      <w:r>
        <w:rPr>
          <w:rFonts w:hint="eastAsia"/>
        </w:rPr>
        <w:t>6</w:t>
      </w:r>
      <w:r>
        <w:rPr>
          <w:rFonts w:hint="eastAsia"/>
        </w:rPr>
        <w:t>个官方监察专员机构：议会监察专员办公室</w:t>
      </w:r>
      <w:r>
        <w:rPr>
          <w:rFonts w:hint="eastAsia"/>
        </w:rPr>
        <w:t>(JO)</w:t>
      </w:r>
      <w:r>
        <w:rPr>
          <w:rFonts w:hint="eastAsia"/>
        </w:rPr>
        <w:t>、消费者监察专员</w:t>
      </w:r>
      <w:r>
        <w:rPr>
          <w:rFonts w:hint="eastAsia"/>
        </w:rPr>
        <w:t>(KO)</w:t>
      </w:r>
      <w:r>
        <w:rPr>
          <w:rFonts w:hint="eastAsia"/>
        </w:rPr>
        <w:t>、平等机会监察专员办公室</w:t>
      </w:r>
      <w:r>
        <w:rPr>
          <w:rFonts w:hint="eastAsia"/>
        </w:rPr>
        <w:t>(J</w:t>
      </w:r>
      <w:r>
        <w:t>ä</w:t>
      </w:r>
      <w:r>
        <w:rPr>
          <w:rFonts w:hint="eastAsia"/>
        </w:rPr>
        <w:t>mO)</w:t>
      </w:r>
      <w:r>
        <w:rPr>
          <w:rFonts w:hint="eastAsia"/>
        </w:rPr>
        <w:t>、种族歧视问题监察专员</w:t>
      </w:r>
      <w:r>
        <w:rPr>
          <w:rFonts w:hint="eastAsia"/>
        </w:rPr>
        <w:t>(DO)</w:t>
      </w:r>
      <w:r>
        <w:rPr>
          <w:rFonts w:hint="eastAsia"/>
        </w:rPr>
        <w:t>、儿童问题监察专员</w:t>
      </w:r>
      <w:r>
        <w:rPr>
          <w:rFonts w:hint="eastAsia"/>
        </w:rPr>
        <w:t>(BO)</w:t>
      </w:r>
      <w:r>
        <w:rPr>
          <w:rFonts w:hint="eastAsia"/>
        </w:rPr>
        <w:t>、残疾问题监察专员和反对性取向歧视监察专员办公室</w:t>
      </w:r>
      <w:r>
        <w:rPr>
          <w:rFonts w:hint="eastAsia"/>
        </w:rPr>
        <w:t>(H</w:t>
      </w:r>
      <w:r>
        <w:rPr>
          <w:lang w:val="fr-CH"/>
        </w:rPr>
        <w:t>om</w:t>
      </w:r>
      <w:r>
        <w:rPr>
          <w:rFonts w:hint="eastAsia"/>
        </w:rPr>
        <w:t>O)</w:t>
      </w:r>
      <w:r>
        <w:rPr>
          <w:rFonts w:hint="eastAsia"/>
        </w:rPr>
        <w:t>。</w:t>
      </w:r>
    </w:p>
    <w:p w:rsidR="00000000" w:rsidRDefault="00000000">
      <w:pPr>
        <w:rPr>
          <w:rFonts w:hint="eastAsia"/>
        </w:rPr>
      </w:pPr>
      <w:r>
        <w:rPr>
          <w:rFonts w:hint="eastAsia"/>
        </w:rPr>
        <w:tab/>
        <w:t xml:space="preserve">39.  </w:t>
      </w:r>
      <w:r>
        <w:rPr>
          <w:rFonts w:hint="eastAsia"/>
        </w:rPr>
        <w:t>议会监察专员办公室创建于</w:t>
      </w:r>
      <w:r>
        <w:rPr>
          <w:rFonts w:hint="eastAsia"/>
        </w:rPr>
        <w:t>1809</w:t>
      </w:r>
      <w:r>
        <w:rPr>
          <w:rFonts w:hint="eastAsia"/>
        </w:rPr>
        <w:t>年，原先是为了向议会建议如何控制所有法官、公务员和军官遵守法律和法令而设立的。议会监察专员办公室的监督包括所有国家和市政机构及其工作人员。但这种监督并不包括部长职责的履行情况。除了少数情况以外，所有行使公共权力的人都受到议会监察专员办公室的监督。议会监察专员办公室可以自行发起调查，也可以处理个人提出的申诉。凡认为受到不公正对待的人，都可以向议会监察专员办公室提出书面申诉。议会监察专员办公室着眼于那些在公正地兼顾个人自由和社区要求方面具有重要性的申诉。议会监察专员办公室经过调查以后可以对公务员或法官进行纪律处分。例如对于违反公务员职责的行为，也可以对应负责任的公务员提起刑事诉讼。</w:t>
      </w:r>
    </w:p>
    <w:p w:rsidR="00000000" w:rsidRDefault="00000000">
      <w:pPr>
        <w:rPr>
          <w:rFonts w:hint="eastAsia"/>
        </w:rPr>
      </w:pPr>
      <w:r>
        <w:rPr>
          <w:rFonts w:hint="eastAsia"/>
        </w:rPr>
        <w:tab/>
        <w:t xml:space="preserve">40.  </w:t>
      </w:r>
      <w:r>
        <w:rPr>
          <w:rFonts w:hint="eastAsia"/>
        </w:rPr>
        <w:t>消费者监察专员</w:t>
      </w:r>
      <w:r>
        <w:rPr>
          <w:rFonts w:hint="eastAsia"/>
        </w:rPr>
        <w:t>(KO)</w:t>
      </w:r>
      <w:r>
        <w:rPr>
          <w:rFonts w:hint="eastAsia"/>
        </w:rPr>
        <w:t>是消费局局长。消费局是一个国家机构，其任务是协助瑞典公众处理消费者事务。其工作范围主要涉及广告和合同条件、消费者信息和教育、国内资金、产品安全、质量和环境影响。消费者监察专员在工商方面代表消费者的利益，并代表消费者展开诉讼。总的政策目标是：协助家庭最佳使用金钱和其他资源；加强消费者在市场上的地位；保护消费者的健康和安全；推广促进长期可持续发展的生产和消费模式。</w:t>
      </w:r>
    </w:p>
    <w:p w:rsidR="00000000" w:rsidRDefault="00000000">
      <w:pPr>
        <w:rPr>
          <w:rFonts w:hint="eastAsia"/>
        </w:rPr>
      </w:pPr>
      <w:r>
        <w:rPr>
          <w:rFonts w:hint="eastAsia"/>
        </w:rPr>
        <w:tab/>
        <w:t xml:space="preserve">41.  </w:t>
      </w:r>
      <w:r>
        <w:rPr>
          <w:rFonts w:hint="eastAsia"/>
        </w:rPr>
        <w:t>平等机会监察专员办公室</w:t>
      </w:r>
      <w:r>
        <w:rPr>
          <w:rFonts w:hint="eastAsia"/>
        </w:rPr>
        <w:t>(J</w:t>
      </w:r>
      <w:r>
        <w:t>ä</w:t>
      </w:r>
      <w:r>
        <w:rPr>
          <w:rFonts w:hint="eastAsia"/>
        </w:rPr>
        <w:t>mO)</w:t>
      </w:r>
      <w:r>
        <w:rPr>
          <w:rFonts w:hint="eastAsia"/>
        </w:rPr>
        <w:t>于</w:t>
      </w:r>
      <w:r>
        <w:rPr>
          <w:rFonts w:hint="eastAsia"/>
        </w:rPr>
        <w:t>1980</w:t>
      </w:r>
      <w:r>
        <w:rPr>
          <w:rFonts w:hint="eastAsia"/>
        </w:rPr>
        <w:t>年设立。平等机会监察专员办公室的任务是确保《平等机会法》的规定得到执行。该法令旨在促进男女在工作和工作条件方面的平等机会。该法令禁止基于性别原因的歧视并要求积极采取措施促进工作场所中的机会平等。平等机会监察专员办公室按照其责任，在审理一项歧视案件中，首先试图通过谈判取得解决。如果达不成解决办法，该案件则可提交劳资争议法庭。然而平等机会监察专员只有在工会决定不代表雇员或有关求职者的情况下才能在劳资争议法庭上提起诉讼。平等机会委员会是一个特殊机构，根据该法令并按照平等机会监察专员的请求，可以命令雇主采取具体措施促进工作场所的平等，否则予以罚款。</w:t>
      </w:r>
    </w:p>
    <w:p w:rsidR="00000000" w:rsidRDefault="00000000">
      <w:pPr>
        <w:rPr>
          <w:rFonts w:hint="eastAsia"/>
        </w:rPr>
      </w:pPr>
      <w:r>
        <w:rPr>
          <w:rFonts w:hint="eastAsia"/>
        </w:rPr>
        <w:tab/>
        <w:t xml:space="preserve">42.  </w:t>
      </w:r>
      <w:r>
        <w:rPr>
          <w:rFonts w:hint="eastAsia"/>
        </w:rPr>
        <w:t>自</w:t>
      </w:r>
      <w:r>
        <w:rPr>
          <w:rFonts w:hint="eastAsia"/>
        </w:rPr>
        <w:t>1986</w:t>
      </w:r>
      <w:r>
        <w:rPr>
          <w:rFonts w:hint="eastAsia"/>
        </w:rPr>
        <w:t>年起，设立了一个种族歧视问题监察专员</w:t>
      </w:r>
      <w:r>
        <w:rPr>
          <w:rFonts w:hint="eastAsia"/>
        </w:rPr>
        <w:t>(DO)</w:t>
      </w:r>
      <w:r>
        <w:rPr>
          <w:rFonts w:hint="eastAsia"/>
        </w:rPr>
        <w:t>。种族歧视问题监察专员的活动范围包括私生活以外的整个社会范围。种族歧视问题监察专员应对劳动力市场上的种族歧视现象予以特别注意。他在个别案件中提供咨询，一般来说，他的活动包括在工作场所进行讨论和在公共会议上提供信息。种族歧视问题监察专员的所有活动都是为了确保这一方面的立法得到遵守，并查明可以采取哪些进一步的措施来抵制种族歧视。种族歧视问题监察专员有权责成雇主同他进行谈判并提供信息，否则予以罚款。</w:t>
      </w:r>
    </w:p>
    <w:p w:rsidR="00000000" w:rsidRDefault="00000000">
      <w:pPr>
        <w:rPr>
          <w:rFonts w:hint="eastAsia"/>
        </w:rPr>
      </w:pPr>
      <w:r>
        <w:rPr>
          <w:rFonts w:hint="eastAsia"/>
        </w:rPr>
        <w:tab/>
        <w:t xml:space="preserve">43.  </w:t>
      </w:r>
      <w:r>
        <w:rPr>
          <w:rFonts w:hint="eastAsia"/>
        </w:rPr>
        <w:t>种族歧视问题监察专员受到种族歧视问题咨询委员会的协助。该委员会在重要的原则问题上向种族歧视监察专员提供咨询。它还提出旨在防止种族歧视的立法措施或其他行动。此外，该委员会审查种族歧视问题监察专员就罚款命令作出的决定。</w:t>
      </w:r>
    </w:p>
    <w:p w:rsidR="00000000" w:rsidRDefault="00000000">
      <w:pPr>
        <w:rPr>
          <w:rFonts w:hint="eastAsia"/>
        </w:rPr>
      </w:pPr>
      <w:r>
        <w:rPr>
          <w:rFonts w:hint="eastAsia"/>
        </w:rPr>
        <w:tab/>
        <w:t xml:space="preserve">44.  </w:t>
      </w:r>
      <w:r>
        <w:rPr>
          <w:rFonts w:hint="eastAsia"/>
        </w:rPr>
        <w:t>瑞典儿童和</w:t>
      </w:r>
      <w:r>
        <w:rPr>
          <w:rFonts w:hint="eastAsia"/>
        </w:rPr>
        <w:t>18</w:t>
      </w:r>
      <w:r>
        <w:rPr>
          <w:rFonts w:hint="eastAsia"/>
        </w:rPr>
        <w:t>岁以下的青年人有自己的监察专员</w:t>
      </w:r>
      <w:r>
        <w:rPr>
          <w:rFonts w:hint="eastAsia"/>
          <w:spacing w:val="-40"/>
        </w:rPr>
        <w:t>――</w:t>
      </w:r>
      <w:r>
        <w:rPr>
          <w:rFonts w:hint="eastAsia"/>
          <w:spacing w:val="-40"/>
        </w:rPr>
        <w:t xml:space="preserve"> </w:t>
      </w:r>
      <w:r>
        <w:rPr>
          <w:rFonts w:hint="eastAsia"/>
        </w:rPr>
        <w:t>儿童问题监察专员</w:t>
      </w:r>
      <w:r>
        <w:rPr>
          <w:rFonts w:hint="eastAsia"/>
        </w:rPr>
        <w:t>(BO)</w:t>
      </w:r>
      <w:r>
        <w:rPr>
          <w:rFonts w:hint="eastAsia"/>
        </w:rPr>
        <w:t>。儿童问题监察专员的主要任务是维护《儿童权利公约》规定的儿童和青年人的权利和利益。监察专员负有监测涉及儿童和青年人权利和利益之事项的任务，特别是，监察专员应核查，法令和法规及其执行情况是否符合瑞典根据《儿童权利公约》承担的义务。《公约》范围之外的问题如果涉及到儿童问题监察专员监督的权利和利益范围，也可以由监察专员受理。儿童问题监察专员是独立的非政治机构。儿童问题监察专员提供法律咨询和信息，并在起草关于儿童和青年的立法过程中作为咨询机构。</w:t>
      </w:r>
    </w:p>
    <w:p w:rsidR="00000000" w:rsidRDefault="00000000">
      <w:pPr>
        <w:rPr>
          <w:rFonts w:hint="eastAsia"/>
        </w:rPr>
      </w:pPr>
      <w:r>
        <w:rPr>
          <w:rFonts w:hint="eastAsia"/>
        </w:rPr>
        <w:tab/>
        <w:t xml:space="preserve">45.  </w:t>
      </w:r>
      <w:r>
        <w:rPr>
          <w:rFonts w:hint="eastAsia"/>
        </w:rPr>
        <w:t>残疾问题监察专员办公室</w:t>
      </w:r>
      <w:r>
        <w:rPr>
          <w:rFonts w:hint="eastAsia"/>
        </w:rPr>
        <w:t>(H</w:t>
      </w:r>
      <w:r>
        <w:rPr>
          <w:lang w:val="fr-CH"/>
        </w:rPr>
        <w:t>andikappombudsmannen</w:t>
      </w:r>
      <w:r>
        <w:rPr>
          <w:rFonts w:hint="eastAsia"/>
        </w:rPr>
        <w:t>)</w:t>
      </w:r>
      <w:r>
        <w:rPr>
          <w:rFonts w:hint="eastAsia"/>
        </w:rPr>
        <w:t>是</w:t>
      </w:r>
      <w:r>
        <w:rPr>
          <w:rFonts w:hint="eastAsia"/>
        </w:rPr>
        <w:t>1994</w:t>
      </w:r>
      <w:r>
        <w:rPr>
          <w:rFonts w:hint="eastAsia"/>
        </w:rPr>
        <w:t>年设立的，任务是监督与残疾人的权利和利益有关的问题。监察专员致力于实现残疾问题政策的总目标</w:t>
      </w:r>
      <w:r>
        <w:rPr>
          <w:rFonts w:hint="eastAsia"/>
          <w:spacing w:val="-40"/>
        </w:rPr>
        <w:t>――</w:t>
      </w:r>
      <w:r>
        <w:rPr>
          <w:rFonts w:hint="eastAsia"/>
          <w:spacing w:val="-40"/>
        </w:rPr>
        <w:t xml:space="preserve"> </w:t>
      </w:r>
      <w:r>
        <w:rPr>
          <w:rFonts w:hint="eastAsia"/>
        </w:rPr>
        <w:t>残疾人的充分参与和平等。该监察专员的活动由一项特别法规加以规定。该法规的一条规定是，当局不得拒绝向残疾问题监察专员办公室提供资料或同其商讨。监察专员争取纠正法律缺陷并提出法律修正等问题。监察专员还主动减轻法律缺陷对残疾人的影响。监察专员中心任务之一是评估和传播关于联合国于</w:t>
      </w:r>
      <w:r>
        <w:rPr>
          <w:rFonts w:hint="eastAsia"/>
        </w:rPr>
        <w:t>1993</w:t>
      </w:r>
      <w:r>
        <w:rPr>
          <w:rFonts w:hint="eastAsia"/>
        </w:rPr>
        <w:t>年通过的《残疾人机会均等标准规则》的信息。监察专员还调查政府机构或地方当局等普遍尊重和执行这些规则的程度。</w:t>
      </w:r>
    </w:p>
    <w:p w:rsidR="00000000" w:rsidRDefault="00000000">
      <w:pPr>
        <w:spacing w:after="320"/>
        <w:rPr>
          <w:rFonts w:hint="eastAsia"/>
        </w:rPr>
      </w:pPr>
      <w:r>
        <w:rPr>
          <w:rFonts w:hint="eastAsia"/>
        </w:rPr>
        <w:tab/>
        <w:t xml:space="preserve">46.  </w:t>
      </w:r>
      <w:r>
        <w:rPr>
          <w:rFonts w:hint="eastAsia"/>
        </w:rPr>
        <w:t>反对性取向歧视监察专员是</w:t>
      </w:r>
      <w:r>
        <w:rPr>
          <w:rFonts w:hint="eastAsia"/>
        </w:rPr>
        <w:t>1999</w:t>
      </w:r>
      <w:r>
        <w:rPr>
          <w:rFonts w:hint="eastAsia"/>
        </w:rPr>
        <w:t>年</w:t>
      </w:r>
      <w:r>
        <w:rPr>
          <w:rFonts w:hint="eastAsia"/>
        </w:rPr>
        <w:t>5</w:t>
      </w:r>
      <w:r>
        <w:rPr>
          <w:rFonts w:hint="eastAsia"/>
        </w:rPr>
        <w:t>月</w:t>
      </w:r>
      <w:r>
        <w:rPr>
          <w:rFonts w:hint="eastAsia"/>
        </w:rPr>
        <w:t>1</w:t>
      </w:r>
      <w:r>
        <w:rPr>
          <w:rFonts w:hint="eastAsia"/>
        </w:rPr>
        <w:t>日设立的一个政府机构。该机构受委托反对瑞典社会上所有领域里基于性取向的歧视行为。性取向歧视是指基于一个人的同性恋、两性恋或异性恋的不公正或有辱人格的待遇。监察专员在收到上诉以后可以采取行动，或者无须提出有关申诉而自行采取行动。如果监察专员发现某些社会领域里出现了性取向歧视，监察专员可以尝试通过与其他政府机构、公司、组织等联系来改变这种状况。监察专员还受委托就为了制止性取向歧视而修改立法或采取其他措施向政府提出建议。</w:t>
      </w: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补救措施和赔偿</w:t>
      </w:r>
    </w:p>
    <w:p w:rsidR="00000000" w:rsidRDefault="00000000">
      <w:pPr>
        <w:rPr>
          <w:rFonts w:hint="eastAsia"/>
        </w:rPr>
      </w:pPr>
      <w:r>
        <w:rPr>
          <w:rFonts w:hint="eastAsia"/>
        </w:rPr>
        <w:tab/>
        <w:t>47.  A</w:t>
      </w:r>
      <w:r>
        <w:rPr>
          <w:rFonts w:hint="eastAsia"/>
        </w:rPr>
        <w:t>节提出的资料表明，人权问题是向瑞典各法院和当局提出的许多不同诉讼的实质部分。因此难以详尽无遗地开列关于各项人权的所有现有补救措施。</w:t>
      </w:r>
    </w:p>
    <w:p w:rsidR="00000000" w:rsidRDefault="00000000">
      <w:pPr>
        <w:rPr>
          <w:rFonts w:hint="eastAsia"/>
        </w:rPr>
      </w:pPr>
      <w:r>
        <w:rPr>
          <w:rFonts w:hint="eastAsia"/>
        </w:rPr>
        <w:tab/>
        <w:t xml:space="preserve">48.  </w:t>
      </w:r>
      <w:r>
        <w:rPr>
          <w:rFonts w:hint="eastAsia"/>
        </w:rPr>
        <w:t>如果某人声称他或她遭到非法行为，可以向检察官提出指控，要求进行调查。一般来说，如果有合理的理由认为已经发生了某项罪行，检察官应该依职权进行这种调查。但罪行的受害者在以下两种情况下可以自行提起刑事诉讼：检察官决定不予起诉和他</w:t>
      </w:r>
      <w:r>
        <w:rPr>
          <w:rFonts w:hint="eastAsia"/>
        </w:rPr>
        <w:t>/</w:t>
      </w:r>
      <w:r>
        <w:rPr>
          <w:rFonts w:hint="eastAsia"/>
        </w:rPr>
        <w:t>她本人受到诬告或控告。如果受害者已被杀害，其幸存的家人也可以利用这项补救措施。</w:t>
      </w:r>
    </w:p>
    <w:p w:rsidR="00000000" w:rsidRDefault="00000000">
      <w:pPr>
        <w:rPr>
          <w:rFonts w:hint="eastAsia"/>
        </w:rPr>
      </w:pPr>
      <w:r>
        <w:rPr>
          <w:rFonts w:hint="eastAsia"/>
        </w:rPr>
        <w:tab/>
        <w:t xml:space="preserve">49.  </w:t>
      </w:r>
      <w:r>
        <w:rPr>
          <w:rFonts w:hint="eastAsia"/>
        </w:rPr>
        <w:t>关于针对某项罪行的刑事诉讼，个人可以按照《司法程序法》第二十二章第</w:t>
      </w:r>
      <w:r>
        <w:rPr>
          <w:rFonts w:hint="eastAsia"/>
        </w:rPr>
        <w:t>1</w:t>
      </w:r>
      <w:r>
        <w:rPr>
          <w:rFonts w:hint="eastAsia"/>
        </w:rPr>
        <w:t>节就该罪行引起的损害提起诉讼。一般来说，检察官应受害方的请求，有义务准备并连同起诉书一起提出受害方的诉讼请求。如果由于检察官决定不代表受害人提起损害赔偿诉讼，或由于法院决定该事项应另案处理，因而请求损害赔偿的诉讼没有与刑事诉讼一并提出，当事人可以提出单独的民事权利请求。这种请求可以按照民事诉讼程序进行。另一方面，如果对刑事诉讼中的被告提出单独的起诉，法院可以决定将民事诉讼和刑事诉讼合并审理。</w:t>
      </w:r>
    </w:p>
    <w:p w:rsidR="00000000" w:rsidRDefault="00000000">
      <w:pPr>
        <w:rPr>
          <w:rFonts w:hint="eastAsia"/>
        </w:rPr>
      </w:pPr>
      <w:r>
        <w:rPr>
          <w:rFonts w:hint="eastAsia"/>
        </w:rPr>
        <w:tab/>
        <w:t xml:space="preserve">50.  </w:t>
      </w:r>
      <w:r>
        <w:rPr>
          <w:rFonts w:hint="eastAsia"/>
        </w:rPr>
        <w:t>例如，可以对保护私生活和住宅的权利</w:t>
      </w:r>
      <w:r>
        <w:rPr>
          <w:rFonts w:hint="eastAsia"/>
        </w:rPr>
        <w:t>(</w:t>
      </w:r>
      <w:r>
        <w:rPr>
          <w:rFonts w:hint="eastAsia"/>
        </w:rPr>
        <w:t>参阅《公民权利和政治权利国际公约》第</w:t>
      </w:r>
      <w:r>
        <w:rPr>
          <w:rFonts w:hint="eastAsia"/>
        </w:rPr>
        <w:t>17</w:t>
      </w:r>
      <w:r>
        <w:rPr>
          <w:rFonts w:hint="eastAsia"/>
        </w:rPr>
        <w:t>条第</w:t>
      </w:r>
      <w:r>
        <w:rPr>
          <w:rFonts w:hint="eastAsia"/>
        </w:rPr>
        <w:t>1</w:t>
      </w:r>
      <w:r>
        <w:rPr>
          <w:rFonts w:hint="eastAsia"/>
        </w:rPr>
        <w:t>款</w:t>
      </w:r>
      <w:r>
        <w:rPr>
          <w:rFonts w:hint="eastAsia"/>
        </w:rPr>
        <w:t>)</w:t>
      </w:r>
      <w:r>
        <w:rPr>
          <w:rFonts w:hint="eastAsia"/>
        </w:rPr>
        <w:t>采取补救措施。如果警察在没有事先得到授权的情况下对某人的住宅进行搜查，受害人就有几个请求补救的途径。首先他可以要求警察当局调查这一问题并采取行动，这种行动可以包括对该警官实行纪律处分。采取这种行动以后，还可以向检察官报告此案，而检察官可以要求对该警官提出起诉。如果检察官决定免于起诉，受害人可以自行提出起诉。当然他也可以向议会监察专员办公室报告此事，而议会监察专员办公室也可以提起刑事诉讼</w:t>
      </w:r>
      <w:r>
        <w:rPr>
          <w:rFonts w:hint="eastAsia"/>
        </w:rPr>
        <w:t>(</w:t>
      </w:r>
      <w:r>
        <w:rPr>
          <w:rFonts w:hint="eastAsia"/>
        </w:rPr>
        <w:t>参阅上文</w:t>
      </w:r>
      <w:r>
        <w:rPr>
          <w:rFonts w:hint="eastAsia"/>
        </w:rPr>
        <w:t>A</w:t>
      </w:r>
      <w:r>
        <w:rPr>
          <w:rFonts w:hint="eastAsia"/>
        </w:rPr>
        <w:t>节提供的资料</w:t>
      </w:r>
      <w:r>
        <w:rPr>
          <w:rFonts w:hint="eastAsia"/>
        </w:rPr>
        <w:t>)</w:t>
      </w:r>
      <w:r>
        <w:rPr>
          <w:rFonts w:hint="eastAsia"/>
        </w:rPr>
        <w:t>。</w:t>
      </w:r>
    </w:p>
    <w:p w:rsidR="00000000" w:rsidRDefault="00000000">
      <w:pPr>
        <w:rPr>
          <w:rFonts w:hint="eastAsia"/>
        </w:rPr>
      </w:pPr>
      <w:r>
        <w:rPr>
          <w:rFonts w:hint="eastAsia"/>
        </w:rPr>
        <w:tab/>
        <w:t xml:space="preserve">51.  </w:t>
      </w:r>
      <w:r>
        <w:rPr>
          <w:rFonts w:hint="eastAsia"/>
        </w:rPr>
        <w:t>关于赔偿问题，个人受害者可以请检察官协助其就刑事案件审判向法院提出损害赔偿的个人请求。但如果由于某种原因，此人不愿意在这种背景下处理个人赔偿请求，就可以按照对民事诉讼规定的方式提起请求赔偿的诉讼。在这种案件中可以提供法律援助。在某些情况下，受害者可以得到公共助理形式的法律援助。</w:t>
      </w:r>
    </w:p>
    <w:p w:rsidR="00000000" w:rsidRDefault="00000000">
      <w:pPr>
        <w:rPr>
          <w:rFonts w:hint="eastAsia"/>
        </w:rPr>
      </w:pPr>
      <w:r>
        <w:rPr>
          <w:rFonts w:hint="eastAsia"/>
        </w:rPr>
        <w:tab/>
        <w:t xml:space="preserve">52.  </w:t>
      </w:r>
      <w:r>
        <w:rPr>
          <w:rFonts w:hint="eastAsia"/>
        </w:rPr>
        <w:t>正如上文</w:t>
      </w:r>
      <w:r>
        <w:rPr>
          <w:rFonts w:hint="eastAsia"/>
        </w:rPr>
        <w:t>A</w:t>
      </w:r>
      <w:r>
        <w:rPr>
          <w:rFonts w:hint="eastAsia"/>
        </w:rPr>
        <w:t>节所提到，性别歧视案件可以由平等机会监察专员办公室或由工会向劳资争议法庭提出。该法庭可以命令违反《平等机会法》关于禁止歧视的规定的雇主向受到歧视者作出赔偿。</w:t>
      </w:r>
    </w:p>
    <w:p w:rsidR="00000000" w:rsidRDefault="00000000">
      <w:pPr>
        <w:rPr>
          <w:rFonts w:hint="eastAsia"/>
        </w:rPr>
      </w:pPr>
      <w:r>
        <w:rPr>
          <w:rFonts w:hint="eastAsia"/>
        </w:rPr>
        <w:tab/>
        <w:t xml:space="preserve">53.  </w:t>
      </w:r>
      <w:r>
        <w:rPr>
          <w:rFonts w:hint="eastAsia"/>
        </w:rPr>
        <w:t>上文</w:t>
      </w:r>
      <w:r>
        <w:rPr>
          <w:rFonts w:hint="eastAsia"/>
        </w:rPr>
        <w:t>A</w:t>
      </w:r>
      <w:r>
        <w:rPr>
          <w:rFonts w:hint="eastAsia"/>
        </w:rPr>
        <w:t>节中提到的所有监察专员受理各自权限范围内的个人申诉。因此任何受到侵犯的个人都可以向有关监察专员举报所发生的情况。</w:t>
      </w:r>
    </w:p>
    <w:p w:rsidR="00000000" w:rsidRDefault="00000000">
      <w:pPr>
        <w:rPr>
          <w:rFonts w:hint="eastAsia"/>
        </w:rPr>
      </w:pPr>
      <w:r>
        <w:rPr>
          <w:rFonts w:hint="eastAsia"/>
        </w:rPr>
        <w:tab/>
        <w:t xml:space="preserve">54.  </w:t>
      </w:r>
      <w:r>
        <w:rPr>
          <w:rFonts w:hint="eastAsia"/>
        </w:rPr>
        <w:t>根据</w:t>
      </w:r>
      <w:r>
        <w:rPr>
          <w:rFonts w:hint="eastAsia"/>
        </w:rPr>
        <w:t>1972</w:t>
      </w:r>
      <w:r>
        <w:rPr>
          <w:rFonts w:hint="eastAsia"/>
        </w:rPr>
        <w:t>年《侵权责任法》，国家或市政当局对于其应负责任的在行使公共权力过程中或与此有关的不法行为或不行为造成的损坏须予以赔偿</w:t>
      </w:r>
      <w:r>
        <w:rPr>
          <w:rFonts w:hint="eastAsia"/>
        </w:rPr>
        <w:t>(</w:t>
      </w:r>
      <w:r>
        <w:rPr>
          <w:rFonts w:hint="eastAsia"/>
        </w:rPr>
        <w:t>第三章第</w:t>
      </w:r>
      <w:r>
        <w:rPr>
          <w:rFonts w:hint="eastAsia"/>
        </w:rPr>
        <w:t>2</w:t>
      </w:r>
      <w:r>
        <w:rPr>
          <w:rFonts w:hint="eastAsia"/>
        </w:rPr>
        <w:t>节</w:t>
      </w:r>
      <w:r>
        <w:rPr>
          <w:rFonts w:hint="eastAsia"/>
        </w:rPr>
        <w:t>)</w:t>
      </w:r>
      <w:r>
        <w:rPr>
          <w:rFonts w:hint="eastAsia"/>
        </w:rPr>
        <w:t>。</w:t>
      </w:r>
    </w:p>
    <w:p w:rsidR="00000000" w:rsidRDefault="00000000">
      <w:pPr>
        <w:spacing w:after="320"/>
        <w:rPr>
          <w:rFonts w:hint="eastAsia"/>
        </w:rPr>
      </w:pPr>
      <w:r>
        <w:rPr>
          <w:rFonts w:hint="eastAsia"/>
        </w:rPr>
        <w:tab/>
        <w:t xml:space="preserve">55.  </w:t>
      </w:r>
      <w:r>
        <w:rPr>
          <w:rFonts w:hint="eastAsia"/>
        </w:rPr>
        <w:t>人们还可以通过另一种方式取得赔偿。如果个人的自由权利受到不公正的干预，此人有权得到国家的损害赔偿。</w:t>
      </w:r>
      <w:r>
        <w:rPr>
          <w:rFonts w:hint="eastAsia"/>
        </w:rPr>
        <w:t>1974</w:t>
      </w:r>
      <w:r>
        <w:rPr>
          <w:rFonts w:hint="eastAsia"/>
        </w:rPr>
        <w:t>年《限制自由损害赔偿法》载有关于这一问题的规定。该法令适用于以不同理由被拘留的个人。该法令涵盖由于涉嫌犯罪而被不公正拘留者、由于受到这种怀疑而被禁止旅行或被送入法医精神病院者以及受到错误的纪律处分的军人和根据法院命令而被不公正地拘留在精神病院或智力障碍者机构里的人。</w:t>
      </w:r>
    </w:p>
    <w:p w:rsidR="00000000" w:rsidRDefault="00000000">
      <w:pPr>
        <w:pStyle w:val="Heading3"/>
        <w:rPr>
          <w:rFonts w:hint="eastAsia"/>
        </w:rPr>
      </w:pPr>
      <w:r>
        <w:rPr>
          <w:rFonts w:hint="eastAsia"/>
          <w:u w:val="none"/>
        </w:rPr>
        <w:t xml:space="preserve">C.  </w:t>
      </w:r>
      <w:r>
        <w:rPr>
          <w:rFonts w:hint="eastAsia"/>
        </w:rPr>
        <w:t>关于人权的宪法规定</w:t>
      </w:r>
    </w:p>
    <w:p w:rsidR="00000000" w:rsidRDefault="00000000">
      <w:pPr>
        <w:rPr>
          <w:rFonts w:hint="eastAsia"/>
        </w:rPr>
      </w:pPr>
      <w:r>
        <w:rPr>
          <w:rFonts w:hint="eastAsia"/>
        </w:rPr>
        <w:tab/>
        <w:t xml:space="preserve">56.  </w:t>
      </w:r>
      <w:r>
        <w:rPr>
          <w:rFonts w:hint="eastAsia"/>
        </w:rPr>
        <w:t>大约自</w:t>
      </w:r>
      <w:r>
        <w:rPr>
          <w:rFonts w:hint="eastAsia"/>
        </w:rPr>
        <w:t>1350</w:t>
      </w:r>
      <w:r>
        <w:rPr>
          <w:rFonts w:hint="eastAsia"/>
        </w:rPr>
        <w:t>年起，人权和基本自由受到瑞典法律的保护。现在，基本权利和自由受到《宪法》的保护。瑞典没有单独的权利法案。相反，《宪法》规定保护公民权利、政治权利、社会权利和文化权利以及出版自由。</w:t>
      </w:r>
    </w:p>
    <w:p w:rsidR="00000000" w:rsidRDefault="00000000">
      <w:pPr>
        <w:rPr>
          <w:rFonts w:hint="eastAsia"/>
        </w:rPr>
      </w:pPr>
      <w:r>
        <w:rPr>
          <w:rFonts w:hint="eastAsia"/>
        </w:rPr>
        <w:tab/>
        <w:t xml:space="preserve">57.  </w:t>
      </w:r>
      <w:r>
        <w:rPr>
          <w:rFonts w:hint="eastAsia"/>
        </w:rPr>
        <w:t>《政府约法》第二章列举了人权文书中提到的一些最重要的人权和自由。第二章中详细规定的一些权利和自由是绝对不可侵犯的，只有通过修正《宪法》才可以加以限制或取消。其他权利和自由在《宪法》中加以规定，但可受《国会法案》限制。</w:t>
      </w:r>
    </w:p>
    <w:p w:rsidR="00000000" w:rsidRDefault="00000000">
      <w:pPr>
        <w:rPr>
          <w:rFonts w:hint="eastAsia"/>
        </w:rPr>
      </w:pPr>
      <w:r>
        <w:rPr>
          <w:rFonts w:hint="eastAsia"/>
        </w:rPr>
        <w:tab/>
        <w:t xml:space="preserve">58.  </w:t>
      </w:r>
      <w:r>
        <w:rPr>
          <w:rFonts w:hint="eastAsia"/>
        </w:rPr>
        <w:t>《政府约法》第二章规定的绝对权利和自由是礼拜自由，免遭公共当局的胁迫表明政治、宗教或文化或类似方面的意见，免遭胁迫参加表明意见的会议、参加政治社团、宗教集会或其他这种社团。此外，未经公民本人同意，不得将关于其政治见解的档案记入公共登记册。</w:t>
      </w:r>
    </w:p>
    <w:p w:rsidR="00000000" w:rsidRDefault="00000000">
      <w:pPr>
        <w:rPr>
          <w:rFonts w:hint="eastAsia"/>
        </w:rPr>
      </w:pPr>
      <w:r>
        <w:rPr>
          <w:rFonts w:hint="eastAsia"/>
        </w:rPr>
        <w:tab/>
        <w:t xml:space="preserve">59.  </w:t>
      </w:r>
      <w:r>
        <w:rPr>
          <w:rFonts w:hint="eastAsia"/>
        </w:rPr>
        <w:t>第二章第</w:t>
      </w:r>
      <w:r>
        <w:rPr>
          <w:rFonts w:hint="eastAsia"/>
        </w:rPr>
        <w:t>4</w:t>
      </w:r>
      <w:r>
        <w:rPr>
          <w:rFonts w:hint="eastAsia"/>
        </w:rPr>
        <w:t>节规定绝对禁止死刑，即在平时和战时都禁止死刑。同一章第</w:t>
      </w:r>
      <w:r>
        <w:rPr>
          <w:rFonts w:hint="eastAsia"/>
        </w:rPr>
        <w:t>5</w:t>
      </w:r>
      <w:r>
        <w:rPr>
          <w:rFonts w:hint="eastAsia"/>
        </w:rPr>
        <w:t>节禁止利用体罚、酷刑和施加医药影响或干预来逼取供词或压制意见表达。</w:t>
      </w:r>
    </w:p>
    <w:p w:rsidR="00000000" w:rsidRDefault="00000000">
      <w:pPr>
        <w:rPr>
          <w:rFonts w:hint="eastAsia"/>
        </w:rPr>
      </w:pPr>
      <w:r>
        <w:rPr>
          <w:rFonts w:hint="eastAsia"/>
        </w:rPr>
        <w:tab/>
        <w:t xml:space="preserve">60.  </w:t>
      </w:r>
      <w:r>
        <w:rPr>
          <w:rFonts w:hint="eastAsia"/>
        </w:rPr>
        <w:t>任何公民不得被驱逐或禁止进入瑞典。《宪法》还保证对受到法院或同等机构审判的公民实行剥夺自由的权利。</w:t>
      </w:r>
    </w:p>
    <w:p w:rsidR="00000000" w:rsidRDefault="00000000">
      <w:pPr>
        <w:rPr>
          <w:rFonts w:hint="eastAsia"/>
        </w:rPr>
      </w:pPr>
      <w:r>
        <w:rPr>
          <w:rFonts w:hint="eastAsia"/>
        </w:rPr>
        <w:tab/>
        <w:t xml:space="preserve">61.  </w:t>
      </w:r>
      <w:r>
        <w:rPr>
          <w:rFonts w:hint="eastAsia"/>
        </w:rPr>
        <w:t>对于禁止追溯性刑法的规定不得加以限制。这一点也作为一项原则适用于财政立法。同样，《宪法》还规定绝对禁止为审判已经发生的罪行、审理特定的纠纷或特定的案件而设立法庭。如果公民的财产被没收或受到任何其他这种处分，则有权取得赔偿。任何法令或其他法规均不得由于任何公民在种族、肤色、或族裔方面属于少数群体而对他实行歧视。</w:t>
      </w:r>
    </w:p>
    <w:p w:rsidR="00000000" w:rsidRDefault="00000000">
      <w:pPr>
        <w:rPr>
          <w:rFonts w:hint="eastAsia"/>
        </w:rPr>
      </w:pPr>
      <w:r>
        <w:rPr>
          <w:rFonts w:hint="eastAsia"/>
        </w:rPr>
        <w:tab/>
        <w:t xml:space="preserve">62.  </w:t>
      </w:r>
      <w:r>
        <w:rPr>
          <w:rFonts w:hint="eastAsia"/>
        </w:rPr>
        <w:t>上文概述的绝对权利辅之以在下文所述条件下可依法予以限制的一些权利和自由。这第二类权利和自由的特点是，有相互抵触的利益必须加以考虑。可加以限制的规定包括关于言论自由、信息自由、集会自由、示威自由和结社自由的规定。</w:t>
      </w:r>
    </w:p>
    <w:p w:rsidR="00000000" w:rsidRDefault="00000000">
      <w:pPr>
        <w:rPr>
          <w:rFonts w:hint="eastAsia"/>
        </w:rPr>
      </w:pPr>
      <w:r>
        <w:rPr>
          <w:rFonts w:hint="eastAsia"/>
        </w:rPr>
        <w:tab/>
        <w:t xml:space="preserve">63.  </w:t>
      </w:r>
      <w:r>
        <w:rPr>
          <w:rFonts w:hint="eastAsia"/>
        </w:rPr>
        <w:t>可加以限制的其他权利和自由是免遭人身暴力及其免遭搜身、免遭抄家和类似的侵权行为。此外，公民受到保护，其信件不得受到检查，不得受到窃听，保密通信不得受到类似的干涉。《宪法》还在所有公民与公共当局的关系中保护他们，使他们免遭剥夺自由和对行动自由的其他限制，并规定公民有权诉诸公开的法院诉讼。</w:t>
      </w:r>
    </w:p>
    <w:p w:rsidR="00000000" w:rsidRDefault="00000000">
      <w:pPr>
        <w:rPr>
          <w:rFonts w:hint="eastAsia"/>
        </w:rPr>
      </w:pPr>
      <w:r>
        <w:rPr>
          <w:rFonts w:hint="eastAsia"/>
        </w:rPr>
        <w:tab/>
        <w:t xml:space="preserve">64.  </w:t>
      </w:r>
      <w:r>
        <w:rPr>
          <w:rFonts w:hint="eastAsia"/>
        </w:rPr>
        <w:t>限制这些宪法权利的范围受到严格控制。《宪法》规定了为了依法限制宪法权利而必须满足的一系列条件。第二章第</w:t>
      </w:r>
      <w:r>
        <w:rPr>
          <w:rFonts w:hint="eastAsia"/>
        </w:rPr>
        <w:t>12</w:t>
      </w:r>
      <w:r>
        <w:rPr>
          <w:rFonts w:hint="eastAsia"/>
        </w:rPr>
        <w:t>节规定，这种限制必须是为了达到在民主社会上可接受的一种目的。这种限制不得超越其实施理由所必需的限度，也不得对作为民主基石之一的自由见解构成威胁。宪法权利或自由不得仅仅由于公民的政治、宗教、文化或类似观点而受到限制，最后，不得实行歧视性的限制。</w:t>
      </w:r>
    </w:p>
    <w:p w:rsidR="00000000" w:rsidRDefault="00000000">
      <w:pPr>
        <w:rPr>
          <w:rFonts w:hint="eastAsia"/>
        </w:rPr>
      </w:pPr>
      <w:r>
        <w:rPr>
          <w:rFonts w:hint="eastAsia"/>
        </w:rPr>
        <w:tab/>
        <w:t xml:space="preserve">65.  </w:t>
      </w:r>
      <w:r>
        <w:rPr>
          <w:rFonts w:hint="eastAsia"/>
        </w:rPr>
        <w:t>对于实行限制之可能性的进一步限定适用于某些宪法权利和自由。例如，只有对有组织的军事团体或类似性质的团体或从事种族迫害的团体，才能限制其结社自由。</w:t>
      </w:r>
    </w:p>
    <w:p w:rsidR="00000000" w:rsidRDefault="00000000">
      <w:pPr>
        <w:rPr>
          <w:rFonts w:hint="eastAsia"/>
        </w:rPr>
      </w:pPr>
      <w:r>
        <w:rPr>
          <w:rFonts w:hint="eastAsia"/>
        </w:rPr>
        <w:tab/>
        <w:t xml:space="preserve">66.  </w:t>
      </w:r>
      <w:r>
        <w:rPr>
          <w:rFonts w:hint="eastAsia"/>
        </w:rPr>
        <w:t>向议会提出的限制上述权利和自由的法案须经过特殊的立法程序。除了少数特殊情况以外，不少于</w:t>
      </w:r>
      <w:r>
        <w:rPr>
          <w:rFonts w:hint="eastAsia"/>
        </w:rPr>
        <w:t>10</w:t>
      </w:r>
      <w:r>
        <w:rPr>
          <w:rFonts w:hint="eastAsia"/>
        </w:rPr>
        <w:t>人的议会少数可以将这种提案推迟</w:t>
      </w:r>
      <w:r>
        <w:rPr>
          <w:rFonts w:hint="eastAsia"/>
        </w:rPr>
        <w:t>12</w:t>
      </w:r>
      <w:r>
        <w:rPr>
          <w:rFonts w:hint="eastAsia"/>
        </w:rPr>
        <w:t>个月。此后，该提案可以通常方式以简单多数获得通过。</w:t>
      </w:r>
    </w:p>
    <w:p w:rsidR="00000000" w:rsidRDefault="00000000">
      <w:pPr>
        <w:rPr>
          <w:rFonts w:hint="eastAsia"/>
        </w:rPr>
      </w:pPr>
      <w:r>
        <w:rPr>
          <w:rFonts w:hint="eastAsia"/>
        </w:rPr>
        <w:tab/>
        <w:t xml:space="preserve">67.  </w:t>
      </w:r>
      <w:r>
        <w:rPr>
          <w:rFonts w:hint="eastAsia"/>
        </w:rPr>
        <w:t>《政府约法》还规定普遍禁止歧视少数群体或基于性别原因歧视个人的法律和规章。但这并不排除增进男女平等的立法或关于征兵或有关公职的立法。</w:t>
      </w:r>
    </w:p>
    <w:p w:rsidR="00000000" w:rsidRDefault="00000000">
      <w:pPr>
        <w:rPr>
          <w:rFonts w:hint="eastAsia"/>
        </w:rPr>
      </w:pPr>
      <w:r>
        <w:rPr>
          <w:rFonts w:hint="eastAsia"/>
        </w:rPr>
        <w:tab/>
        <w:t xml:space="preserve">68.  </w:t>
      </w:r>
      <w:r>
        <w:rPr>
          <w:rFonts w:hint="eastAsia"/>
        </w:rPr>
        <w:t>在瑞典，人权和基本自由通过《欧洲人权公约》规定的原则得到保护，而正如上文</w:t>
      </w:r>
      <w:r>
        <w:rPr>
          <w:rFonts w:hint="eastAsia"/>
        </w:rPr>
        <w:t>A</w:t>
      </w:r>
      <w:r>
        <w:rPr>
          <w:rFonts w:hint="eastAsia"/>
        </w:rPr>
        <w:t>节所提到，该《公约》现在已经成为瑞典法律的一部分。根据《政府约法》第二章第</w:t>
      </w:r>
      <w:r>
        <w:rPr>
          <w:rFonts w:hint="eastAsia"/>
        </w:rPr>
        <w:t>23</w:t>
      </w:r>
      <w:r>
        <w:rPr>
          <w:rFonts w:hint="eastAsia"/>
        </w:rPr>
        <w:t>节，不得通过与瑞典根据《公约》所承担义务相抵触的任何法律或其他规章。</w:t>
      </w:r>
    </w:p>
    <w:p w:rsidR="00000000" w:rsidRDefault="00000000">
      <w:pPr>
        <w:rPr>
          <w:rFonts w:hint="eastAsia"/>
        </w:rPr>
      </w:pPr>
      <w:r>
        <w:rPr>
          <w:rFonts w:hint="eastAsia"/>
        </w:rPr>
        <w:tab/>
        <w:t xml:space="preserve">69.  </w:t>
      </w:r>
      <w:r>
        <w:rPr>
          <w:rFonts w:hint="eastAsia"/>
        </w:rPr>
        <w:t>《欧洲保护人权与基本自由公约》规定的保护是欧洲共同体法律的组成部分。另外，《欧洲联盟条约》第</w:t>
      </w:r>
      <w:r>
        <w:rPr>
          <w:rFonts w:hint="eastAsia"/>
        </w:rPr>
        <w:t>6</w:t>
      </w:r>
      <w:r>
        <w:rPr>
          <w:rFonts w:hint="eastAsia"/>
        </w:rPr>
        <w:t>条宣布，欧盟应尊重《公约》和各国宪法中保护的基本权利。</w:t>
      </w:r>
    </w:p>
    <w:p w:rsidR="00000000" w:rsidRDefault="00000000">
      <w:pPr>
        <w:rPr>
          <w:rFonts w:hint="eastAsia"/>
        </w:rPr>
      </w:pPr>
      <w:r>
        <w:rPr>
          <w:rFonts w:hint="eastAsia"/>
        </w:rPr>
        <w:tab/>
        <w:t xml:space="preserve">70.  </w:t>
      </w:r>
      <w:r>
        <w:rPr>
          <w:rFonts w:hint="eastAsia"/>
        </w:rPr>
        <w:t>关于特定社会领域的立法规定了某些人权。例如，劳动法允许工会和雇主罢工或关厂。版权法规定作者和艺术家享有特定的权利。《个人资料法》对使用含有个人资料的计算机档案作出了规定，其中颁布了关于保护人格完整的重要规定。</w:t>
      </w:r>
    </w:p>
    <w:p w:rsidR="00000000" w:rsidRDefault="00000000">
      <w:pPr>
        <w:rPr>
          <w:rFonts w:hint="eastAsia"/>
        </w:rPr>
      </w:pPr>
      <w:r>
        <w:rPr>
          <w:rFonts w:hint="eastAsia"/>
        </w:rPr>
        <w:tab/>
        <w:t xml:space="preserve">71.  </w:t>
      </w:r>
      <w:r>
        <w:rPr>
          <w:rFonts w:hint="eastAsia"/>
        </w:rPr>
        <w:t>总的来说，社会和文化权利受到《政府约法》第一章的保护。第一章第</w:t>
      </w:r>
      <w:r>
        <w:rPr>
          <w:rFonts w:hint="eastAsia"/>
        </w:rPr>
        <w:t>2</w:t>
      </w:r>
      <w:r>
        <w:rPr>
          <w:rFonts w:hint="eastAsia"/>
        </w:rPr>
        <w:t>节规定，“行使公共权力应促进人人平等和个人的自由和尊严”。公共活动的根本目的是个人的私人、经济和文化福利。这一条款还具体规定，公共当局有义务确保工作、住房和教育权利。政府和公共当局还应该促进社会照料和社会安全以及良好的生活环境。</w:t>
      </w:r>
    </w:p>
    <w:p w:rsidR="00000000" w:rsidRDefault="00000000">
      <w:pPr>
        <w:rPr>
          <w:rFonts w:hint="eastAsia"/>
        </w:rPr>
      </w:pPr>
      <w:r>
        <w:rPr>
          <w:rFonts w:hint="eastAsia"/>
        </w:rPr>
        <w:tab/>
        <w:t xml:space="preserve">72.  </w:t>
      </w:r>
      <w:r>
        <w:rPr>
          <w:rFonts w:hint="eastAsia"/>
        </w:rPr>
        <w:t>此外，公共当局负有宪法义务，在所有社会阶层中作为准则推广民主的理想。它应该保障男女的平等权利并保护个人的私生活和家庭生活。此外，它应该促进维护和发展族裔、宗教和语言少数群体的文化和社会生活的机会。</w:t>
      </w:r>
    </w:p>
    <w:p w:rsidR="00000000" w:rsidRDefault="00000000">
      <w:pPr>
        <w:rPr>
          <w:rFonts w:hint="eastAsia"/>
        </w:rPr>
      </w:pPr>
      <w:r>
        <w:rPr>
          <w:rFonts w:hint="eastAsia"/>
        </w:rPr>
        <w:tab/>
        <w:t xml:space="preserve">73.  </w:t>
      </w:r>
      <w:r>
        <w:rPr>
          <w:rFonts w:hint="eastAsia"/>
        </w:rPr>
        <w:t>新闻出版自由是自由和民主社会的根基。正如上文所指出，《出版自由法》是《宪法》的一个组成部分，作为宪法权利保障新闻出版自由和取得公共文件的权利。所有瑞典公民都可以以书面方式表达其思想和观点，出版任何书面材料并公开关于任何问题的资料。原则上来说，外国侨民在这一方面与瑞典公民享有同样的权利。</w:t>
      </w:r>
    </w:p>
    <w:p w:rsidR="00000000" w:rsidRDefault="00000000">
      <w:pPr>
        <w:rPr>
          <w:rFonts w:hint="eastAsia"/>
        </w:rPr>
      </w:pPr>
      <w:r>
        <w:rPr>
          <w:rFonts w:hint="eastAsia"/>
        </w:rPr>
        <w:tab/>
        <w:t>74.  1992</w:t>
      </w:r>
      <w:r>
        <w:rPr>
          <w:rFonts w:hint="eastAsia"/>
        </w:rPr>
        <w:t>年</w:t>
      </w:r>
      <w:r>
        <w:rPr>
          <w:rFonts w:hint="eastAsia"/>
        </w:rPr>
        <w:t>1</w:t>
      </w:r>
      <w:r>
        <w:rPr>
          <w:rFonts w:hint="eastAsia"/>
        </w:rPr>
        <w:t>月</w:t>
      </w:r>
      <w:r>
        <w:rPr>
          <w:rFonts w:hint="eastAsia"/>
        </w:rPr>
        <w:t>1</w:t>
      </w:r>
      <w:r>
        <w:rPr>
          <w:rFonts w:hint="eastAsia"/>
        </w:rPr>
        <w:t>日生效的《出版自由法》得到了新的《言论自由法》的补充。这部新的宪法文书的宗旨是确保在电台、电视、电影和录像里表达思想和见解并在这些媒体中免遭新闻检查的自由。该法令基于《出版自由法》同样的基本原则。</w:t>
      </w:r>
    </w:p>
    <w:p w:rsidR="00000000" w:rsidRDefault="00000000">
      <w:pPr>
        <w:rPr>
          <w:rFonts w:hint="eastAsia"/>
        </w:rPr>
      </w:pPr>
      <w:r>
        <w:rPr>
          <w:rFonts w:hint="eastAsia"/>
        </w:rPr>
        <w:tab/>
        <w:t xml:space="preserve">75.  </w:t>
      </w:r>
      <w:r>
        <w:rPr>
          <w:rFonts w:hint="eastAsia"/>
        </w:rPr>
        <w:t>在欧洲共同体范围内，有几项关于不歧视原则的规定。《阿姆斯特丹条约》载有关于补充处理基于具体特点的歧视行为的现有权力的第</w:t>
      </w:r>
      <w:r>
        <w:rPr>
          <w:rFonts w:hint="eastAsia"/>
        </w:rPr>
        <w:t>13</w:t>
      </w:r>
      <w:r>
        <w:rPr>
          <w:rFonts w:hint="eastAsia"/>
        </w:rPr>
        <w:t>条，特别是第</w:t>
      </w:r>
      <w:r>
        <w:rPr>
          <w:rFonts w:hint="eastAsia"/>
        </w:rPr>
        <w:t>141</w:t>
      </w:r>
      <w:r>
        <w:rPr>
          <w:rFonts w:hint="eastAsia"/>
        </w:rPr>
        <w:t>条</w:t>
      </w:r>
      <w:r>
        <w:rPr>
          <w:rFonts w:hint="eastAsia"/>
        </w:rPr>
        <w:t>(</w:t>
      </w:r>
      <w:r>
        <w:rPr>
          <w:rFonts w:hint="eastAsia"/>
        </w:rPr>
        <w:t>性别歧视</w:t>
      </w:r>
      <w:r>
        <w:rPr>
          <w:rFonts w:hint="eastAsia"/>
        </w:rPr>
        <w:t>)</w:t>
      </w:r>
      <w:r>
        <w:rPr>
          <w:rFonts w:hint="eastAsia"/>
        </w:rPr>
        <w:t>、第</w:t>
      </w:r>
      <w:r>
        <w:rPr>
          <w:rFonts w:hint="eastAsia"/>
        </w:rPr>
        <w:t>137</w:t>
      </w:r>
      <w:r>
        <w:rPr>
          <w:rFonts w:hint="eastAsia"/>
        </w:rPr>
        <w:t>条</w:t>
      </w:r>
      <w:r>
        <w:rPr>
          <w:rFonts w:hint="eastAsia"/>
        </w:rPr>
        <w:t>(</w:t>
      </w:r>
      <w:r>
        <w:rPr>
          <w:rFonts w:hint="eastAsia"/>
        </w:rPr>
        <w:t>禁止排斥劳力市场准入的措施</w:t>
      </w:r>
      <w:r>
        <w:rPr>
          <w:rFonts w:hint="eastAsia"/>
        </w:rPr>
        <w:t>)</w:t>
      </w:r>
      <w:r>
        <w:rPr>
          <w:rFonts w:hint="eastAsia"/>
        </w:rPr>
        <w:t>和第</w:t>
      </w:r>
      <w:r>
        <w:rPr>
          <w:rFonts w:hint="eastAsia"/>
        </w:rPr>
        <w:t>12</w:t>
      </w:r>
      <w:r>
        <w:rPr>
          <w:rFonts w:hint="eastAsia"/>
        </w:rPr>
        <w:t>条</w:t>
      </w:r>
      <w:r>
        <w:rPr>
          <w:rFonts w:hint="eastAsia"/>
        </w:rPr>
        <w:t>(</w:t>
      </w:r>
      <w:r>
        <w:rPr>
          <w:rFonts w:hint="eastAsia"/>
        </w:rPr>
        <w:t>基于国籍原因的歧视</w:t>
      </w:r>
      <w:r>
        <w:rPr>
          <w:rFonts w:hint="eastAsia"/>
        </w:rPr>
        <w:t>)</w:t>
      </w:r>
      <w:r>
        <w:rPr>
          <w:rFonts w:hint="eastAsia"/>
        </w:rPr>
        <w:t>。</w:t>
      </w:r>
    </w:p>
    <w:p w:rsidR="00000000" w:rsidRDefault="00000000">
      <w:pPr>
        <w:spacing w:after="320"/>
        <w:rPr>
          <w:rFonts w:hint="eastAsia"/>
        </w:rPr>
      </w:pPr>
      <w:r>
        <w:rPr>
          <w:rFonts w:hint="eastAsia"/>
        </w:rPr>
        <w:tab/>
        <w:t xml:space="preserve">76.  </w:t>
      </w:r>
      <w:r>
        <w:rPr>
          <w:rFonts w:hint="eastAsia"/>
        </w:rPr>
        <w:t>根据第</w:t>
      </w:r>
      <w:r>
        <w:rPr>
          <w:rFonts w:hint="eastAsia"/>
        </w:rPr>
        <w:t>13</w:t>
      </w:r>
      <w:r>
        <w:rPr>
          <w:rFonts w:hint="eastAsia"/>
        </w:rPr>
        <w:t>条，欧共体有权采取行动，制止基于种族和族裔出身、宗教和信仰、性别、残疾、年龄和性取向原因的歧视行为。</w:t>
      </w:r>
    </w:p>
    <w:p w:rsidR="00000000" w:rsidRDefault="00000000">
      <w:pPr>
        <w:pStyle w:val="Heading3"/>
        <w:rPr>
          <w:rFonts w:hint="eastAsia"/>
        </w:rPr>
      </w:pPr>
      <w:r>
        <w:rPr>
          <w:rFonts w:hint="eastAsia"/>
          <w:u w:val="none"/>
        </w:rPr>
        <w:t xml:space="preserve">D.  </w:t>
      </w:r>
      <w:r>
        <w:rPr>
          <w:rFonts w:hint="eastAsia"/>
        </w:rPr>
        <w:t>国际法和国内立法</w:t>
      </w:r>
    </w:p>
    <w:p w:rsidR="00000000" w:rsidRDefault="00000000">
      <w:pPr>
        <w:rPr>
          <w:rFonts w:hint="eastAsia"/>
        </w:rPr>
      </w:pPr>
      <w:r>
        <w:rPr>
          <w:rFonts w:hint="eastAsia"/>
        </w:rPr>
        <w:tab/>
        <w:t xml:space="preserve">77.  </w:t>
      </w:r>
      <w:r>
        <w:rPr>
          <w:rFonts w:hint="eastAsia"/>
        </w:rPr>
        <w:t>国际条约并不自动纳入瑞典法律。瑞典实行一种双重法律制度，即条约必须转变成或正式纳入瑞典法规才能成为法律的一个组成部分。条约转变成瑞典法律的通常形式是，在瑞典的一部现有法规或新的法规中颁布相应的条款。在很少的情况下，纳入条约的方式是，通过一部普通法，规定该条约将作为瑞典法律在瑞典适用。例如</w:t>
      </w:r>
      <w:r>
        <w:rPr>
          <w:rFonts w:hint="eastAsia"/>
        </w:rPr>
        <w:t>1995</w:t>
      </w:r>
      <w:r>
        <w:rPr>
          <w:rFonts w:hint="eastAsia"/>
        </w:rPr>
        <w:t>年作为瑞典法律生效的《欧洲保护人权与基本自由公约》。</w:t>
      </w:r>
    </w:p>
    <w:p w:rsidR="00000000" w:rsidRDefault="00000000">
      <w:pPr>
        <w:rPr>
          <w:rFonts w:hint="eastAsia"/>
        </w:rPr>
      </w:pPr>
      <w:r>
        <w:rPr>
          <w:rFonts w:hint="eastAsia"/>
        </w:rPr>
        <w:tab/>
        <w:t xml:space="preserve">78.  </w:t>
      </w:r>
      <w:r>
        <w:rPr>
          <w:rFonts w:hint="eastAsia"/>
        </w:rPr>
        <w:t>在加入一项国际条约的过程中，有关瑞典立法须受到认真审查，以确定它是否符合有关条约。如果需要对现行立法进行修正，这种修正案通常以法案的形式向议会提交，其中政府提出供批准的条约。这些修正案通常先得到批准和颁布，然后政府才可以在议会的同意之下决定批准该条约。</w:t>
      </w:r>
    </w:p>
    <w:p w:rsidR="00000000" w:rsidRDefault="00000000">
      <w:pPr>
        <w:rPr>
          <w:rFonts w:hint="eastAsia"/>
        </w:rPr>
      </w:pPr>
      <w:r>
        <w:rPr>
          <w:rFonts w:hint="eastAsia"/>
        </w:rPr>
        <w:tab/>
        <w:t xml:space="preserve">79.  </w:t>
      </w:r>
      <w:r>
        <w:rPr>
          <w:rFonts w:hint="eastAsia"/>
        </w:rPr>
        <w:t>一旦纳入或转变成瑞典法律，国际条约的实质内容就可以在瑞典法院上实施。</w:t>
      </w:r>
    </w:p>
    <w:p w:rsidR="00000000" w:rsidRDefault="00000000">
      <w:pPr>
        <w:spacing w:after="320"/>
        <w:rPr>
          <w:rFonts w:hint="eastAsia"/>
        </w:rPr>
      </w:pPr>
      <w:r>
        <w:rPr>
          <w:rFonts w:hint="eastAsia"/>
        </w:rPr>
        <w:tab/>
        <w:t xml:space="preserve">80.  </w:t>
      </w:r>
      <w:r>
        <w:rPr>
          <w:rFonts w:hint="eastAsia"/>
        </w:rPr>
        <w:t>为了履行人权条约规定的义务，在加入之前仅仅审查现有立法是不够的。每年向议会提出一些法案，对可能涉及人权的事项提出立法提案。另外，新的立法必须符合国际人权义务。因此已经制定了一些程序来确保没有任何新的立法违反瑞典所加入的人权条约。其中第一项程序是政府内部的控制，首先是负责起草立法的部委里的控制。所有关于新的立法的法案都送交外交部。由外交部审查新的立法是否符合《欧洲人权公约》、《公民权利和政治权利国际公约》和其他有关人权条约。如有必要，主管部委则修正立法草案使之符合这些条约。第二步控制由法律委员会实施</w:t>
      </w:r>
      <w:r>
        <w:rPr>
          <w:rFonts w:hint="eastAsia"/>
        </w:rPr>
        <w:t>(</w:t>
      </w:r>
      <w:r>
        <w:rPr>
          <w:rFonts w:hint="eastAsia"/>
        </w:rPr>
        <w:t>见上文第二章</w:t>
      </w:r>
      <w:r>
        <w:rPr>
          <w:rFonts w:hint="eastAsia"/>
        </w:rPr>
        <w:t>)</w:t>
      </w:r>
      <w:r>
        <w:rPr>
          <w:rFonts w:hint="eastAsia"/>
        </w:rPr>
        <w:t>。</w:t>
      </w:r>
    </w:p>
    <w:p w:rsidR="00000000" w:rsidRDefault="00000000">
      <w:pPr>
        <w:pStyle w:val="Heading3"/>
        <w:rPr>
          <w:rFonts w:hint="eastAsia"/>
        </w:rPr>
      </w:pPr>
      <w:r>
        <w:rPr>
          <w:rFonts w:hint="eastAsia"/>
          <w:u w:val="none"/>
        </w:rPr>
        <w:t xml:space="preserve">E.  </w:t>
      </w:r>
      <w:r>
        <w:rPr>
          <w:rFonts w:hint="eastAsia"/>
        </w:rPr>
        <w:t>是否可以在国内法院和当局援引国际人权文书或</w:t>
      </w:r>
      <w:r>
        <w:br/>
      </w:r>
      <w:r>
        <w:rPr>
          <w:rFonts w:hint="eastAsia"/>
        </w:rPr>
        <w:t>由这些机构直接实施这些文书</w:t>
      </w:r>
      <w:r>
        <w:rPr>
          <w:rFonts w:hint="eastAsia"/>
          <w:u w:val="none"/>
        </w:rPr>
        <w:t>？</w:t>
      </w:r>
    </w:p>
    <w:p w:rsidR="00000000" w:rsidRDefault="00000000">
      <w:pPr>
        <w:rPr>
          <w:rFonts w:hint="eastAsia"/>
        </w:rPr>
      </w:pPr>
      <w:r>
        <w:rPr>
          <w:rFonts w:hint="eastAsia"/>
        </w:rPr>
        <w:tab/>
        <w:t xml:space="preserve">81.  </w:t>
      </w:r>
      <w:r>
        <w:rPr>
          <w:rFonts w:hint="eastAsia"/>
        </w:rPr>
        <w:t>有时在瑞典法院、法庭和行政当局援引各人权文书的条款。然而这些机构无法根据这些文书的规定作出决定。这些机构只能依据瑞典法律审理案件，因为人权文书本身没有纳入瑞典法律。因此，为了使有关当局能够加以执行，这些文书必须转变成国内法律或行政规章。正如上文所指出，瑞典通过这种转变来履行其国际义务，除非国内立法已经满足了人权文书的要求。然而，对《欧洲人权公约》采用了另一种方法。正如上文所提到，通过一项特殊的法令使该《公约》直接适用，因为根据该法令，该《公约》应作为瑞典法律适用。</w:t>
      </w:r>
    </w:p>
    <w:p w:rsidR="00000000" w:rsidRDefault="00000000">
      <w:pPr>
        <w:rPr>
          <w:rFonts w:hint="eastAsia"/>
        </w:rPr>
      </w:pPr>
      <w:r>
        <w:rPr>
          <w:rFonts w:hint="eastAsia"/>
        </w:rPr>
        <w:tab/>
        <w:t xml:space="preserve">82.  </w:t>
      </w:r>
      <w:r>
        <w:rPr>
          <w:rFonts w:hint="eastAsia"/>
        </w:rPr>
        <w:t>然而，即使法院、法庭和行政当局不受瑞典所批准或加入的人权文书的具体条款的约束，但可以利用人权文书的内容来解释国内立法。这实际上已经成为瑞典判例法中的一项一般原则，即国内立法应按照瑞典的国际义务加以解释。换言之，解释应该“倾向于”人权文书。这项原则已经被最高法院和最高行政法院接受。</w:t>
      </w:r>
    </w:p>
    <w:p w:rsidR="00000000" w:rsidRDefault="00000000">
      <w:pPr>
        <w:spacing w:after="320"/>
        <w:rPr>
          <w:rFonts w:hint="eastAsia"/>
        </w:rPr>
      </w:pPr>
      <w:r>
        <w:rPr>
          <w:rFonts w:hint="eastAsia"/>
        </w:rPr>
        <w:tab/>
        <w:t xml:space="preserve">83.  </w:t>
      </w:r>
      <w:r>
        <w:rPr>
          <w:rFonts w:hint="eastAsia"/>
        </w:rPr>
        <w:t>欧洲共同体法律的一个重要特点是，在某些情况下，它直接有效。欧洲法院在几起基于国籍和性别原因歧视案中裁定，有关条款直接有效。因此，欧洲共同体法律可以在瑞典法院、法庭和行政当局援引。第</w:t>
      </w:r>
      <w:r>
        <w:rPr>
          <w:rFonts w:hint="eastAsia"/>
        </w:rPr>
        <w:t>46</w:t>
      </w:r>
      <w:r>
        <w:rPr>
          <w:rFonts w:hint="eastAsia"/>
        </w:rPr>
        <w:t>条规定，《欧洲联盟条约》第</w:t>
      </w:r>
      <w:r>
        <w:rPr>
          <w:rFonts w:hint="eastAsia"/>
        </w:rPr>
        <w:t>6</w:t>
      </w:r>
      <w:r>
        <w:rPr>
          <w:rFonts w:hint="eastAsia"/>
        </w:rPr>
        <w:t>条关于尊重人权的规定可在法庭上援引。</w:t>
      </w:r>
    </w:p>
    <w:p w:rsidR="00000000" w:rsidRDefault="00000000">
      <w:pPr>
        <w:pStyle w:val="Heading3"/>
        <w:rPr>
          <w:rFonts w:hint="eastAsia"/>
        </w:rPr>
      </w:pPr>
      <w:r>
        <w:rPr>
          <w:rFonts w:hint="eastAsia"/>
          <w:u w:val="none"/>
        </w:rPr>
        <w:t xml:space="preserve">F.  </w:t>
      </w:r>
      <w:r>
        <w:rPr>
          <w:rFonts w:hint="eastAsia"/>
        </w:rPr>
        <w:t>监督人权落实情况的机构或国家机制</w:t>
      </w:r>
    </w:p>
    <w:p w:rsidR="00000000" w:rsidRDefault="00000000">
      <w:pPr>
        <w:rPr>
          <w:rFonts w:hint="eastAsia"/>
        </w:rPr>
      </w:pPr>
      <w:r>
        <w:rPr>
          <w:rFonts w:hint="eastAsia"/>
        </w:rPr>
        <w:tab/>
        <w:t xml:space="preserve">84.  </w:t>
      </w:r>
      <w:r>
        <w:rPr>
          <w:rFonts w:hint="eastAsia"/>
        </w:rPr>
        <w:t>瑞典法院系统规定的补救措施意在提供保护人权的手段。</w:t>
      </w:r>
    </w:p>
    <w:p w:rsidR="00000000" w:rsidRDefault="00000000">
      <w:pPr>
        <w:rPr>
          <w:rFonts w:hint="eastAsia"/>
        </w:rPr>
      </w:pPr>
      <w:r>
        <w:rPr>
          <w:rFonts w:hint="eastAsia"/>
        </w:rPr>
        <w:tab/>
        <w:t xml:space="preserve">85.  </w:t>
      </w:r>
      <w:r>
        <w:rPr>
          <w:rFonts w:hint="eastAsia"/>
        </w:rPr>
        <w:t>正如上文</w:t>
      </w:r>
      <w:r>
        <w:rPr>
          <w:rFonts w:hint="eastAsia"/>
        </w:rPr>
        <w:t>A</w:t>
      </w:r>
      <w:r>
        <w:rPr>
          <w:rFonts w:hint="eastAsia"/>
        </w:rPr>
        <w:t>节所概述的那样，人权的落实情况在很大程度上也受到各个监察专员的监督。</w:t>
      </w:r>
    </w:p>
    <w:p w:rsidR="00000000" w:rsidRDefault="00000000">
      <w:pPr>
        <w:rPr>
          <w:rFonts w:hint="eastAsia"/>
        </w:rPr>
      </w:pPr>
      <w:r>
        <w:rPr>
          <w:rFonts w:hint="eastAsia"/>
        </w:rPr>
        <w:tab/>
        <w:t xml:space="preserve">86.  </w:t>
      </w:r>
      <w:r>
        <w:rPr>
          <w:rFonts w:hint="eastAsia"/>
        </w:rPr>
        <w:t>议会监察专员办公室受理并调查关于政府官员、法官和其他公务员的申诉。监察专员可以根据刑法对公务员提起法律诉讼，但更普遍的作法是，如果发现有理由提出批评，其行动仅限于就此作出声明。</w:t>
      </w:r>
    </w:p>
    <w:p w:rsidR="00000000" w:rsidRDefault="00000000">
      <w:pPr>
        <w:spacing w:after="320"/>
        <w:rPr>
          <w:rFonts w:hint="eastAsia"/>
        </w:rPr>
      </w:pPr>
      <w:r>
        <w:rPr>
          <w:rFonts w:hint="eastAsia"/>
        </w:rPr>
        <w:tab/>
        <w:t xml:space="preserve">87.  </w:t>
      </w:r>
      <w:r>
        <w:rPr>
          <w:rFonts w:hint="eastAsia"/>
        </w:rPr>
        <w:t>除了由监察专员行使一般监督以外，特殊纪律程序约束某些专业群体的行动。例如，医疗人员可以受到纪律检查机关的调查，该机关有权取消医疗授权。该机关还可以对实施不法行为、任意行为或错误行为的医疗人员发出警告。类似的程序适用于警官。对于违反规定的军事人员可以给予特殊纪律处分。</w:t>
      </w:r>
    </w:p>
    <w:p w:rsidR="00000000" w:rsidRDefault="00000000">
      <w:pPr>
        <w:pStyle w:val="Heading2"/>
        <w:rPr>
          <w:rFonts w:hint="eastAsia"/>
        </w:rPr>
      </w:pPr>
      <w:r>
        <w:rPr>
          <w:rFonts w:hint="eastAsia"/>
        </w:rPr>
        <w:t>四、信息和宣传</w:t>
      </w:r>
    </w:p>
    <w:p w:rsidR="00000000" w:rsidRDefault="00000000">
      <w:pPr>
        <w:rPr>
          <w:rFonts w:hint="eastAsia"/>
        </w:rPr>
      </w:pPr>
      <w:r>
        <w:rPr>
          <w:rFonts w:hint="eastAsia"/>
        </w:rPr>
        <w:tab/>
        <w:t xml:space="preserve">88.  </w:t>
      </w:r>
      <w:r>
        <w:rPr>
          <w:rFonts w:hint="eastAsia"/>
        </w:rPr>
        <w:t>提高对于人权和自由的认识是使人权融入社会各领域的关键。提高这种认识的努力着眼于以瑞典语译文传播人权文书的内容，向公众和当局提供关于这些文书内容的资料，并推动就人权问题与非政府组织交流意见。</w:t>
      </w:r>
    </w:p>
    <w:p w:rsidR="00000000" w:rsidRDefault="00000000">
      <w:pPr>
        <w:rPr>
          <w:rFonts w:hint="eastAsia"/>
        </w:rPr>
      </w:pPr>
      <w:r>
        <w:rPr>
          <w:rFonts w:hint="eastAsia"/>
        </w:rPr>
        <w:tab/>
        <w:t xml:space="preserve">89.  </w:t>
      </w:r>
      <w:r>
        <w:rPr>
          <w:rFonts w:hint="eastAsia"/>
        </w:rPr>
        <w:t>瑞典缔结的具有约束力的国际协定的瑞典语译文，在《瑞典条约集》</w:t>
      </w:r>
      <w:r>
        <w:rPr>
          <w:u w:val="single"/>
        </w:rPr>
        <w:t>Sveriges intenationella överenskommelser</w:t>
      </w:r>
      <w:r>
        <w:t>, SÖ)</w:t>
      </w:r>
      <w:r>
        <w:rPr>
          <w:rFonts w:hint="eastAsia"/>
        </w:rPr>
        <w:t>中发表。外交部每两年一次出版《瑞典条约集》索引。此外，在缔结国际协定前通过的瑞典立法在《瑞典法律集》</w:t>
      </w:r>
      <w:r>
        <w:rPr>
          <w:rFonts w:hint="eastAsia"/>
        </w:rPr>
        <w:t>(</w:t>
      </w:r>
      <w:r>
        <w:rPr>
          <w:u w:val="single"/>
        </w:rPr>
        <w:t>Svensk författningssamling</w:t>
      </w:r>
      <w:r>
        <w:t>)</w:t>
      </w:r>
      <w:r>
        <w:rPr>
          <w:rFonts w:hint="eastAsia"/>
        </w:rPr>
        <w:t>中发表。</w:t>
      </w:r>
    </w:p>
    <w:p w:rsidR="00000000" w:rsidRDefault="00000000">
      <w:pPr>
        <w:rPr>
          <w:rFonts w:hint="eastAsia"/>
        </w:rPr>
      </w:pPr>
      <w:r>
        <w:rPr>
          <w:rFonts w:hint="eastAsia"/>
        </w:rPr>
        <w:tab/>
        <w:t xml:space="preserve">90.  </w:t>
      </w:r>
      <w:r>
        <w:rPr>
          <w:rFonts w:hint="eastAsia"/>
        </w:rPr>
        <w:t>根据《瑞典宪法》，政府有权缔结国际协定。然而如果协定需要修改现有立法或颁布新的立法，则必须得到议会的批准。属于议会决策权限范围内的协定以及比较重要的其他协定也必须得到议会的批准。在多数情况下，提交议会的政府法案必须附上协定全文的瑞典语译文。政府法案在向公众广泛分发的议会出版物中公布。</w:t>
      </w:r>
    </w:p>
    <w:p w:rsidR="00000000" w:rsidRDefault="00000000">
      <w:pPr>
        <w:rPr>
          <w:rFonts w:hint="eastAsia"/>
        </w:rPr>
      </w:pPr>
      <w:r>
        <w:rPr>
          <w:rFonts w:hint="eastAsia"/>
        </w:rPr>
        <w:tab/>
        <w:t xml:space="preserve">91.  </w:t>
      </w:r>
      <w:r>
        <w:rPr>
          <w:rFonts w:hint="eastAsia"/>
        </w:rPr>
        <w:t>关于人权问题的官方声明和讲话由外交部每年发表于出版物</w:t>
      </w:r>
      <w:r>
        <w:rPr>
          <w:u w:val="single"/>
        </w:rPr>
        <w:t>Utrikesfragor</w:t>
      </w:r>
      <w:r>
        <w:rPr>
          <w:rFonts w:hint="eastAsia"/>
        </w:rPr>
        <w:t xml:space="preserve"> </w:t>
      </w:r>
      <w:r>
        <w:t>(</w:t>
      </w:r>
      <w:r>
        <w:rPr>
          <w:rFonts w:hint="eastAsia"/>
        </w:rPr>
        <w:t>瑞典外交政策文件</w:t>
      </w:r>
      <w:r>
        <w:rPr>
          <w:rFonts w:hint="eastAsia"/>
        </w:rPr>
        <w:t>)</w:t>
      </w:r>
      <w:r>
        <w:rPr>
          <w:rFonts w:hint="eastAsia"/>
        </w:rPr>
        <w:t>，而出版物还以英文出版。</w:t>
      </w:r>
    </w:p>
    <w:p w:rsidR="00000000" w:rsidRDefault="00000000">
      <w:pPr>
        <w:rPr>
          <w:rFonts w:hint="eastAsia"/>
        </w:rPr>
      </w:pPr>
      <w:r>
        <w:rPr>
          <w:rFonts w:hint="eastAsia"/>
        </w:rPr>
        <w:tab/>
        <w:t xml:space="preserve">92. </w:t>
      </w:r>
      <w:r>
        <w:rPr>
          <w:rFonts w:hint="eastAsia"/>
        </w:rPr>
        <w:t>关于人权文书内容的其他资料在外交部发表的关于外交事务的一系列丛书</w:t>
      </w:r>
      <w:r>
        <w:t>UD informerar</w:t>
      </w:r>
      <w:r>
        <w:rPr>
          <w:rFonts w:hint="eastAsia"/>
        </w:rPr>
        <w:t xml:space="preserve"> (</w:t>
      </w:r>
      <w:r>
        <w:rPr>
          <w:rFonts w:hint="eastAsia"/>
        </w:rPr>
        <w:t>外交部提供的资料</w:t>
      </w:r>
      <w:r>
        <w:rPr>
          <w:rFonts w:hint="eastAsia"/>
        </w:rPr>
        <w:t>)</w:t>
      </w:r>
      <w:r>
        <w:rPr>
          <w:rFonts w:hint="eastAsia"/>
        </w:rPr>
        <w:t>中公布。这种系列丛书述及各种专题，包括人权。例如，已经出版了关于以下方面的丛书：《欧洲保护人权与基本自由公约》、《公民权利和政治权利国际公约》、《儿童权利公约》和《消除对妇女一切形式歧视公约》以及《瑞典外交政策中的人权》和《瑞典发展合作中的民主和人权》等出版物。关于《欧洲人权公约》的小册子叙述了该《公约》规定的申诉程序，并载有欧洲人权法院对各项诉瑞典案作出的判决的摘要。这些出版物免费向公众提供。</w:t>
      </w:r>
    </w:p>
    <w:p w:rsidR="00000000" w:rsidRDefault="00000000">
      <w:pPr>
        <w:rPr>
          <w:rFonts w:hint="eastAsia"/>
        </w:rPr>
      </w:pPr>
      <w:r>
        <w:rPr>
          <w:rFonts w:hint="eastAsia"/>
        </w:rPr>
        <w:tab/>
        <w:t xml:space="preserve">93.  </w:t>
      </w:r>
      <w:r>
        <w:rPr>
          <w:rFonts w:hint="eastAsia"/>
        </w:rPr>
        <w:t>瑞典政府负责履行瑞典所参加的人权文书规定的瑞典的义务，因此还负责编写应提交各委员会的定期报告。由于这些报告的范围相当广泛，而且涉及到许多不同的问题，因此必须吸收几个专门部委参加编写过程。瑞典政府坚决支持国家报告的替代报告</w:t>
      </w:r>
      <w:r>
        <w:rPr>
          <w:rFonts w:hint="eastAsia"/>
          <w:spacing w:val="-40"/>
        </w:rPr>
        <w:t>――</w:t>
      </w:r>
      <w:r>
        <w:rPr>
          <w:rFonts w:hint="eastAsia"/>
          <w:spacing w:val="-40"/>
        </w:rPr>
        <w:t xml:space="preserve"> </w:t>
      </w:r>
      <w:r>
        <w:rPr>
          <w:rFonts w:hint="eastAsia"/>
        </w:rPr>
        <w:t>民间社会拟订并转交各委员会的所谓的“影子报告”，因为民间社会在报告过程中发挥了重要的作用。</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2</w:t>
          </w:r>
          <w:r>
            <w:t>-</w:t>
          </w:r>
          <w:r>
            <w:rPr>
              <w:rFonts w:hint="eastAsia"/>
            </w:rPr>
            <w:t>42197</w:t>
          </w:r>
          <w:r>
            <w:t xml:space="preserve"> (C)</w:t>
          </w:r>
        </w:p>
      </w:tc>
      <w:tc>
        <w:tcPr>
          <w:tcW w:w="1050" w:type="dxa"/>
        </w:tcPr>
        <w:p w:rsidR="00000000" w:rsidRDefault="00000000">
          <w:pPr>
            <w:pStyle w:val="Footer"/>
            <w:rPr>
              <w:rFonts w:hint="eastAsia"/>
            </w:rPr>
          </w:pPr>
          <w:r>
            <w:t>19090</w:t>
          </w:r>
          <w:r>
            <w:rPr>
              <w:rFonts w:hint="eastAsia"/>
            </w:rPr>
            <w:t>2</w:t>
          </w:r>
        </w:p>
      </w:tc>
      <w:tc>
        <w:tcPr>
          <w:tcW w:w="6061" w:type="dxa"/>
        </w:tcPr>
        <w:p w:rsidR="00000000" w:rsidRDefault="00000000">
          <w:pPr>
            <w:pStyle w:val="Footer"/>
            <w:rPr>
              <w:rFonts w:hint="eastAsia"/>
            </w:rPr>
          </w:pPr>
          <w:r>
            <w:t>27090</w:t>
          </w:r>
          <w:r>
            <w:rPr>
              <w:rFonts w:hint="eastAsia"/>
            </w:rPr>
            <w:t>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HRI/</w:t>
    </w:r>
    <w:r>
      <w:rPr>
        <w:rFonts w:hint="eastAsia"/>
      </w:rPr>
      <w:t>CORE/1/</w:t>
    </w:r>
    <w:r>
      <w:t>Add.4/Rev.1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t>HRI/</w:t>
    </w:r>
    <w:r>
      <w:rPr>
        <w:rFonts w:hint="eastAsia"/>
      </w:rPr>
      <w:t>CORE/1/</w:t>
    </w:r>
    <w:r>
      <w:t>Add.4/Rev.1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1025" style="position:absolute;margin-left:499.05pt;margin-top:57.65pt;width:66.05pt;height:31.25pt;z-index:-5;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a1"/>
    </w:pPr>
    <w:r>
      <w:pict>
        <v:rect id="_x0000_s1029" style="position:absolute;margin-left:73.05pt;margin-top:109.6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r>
      <w:pict>
        <v:rect id="_x0000_s1027" style="position:absolute;margin-left:151.05pt;margin-top:120.05pt;width:156.05pt;height:31.25pt;z-index:-3;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a1"/>
    </w:pPr>
  </w:p>
  <w:p w:rsidR="00000000" w:rsidRDefault="00000000">
    <w:pPr>
      <w:pStyle w:val="1R2"/>
      <w:framePr w:w="3325" w:wrap="around" w:x="8302"/>
    </w:pPr>
    <w:r>
      <w:t>Distr.</w:t>
    </w:r>
  </w:p>
  <w:p w:rsidR="00000000" w:rsidRDefault="00000000">
    <w:pPr>
      <w:pStyle w:val="1R2"/>
      <w:framePr w:w="3325" w:wrap="around" w:x="8302"/>
    </w:pPr>
    <w:r>
      <w:t>GENERAL</w:t>
    </w:r>
  </w:p>
  <w:p w:rsidR="00000000" w:rsidRDefault="00000000">
    <w:pPr>
      <w:pStyle w:val="1R2"/>
      <w:framePr w:w="3325" w:wrap="around" w:x="8302"/>
    </w:pPr>
  </w:p>
  <w:p w:rsidR="00000000" w:rsidRDefault="00000000">
    <w:pPr>
      <w:pStyle w:val="1R2"/>
      <w:framePr w:w="3325" w:wrap="around" w:x="8302"/>
    </w:pPr>
    <w:r>
      <w:t>HRI/</w:t>
    </w:r>
    <w:r>
      <w:rPr>
        <w:rFonts w:hint="eastAsia"/>
      </w:rPr>
      <w:t>CORE/1/</w:t>
    </w:r>
    <w:r>
      <w:t>Add.4/Rev.1</w:t>
    </w:r>
  </w:p>
  <w:p w:rsidR="00000000" w:rsidRDefault="00000000">
    <w:pPr>
      <w:pStyle w:val="1R2"/>
      <w:framePr w:w="3325" w:wrap="around" w:x="8302"/>
      <w:rPr>
        <w:rFonts w:hint="eastAsia"/>
      </w:rPr>
    </w:pPr>
    <w:r>
      <w:rPr>
        <w:rFonts w:hint="eastAsia"/>
      </w:rPr>
      <w:t xml:space="preserve">27 </w:t>
    </w:r>
    <w:r>
      <w:t>May 200</w:t>
    </w:r>
    <w:r>
      <w:rPr>
        <w:rFonts w:hint="eastAsia"/>
      </w:rPr>
      <w:t>2</w:t>
    </w:r>
  </w:p>
  <w:p w:rsidR="00000000" w:rsidRDefault="00000000">
    <w:pPr>
      <w:pStyle w:val="1R2"/>
      <w:framePr w:w="3325" w:wrap="around" w:x="8302"/>
    </w:pPr>
    <w:r>
      <w:t>CHINESE</w:t>
    </w:r>
  </w:p>
  <w:p w:rsidR="00000000" w:rsidRDefault="00000000">
    <w:pPr>
      <w:pStyle w:val="1R2"/>
      <w:framePr w:w="3325" w:wrap="around" w:x="8302"/>
    </w:pPr>
    <w:r>
      <w:t>Original:</w:t>
    </w:r>
    <w:r>
      <w:tab/>
      <w:t>ENGLISH</w: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3">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FCBA2D34"/>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5686E45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b">
    <w:name w:val="目录"/>
    <w:basedOn w:val="Normal"/>
    <w:autoRedefine/>
    <w:pPr>
      <w:widowControl w:val="0"/>
      <w:tabs>
        <w:tab w:val="left" w:pos="510"/>
        <w:tab w:val="left" w:pos="7201"/>
        <w:tab w:val="left" w:pos="7711"/>
        <w:tab w:val="left" w:pos="8618"/>
        <w:tab w:val="right" w:pos="9356"/>
      </w:tabs>
      <w:spacing w:line="360" w:lineRule="auto"/>
      <w:jc w:val="center"/>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customStyle="1" w:styleId="ac">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0</Words>
  <Characters>0</Characters>
  <Application>Microsoft Office Word</Application>
  <DocSecurity>4</DocSecurity>
  <Lines>1</Lines>
  <Paragraphs>1</Paragraphs>
  <ScaleCrop>false</ScaleCrop>
  <HeadingPairs>
    <vt:vector size="4" baseType="variant">
      <vt:variant>
        <vt:lpstr>题目</vt:lpstr>
      </vt:variant>
      <vt:variant>
        <vt:i4>1</vt:i4>
      </vt:variant>
      <vt:variant>
        <vt:lpstr>标题</vt:lpstr>
      </vt:variant>
      <vt:variant>
        <vt:i4>16</vt:i4>
      </vt:variant>
    </vt:vector>
  </HeadingPairs>
  <TitlesOfParts>
    <vt:vector size="17" baseType="lpstr">
      <vt:lpstr>HRI.dot</vt:lpstr>
      <vt:lpstr>    </vt:lpstr>
      <vt:lpstr>    作为签约国报告组成部分的核心文件</vt:lpstr>
      <vt:lpstr>    瑞   典</vt:lpstr>
      <vt:lpstr>    作为签约国报告组成部分的核心文件―― 瑞典</vt:lpstr>
      <vt:lpstr>    一、土地和人民</vt:lpstr>
      <vt:lpstr>    二、总体政治结构</vt:lpstr>
      <vt:lpstr>    三、保护人权的一般法律框架</vt:lpstr>
      <vt:lpstr>        A.  拥有人权管辖权的机构</vt:lpstr>
      <vt:lpstr>        1.  法  院</vt:lpstr>
      <vt:lpstr>        2.  行政当局</vt:lpstr>
      <vt:lpstr>        B.  补救措施和赔偿</vt:lpstr>
      <vt:lpstr>        C.  关于人权的宪法规定</vt:lpstr>
      <vt:lpstr>        D.  国际法和国内立法</vt:lpstr>
      <vt:lpstr>        E.  是否可以在国内法院和当局援引国际人权文书或 由这些机构直接实施这些文书？</vt:lpstr>
      <vt:lpstr>        F.  监督人权落实情况的机构或国家机制</vt:lpstr>
      <vt:lpstr>    四、信息和宣传</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FUX</dc:creator>
  <cp:keywords/>
  <cp:lastModifiedBy>LINL</cp:lastModifiedBy>
  <cp:revision>2</cp:revision>
  <cp:lastPrinted>2002-09-26T13:32:00Z</cp:lastPrinted>
  <dcterms:created xsi:type="dcterms:W3CDTF">2002-09-27T12:13:00Z</dcterms:created>
  <dcterms:modified xsi:type="dcterms:W3CDTF">2002-09-27T12:13:00Z</dcterms:modified>
</cp:coreProperties>
</file>