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77BDF65" w14:textId="77777777" w:rsidTr="000C2F85">
        <w:trPr>
          <w:trHeight w:hRule="exact" w:val="851"/>
        </w:trPr>
        <w:tc>
          <w:tcPr>
            <w:tcW w:w="1280" w:type="dxa"/>
            <w:tcBorders>
              <w:bottom w:val="single" w:sz="4" w:space="0" w:color="auto"/>
            </w:tcBorders>
          </w:tcPr>
          <w:p w14:paraId="425365BB" w14:textId="77777777" w:rsidR="002D5AAC" w:rsidRDefault="002D5AAC" w:rsidP="0009570E">
            <w:pPr>
              <w:kinsoku w:val="0"/>
              <w:overflowPunct w:val="0"/>
              <w:autoSpaceDE w:val="0"/>
              <w:autoSpaceDN w:val="0"/>
              <w:adjustRightInd w:val="0"/>
              <w:snapToGrid w:val="0"/>
            </w:pPr>
          </w:p>
        </w:tc>
        <w:tc>
          <w:tcPr>
            <w:tcW w:w="2273" w:type="dxa"/>
            <w:tcBorders>
              <w:bottom w:val="single" w:sz="4" w:space="0" w:color="auto"/>
            </w:tcBorders>
            <w:vAlign w:val="bottom"/>
          </w:tcPr>
          <w:p w14:paraId="14728516" w14:textId="77777777" w:rsidR="002D5AAC" w:rsidRPr="00BD33EE" w:rsidRDefault="00BD33EE" w:rsidP="00C057D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86861C8" w14:textId="31F3996D" w:rsidR="002D5AAC" w:rsidRDefault="0009570E" w:rsidP="0009570E">
            <w:pPr>
              <w:jc w:val="right"/>
            </w:pPr>
            <w:r w:rsidRPr="0009570E">
              <w:rPr>
                <w:sz w:val="40"/>
              </w:rPr>
              <w:t>HRI</w:t>
            </w:r>
            <w:r>
              <w:t>/CORE/ZAF/2021</w:t>
            </w:r>
          </w:p>
        </w:tc>
      </w:tr>
      <w:tr w:rsidR="002D5AAC" w14:paraId="3EDCF3A3" w14:textId="77777777" w:rsidTr="000C2F85">
        <w:trPr>
          <w:trHeight w:hRule="exact" w:val="2835"/>
        </w:trPr>
        <w:tc>
          <w:tcPr>
            <w:tcW w:w="1280" w:type="dxa"/>
            <w:tcBorders>
              <w:top w:val="single" w:sz="4" w:space="0" w:color="auto"/>
              <w:bottom w:val="single" w:sz="12" w:space="0" w:color="auto"/>
            </w:tcBorders>
          </w:tcPr>
          <w:p w14:paraId="5635DFD6" w14:textId="77777777" w:rsidR="002D5AAC" w:rsidRDefault="0095700F" w:rsidP="00C057D5">
            <w:pPr>
              <w:spacing w:before="120"/>
              <w:jc w:val="center"/>
            </w:pPr>
            <w:r>
              <w:rPr>
                <w:noProof/>
              </w:rPr>
              <w:drawing>
                <wp:inline distT="0" distB="0" distL="0" distR="0" wp14:anchorId="47088C23" wp14:editId="2DF5057D">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BD8ECC8" w14:textId="77777777" w:rsidR="002D5AAC" w:rsidRPr="00033EE1" w:rsidRDefault="00DB6076" w:rsidP="00C057D5">
            <w:pPr>
              <w:spacing w:before="120" w:line="380" w:lineRule="exact"/>
              <w:rPr>
                <w:b/>
                <w:sz w:val="34"/>
                <w:szCs w:val="34"/>
              </w:rPr>
            </w:pPr>
            <w:r>
              <w:rPr>
                <w:b/>
                <w:sz w:val="34"/>
                <w:szCs w:val="34"/>
              </w:rPr>
              <w:t>Instrumentos Internacionales</w:t>
            </w:r>
            <w:r>
              <w:rPr>
                <w:b/>
                <w:sz w:val="34"/>
                <w:szCs w:val="34"/>
              </w:rPr>
              <w:br/>
              <w:t>de Derechos Humanos</w:t>
            </w:r>
          </w:p>
        </w:tc>
        <w:tc>
          <w:tcPr>
            <w:tcW w:w="2819" w:type="dxa"/>
            <w:tcBorders>
              <w:top w:val="single" w:sz="4" w:space="0" w:color="auto"/>
              <w:bottom w:val="single" w:sz="12" w:space="0" w:color="auto"/>
            </w:tcBorders>
          </w:tcPr>
          <w:p w14:paraId="6EE40330" w14:textId="77777777" w:rsidR="002D5AAC" w:rsidRDefault="0009570E" w:rsidP="00C057D5">
            <w:pPr>
              <w:spacing w:before="240"/>
            </w:pPr>
            <w:r>
              <w:t>Distr. general</w:t>
            </w:r>
          </w:p>
          <w:p w14:paraId="2DE8A3A0" w14:textId="77777777" w:rsidR="0009570E" w:rsidRDefault="0009570E" w:rsidP="0009570E">
            <w:pPr>
              <w:spacing w:line="240" w:lineRule="exact"/>
            </w:pPr>
            <w:r>
              <w:t>25 de agosto de 2021</w:t>
            </w:r>
          </w:p>
          <w:p w14:paraId="77F3B4B5" w14:textId="77777777" w:rsidR="0009570E" w:rsidRDefault="0009570E" w:rsidP="0009570E">
            <w:pPr>
              <w:spacing w:line="240" w:lineRule="exact"/>
            </w:pPr>
            <w:r>
              <w:t>Español</w:t>
            </w:r>
          </w:p>
          <w:p w14:paraId="7C009EE7" w14:textId="50FD5DF5" w:rsidR="0009570E" w:rsidRDefault="0009570E" w:rsidP="0009570E">
            <w:pPr>
              <w:spacing w:line="240" w:lineRule="exact"/>
            </w:pPr>
            <w:r>
              <w:t>Original: inglés</w:t>
            </w:r>
          </w:p>
        </w:tc>
      </w:tr>
    </w:tbl>
    <w:p w14:paraId="54FC053F" w14:textId="1A7E03FA" w:rsidR="000C2F85" w:rsidRPr="000C2F85" w:rsidRDefault="000C2F85" w:rsidP="000C2F85">
      <w:pPr>
        <w:pStyle w:val="HMG"/>
        <w:rPr>
          <w:lang w:val="es-ES_tradnl"/>
        </w:rPr>
      </w:pPr>
      <w:r>
        <w:rPr>
          <w:lang w:val="es-ES_tradnl"/>
        </w:rPr>
        <w:tab/>
      </w:r>
      <w:r>
        <w:rPr>
          <w:lang w:val="es-ES_tradnl"/>
        </w:rPr>
        <w:tab/>
      </w:r>
      <w:r w:rsidRPr="000C2F85">
        <w:rPr>
          <w:lang w:val="es-ES_tradnl"/>
        </w:rPr>
        <w:t>Documento básico común que forma parte integrante de los informes de los Estados partes</w:t>
      </w:r>
    </w:p>
    <w:p w14:paraId="63621CD9" w14:textId="257A7650" w:rsidR="000C2F85" w:rsidRPr="000C2F85" w:rsidRDefault="000C2F85" w:rsidP="00C3764D">
      <w:pPr>
        <w:pStyle w:val="HMG"/>
        <w:rPr>
          <w:lang w:val="es-ES_tradnl"/>
        </w:rPr>
      </w:pPr>
      <w:r>
        <w:rPr>
          <w:lang w:val="es-ES_tradnl"/>
        </w:rPr>
        <w:tab/>
      </w:r>
      <w:r w:rsidRPr="000C2F85">
        <w:rPr>
          <w:lang w:val="es-ES_tradnl"/>
        </w:rPr>
        <w:tab/>
        <w:t>Sudáfrica</w:t>
      </w:r>
      <w:r w:rsidRPr="000C2F85">
        <w:rPr>
          <w:rStyle w:val="Refdenotaalpie"/>
          <w:b w:val="0"/>
          <w:bCs/>
          <w:sz w:val="20"/>
          <w:vertAlign w:val="baseline"/>
          <w:lang w:val="es-ES_tradnl"/>
        </w:rPr>
        <w:footnoteReference w:customMarkFollows="1" w:id="1"/>
        <w:t>*</w:t>
      </w:r>
    </w:p>
    <w:p w14:paraId="45F99E4D" w14:textId="77777777" w:rsidR="000C2F85" w:rsidRPr="000C2F85" w:rsidRDefault="000C2F85" w:rsidP="000C2F85">
      <w:pPr>
        <w:pStyle w:val="SingleTxtG"/>
        <w:jc w:val="right"/>
        <w:rPr>
          <w:lang w:val="es-ES_tradnl"/>
        </w:rPr>
      </w:pPr>
      <w:r w:rsidRPr="000C2F85">
        <w:rPr>
          <w:lang w:val="es-ES_tradnl"/>
        </w:rPr>
        <w:t>[Fecha de recepción: 10 de mayo de 2021]</w:t>
      </w:r>
    </w:p>
    <w:p w14:paraId="143AD847" w14:textId="77777777" w:rsidR="000C2F85" w:rsidRPr="000C2F85" w:rsidRDefault="000C2F85" w:rsidP="000C2F85">
      <w:pPr>
        <w:pStyle w:val="SingleTxtG"/>
        <w:rPr>
          <w:lang w:val="es-ES_tradnl"/>
        </w:rPr>
      </w:pPr>
      <w:r w:rsidRPr="000C2F85">
        <w:rPr>
          <w:lang w:val="es-ES_tradnl"/>
        </w:rPr>
        <w:br w:type="page"/>
      </w:r>
    </w:p>
    <w:p w14:paraId="64416615" w14:textId="77777777" w:rsidR="000C2F85" w:rsidRPr="000C2F85" w:rsidRDefault="000C2F85" w:rsidP="000C2F85">
      <w:pPr>
        <w:pStyle w:val="HChG"/>
        <w:rPr>
          <w:lang w:val="es-ES_tradnl"/>
        </w:rPr>
      </w:pPr>
      <w:r w:rsidRPr="000C2F85">
        <w:rPr>
          <w:lang w:val="es-ES_tradnl"/>
        </w:rPr>
        <w:lastRenderedPageBreak/>
        <w:tab/>
        <w:t>I.</w:t>
      </w:r>
      <w:r w:rsidRPr="000C2F85">
        <w:rPr>
          <w:lang w:val="es-ES_tradnl"/>
        </w:rPr>
        <w:tab/>
        <w:t>Información general</w:t>
      </w:r>
    </w:p>
    <w:p w14:paraId="3BF623CC" w14:textId="77777777" w:rsidR="000C2F85" w:rsidRPr="000C2F85" w:rsidRDefault="000C2F85" w:rsidP="000C2F85">
      <w:pPr>
        <w:pStyle w:val="SingleTxtG"/>
        <w:rPr>
          <w:lang w:val="es-ES_tradnl"/>
        </w:rPr>
      </w:pPr>
      <w:r w:rsidRPr="000C2F85">
        <w:rPr>
          <w:lang w:val="es-ES_tradnl"/>
        </w:rPr>
        <w:t>1.</w:t>
      </w:r>
      <w:r w:rsidRPr="000C2F85">
        <w:rPr>
          <w:lang w:val="es-ES_tradnl"/>
        </w:rPr>
        <w:tab/>
        <w:t>El presente documento contiene información de naturaleza general y específica sobre la aplicación de los tratados en los que Sudáfrica es parte, y que puede ser pertinente para todos o varios de los órganos creados en virtud de tratados. El objetivo es proporcionar información que sea útil para conocer las obligaciones contraídas por Sudáfrica en virtud de los distintos tratados de las Naciones Unidas en los que es parte, y debe leerse conjuntamente con los informes específicos que Sudáfrica ha presentado en relación con cada uno de los tratados. El documento se ha preparado de conformidad con las directrices armonizadas del Comité de Derechos Humanos relativas a la forma y el contenido de los informes periódicos que deben presentar los Estados partes.</w:t>
      </w:r>
    </w:p>
    <w:p w14:paraId="6CC81FB9" w14:textId="77777777" w:rsidR="000C2F85" w:rsidRPr="000C2F85" w:rsidRDefault="000C2F85" w:rsidP="000C2F85">
      <w:pPr>
        <w:pStyle w:val="H1G"/>
        <w:rPr>
          <w:lang w:val="es-ES_tradnl"/>
        </w:rPr>
      </w:pPr>
      <w:r w:rsidRPr="000C2F85">
        <w:rPr>
          <w:lang w:val="es-ES_tradnl"/>
        </w:rPr>
        <w:tab/>
        <w:t>A.</w:t>
      </w:r>
      <w:r w:rsidRPr="000C2F85">
        <w:rPr>
          <w:lang w:val="es-ES_tradnl"/>
        </w:rPr>
        <w:tab/>
        <w:t>Características demográficas, económicas, sociales y culturales</w:t>
      </w:r>
    </w:p>
    <w:p w14:paraId="5475FB82" w14:textId="70F8E2AF" w:rsidR="000C2F85" w:rsidRPr="000C2F85" w:rsidRDefault="000C2F85" w:rsidP="000C2F85">
      <w:pPr>
        <w:pStyle w:val="SingleTxtG"/>
        <w:rPr>
          <w:lang w:val="es-ES_tradnl"/>
        </w:rPr>
      </w:pPr>
      <w:r w:rsidRPr="000C2F85">
        <w:rPr>
          <w:lang w:val="es-ES_tradnl"/>
        </w:rPr>
        <w:t>2.</w:t>
      </w:r>
      <w:r w:rsidRPr="000C2F85">
        <w:rPr>
          <w:lang w:val="es-ES_tradnl"/>
        </w:rPr>
        <w:tab/>
        <w:t>Sudáfrica está situada en el extremo meridional de África y comparte sus fronteras con Namibia, Botswana, Zimbabwe, Mozambique y Eswatini. Lesotho está ubicado en su totalidad en el interior de Sudáfrica. La superficie de Sudáfrica es de 1.220.813 km</w:t>
      </w:r>
      <w:r w:rsidRPr="000C2F85">
        <w:rPr>
          <w:vertAlign w:val="superscript"/>
          <w:lang w:val="es-ES_tradnl"/>
        </w:rPr>
        <w:t>2</w:t>
      </w:r>
      <w:r w:rsidRPr="000C2F85">
        <w:rPr>
          <w:lang w:val="es-ES_tradnl"/>
        </w:rPr>
        <w:t xml:space="preserve">. La superficie terrestre se divide en nueve provincias y en julio de 2018 la población estimada de Sudáfrica era de 57,7 </w:t>
      </w:r>
      <w:r w:rsidRPr="00605B48">
        <w:rPr>
          <w:lang w:val="es-ES_tradnl"/>
        </w:rPr>
        <w:t>millones</w:t>
      </w:r>
      <w:r w:rsidRPr="000C2F85">
        <w:rPr>
          <w:lang w:val="es-ES_tradnl"/>
        </w:rPr>
        <w:t xml:space="preserve"> de personas</w:t>
      </w:r>
      <w:r w:rsidRPr="00605B48">
        <w:rPr>
          <w:sz w:val="18"/>
          <w:szCs w:val="18"/>
          <w:vertAlign w:val="superscript"/>
          <w:lang w:val="es-ES_tradnl"/>
        </w:rPr>
        <w:footnoteReference w:id="2"/>
      </w:r>
      <w:r w:rsidRPr="000C2F85">
        <w:rPr>
          <w:lang w:val="es-ES_tradnl"/>
        </w:rPr>
        <w:t>, de las cuales algo más del 51 % (unos 29,5</w:t>
      </w:r>
      <w:r w:rsidR="004D4086">
        <w:rPr>
          <w:lang w:val="es-ES_tradnl"/>
        </w:rPr>
        <w:t> </w:t>
      </w:r>
      <w:r w:rsidRPr="000C2F85">
        <w:rPr>
          <w:lang w:val="es-ES_tradnl"/>
        </w:rPr>
        <w:t>millones de personas) eran mujeres</w:t>
      </w:r>
      <w:r w:rsidRPr="00605B48">
        <w:rPr>
          <w:sz w:val="18"/>
          <w:szCs w:val="18"/>
          <w:vertAlign w:val="superscript"/>
          <w:lang w:val="es-ES_tradnl"/>
        </w:rPr>
        <w:footnoteReference w:id="3"/>
      </w:r>
      <w:r w:rsidRPr="000C2F85">
        <w:rPr>
          <w:lang w:val="es-ES_tradnl"/>
        </w:rPr>
        <w:t>. El perfil demográfico de la población figura en el siguiente cuadro.</w:t>
      </w:r>
    </w:p>
    <w:p w14:paraId="4D3E9B71" w14:textId="5089D2C8" w:rsidR="000C2F85" w:rsidRPr="00605B48" w:rsidRDefault="000C2F85" w:rsidP="000C2F85">
      <w:pPr>
        <w:pStyle w:val="H23G"/>
        <w:rPr>
          <w:lang w:val="es-ES_tradnl"/>
        </w:rPr>
      </w:pPr>
      <w:r w:rsidRPr="000C2F85">
        <w:rPr>
          <w:b w:val="0"/>
          <w:bCs/>
          <w:lang w:val="es-ES_tradnl"/>
        </w:rPr>
        <w:tab/>
      </w:r>
      <w:r w:rsidRPr="000C2F85">
        <w:rPr>
          <w:b w:val="0"/>
          <w:bCs/>
          <w:lang w:val="es-ES_tradnl"/>
        </w:rPr>
        <w:tab/>
        <w:t>Cuadro 1</w:t>
      </w:r>
      <w:r w:rsidRPr="000C2F85">
        <w:rPr>
          <w:b w:val="0"/>
          <w:bCs/>
          <w:lang w:val="es-ES_tradnl"/>
        </w:rPr>
        <w:br/>
      </w:r>
      <w:r w:rsidRPr="000C2F85">
        <w:rPr>
          <w:lang w:val="es-ES_tradnl"/>
        </w:rPr>
        <w:t>Perfil demográfico (julio de 2018)</w:t>
      </w:r>
      <w:r w:rsidRPr="00605B48">
        <w:rPr>
          <w:b w:val="0"/>
          <w:sz w:val="18"/>
          <w:szCs w:val="18"/>
          <w:vertAlign w:val="superscript"/>
          <w:lang w:val="es-ES_tradnl"/>
        </w:rPr>
        <w:footnoteReference w:id="4"/>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762"/>
        <w:gridCol w:w="3608"/>
      </w:tblGrid>
      <w:tr w:rsidR="000C2F85" w:rsidRPr="004D4086" w14:paraId="5A97D745" w14:textId="77777777" w:rsidTr="004D4086">
        <w:trPr>
          <w:trHeight w:val="240"/>
          <w:tblHeader/>
        </w:trPr>
        <w:tc>
          <w:tcPr>
            <w:tcW w:w="3762" w:type="dxa"/>
            <w:tcBorders>
              <w:top w:val="single" w:sz="4" w:space="0" w:color="auto"/>
              <w:bottom w:val="single" w:sz="12" w:space="0" w:color="auto"/>
            </w:tcBorders>
            <w:shd w:val="clear" w:color="auto" w:fill="auto"/>
            <w:vAlign w:val="bottom"/>
          </w:tcPr>
          <w:p w14:paraId="75DE297F" w14:textId="77777777" w:rsidR="000C2F85" w:rsidRPr="004D4086" w:rsidRDefault="000C2F85" w:rsidP="004D4086">
            <w:pPr>
              <w:pStyle w:val="SingleTxtG"/>
              <w:tabs>
                <w:tab w:val="clear" w:pos="1701"/>
                <w:tab w:val="clear" w:pos="2268"/>
                <w:tab w:val="clear" w:pos="2835"/>
              </w:tabs>
              <w:spacing w:before="80" w:after="80" w:line="200" w:lineRule="exact"/>
              <w:ind w:left="0" w:right="0"/>
              <w:jc w:val="left"/>
              <w:rPr>
                <w:i/>
                <w:sz w:val="16"/>
                <w:lang w:val="es-ES_tradnl"/>
              </w:rPr>
            </w:pPr>
            <w:r w:rsidRPr="004D4086">
              <w:rPr>
                <w:i/>
                <w:iCs/>
                <w:sz w:val="16"/>
                <w:lang w:val="es-ES_tradnl"/>
              </w:rPr>
              <w:t>Población</w:t>
            </w:r>
          </w:p>
        </w:tc>
        <w:tc>
          <w:tcPr>
            <w:tcW w:w="3608" w:type="dxa"/>
            <w:tcBorders>
              <w:top w:val="single" w:sz="4" w:space="0" w:color="auto"/>
              <w:bottom w:val="single" w:sz="12" w:space="0" w:color="auto"/>
            </w:tcBorders>
            <w:shd w:val="clear" w:color="auto" w:fill="auto"/>
            <w:vAlign w:val="bottom"/>
          </w:tcPr>
          <w:p w14:paraId="66EAD91B" w14:textId="77777777" w:rsidR="000C2F85" w:rsidRPr="004D4086" w:rsidRDefault="000C2F85" w:rsidP="004D4086">
            <w:pPr>
              <w:pStyle w:val="SingleTxtG"/>
              <w:tabs>
                <w:tab w:val="clear" w:pos="1701"/>
                <w:tab w:val="clear" w:pos="2268"/>
                <w:tab w:val="clear" w:pos="2835"/>
              </w:tabs>
              <w:spacing w:before="80" w:after="80" w:line="200" w:lineRule="exact"/>
              <w:ind w:left="57" w:right="28"/>
              <w:jc w:val="right"/>
              <w:rPr>
                <w:i/>
                <w:sz w:val="16"/>
                <w:lang w:val="es-ES_tradnl"/>
              </w:rPr>
            </w:pPr>
          </w:p>
        </w:tc>
      </w:tr>
      <w:tr w:rsidR="000C2F85" w:rsidRPr="004D4086" w14:paraId="2FA73E4D" w14:textId="77777777" w:rsidTr="004D4086">
        <w:trPr>
          <w:trHeight w:val="240"/>
        </w:trPr>
        <w:tc>
          <w:tcPr>
            <w:tcW w:w="3762" w:type="dxa"/>
            <w:shd w:val="clear" w:color="auto" w:fill="auto"/>
          </w:tcPr>
          <w:p w14:paraId="0E2A5294" w14:textId="77777777" w:rsidR="000C2F85" w:rsidRPr="004D4086" w:rsidRDefault="000C2F85" w:rsidP="004D4086">
            <w:pPr>
              <w:pStyle w:val="SingleTxtG"/>
              <w:tabs>
                <w:tab w:val="clear" w:pos="1701"/>
                <w:tab w:val="clear" w:pos="2268"/>
                <w:tab w:val="clear" w:pos="2835"/>
              </w:tabs>
              <w:spacing w:before="40" w:after="40" w:line="220" w:lineRule="exact"/>
              <w:ind w:left="0" w:right="0"/>
              <w:jc w:val="left"/>
              <w:rPr>
                <w:sz w:val="18"/>
                <w:lang w:val="es-ES_tradnl"/>
              </w:rPr>
            </w:pPr>
            <w:r w:rsidRPr="004D4086">
              <w:rPr>
                <w:sz w:val="18"/>
                <w:lang w:val="es-ES_tradnl"/>
              </w:rPr>
              <w:t>Porcentaje de mujeres en la población</w:t>
            </w:r>
          </w:p>
        </w:tc>
        <w:tc>
          <w:tcPr>
            <w:tcW w:w="3608" w:type="dxa"/>
            <w:shd w:val="clear" w:color="auto" w:fill="auto"/>
            <w:vAlign w:val="bottom"/>
          </w:tcPr>
          <w:p w14:paraId="08AEA972" w14:textId="77777777" w:rsidR="000C2F85" w:rsidRPr="004D4086" w:rsidRDefault="000C2F85" w:rsidP="004D4086">
            <w:pPr>
              <w:pStyle w:val="SingleTxtG"/>
              <w:tabs>
                <w:tab w:val="clear" w:pos="1701"/>
                <w:tab w:val="clear" w:pos="2268"/>
                <w:tab w:val="clear" w:pos="2835"/>
              </w:tabs>
              <w:spacing w:before="40" w:after="40" w:line="220" w:lineRule="exact"/>
              <w:ind w:left="57" w:right="28"/>
              <w:jc w:val="right"/>
              <w:rPr>
                <w:sz w:val="18"/>
                <w:lang w:val="es-ES_tradnl"/>
              </w:rPr>
            </w:pPr>
            <w:r w:rsidRPr="004D4086">
              <w:rPr>
                <w:sz w:val="18"/>
                <w:lang w:val="es-ES_tradnl"/>
              </w:rPr>
              <w:t>51,4 %</w:t>
            </w:r>
          </w:p>
        </w:tc>
      </w:tr>
      <w:tr w:rsidR="000C2F85" w:rsidRPr="004D4086" w14:paraId="357FDD76" w14:textId="77777777" w:rsidTr="004D4086">
        <w:trPr>
          <w:trHeight w:val="240"/>
        </w:trPr>
        <w:tc>
          <w:tcPr>
            <w:tcW w:w="3762" w:type="dxa"/>
            <w:shd w:val="clear" w:color="auto" w:fill="auto"/>
          </w:tcPr>
          <w:p w14:paraId="3E0DD92E" w14:textId="77777777" w:rsidR="000C2F85" w:rsidRPr="004D4086" w:rsidRDefault="000C2F85" w:rsidP="004D4086">
            <w:pPr>
              <w:pStyle w:val="SingleTxtG"/>
              <w:tabs>
                <w:tab w:val="clear" w:pos="1701"/>
                <w:tab w:val="clear" w:pos="2268"/>
                <w:tab w:val="clear" w:pos="2835"/>
              </w:tabs>
              <w:spacing w:before="40" w:after="40" w:line="220" w:lineRule="exact"/>
              <w:ind w:left="0" w:right="0"/>
              <w:jc w:val="left"/>
              <w:rPr>
                <w:sz w:val="18"/>
                <w:lang w:val="es-ES_tradnl"/>
              </w:rPr>
            </w:pPr>
            <w:r w:rsidRPr="004D4086">
              <w:rPr>
                <w:sz w:val="18"/>
                <w:lang w:val="es-ES_tradnl"/>
              </w:rPr>
              <w:t>Porcentaje de hombres en la población</w:t>
            </w:r>
          </w:p>
        </w:tc>
        <w:tc>
          <w:tcPr>
            <w:tcW w:w="3608" w:type="dxa"/>
            <w:shd w:val="clear" w:color="auto" w:fill="auto"/>
            <w:vAlign w:val="bottom"/>
          </w:tcPr>
          <w:p w14:paraId="34517EF2" w14:textId="77777777" w:rsidR="000C2F85" w:rsidRPr="004D4086" w:rsidRDefault="000C2F85" w:rsidP="004D4086">
            <w:pPr>
              <w:pStyle w:val="SingleTxtG"/>
              <w:tabs>
                <w:tab w:val="clear" w:pos="1701"/>
                <w:tab w:val="clear" w:pos="2268"/>
                <w:tab w:val="clear" w:pos="2835"/>
              </w:tabs>
              <w:spacing w:before="40" w:after="40" w:line="220" w:lineRule="exact"/>
              <w:ind w:left="57" w:right="28"/>
              <w:jc w:val="right"/>
              <w:rPr>
                <w:sz w:val="18"/>
                <w:lang w:val="es-ES_tradnl"/>
              </w:rPr>
            </w:pPr>
            <w:r w:rsidRPr="004D4086">
              <w:rPr>
                <w:sz w:val="18"/>
                <w:lang w:val="es-ES_tradnl"/>
              </w:rPr>
              <w:t>48,6 %</w:t>
            </w:r>
          </w:p>
        </w:tc>
      </w:tr>
      <w:tr w:rsidR="000C2F85" w:rsidRPr="004D4086" w14:paraId="7AA42556" w14:textId="77777777" w:rsidTr="004D4086">
        <w:trPr>
          <w:trHeight w:val="240"/>
        </w:trPr>
        <w:tc>
          <w:tcPr>
            <w:tcW w:w="3762" w:type="dxa"/>
            <w:shd w:val="clear" w:color="auto" w:fill="auto"/>
          </w:tcPr>
          <w:p w14:paraId="055FBFA7" w14:textId="77777777" w:rsidR="000C2F85" w:rsidRPr="004D4086" w:rsidRDefault="000C2F85" w:rsidP="004D4086">
            <w:pPr>
              <w:pStyle w:val="SingleTxtG"/>
              <w:tabs>
                <w:tab w:val="clear" w:pos="1701"/>
                <w:tab w:val="clear" w:pos="2268"/>
                <w:tab w:val="clear" w:pos="2835"/>
              </w:tabs>
              <w:spacing w:before="40" w:after="40" w:line="220" w:lineRule="exact"/>
              <w:ind w:left="0" w:right="0"/>
              <w:jc w:val="left"/>
              <w:rPr>
                <w:sz w:val="18"/>
                <w:lang w:val="es-ES_tradnl"/>
              </w:rPr>
            </w:pPr>
            <w:r w:rsidRPr="004D4086">
              <w:rPr>
                <w:sz w:val="18"/>
                <w:lang w:val="es-ES_tradnl"/>
              </w:rPr>
              <w:t>Población menor de 15 años</w:t>
            </w:r>
          </w:p>
        </w:tc>
        <w:tc>
          <w:tcPr>
            <w:tcW w:w="3608" w:type="dxa"/>
            <w:shd w:val="clear" w:color="auto" w:fill="auto"/>
            <w:vAlign w:val="bottom"/>
          </w:tcPr>
          <w:p w14:paraId="45481D98" w14:textId="77777777" w:rsidR="000C2F85" w:rsidRPr="004D4086" w:rsidRDefault="000C2F85" w:rsidP="004D4086">
            <w:pPr>
              <w:pStyle w:val="SingleTxtG"/>
              <w:tabs>
                <w:tab w:val="clear" w:pos="1701"/>
                <w:tab w:val="clear" w:pos="2268"/>
                <w:tab w:val="clear" w:pos="2835"/>
              </w:tabs>
              <w:spacing w:before="40" w:after="40" w:line="220" w:lineRule="exact"/>
              <w:ind w:left="57" w:right="28"/>
              <w:jc w:val="right"/>
              <w:rPr>
                <w:sz w:val="18"/>
                <w:lang w:val="es-ES_tradnl"/>
              </w:rPr>
            </w:pPr>
            <w:r w:rsidRPr="004D4086">
              <w:rPr>
                <w:sz w:val="18"/>
                <w:lang w:val="es-ES_tradnl"/>
              </w:rPr>
              <w:t>29,5 %</w:t>
            </w:r>
          </w:p>
        </w:tc>
      </w:tr>
      <w:tr w:rsidR="000C2F85" w:rsidRPr="004D4086" w14:paraId="0AD5E8FE" w14:textId="77777777" w:rsidTr="004D4086">
        <w:trPr>
          <w:trHeight w:val="240"/>
        </w:trPr>
        <w:tc>
          <w:tcPr>
            <w:tcW w:w="3762" w:type="dxa"/>
            <w:shd w:val="clear" w:color="auto" w:fill="auto"/>
          </w:tcPr>
          <w:p w14:paraId="06393B46" w14:textId="77777777" w:rsidR="000C2F85" w:rsidRPr="004D4086" w:rsidRDefault="000C2F85" w:rsidP="004D4086">
            <w:pPr>
              <w:pStyle w:val="SingleTxtG"/>
              <w:tabs>
                <w:tab w:val="clear" w:pos="1701"/>
                <w:tab w:val="clear" w:pos="2268"/>
                <w:tab w:val="clear" w:pos="2835"/>
              </w:tabs>
              <w:spacing w:before="40" w:after="40" w:line="220" w:lineRule="exact"/>
              <w:ind w:left="0" w:right="0"/>
              <w:jc w:val="left"/>
              <w:rPr>
                <w:sz w:val="18"/>
                <w:lang w:val="es-ES_tradnl"/>
              </w:rPr>
            </w:pPr>
            <w:r w:rsidRPr="004D4086">
              <w:rPr>
                <w:sz w:val="18"/>
                <w:lang w:val="es-ES_tradnl"/>
              </w:rPr>
              <w:t>Población mayor de 60 años</w:t>
            </w:r>
          </w:p>
        </w:tc>
        <w:tc>
          <w:tcPr>
            <w:tcW w:w="3608" w:type="dxa"/>
            <w:shd w:val="clear" w:color="auto" w:fill="auto"/>
            <w:vAlign w:val="bottom"/>
          </w:tcPr>
          <w:p w14:paraId="5CA3969D" w14:textId="77777777" w:rsidR="000C2F85" w:rsidRPr="004D4086" w:rsidRDefault="000C2F85" w:rsidP="004D4086">
            <w:pPr>
              <w:pStyle w:val="SingleTxtG"/>
              <w:tabs>
                <w:tab w:val="clear" w:pos="1701"/>
                <w:tab w:val="clear" w:pos="2268"/>
                <w:tab w:val="clear" w:pos="2835"/>
              </w:tabs>
              <w:spacing w:before="40" w:after="40" w:line="220" w:lineRule="exact"/>
              <w:ind w:left="57" w:right="28"/>
              <w:jc w:val="right"/>
              <w:rPr>
                <w:sz w:val="18"/>
                <w:lang w:val="es-ES_tradnl"/>
              </w:rPr>
            </w:pPr>
            <w:r w:rsidRPr="004D4086">
              <w:rPr>
                <w:sz w:val="18"/>
                <w:lang w:val="es-ES_tradnl"/>
              </w:rPr>
              <w:t>8,5 %</w:t>
            </w:r>
          </w:p>
        </w:tc>
      </w:tr>
      <w:tr w:rsidR="000C2F85" w:rsidRPr="004D4086" w14:paraId="1257E15A" w14:textId="77777777" w:rsidTr="004D4086">
        <w:trPr>
          <w:trHeight w:val="240"/>
        </w:trPr>
        <w:tc>
          <w:tcPr>
            <w:tcW w:w="3762" w:type="dxa"/>
            <w:shd w:val="clear" w:color="auto" w:fill="auto"/>
          </w:tcPr>
          <w:p w14:paraId="4B581796" w14:textId="77777777" w:rsidR="000C2F85" w:rsidRPr="004D4086" w:rsidRDefault="000C2F85" w:rsidP="004D4086">
            <w:pPr>
              <w:pStyle w:val="SingleTxtG"/>
              <w:tabs>
                <w:tab w:val="clear" w:pos="1701"/>
                <w:tab w:val="clear" w:pos="2268"/>
                <w:tab w:val="clear" w:pos="2835"/>
              </w:tabs>
              <w:spacing w:before="40" w:after="40" w:line="220" w:lineRule="exact"/>
              <w:ind w:left="0" w:right="0"/>
              <w:jc w:val="left"/>
              <w:rPr>
                <w:b/>
                <w:bCs/>
                <w:sz w:val="18"/>
                <w:lang w:val="es-ES_tradnl"/>
              </w:rPr>
            </w:pPr>
            <w:r w:rsidRPr="004D4086">
              <w:rPr>
                <w:b/>
                <w:bCs/>
                <w:iCs/>
                <w:sz w:val="18"/>
                <w:lang w:val="es-ES_tradnl"/>
              </w:rPr>
              <w:t>Esperanza de vida al nacer</w:t>
            </w:r>
          </w:p>
        </w:tc>
        <w:tc>
          <w:tcPr>
            <w:tcW w:w="3608" w:type="dxa"/>
            <w:shd w:val="clear" w:color="auto" w:fill="auto"/>
            <w:vAlign w:val="bottom"/>
          </w:tcPr>
          <w:p w14:paraId="0D8DC1FE" w14:textId="77777777" w:rsidR="000C2F85" w:rsidRPr="004D4086" w:rsidRDefault="000C2F85" w:rsidP="004D4086">
            <w:pPr>
              <w:pStyle w:val="SingleTxtG"/>
              <w:tabs>
                <w:tab w:val="clear" w:pos="1701"/>
                <w:tab w:val="clear" w:pos="2268"/>
                <w:tab w:val="clear" w:pos="2835"/>
              </w:tabs>
              <w:spacing w:before="40" w:after="40" w:line="220" w:lineRule="exact"/>
              <w:ind w:left="57" w:right="28"/>
              <w:jc w:val="right"/>
              <w:rPr>
                <w:b/>
                <w:bCs/>
                <w:sz w:val="18"/>
                <w:lang w:val="es-ES_tradnl"/>
              </w:rPr>
            </w:pPr>
          </w:p>
        </w:tc>
      </w:tr>
      <w:tr w:rsidR="000C2F85" w:rsidRPr="004D4086" w14:paraId="321D20F9" w14:textId="77777777" w:rsidTr="004D4086">
        <w:trPr>
          <w:trHeight w:val="240"/>
        </w:trPr>
        <w:tc>
          <w:tcPr>
            <w:tcW w:w="3762" w:type="dxa"/>
            <w:shd w:val="clear" w:color="auto" w:fill="auto"/>
          </w:tcPr>
          <w:p w14:paraId="506CF663" w14:textId="77777777" w:rsidR="000C2F85" w:rsidRPr="004D4086" w:rsidRDefault="000C2F85" w:rsidP="004D4086">
            <w:pPr>
              <w:pStyle w:val="SingleTxtG"/>
              <w:tabs>
                <w:tab w:val="clear" w:pos="1701"/>
                <w:tab w:val="clear" w:pos="2268"/>
                <w:tab w:val="clear" w:pos="2835"/>
              </w:tabs>
              <w:spacing w:before="40" w:after="40" w:line="220" w:lineRule="exact"/>
              <w:ind w:left="0" w:right="0"/>
              <w:jc w:val="left"/>
              <w:rPr>
                <w:sz w:val="18"/>
                <w:lang w:val="es-ES_tradnl"/>
              </w:rPr>
            </w:pPr>
            <w:r w:rsidRPr="004D4086">
              <w:rPr>
                <w:bCs/>
                <w:sz w:val="18"/>
                <w:lang w:val="es-ES_tradnl"/>
              </w:rPr>
              <w:t>Hombres</w:t>
            </w:r>
          </w:p>
        </w:tc>
        <w:tc>
          <w:tcPr>
            <w:tcW w:w="3608" w:type="dxa"/>
            <w:shd w:val="clear" w:color="auto" w:fill="auto"/>
            <w:vAlign w:val="bottom"/>
          </w:tcPr>
          <w:p w14:paraId="7F3512BF" w14:textId="77777777" w:rsidR="000C2F85" w:rsidRPr="004D4086" w:rsidRDefault="000C2F85" w:rsidP="004D4086">
            <w:pPr>
              <w:pStyle w:val="SingleTxtG"/>
              <w:tabs>
                <w:tab w:val="clear" w:pos="1701"/>
                <w:tab w:val="clear" w:pos="2268"/>
                <w:tab w:val="clear" w:pos="2835"/>
              </w:tabs>
              <w:spacing w:before="40" w:after="40" w:line="220" w:lineRule="exact"/>
              <w:ind w:left="57" w:right="28"/>
              <w:jc w:val="right"/>
              <w:rPr>
                <w:sz w:val="18"/>
                <w:lang w:val="es-ES_tradnl"/>
              </w:rPr>
            </w:pPr>
            <w:r w:rsidRPr="004D4086">
              <w:rPr>
                <w:sz w:val="18"/>
                <w:lang w:val="es-ES_tradnl"/>
              </w:rPr>
              <w:t>61,1 años</w:t>
            </w:r>
          </w:p>
        </w:tc>
      </w:tr>
      <w:tr w:rsidR="000C2F85" w:rsidRPr="004D4086" w14:paraId="7969FC3A" w14:textId="77777777" w:rsidTr="004D4086">
        <w:trPr>
          <w:trHeight w:val="240"/>
        </w:trPr>
        <w:tc>
          <w:tcPr>
            <w:tcW w:w="3762" w:type="dxa"/>
            <w:shd w:val="clear" w:color="auto" w:fill="auto"/>
          </w:tcPr>
          <w:p w14:paraId="2286C667" w14:textId="77777777" w:rsidR="000C2F85" w:rsidRPr="004D4086" w:rsidRDefault="000C2F85" w:rsidP="004D4086">
            <w:pPr>
              <w:pStyle w:val="SingleTxtG"/>
              <w:tabs>
                <w:tab w:val="clear" w:pos="1701"/>
                <w:tab w:val="clear" w:pos="2268"/>
                <w:tab w:val="clear" w:pos="2835"/>
              </w:tabs>
              <w:spacing w:before="40" w:after="40" w:line="220" w:lineRule="exact"/>
              <w:ind w:left="0" w:right="0"/>
              <w:jc w:val="left"/>
              <w:rPr>
                <w:sz w:val="18"/>
                <w:lang w:val="es-ES_tradnl"/>
              </w:rPr>
            </w:pPr>
            <w:r w:rsidRPr="004D4086">
              <w:rPr>
                <w:bCs/>
                <w:sz w:val="18"/>
                <w:lang w:val="es-ES_tradnl"/>
              </w:rPr>
              <w:t>Mujeres</w:t>
            </w:r>
          </w:p>
        </w:tc>
        <w:tc>
          <w:tcPr>
            <w:tcW w:w="3608" w:type="dxa"/>
            <w:shd w:val="clear" w:color="auto" w:fill="auto"/>
            <w:vAlign w:val="bottom"/>
          </w:tcPr>
          <w:p w14:paraId="27761E02" w14:textId="77777777" w:rsidR="000C2F85" w:rsidRPr="004D4086" w:rsidRDefault="000C2F85" w:rsidP="004D4086">
            <w:pPr>
              <w:pStyle w:val="SingleTxtG"/>
              <w:tabs>
                <w:tab w:val="clear" w:pos="1701"/>
                <w:tab w:val="clear" w:pos="2268"/>
                <w:tab w:val="clear" w:pos="2835"/>
              </w:tabs>
              <w:spacing w:before="40" w:after="40" w:line="220" w:lineRule="exact"/>
              <w:ind w:left="57" w:right="28"/>
              <w:jc w:val="right"/>
              <w:rPr>
                <w:sz w:val="18"/>
                <w:lang w:val="es-ES_tradnl"/>
              </w:rPr>
            </w:pPr>
            <w:r w:rsidRPr="004D4086">
              <w:rPr>
                <w:sz w:val="18"/>
                <w:lang w:val="es-ES_tradnl"/>
              </w:rPr>
              <w:t>67,3 años</w:t>
            </w:r>
          </w:p>
        </w:tc>
      </w:tr>
      <w:tr w:rsidR="000C2F85" w:rsidRPr="004D4086" w14:paraId="6797764D" w14:textId="77777777" w:rsidTr="004D4086">
        <w:trPr>
          <w:trHeight w:val="240"/>
        </w:trPr>
        <w:tc>
          <w:tcPr>
            <w:tcW w:w="3762" w:type="dxa"/>
            <w:shd w:val="clear" w:color="auto" w:fill="auto"/>
          </w:tcPr>
          <w:p w14:paraId="71FE448A" w14:textId="77777777" w:rsidR="000C2F85" w:rsidRPr="004D4086" w:rsidRDefault="000C2F85" w:rsidP="004D4086">
            <w:pPr>
              <w:pStyle w:val="SingleTxtG"/>
              <w:tabs>
                <w:tab w:val="clear" w:pos="1701"/>
                <w:tab w:val="clear" w:pos="2268"/>
                <w:tab w:val="clear" w:pos="2835"/>
              </w:tabs>
              <w:spacing w:before="40" w:after="40" w:line="220" w:lineRule="exact"/>
              <w:ind w:left="0" w:right="0"/>
              <w:jc w:val="left"/>
              <w:rPr>
                <w:sz w:val="18"/>
                <w:lang w:val="es-ES_tradnl"/>
              </w:rPr>
            </w:pPr>
            <w:r w:rsidRPr="004D4086">
              <w:rPr>
                <w:sz w:val="18"/>
                <w:lang w:val="es-ES_tradnl"/>
              </w:rPr>
              <w:t>Tasa bruta de natalidad</w:t>
            </w:r>
          </w:p>
        </w:tc>
        <w:tc>
          <w:tcPr>
            <w:tcW w:w="3608" w:type="dxa"/>
            <w:shd w:val="clear" w:color="auto" w:fill="auto"/>
            <w:vAlign w:val="bottom"/>
          </w:tcPr>
          <w:p w14:paraId="42984B8F" w14:textId="77777777" w:rsidR="000C2F85" w:rsidRPr="004D4086" w:rsidRDefault="000C2F85" w:rsidP="004D4086">
            <w:pPr>
              <w:pStyle w:val="SingleTxtG"/>
              <w:tabs>
                <w:tab w:val="clear" w:pos="1701"/>
                <w:tab w:val="clear" w:pos="2268"/>
                <w:tab w:val="clear" w:pos="2835"/>
              </w:tabs>
              <w:spacing w:before="40" w:after="40" w:line="220" w:lineRule="exact"/>
              <w:ind w:left="57" w:right="28"/>
              <w:jc w:val="right"/>
              <w:rPr>
                <w:sz w:val="18"/>
                <w:lang w:val="es-ES_tradnl"/>
              </w:rPr>
            </w:pPr>
            <w:r w:rsidRPr="004D4086">
              <w:rPr>
                <w:sz w:val="18"/>
                <w:lang w:val="es-ES_tradnl"/>
              </w:rPr>
              <w:t>21,6</w:t>
            </w:r>
          </w:p>
        </w:tc>
      </w:tr>
      <w:tr w:rsidR="000C2F85" w:rsidRPr="004D4086" w14:paraId="7859C0EF" w14:textId="77777777" w:rsidTr="004D4086">
        <w:trPr>
          <w:trHeight w:val="240"/>
        </w:trPr>
        <w:tc>
          <w:tcPr>
            <w:tcW w:w="3762" w:type="dxa"/>
            <w:shd w:val="clear" w:color="auto" w:fill="auto"/>
          </w:tcPr>
          <w:p w14:paraId="38A26182" w14:textId="77777777" w:rsidR="000C2F85" w:rsidRPr="004D4086" w:rsidRDefault="000C2F85" w:rsidP="004D4086">
            <w:pPr>
              <w:pStyle w:val="SingleTxtG"/>
              <w:tabs>
                <w:tab w:val="clear" w:pos="1701"/>
                <w:tab w:val="clear" w:pos="2268"/>
                <w:tab w:val="clear" w:pos="2835"/>
              </w:tabs>
              <w:spacing w:before="40" w:after="40" w:line="220" w:lineRule="exact"/>
              <w:ind w:left="0" w:right="0"/>
              <w:jc w:val="left"/>
              <w:rPr>
                <w:sz w:val="18"/>
                <w:lang w:val="es-ES_tradnl"/>
              </w:rPr>
            </w:pPr>
            <w:r w:rsidRPr="004D4086">
              <w:rPr>
                <w:sz w:val="18"/>
                <w:lang w:val="es-ES_tradnl"/>
              </w:rPr>
              <w:t>Tasa de fecundidad (2016-2021)</w:t>
            </w:r>
          </w:p>
        </w:tc>
        <w:tc>
          <w:tcPr>
            <w:tcW w:w="3608" w:type="dxa"/>
            <w:shd w:val="clear" w:color="auto" w:fill="auto"/>
            <w:vAlign w:val="bottom"/>
          </w:tcPr>
          <w:p w14:paraId="48838388" w14:textId="77777777" w:rsidR="000C2F85" w:rsidRPr="004D4086" w:rsidRDefault="000C2F85" w:rsidP="004D4086">
            <w:pPr>
              <w:pStyle w:val="SingleTxtG"/>
              <w:tabs>
                <w:tab w:val="clear" w:pos="1701"/>
                <w:tab w:val="clear" w:pos="2268"/>
                <w:tab w:val="clear" w:pos="2835"/>
              </w:tabs>
              <w:spacing w:before="40" w:after="40" w:line="220" w:lineRule="exact"/>
              <w:ind w:left="57" w:right="28"/>
              <w:jc w:val="right"/>
              <w:rPr>
                <w:sz w:val="18"/>
                <w:lang w:val="es-ES_tradnl"/>
              </w:rPr>
            </w:pPr>
            <w:r w:rsidRPr="004D4086">
              <w:rPr>
                <w:sz w:val="18"/>
                <w:lang w:val="es-ES_tradnl"/>
              </w:rPr>
              <w:t>2,54</w:t>
            </w:r>
          </w:p>
        </w:tc>
      </w:tr>
      <w:tr w:rsidR="000C2F85" w:rsidRPr="004D4086" w14:paraId="20430FDD" w14:textId="77777777" w:rsidTr="004D4086">
        <w:trPr>
          <w:trHeight w:val="240"/>
        </w:trPr>
        <w:tc>
          <w:tcPr>
            <w:tcW w:w="3762" w:type="dxa"/>
            <w:shd w:val="clear" w:color="auto" w:fill="auto"/>
          </w:tcPr>
          <w:p w14:paraId="264B8A6F" w14:textId="77777777" w:rsidR="000C2F85" w:rsidRPr="004D4086" w:rsidRDefault="000C2F85" w:rsidP="004D4086">
            <w:pPr>
              <w:pStyle w:val="SingleTxtG"/>
              <w:tabs>
                <w:tab w:val="clear" w:pos="1701"/>
                <w:tab w:val="clear" w:pos="2268"/>
                <w:tab w:val="clear" w:pos="2835"/>
              </w:tabs>
              <w:spacing w:before="40" w:after="40" w:line="220" w:lineRule="exact"/>
              <w:ind w:left="0" w:right="0"/>
              <w:jc w:val="left"/>
              <w:rPr>
                <w:sz w:val="18"/>
                <w:lang w:val="es-ES_tradnl"/>
              </w:rPr>
            </w:pPr>
            <w:r w:rsidRPr="004D4086">
              <w:rPr>
                <w:sz w:val="18"/>
                <w:lang w:val="es-ES_tradnl"/>
              </w:rPr>
              <w:t>Crecimiento de la población (2017-2018)</w:t>
            </w:r>
          </w:p>
        </w:tc>
        <w:tc>
          <w:tcPr>
            <w:tcW w:w="3608" w:type="dxa"/>
            <w:shd w:val="clear" w:color="auto" w:fill="auto"/>
            <w:vAlign w:val="bottom"/>
          </w:tcPr>
          <w:p w14:paraId="3B0A96AC" w14:textId="77777777" w:rsidR="000C2F85" w:rsidRPr="004D4086" w:rsidRDefault="000C2F85" w:rsidP="004D4086">
            <w:pPr>
              <w:pStyle w:val="SingleTxtG"/>
              <w:tabs>
                <w:tab w:val="clear" w:pos="1701"/>
                <w:tab w:val="clear" w:pos="2268"/>
                <w:tab w:val="clear" w:pos="2835"/>
              </w:tabs>
              <w:spacing w:before="40" w:after="40" w:line="220" w:lineRule="exact"/>
              <w:ind w:left="57" w:right="28"/>
              <w:jc w:val="right"/>
              <w:rPr>
                <w:sz w:val="18"/>
                <w:lang w:val="es-ES_tradnl"/>
              </w:rPr>
            </w:pPr>
            <w:r w:rsidRPr="004D4086">
              <w:rPr>
                <w:sz w:val="18"/>
                <w:lang w:val="es-ES_tradnl"/>
              </w:rPr>
              <w:t>1,55 %</w:t>
            </w:r>
          </w:p>
        </w:tc>
      </w:tr>
      <w:tr w:rsidR="000C2F85" w:rsidRPr="004D4086" w14:paraId="4D0E3416" w14:textId="77777777" w:rsidTr="004D4086">
        <w:trPr>
          <w:trHeight w:val="240"/>
        </w:trPr>
        <w:tc>
          <w:tcPr>
            <w:tcW w:w="3762" w:type="dxa"/>
            <w:shd w:val="clear" w:color="auto" w:fill="auto"/>
          </w:tcPr>
          <w:p w14:paraId="47C460C9" w14:textId="77777777" w:rsidR="000C2F85" w:rsidRPr="004D4086" w:rsidRDefault="000C2F85" w:rsidP="004D4086">
            <w:pPr>
              <w:pStyle w:val="SingleTxtG"/>
              <w:tabs>
                <w:tab w:val="clear" w:pos="1701"/>
                <w:tab w:val="clear" w:pos="2268"/>
                <w:tab w:val="clear" w:pos="2835"/>
              </w:tabs>
              <w:spacing w:before="40" w:after="40" w:line="220" w:lineRule="exact"/>
              <w:ind w:left="0" w:right="0"/>
              <w:jc w:val="left"/>
              <w:rPr>
                <w:b/>
                <w:bCs/>
                <w:sz w:val="18"/>
                <w:lang w:val="es-ES_tradnl"/>
              </w:rPr>
            </w:pPr>
            <w:r w:rsidRPr="004D4086">
              <w:rPr>
                <w:b/>
                <w:bCs/>
                <w:sz w:val="18"/>
                <w:lang w:val="es-ES_tradnl"/>
              </w:rPr>
              <w:t>Religión</w:t>
            </w:r>
          </w:p>
        </w:tc>
        <w:tc>
          <w:tcPr>
            <w:tcW w:w="3608" w:type="dxa"/>
            <w:shd w:val="clear" w:color="auto" w:fill="auto"/>
            <w:vAlign w:val="bottom"/>
          </w:tcPr>
          <w:p w14:paraId="53C1CE25" w14:textId="77777777" w:rsidR="000C2F85" w:rsidRPr="004D4086" w:rsidRDefault="000C2F85" w:rsidP="004D4086">
            <w:pPr>
              <w:pStyle w:val="SingleTxtG"/>
              <w:tabs>
                <w:tab w:val="clear" w:pos="1701"/>
                <w:tab w:val="clear" w:pos="2268"/>
                <w:tab w:val="clear" w:pos="2835"/>
              </w:tabs>
              <w:spacing w:before="40" w:after="40" w:line="220" w:lineRule="exact"/>
              <w:ind w:left="57" w:right="28"/>
              <w:jc w:val="right"/>
              <w:rPr>
                <w:b/>
                <w:bCs/>
                <w:sz w:val="18"/>
                <w:lang w:val="es-ES_tradnl"/>
              </w:rPr>
            </w:pPr>
          </w:p>
        </w:tc>
      </w:tr>
      <w:tr w:rsidR="000C2F85" w:rsidRPr="004D4086" w14:paraId="757E908A" w14:textId="77777777" w:rsidTr="004D4086">
        <w:trPr>
          <w:trHeight w:val="240"/>
        </w:trPr>
        <w:tc>
          <w:tcPr>
            <w:tcW w:w="3762" w:type="dxa"/>
            <w:shd w:val="clear" w:color="auto" w:fill="auto"/>
          </w:tcPr>
          <w:p w14:paraId="34F1173F" w14:textId="77777777" w:rsidR="000C2F85" w:rsidRPr="004D4086" w:rsidRDefault="000C2F85" w:rsidP="004D4086">
            <w:pPr>
              <w:pStyle w:val="SingleTxtG"/>
              <w:tabs>
                <w:tab w:val="clear" w:pos="1701"/>
                <w:tab w:val="clear" w:pos="2268"/>
                <w:tab w:val="clear" w:pos="2835"/>
              </w:tabs>
              <w:spacing w:before="40" w:after="40" w:line="220" w:lineRule="exact"/>
              <w:ind w:left="0" w:right="0"/>
              <w:jc w:val="left"/>
              <w:rPr>
                <w:sz w:val="18"/>
                <w:lang w:val="es-ES_tradnl"/>
              </w:rPr>
            </w:pPr>
            <w:r w:rsidRPr="004D4086">
              <w:rPr>
                <w:sz w:val="18"/>
                <w:lang w:val="es-ES_tradnl"/>
              </w:rPr>
              <w:t xml:space="preserve">Cristianismo </w:t>
            </w:r>
          </w:p>
        </w:tc>
        <w:tc>
          <w:tcPr>
            <w:tcW w:w="3608" w:type="dxa"/>
            <w:shd w:val="clear" w:color="auto" w:fill="auto"/>
            <w:vAlign w:val="bottom"/>
          </w:tcPr>
          <w:p w14:paraId="20158AE7" w14:textId="77777777" w:rsidR="000C2F85" w:rsidRPr="004D4086" w:rsidRDefault="000C2F85" w:rsidP="004D4086">
            <w:pPr>
              <w:pStyle w:val="SingleTxtG"/>
              <w:tabs>
                <w:tab w:val="clear" w:pos="1701"/>
                <w:tab w:val="clear" w:pos="2268"/>
                <w:tab w:val="clear" w:pos="2835"/>
              </w:tabs>
              <w:spacing w:before="40" w:after="40" w:line="220" w:lineRule="exact"/>
              <w:ind w:left="57" w:right="28"/>
              <w:jc w:val="right"/>
              <w:rPr>
                <w:sz w:val="18"/>
                <w:lang w:val="es-ES_tradnl"/>
              </w:rPr>
            </w:pPr>
            <w:r w:rsidRPr="004D4086">
              <w:rPr>
                <w:sz w:val="18"/>
                <w:lang w:val="es-ES_tradnl"/>
              </w:rPr>
              <w:t>86 %</w:t>
            </w:r>
          </w:p>
        </w:tc>
      </w:tr>
      <w:tr w:rsidR="000C2F85" w:rsidRPr="004D4086" w14:paraId="47042352" w14:textId="77777777" w:rsidTr="004D4086">
        <w:trPr>
          <w:trHeight w:val="240"/>
        </w:trPr>
        <w:tc>
          <w:tcPr>
            <w:tcW w:w="3762" w:type="dxa"/>
            <w:shd w:val="clear" w:color="auto" w:fill="auto"/>
          </w:tcPr>
          <w:p w14:paraId="137BE90F" w14:textId="77777777" w:rsidR="000C2F85" w:rsidRPr="004D4086" w:rsidRDefault="000C2F85" w:rsidP="004D4086">
            <w:pPr>
              <w:pStyle w:val="SingleTxtG"/>
              <w:tabs>
                <w:tab w:val="clear" w:pos="1701"/>
                <w:tab w:val="clear" w:pos="2268"/>
                <w:tab w:val="clear" w:pos="2835"/>
              </w:tabs>
              <w:spacing w:before="40" w:after="40" w:line="220" w:lineRule="exact"/>
              <w:ind w:left="0" w:right="0"/>
              <w:jc w:val="left"/>
              <w:rPr>
                <w:sz w:val="18"/>
                <w:lang w:val="es-ES_tradnl"/>
              </w:rPr>
            </w:pPr>
            <w:r w:rsidRPr="004D4086">
              <w:rPr>
                <w:sz w:val="18"/>
                <w:lang w:val="es-ES_tradnl"/>
              </w:rPr>
              <w:t xml:space="preserve">Sin religión </w:t>
            </w:r>
          </w:p>
        </w:tc>
        <w:tc>
          <w:tcPr>
            <w:tcW w:w="3608" w:type="dxa"/>
            <w:shd w:val="clear" w:color="auto" w:fill="auto"/>
            <w:vAlign w:val="bottom"/>
          </w:tcPr>
          <w:p w14:paraId="13A89FB8" w14:textId="77777777" w:rsidR="000C2F85" w:rsidRPr="004D4086" w:rsidRDefault="000C2F85" w:rsidP="004D4086">
            <w:pPr>
              <w:pStyle w:val="SingleTxtG"/>
              <w:tabs>
                <w:tab w:val="clear" w:pos="1701"/>
                <w:tab w:val="clear" w:pos="2268"/>
                <w:tab w:val="clear" w:pos="2835"/>
              </w:tabs>
              <w:spacing w:before="40" w:after="40" w:line="220" w:lineRule="exact"/>
              <w:ind w:left="57" w:right="28"/>
              <w:jc w:val="right"/>
              <w:rPr>
                <w:sz w:val="18"/>
                <w:lang w:val="es-ES_tradnl"/>
              </w:rPr>
            </w:pPr>
            <w:r w:rsidRPr="004D4086">
              <w:rPr>
                <w:sz w:val="18"/>
                <w:lang w:val="es-ES_tradnl"/>
              </w:rPr>
              <w:t>5,2 %</w:t>
            </w:r>
          </w:p>
        </w:tc>
      </w:tr>
      <w:tr w:rsidR="000C2F85" w:rsidRPr="004D4086" w14:paraId="5F90308F" w14:textId="77777777" w:rsidTr="004D4086">
        <w:trPr>
          <w:trHeight w:val="240"/>
        </w:trPr>
        <w:tc>
          <w:tcPr>
            <w:tcW w:w="3762" w:type="dxa"/>
            <w:shd w:val="clear" w:color="auto" w:fill="auto"/>
          </w:tcPr>
          <w:p w14:paraId="04CBD397" w14:textId="77777777" w:rsidR="000C2F85" w:rsidRPr="004D4086" w:rsidRDefault="000C2F85" w:rsidP="004D4086">
            <w:pPr>
              <w:pStyle w:val="SingleTxtG"/>
              <w:tabs>
                <w:tab w:val="clear" w:pos="1701"/>
                <w:tab w:val="clear" w:pos="2268"/>
                <w:tab w:val="clear" w:pos="2835"/>
              </w:tabs>
              <w:spacing w:before="40" w:after="40" w:line="220" w:lineRule="exact"/>
              <w:ind w:left="0" w:right="0"/>
              <w:jc w:val="left"/>
              <w:rPr>
                <w:sz w:val="18"/>
                <w:lang w:val="es-ES_tradnl"/>
              </w:rPr>
            </w:pPr>
            <w:r w:rsidRPr="004D4086">
              <w:rPr>
                <w:sz w:val="18"/>
                <w:lang w:val="es-ES_tradnl"/>
              </w:rPr>
              <w:t xml:space="preserve">Islamismo </w:t>
            </w:r>
          </w:p>
        </w:tc>
        <w:tc>
          <w:tcPr>
            <w:tcW w:w="3608" w:type="dxa"/>
            <w:shd w:val="clear" w:color="auto" w:fill="auto"/>
            <w:vAlign w:val="bottom"/>
          </w:tcPr>
          <w:p w14:paraId="1A80F052" w14:textId="77777777" w:rsidR="000C2F85" w:rsidRPr="004D4086" w:rsidRDefault="000C2F85" w:rsidP="004D4086">
            <w:pPr>
              <w:pStyle w:val="SingleTxtG"/>
              <w:tabs>
                <w:tab w:val="clear" w:pos="1701"/>
                <w:tab w:val="clear" w:pos="2268"/>
                <w:tab w:val="clear" w:pos="2835"/>
              </w:tabs>
              <w:spacing w:before="40" w:after="40" w:line="220" w:lineRule="exact"/>
              <w:ind w:left="57" w:right="28"/>
              <w:jc w:val="right"/>
              <w:rPr>
                <w:sz w:val="18"/>
                <w:lang w:val="es-ES_tradnl"/>
              </w:rPr>
            </w:pPr>
            <w:r w:rsidRPr="004D4086">
              <w:rPr>
                <w:sz w:val="18"/>
                <w:lang w:val="es-ES_tradnl"/>
              </w:rPr>
              <w:t>1,9 %</w:t>
            </w:r>
          </w:p>
        </w:tc>
      </w:tr>
      <w:tr w:rsidR="000C2F85" w:rsidRPr="004D4086" w14:paraId="678506D9" w14:textId="77777777" w:rsidTr="004D4086">
        <w:trPr>
          <w:trHeight w:val="240"/>
        </w:trPr>
        <w:tc>
          <w:tcPr>
            <w:tcW w:w="3762" w:type="dxa"/>
            <w:shd w:val="clear" w:color="auto" w:fill="auto"/>
          </w:tcPr>
          <w:p w14:paraId="39A3D5AF" w14:textId="77777777" w:rsidR="000C2F85" w:rsidRPr="004D4086" w:rsidRDefault="000C2F85" w:rsidP="004D4086">
            <w:pPr>
              <w:pStyle w:val="SingleTxtG"/>
              <w:tabs>
                <w:tab w:val="clear" w:pos="1701"/>
                <w:tab w:val="clear" w:pos="2268"/>
                <w:tab w:val="clear" w:pos="2835"/>
              </w:tabs>
              <w:spacing w:before="40" w:after="40" w:line="220" w:lineRule="exact"/>
              <w:ind w:left="0" w:right="0"/>
              <w:jc w:val="left"/>
              <w:rPr>
                <w:sz w:val="18"/>
                <w:lang w:val="es-ES_tradnl"/>
              </w:rPr>
            </w:pPr>
            <w:r w:rsidRPr="004D4086">
              <w:rPr>
                <w:sz w:val="18"/>
                <w:lang w:val="es-ES_tradnl"/>
              </w:rPr>
              <w:t xml:space="preserve">Hinduismo </w:t>
            </w:r>
          </w:p>
        </w:tc>
        <w:tc>
          <w:tcPr>
            <w:tcW w:w="3608" w:type="dxa"/>
            <w:shd w:val="clear" w:color="auto" w:fill="auto"/>
            <w:vAlign w:val="bottom"/>
          </w:tcPr>
          <w:p w14:paraId="5D497E74" w14:textId="77777777" w:rsidR="000C2F85" w:rsidRPr="004D4086" w:rsidRDefault="000C2F85" w:rsidP="004D4086">
            <w:pPr>
              <w:pStyle w:val="SingleTxtG"/>
              <w:tabs>
                <w:tab w:val="clear" w:pos="1701"/>
                <w:tab w:val="clear" w:pos="2268"/>
                <w:tab w:val="clear" w:pos="2835"/>
              </w:tabs>
              <w:spacing w:before="40" w:after="40" w:line="220" w:lineRule="exact"/>
              <w:ind w:left="57" w:right="28"/>
              <w:jc w:val="right"/>
              <w:rPr>
                <w:sz w:val="18"/>
                <w:lang w:val="es-ES_tradnl"/>
              </w:rPr>
            </w:pPr>
            <w:r w:rsidRPr="004D4086">
              <w:rPr>
                <w:sz w:val="18"/>
                <w:lang w:val="es-ES_tradnl"/>
              </w:rPr>
              <w:t>0,9 %</w:t>
            </w:r>
          </w:p>
        </w:tc>
      </w:tr>
      <w:tr w:rsidR="000C2F85" w:rsidRPr="004D4086" w14:paraId="0193BAD6" w14:textId="77777777" w:rsidTr="004D4086">
        <w:trPr>
          <w:trHeight w:val="240"/>
        </w:trPr>
        <w:tc>
          <w:tcPr>
            <w:tcW w:w="3762" w:type="dxa"/>
            <w:shd w:val="clear" w:color="auto" w:fill="auto"/>
          </w:tcPr>
          <w:p w14:paraId="7564A372" w14:textId="77777777" w:rsidR="000C2F85" w:rsidRPr="004D4086" w:rsidRDefault="000C2F85" w:rsidP="004D4086">
            <w:pPr>
              <w:pStyle w:val="SingleTxtG"/>
              <w:tabs>
                <w:tab w:val="clear" w:pos="1701"/>
                <w:tab w:val="clear" w:pos="2268"/>
                <w:tab w:val="clear" w:pos="2835"/>
              </w:tabs>
              <w:spacing w:before="40" w:after="40" w:line="220" w:lineRule="exact"/>
              <w:ind w:left="0" w:right="0"/>
              <w:jc w:val="left"/>
              <w:rPr>
                <w:sz w:val="18"/>
                <w:lang w:val="es-ES_tradnl"/>
              </w:rPr>
            </w:pPr>
            <w:r w:rsidRPr="004D4086">
              <w:rPr>
                <w:sz w:val="18"/>
                <w:lang w:val="es-ES_tradnl"/>
              </w:rPr>
              <w:t xml:space="preserve">Otra fe </w:t>
            </w:r>
          </w:p>
        </w:tc>
        <w:tc>
          <w:tcPr>
            <w:tcW w:w="3608" w:type="dxa"/>
            <w:shd w:val="clear" w:color="auto" w:fill="auto"/>
            <w:vAlign w:val="bottom"/>
          </w:tcPr>
          <w:p w14:paraId="30DF4CD8" w14:textId="77777777" w:rsidR="000C2F85" w:rsidRPr="004D4086" w:rsidRDefault="000C2F85" w:rsidP="004D4086">
            <w:pPr>
              <w:pStyle w:val="SingleTxtG"/>
              <w:tabs>
                <w:tab w:val="clear" w:pos="1701"/>
                <w:tab w:val="clear" w:pos="2268"/>
                <w:tab w:val="clear" w:pos="2835"/>
              </w:tabs>
              <w:spacing w:before="40" w:after="40" w:line="220" w:lineRule="exact"/>
              <w:ind w:left="57" w:right="28"/>
              <w:jc w:val="right"/>
              <w:rPr>
                <w:sz w:val="18"/>
                <w:lang w:val="es-ES_tradnl"/>
              </w:rPr>
            </w:pPr>
            <w:r w:rsidRPr="004D4086">
              <w:rPr>
                <w:sz w:val="18"/>
                <w:lang w:val="es-ES_tradnl"/>
              </w:rPr>
              <w:t>0,6 %</w:t>
            </w:r>
          </w:p>
        </w:tc>
      </w:tr>
      <w:tr w:rsidR="000C2F85" w:rsidRPr="004D4086" w14:paraId="2BB09FB5" w14:textId="77777777" w:rsidTr="004D4086">
        <w:trPr>
          <w:trHeight w:val="240"/>
        </w:trPr>
        <w:tc>
          <w:tcPr>
            <w:tcW w:w="3762" w:type="dxa"/>
            <w:shd w:val="clear" w:color="auto" w:fill="auto"/>
          </w:tcPr>
          <w:p w14:paraId="1B735858" w14:textId="77777777" w:rsidR="000C2F85" w:rsidRPr="004D4086" w:rsidRDefault="000C2F85" w:rsidP="004D4086">
            <w:pPr>
              <w:pStyle w:val="SingleTxtG"/>
              <w:tabs>
                <w:tab w:val="clear" w:pos="1701"/>
                <w:tab w:val="clear" w:pos="2268"/>
                <w:tab w:val="clear" w:pos="2835"/>
              </w:tabs>
              <w:spacing w:before="40" w:after="40" w:line="220" w:lineRule="exact"/>
              <w:ind w:left="0" w:right="0"/>
              <w:jc w:val="left"/>
              <w:rPr>
                <w:sz w:val="18"/>
                <w:lang w:val="es-ES_tradnl"/>
              </w:rPr>
            </w:pPr>
            <w:r w:rsidRPr="004D4086">
              <w:rPr>
                <w:sz w:val="18"/>
                <w:lang w:val="es-ES_tradnl"/>
              </w:rPr>
              <w:t xml:space="preserve">Iglesias tradicionales africanas </w:t>
            </w:r>
          </w:p>
        </w:tc>
        <w:tc>
          <w:tcPr>
            <w:tcW w:w="3608" w:type="dxa"/>
            <w:shd w:val="clear" w:color="auto" w:fill="auto"/>
            <w:vAlign w:val="bottom"/>
          </w:tcPr>
          <w:p w14:paraId="3310EF14" w14:textId="77777777" w:rsidR="000C2F85" w:rsidRPr="004D4086" w:rsidRDefault="000C2F85" w:rsidP="004D4086">
            <w:pPr>
              <w:pStyle w:val="SingleTxtG"/>
              <w:tabs>
                <w:tab w:val="clear" w:pos="1701"/>
                <w:tab w:val="clear" w:pos="2268"/>
                <w:tab w:val="clear" w:pos="2835"/>
              </w:tabs>
              <w:spacing w:before="40" w:after="40" w:line="220" w:lineRule="exact"/>
              <w:ind w:left="57" w:right="28"/>
              <w:jc w:val="right"/>
              <w:rPr>
                <w:sz w:val="18"/>
                <w:lang w:val="es-ES_tradnl"/>
              </w:rPr>
            </w:pPr>
            <w:r w:rsidRPr="004D4086">
              <w:rPr>
                <w:sz w:val="18"/>
                <w:lang w:val="es-ES_tradnl"/>
              </w:rPr>
              <w:t>5,2 %</w:t>
            </w:r>
          </w:p>
        </w:tc>
      </w:tr>
      <w:tr w:rsidR="000C2F85" w:rsidRPr="004D4086" w14:paraId="7380D691" w14:textId="77777777" w:rsidTr="004D4086">
        <w:trPr>
          <w:trHeight w:val="240"/>
        </w:trPr>
        <w:tc>
          <w:tcPr>
            <w:tcW w:w="3762" w:type="dxa"/>
            <w:shd w:val="clear" w:color="auto" w:fill="auto"/>
          </w:tcPr>
          <w:p w14:paraId="31EB9EE3" w14:textId="77777777" w:rsidR="000C2F85" w:rsidRPr="004D4086" w:rsidRDefault="000C2F85" w:rsidP="004D4086">
            <w:pPr>
              <w:pStyle w:val="SingleTxtG"/>
              <w:tabs>
                <w:tab w:val="clear" w:pos="1701"/>
                <w:tab w:val="clear" w:pos="2268"/>
                <w:tab w:val="clear" w:pos="2835"/>
              </w:tabs>
              <w:spacing w:before="40" w:after="40" w:line="220" w:lineRule="exact"/>
              <w:ind w:left="0" w:right="0"/>
              <w:jc w:val="left"/>
              <w:rPr>
                <w:sz w:val="18"/>
                <w:lang w:val="es-ES_tradnl"/>
              </w:rPr>
            </w:pPr>
            <w:r w:rsidRPr="004D4086">
              <w:rPr>
                <w:sz w:val="18"/>
                <w:lang w:val="es-ES_tradnl"/>
              </w:rPr>
              <w:t xml:space="preserve">Judaísmo </w:t>
            </w:r>
          </w:p>
        </w:tc>
        <w:tc>
          <w:tcPr>
            <w:tcW w:w="3608" w:type="dxa"/>
            <w:shd w:val="clear" w:color="auto" w:fill="auto"/>
            <w:vAlign w:val="bottom"/>
          </w:tcPr>
          <w:p w14:paraId="373B282B" w14:textId="77777777" w:rsidR="000C2F85" w:rsidRPr="004D4086" w:rsidRDefault="000C2F85" w:rsidP="004D4086">
            <w:pPr>
              <w:pStyle w:val="SingleTxtG"/>
              <w:tabs>
                <w:tab w:val="clear" w:pos="1701"/>
                <w:tab w:val="clear" w:pos="2268"/>
                <w:tab w:val="clear" w:pos="2835"/>
              </w:tabs>
              <w:spacing w:before="40" w:after="40" w:line="220" w:lineRule="exact"/>
              <w:ind w:left="57" w:right="28"/>
              <w:jc w:val="right"/>
              <w:rPr>
                <w:sz w:val="18"/>
                <w:lang w:val="es-ES_tradnl"/>
              </w:rPr>
            </w:pPr>
            <w:r w:rsidRPr="004D4086">
              <w:rPr>
                <w:sz w:val="18"/>
                <w:lang w:val="es-ES_tradnl"/>
              </w:rPr>
              <w:t>0,2 %</w:t>
            </w:r>
          </w:p>
        </w:tc>
      </w:tr>
      <w:tr w:rsidR="000C2F85" w:rsidRPr="004D4086" w14:paraId="0F2F8202" w14:textId="77777777" w:rsidTr="004D4086">
        <w:trPr>
          <w:trHeight w:val="240"/>
        </w:trPr>
        <w:tc>
          <w:tcPr>
            <w:tcW w:w="3762" w:type="dxa"/>
            <w:tcBorders>
              <w:bottom w:val="single" w:sz="12" w:space="0" w:color="auto"/>
            </w:tcBorders>
            <w:shd w:val="clear" w:color="auto" w:fill="auto"/>
          </w:tcPr>
          <w:p w14:paraId="30B47236" w14:textId="77777777" w:rsidR="000C2F85" w:rsidRPr="004D4086" w:rsidRDefault="000C2F85" w:rsidP="004D4086">
            <w:pPr>
              <w:pStyle w:val="SingleTxtG"/>
              <w:tabs>
                <w:tab w:val="clear" w:pos="1701"/>
                <w:tab w:val="clear" w:pos="2268"/>
                <w:tab w:val="clear" w:pos="2835"/>
              </w:tabs>
              <w:spacing w:before="40" w:after="40" w:line="220" w:lineRule="exact"/>
              <w:ind w:left="0" w:right="0"/>
              <w:jc w:val="left"/>
              <w:rPr>
                <w:sz w:val="18"/>
                <w:lang w:val="es-ES_tradnl"/>
              </w:rPr>
            </w:pPr>
            <w:r w:rsidRPr="004D4086">
              <w:rPr>
                <w:sz w:val="18"/>
                <w:lang w:val="es-ES_tradnl"/>
              </w:rPr>
              <w:t>Idioma</w:t>
            </w:r>
          </w:p>
        </w:tc>
        <w:tc>
          <w:tcPr>
            <w:tcW w:w="3608" w:type="dxa"/>
            <w:tcBorders>
              <w:bottom w:val="single" w:sz="12" w:space="0" w:color="auto"/>
            </w:tcBorders>
            <w:shd w:val="clear" w:color="auto" w:fill="auto"/>
            <w:vAlign w:val="bottom"/>
          </w:tcPr>
          <w:p w14:paraId="158E4D13" w14:textId="77777777" w:rsidR="000C2F85" w:rsidRPr="004D4086" w:rsidRDefault="000C2F85" w:rsidP="004D4086">
            <w:pPr>
              <w:pStyle w:val="SingleTxtG"/>
              <w:tabs>
                <w:tab w:val="clear" w:pos="1701"/>
                <w:tab w:val="clear" w:pos="2268"/>
                <w:tab w:val="clear" w:pos="2835"/>
              </w:tabs>
              <w:spacing w:before="40" w:after="40" w:line="220" w:lineRule="exact"/>
              <w:ind w:left="57" w:right="28"/>
              <w:jc w:val="right"/>
              <w:rPr>
                <w:sz w:val="18"/>
                <w:lang w:val="es-ES_tradnl"/>
              </w:rPr>
            </w:pPr>
            <w:r w:rsidRPr="004D4086">
              <w:rPr>
                <w:sz w:val="18"/>
                <w:lang w:val="es-ES_tradnl"/>
              </w:rPr>
              <w:t xml:space="preserve">11 idiomas oficiales </w:t>
            </w:r>
          </w:p>
        </w:tc>
      </w:tr>
    </w:tbl>
    <w:p w14:paraId="5D9B45F4" w14:textId="0CFFE1FF" w:rsidR="000C2F85" w:rsidRPr="000C2F85" w:rsidRDefault="000C2F85" w:rsidP="004D4086">
      <w:pPr>
        <w:pStyle w:val="SingleTxtG"/>
        <w:keepNext/>
        <w:keepLines/>
        <w:spacing w:before="240"/>
        <w:rPr>
          <w:lang w:val="es-ES_tradnl"/>
        </w:rPr>
      </w:pPr>
      <w:r w:rsidRPr="000C2F85">
        <w:rPr>
          <w:lang w:val="es-ES_tradnl"/>
        </w:rPr>
        <w:lastRenderedPageBreak/>
        <w:t>3.</w:t>
      </w:r>
      <w:r w:rsidRPr="000C2F85">
        <w:rPr>
          <w:lang w:val="es-ES_tradnl"/>
        </w:rPr>
        <w:tab/>
        <w:t>Sudáfrica ha adoptado un proceso de autoidentificación o autoclasificación en el análisis de su demografía racial. El empleo de la composición demográfica racial y de </w:t>
      </w:r>
      <w:r w:rsidR="001B2368">
        <w:rPr>
          <w:lang w:val="es-ES_tradnl"/>
        </w:rPr>
        <w:t>“</w:t>
      </w:r>
      <w:r w:rsidRPr="000C2F85">
        <w:rPr>
          <w:lang w:val="es-ES_tradnl"/>
        </w:rPr>
        <w:t>grupos designados</w:t>
      </w:r>
      <w:r w:rsidR="0091550D">
        <w:rPr>
          <w:lang w:val="es-ES_tradnl"/>
        </w:rPr>
        <w:t>”</w:t>
      </w:r>
      <w:r w:rsidRPr="000C2F85">
        <w:rPr>
          <w:lang w:val="es-ES_tradnl"/>
        </w:rPr>
        <w:t>, como se utiliza, por ejemplo, en la Ley de Igualdad en el Empleo, de 1998</w:t>
      </w:r>
      <w:r w:rsidRPr="00605B48">
        <w:rPr>
          <w:sz w:val="18"/>
          <w:szCs w:val="18"/>
          <w:vertAlign w:val="superscript"/>
          <w:lang w:val="es-ES_tradnl"/>
        </w:rPr>
        <w:footnoteReference w:id="5"/>
      </w:r>
      <w:r w:rsidRPr="000C2F85">
        <w:rPr>
          <w:lang w:val="es-ES_tradnl"/>
        </w:rPr>
        <w:t>, es necesario para evaluar la equidad y la reparación. Las estimaciones de la población de Sudáfrica a mitad de año por grupo de población y sexo en 2018 se consignan en el cuadro que figura a continuación.</w:t>
      </w:r>
    </w:p>
    <w:p w14:paraId="28D7855F" w14:textId="671F115E" w:rsidR="000C2F85" w:rsidRPr="001B2368" w:rsidRDefault="000C2F85" w:rsidP="00C3764D">
      <w:pPr>
        <w:pStyle w:val="H23G"/>
        <w:ind w:right="707"/>
        <w:rPr>
          <w:b w:val="0"/>
          <w:bCs/>
          <w:lang w:val="es-ES_tradnl"/>
        </w:rPr>
      </w:pPr>
      <w:r w:rsidRPr="000C2F85">
        <w:rPr>
          <w:b w:val="0"/>
          <w:bCs/>
          <w:lang w:val="es-ES_tradnl"/>
        </w:rPr>
        <w:tab/>
      </w:r>
      <w:r w:rsidRPr="000C2F85">
        <w:rPr>
          <w:b w:val="0"/>
          <w:bCs/>
          <w:lang w:val="es-ES_tradnl"/>
        </w:rPr>
        <w:tab/>
        <w:t>Cuadro 2</w:t>
      </w:r>
      <w:r w:rsidRPr="000C2F85">
        <w:rPr>
          <w:b w:val="0"/>
          <w:bCs/>
          <w:lang w:val="es-ES_tradnl"/>
        </w:rPr>
        <w:br/>
      </w:r>
      <w:r w:rsidRPr="000C2F85">
        <w:rPr>
          <w:lang w:val="es-ES_tradnl"/>
        </w:rPr>
        <w:t>Estimaciones de la población a mitad de año de Sudáfrica, por grupo de población y</w:t>
      </w:r>
      <w:r w:rsidR="00C3764D">
        <w:rPr>
          <w:lang w:val="es-ES_tradnl"/>
        </w:rPr>
        <w:t xml:space="preserve"> </w:t>
      </w:r>
      <w:r w:rsidRPr="000C2F85">
        <w:rPr>
          <w:lang w:val="es-ES_tradnl"/>
        </w:rPr>
        <w:t>sexo (julio de 2018)</w:t>
      </w:r>
      <w:r w:rsidRPr="00605B48">
        <w:rPr>
          <w:b w:val="0"/>
          <w:sz w:val="18"/>
          <w:szCs w:val="18"/>
          <w:vertAlign w:val="superscript"/>
          <w:lang w:val="es-ES_tradnl"/>
        </w:rPr>
        <w:footnoteReference w:id="6"/>
      </w:r>
    </w:p>
    <w:tbl>
      <w:tblPr>
        <w:tblStyle w:val="Tablaconcuadrcula"/>
        <w:tblW w:w="8505"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35"/>
        <w:gridCol w:w="1145"/>
        <w:gridCol w:w="1145"/>
        <w:gridCol w:w="1146"/>
        <w:gridCol w:w="1145"/>
        <w:gridCol w:w="1198"/>
        <w:gridCol w:w="1091"/>
      </w:tblGrid>
      <w:tr w:rsidR="000C2F85" w:rsidRPr="000C2F85" w14:paraId="5722836A" w14:textId="77777777" w:rsidTr="000C2F85">
        <w:trPr>
          <w:trHeight w:val="240"/>
          <w:tblHeader/>
        </w:trPr>
        <w:tc>
          <w:tcPr>
            <w:tcW w:w="1418" w:type="dxa"/>
            <w:vMerge w:val="restart"/>
            <w:tcBorders>
              <w:top w:val="single" w:sz="4" w:space="0" w:color="auto"/>
            </w:tcBorders>
            <w:shd w:val="clear" w:color="auto" w:fill="auto"/>
            <w:vAlign w:val="bottom"/>
          </w:tcPr>
          <w:p w14:paraId="6F245E48" w14:textId="7E90783E" w:rsidR="000C2F85" w:rsidRPr="000C2F85" w:rsidRDefault="000C2F85" w:rsidP="000C2F85">
            <w:pPr>
              <w:pStyle w:val="SingleTxtG"/>
              <w:spacing w:before="80" w:after="80" w:line="200" w:lineRule="exact"/>
              <w:ind w:left="0" w:right="0"/>
              <w:jc w:val="left"/>
              <w:rPr>
                <w:i/>
                <w:sz w:val="16"/>
                <w:lang w:val="es-ES_tradnl"/>
              </w:rPr>
            </w:pPr>
            <w:r w:rsidRPr="000C2F85">
              <w:rPr>
                <w:i/>
                <w:sz w:val="16"/>
                <w:lang w:val="es-ES_tradnl"/>
              </w:rPr>
              <w:t>Grupo de población</w:t>
            </w:r>
          </w:p>
        </w:tc>
        <w:tc>
          <w:tcPr>
            <w:tcW w:w="1984" w:type="dxa"/>
            <w:gridSpan w:val="2"/>
            <w:tcBorders>
              <w:top w:val="single" w:sz="4" w:space="0" w:color="auto"/>
              <w:bottom w:val="single" w:sz="4" w:space="0" w:color="auto"/>
              <w:right w:val="single" w:sz="24" w:space="0" w:color="FFFFFF" w:themeColor="background1"/>
            </w:tcBorders>
            <w:shd w:val="clear" w:color="auto" w:fill="auto"/>
            <w:vAlign w:val="bottom"/>
          </w:tcPr>
          <w:p w14:paraId="6141E904" w14:textId="77777777" w:rsidR="000C2F85" w:rsidRPr="000C2F85" w:rsidRDefault="000C2F85" w:rsidP="000C2F85">
            <w:pPr>
              <w:pStyle w:val="SingleTxtG"/>
              <w:tabs>
                <w:tab w:val="clear" w:pos="1701"/>
                <w:tab w:val="clear" w:pos="2268"/>
                <w:tab w:val="clear" w:pos="2835"/>
              </w:tabs>
              <w:spacing w:before="80" w:after="80" w:line="200" w:lineRule="exact"/>
              <w:ind w:left="0" w:right="0"/>
              <w:jc w:val="center"/>
              <w:rPr>
                <w:i/>
                <w:sz w:val="16"/>
                <w:lang w:val="es-ES_tradnl"/>
              </w:rPr>
            </w:pPr>
            <w:r w:rsidRPr="000C2F85">
              <w:rPr>
                <w:i/>
                <w:iCs/>
                <w:sz w:val="16"/>
                <w:lang w:val="es-ES_tradnl"/>
              </w:rPr>
              <w:t>Hombres</w:t>
            </w:r>
          </w:p>
        </w:tc>
        <w:tc>
          <w:tcPr>
            <w:tcW w:w="198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89517D8" w14:textId="77777777" w:rsidR="000C2F85" w:rsidRPr="000C2F85" w:rsidRDefault="000C2F85" w:rsidP="000C2F85">
            <w:pPr>
              <w:pStyle w:val="SingleTxtG"/>
              <w:tabs>
                <w:tab w:val="clear" w:pos="1701"/>
                <w:tab w:val="clear" w:pos="2268"/>
                <w:tab w:val="clear" w:pos="2835"/>
              </w:tabs>
              <w:spacing w:before="80" w:after="80" w:line="200" w:lineRule="exact"/>
              <w:ind w:left="0" w:right="0"/>
              <w:jc w:val="center"/>
              <w:rPr>
                <w:i/>
                <w:sz w:val="16"/>
                <w:lang w:val="es-ES_tradnl"/>
              </w:rPr>
            </w:pPr>
            <w:r w:rsidRPr="000C2F85">
              <w:rPr>
                <w:i/>
                <w:iCs/>
                <w:sz w:val="16"/>
                <w:lang w:val="es-ES_tradnl"/>
              </w:rPr>
              <w:t>Mujeres</w:t>
            </w:r>
          </w:p>
        </w:tc>
        <w:tc>
          <w:tcPr>
            <w:tcW w:w="1983" w:type="dxa"/>
            <w:gridSpan w:val="2"/>
            <w:tcBorders>
              <w:top w:val="single" w:sz="4" w:space="0" w:color="auto"/>
              <w:left w:val="single" w:sz="24" w:space="0" w:color="FFFFFF" w:themeColor="background1"/>
              <w:bottom w:val="single" w:sz="4" w:space="0" w:color="auto"/>
            </w:tcBorders>
            <w:shd w:val="clear" w:color="auto" w:fill="auto"/>
            <w:vAlign w:val="bottom"/>
          </w:tcPr>
          <w:p w14:paraId="4AC087B2" w14:textId="77777777" w:rsidR="000C2F85" w:rsidRPr="000C2F85" w:rsidRDefault="000C2F85" w:rsidP="000C2F85">
            <w:pPr>
              <w:pStyle w:val="SingleTxtG"/>
              <w:tabs>
                <w:tab w:val="clear" w:pos="1701"/>
                <w:tab w:val="clear" w:pos="2268"/>
                <w:tab w:val="clear" w:pos="2835"/>
              </w:tabs>
              <w:spacing w:before="80" w:after="80" w:line="200" w:lineRule="exact"/>
              <w:ind w:left="0" w:right="0"/>
              <w:jc w:val="center"/>
              <w:rPr>
                <w:i/>
                <w:sz w:val="16"/>
                <w:lang w:val="es-ES_tradnl"/>
              </w:rPr>
            </w:pPr>
            <w:r w:rsidRPr="000C2F85">
              <w:rPr>
                <w:i/>
                <w:iCs/>
                <w:sz w:val="16"/>
                <w:lang w:val="es-ES_tradnl"/>
              </w:rPr>
              <w:t>Total</w:t>
            </w:r>
          </w:p>
        </w:tc>
      </w:tr>
      <w:tr w:rsidR="000C2F85" w:rsidRPr="000C2F85" w14:paraId="362D5C90" w14:textId="77777777" w:rsidTr="000C2F85">
        <w:trPr>
          <w:trHeight w:val="240"/>
        </w:trPr>
        <w:tc>
          <w:tcPr>
            <w:tcW w:w="1418" w:type="dxa"/>
            <w:vMerge/>
            <w:tcBorders>
              <w:bottom w:val="single" w:sz="12" w:space="0" w:color="auto"/>
            </w:tcBorders>
            <w:shd w:val="clear" w:color="auto" w:fill="auto"/>
          </w:tcPr>
          <w:p w14:paraId="62186BD9" w14:textId="5EBFC90A" w:rsidR="000C2F85" w:rsidRPr="000C2F85" w:rsidRDefault="000C2F85" w:rsidP="000C2F85">
            <w:pPr>
              <w:pStyle w:val="SingleTxtG"/>
              <w:tabs>
                <w:tab w:val="clear" w:pos="1701"/>
                <w:tab w:val="clear" w:pos="2268"/>
                <w:tab w:val="clear" w:pos="2835"/>
              </w:tabs>
              <w:spacing w:before="80" w:after="80" w:line="200" w:lineRule="exact"/>
              <w:ind w:left="0" w:right="0"/>
              <w:jc w:val="left"/>
              <w:rPr>
                <w:sz w:val="18"/>
                <w:lang w:val="es-ES_tradnl"/>
              </w:rPr>
            </w:pPr>
          </w:p>
        </w:tc>
        <w:tc>
          <w:tcPr>
            <w:tcW w:w="992" w:type="dxa"/>
            <w:tcBorders>
              <w:top w:val="single" w:sz="4" w:space="0" w:color="auto"/>
              <w:bottom w:val="single" w:sz="12" w:space="0" w:color="auto"/>
            </w:tcBorders>
            <w:shd w:val="clear" w:color="auto" w:fill="auto"/>
            <w:vAlign w:val="bottom"/>
          </w:tcPr>
          <w:p w14:paraId="5DEE44B6" w14:textId="77777777" w:rsidR="000C2F85" w:rsidRPr="000C2F85" w:rsidRDefault="000C2F85" w:rsidP="000C2F85">
            <w:pPr>
              <w:pStyle w:val="SingleTxtG"/>
              <w:tabs>
                <w:tab w:val="clear" w:pos="1701"/>
                <w:tab w:val="clear" w:pos="2268"/>
                <w:tab w:val="clear" w:pos="2835"/>
              </w:tabs>
              <w:spacing w:before="80" w:after="80" w:line="200" w:lineRule="exact"/>
              <w:ind w:left="113" w:right="28"/>
              <w:jc w:val="right"/>
              <w:rPr>
                <w:i/>
                <w:iCs/>
                <w:sz w:val="16"/>
                <w:lang w:val="es-ES_tradnl"/>
              </w:rPr>
            </w:pPr>
            <w:r w:rsidRPr="000C2F85">
              <w:rPr>
                <w:i/>
                <w:iCs/>
                <w:sz w:val="16"/>
                <w:lang w:val="es-ES_tradnl"/>
              </w:rPr>
              <w:t>Número</w:t>
            </w:r>
          </w:p>
        </w:tc>
        <w:tc>
          <w:tcPr>
            <w:tcW w:w="992" w:type="dxa"/>
            <w:tcBorders>
              <w:top w:val="single" w:sz="4" w:space="0" w:color="auto"/>
              <w:bottom w:val="single" w:sz="12" w:space="0" w:color="auto"/>
              <w:right w:val="single" w:sz="24" w:space="0" w:color="FFFFFF" w:themeColor="background1"/>
            </w:tcBorders>
            <w:shd w:val="clear" w:color="auto" w:fill="auto"/>
            <w:vAlign w:val="bottom"/>
          </w:tcPr>
          <w:p w14:paraId="18CEF501" w14:textId="77777777" w:rsidR="000C2F85" w:rsidRPr="000C2F85" w:rsidRDefault="000C2F85" w:rsidP="000C2F85">
            <w:pPr>
              <w:pStyle w:val="SingleTxtG"/>
              <w:tabs>
                <w:tab w:val="clear" w:pos="1701"/>
                <w:tab w:val="clear" w:pos="2268"/>
                <w:tab w:val="clear" w:pos="2835"/>
              </w:tabs>
              <w:spacing w:before="80" w:after="80" w:line="200" w:lineRule="exact"/>
              <w:ind w:left="113" w:right="28"/>
              <w:jc w:val="right"/>
              <w:rPr>
                <w:i/>
                <w:iCs/>
                <w:sz w:val="16"/>
                <w:lang w:val="es-ES_tradnl"/>
              </w:rPr>
            </w:pPr>
            <w:r w:rsidRPr="000C2F85">
              <w:rPr>
                <w:i/>
                <w:iCs/>
                <w:sz w:val="16"/>
                <w:lang w:val="es-ES_tradnl"/>
              </w:rPr>
              <w:t>Porcentaje del total de hombres</w:t>
            </w:r>
          </w:p>
        </w:tc>
        <w:tc>
          <w:tcPr>
            <w:tcW w:w="993" w:type="dxa"/>
            <w:tcBorders>
              <w:top w:val="single" w:sz="4" w:space="0" w:color="auto"/>
              <w:left w:val="single" w:sz="24" w:space="0" w:color="FFFFFF" w:themeColor="background1"/>
              <w:bottom w:val="single" w:sz="12" w:space="0" w:color="auto"/>
            </w:tcBorders>
            <w:shd w:val="clear" w:color="auto" w:fill="auto"/>
            <w:vAlign w:val="bottom"/>
          </w:tcPr>
          <w:p w14:paraId="5699D6A4" w14:textId="77777777" w:rsidR="000C2F85" w:rsidRPr="000C2F85" w:rsidRDefault="000C2F85" w:rsidP="000C2F85">
            <w:pPr>
              <w:pStyle w:val="SingleTxtG"/>
              <w:tabs>
                <w:tab w:val="clear" w:pos="1701"/>
                <w:tab w:val="clear" w:pos="2268"/>
                <w:tab w:val="clear" w:pos="2835"/>
              </w:tabs>
              <w:spacing w:before="80" w:after="80" w:line="200" w:lineRule="exact"/>
              <w:ind w:left="113" w:right="28"/>
              <w:jc w:val="right"/>
              <w:rPr>
                <w:i/>
                <w:iCs/>
                <w:sz w:val="16"/>
                <w:lang w:val="es-ES_tradnl"/>
              </w:rPr>
            </w:pPr>
            <w:r w:rsidRPr="000C2F85">
              <w:rPr>
                <w:i/>
                <w:iCs/>
                <w:sz w:val="16"/>
                <w:lang w:val="es-ES_tradnl"/>
              </w:rPr>
              <w:t>Número</w:t>
            </w:r>
          </w:p>
        </w:tc>
        <w:tc>
          <w:tcPr>
            <w:tcW w:w="992" w:type="dxa"/>
            <w:tcBorders>
              <w:top w:val="single" w:sz="4" w:space="0" w:color="auto"/>
              <w:bottom w:val="single" w:sz="12" w:space="0" w:color="auto"/>
              <w:right w:val="single" w:sz="24" w:space="0" w:color="FFFFFF" w:themeColor="background1"/>
            </w:tcBorders>
            <w:shd w:val="clear" w:color="auto" w:fill="auto"/>
            <w:vAlign w:val="bottom"/>
          </w:tcPr>
          <w:p w14:paraId="66CC4304" w14:textId="77777777" w:rsidR="000C2F85" w:rsidRPr="000C2F85" w:rsidRDefault="000C2F85" w:rsidP="000C2F85">
            <w:pPr>
              <w:pStyle w:val="SingleTxtG"/>
              <w:tabs>
                <w:tab w:val="clear" w:pos="1701"/>
                <w:tab w:val="clear" w:pos="2268"/>
                <w:tab w:val="clear" w:pos="2835"/>
              </w:tabs>
              <w:spacing w:before="80" w:after="80" w:line="200" w:lineRule="exact"/>
              <w:ind w:left="113" w:right="28"/>
              <w:jc w:val="right"/>
              <w:rPr>
                <w:i/>
                <w:iCs/>
                <w:sz w:val="16"/>
                <w:lang w:val="es-ES_tradnl"/>
              </w:rPr>
            </w:pPr>
            <w:r w:rsidRPr="000C2F85">
              <w:rPr>
                <w:i/>
                <w:iCs/>
                <w:sz w:val="16"/>
                <w:lang w:val="es-ES_tradnl"/>
              </w:rPr>
              <w:t>Porcentaje del total de mujeres</w:t>
            </w:r>
          </w:p>
        </w:tc>
        <w:tc>
          <w:tcPr>
            <w:tcW w:w="1038" w:type="dxa"/>
            <w:tcBorders>
              <w:top w:val="single" w:sz="4" w:space="0" w:color="auto"/>
              <w:left w:val="single" w:sz="24" w:space="0" w:color="FFFFFF" w:themeColor="background1"/>
              <w:bottom w:val="single" w:sz="12" w:space="0" w:color="auto"/>
            </w:tcBorders>
            <w:shd w:val="clear" w:color="auto" w:fill="auto"/>
            <w:vAlign w:val="bottom"/>
          </w:tcPr>
          <w:p w14:paraId="4533F0CE" w14:textId="77777777" w:rsidR="000C2F85" w:rsidRPr="000C2F85" w:rsidRDefault="000C2F85" w:rsidP="000C2F85">
            <w:pPr>
              <w:pStyle w:val="SingleTxtG"/>
              <w:tabs>
                <w:tab w:val="clear" w:pos="1701"/>
                <w:tab w:val="clear" w:pos="2268"/>
                <w:tab w:val="clear" w:pos="2835"/>
              </w:tabs>
              <w:spacing w:before="80" w:after="80" w:line="200" w:lineRule="exact"/>
              <w:ind w:left="113" w:right="28"/>
              <w:jc w:val="right"/>
              <w:rPr>
                <w:i/>
                <w:iCs/>
                <w:sz w:val="16"/>
                <w:lang w:val="es-ES_tradnl"/>
              </w:rPr>
            </w:pPr>
            <w:r w:rsidRPr="000C2F85">
              <w:rPr>
                <w:i/>
                <w:iCs/>
                <w:sz w:val="16"/>
                <w:lang w:val="es-ES_tradnl"/>
              </w:rPr>
              <w:t>Número</w:t>
            </w:r>
          </w:p>
        </w:tc>
        <w:tc>
          <w:tcPr>
            <w:tcW w:w="945" w:type="dxa"/>
            <w:tcBorders>
              <w:top w:val="single" w:sz="4" w:space="0" w:color="auto"/>
              <w:bottom w:val="single" w:sz="12" w:space="0" w:color="auto"/>
            </w:tcBorders>
            <w:shd w:val="clear" w:color="auto" w:fill="auto"/>
            <w:vAlign w:val="bottom"/>
          </w:tcPr>
          <w:p w14:paraId="74A9EE71" w14:textId="77777777" w:rsidR="000C2F85" w:rsidRPr="000C2F85" w:rsidRDefault="000C2F85" w:rsidP="000C2F85">
            <w:pPr>
              <w:pStyle w:val="SingleTxtG"/>
              <w:tabs>
                <w:tab w:val="clear" w:pos="1701"/>
                <w:tab w:val="clear" w:pos="2268"/>
                <w:tab w:val="clear" w:pos="2835"/>
              </w:tabs>
              <w:spacing w:before="80" w:after="80" w:line="200" w:lineRule="exact"/>
              <w:ind w:left="113" w:right="28"/>
              <w:jc w:val="right"/>
              <w:rPr>
                <w:i/>
                <w:iCs/>
                <w:sz w:val="16"/>
                <w:lang w:val="es-ES_tradnl"/>
              </w:rPr>
            </w:pPr>
            <w:r w:rsidRPr="000C2F85">
              <w:rPr>
                <w:i/>
                <w:iCs/>
                <w:sz w:val="16"/>
                <w:lang w:val="es-ES_tradnl"/>
              </w:rPr>
              <w:t>Porcentaje del total de habitantes</w:t>
            </w:r>
          </w:p>
        </w:tc>
      </w:tr>
      <w:tr w:rsidR="000C2F85" w:rsidRPr="000C2F85" w14:paraId="25094EFA" w14:textId="77777777" w:rsidTr="000C2F85">
        <w:trPr>
          <w:trHeight w:val="240"/>
        </w:trPr>
        <w:tc>
          <w:tcPr>
            <w:tcW w:w="1418" w:type="dxa"/>
            <w:tcBorders>
              <w:top w:val="single" w:sz="12" w:space="0" w:color="auto"/>
            </w:tcBorders>
            <w:shd w:val="clear" w:color="auto" w:fill="auto"/>
          </w:tcPr>
          <w:p w14:paraId="0544CF5E" w14:textId="77777777" w:rsidR="000C2F85" w:rsidRPr="000C2F85" w:rsidRDefault="000C2F85" w:rsidP="000C2F85">
            <w:pPr>
              <w:pStyle w:val="SingleTxtG"/>
              <w:tabs>
                <w:tab w:val="clear" w:pos="1701"/>
                <w:tab w:val="clear" w:pos="2268"/>
                <w:tab w:val="clear" w:pos="2835"/>
              </w:tabs>
              <w:spacing w:before="40" w:after="40" w:line="220" w:lineRule="exact"/>
              <w:ind w:left="0" w:right="0"/>
              <w:jc w:val="left"/>
              <w:rPr>
                <w:sz w:val="18"/>
                <w:lang w:val="es-ES_tradnl"/>
              </w:rPr>
            </w:pPr>
            <w:r w:rsidRPr="000C2F85">
              <w:rPr>
                <w:sz w:val="18"/>
                <w:lang w:val="es-ES_tradnl"/>
              </w:rPr>
              <w:t>Africanos negros</w:t>
            </w:r>
          </w:p>
        </w:tc>
        <w:tc>
          <w:tcPr>
            <w:tcW w:w="992" w:type="dxa"/>
            <w:tcBorders>
              <w:top w:val="single" w:sz="12" w:space="0" w:color="auto"/>
            </w:tcBorders>
            <w:shd w:val="clear" w:color="auto" w:fill="auto"/>
            <w:vAlign w:val="bottom"/>
          </w:tcPr>
          <w:p w14:paraId="3BD3EE77" w14:textId="77777777" w:rsidR="000C2F85" w:rsidRPr="000C2F85" w:rsidRDefault="000C2F85" w:rsidP="000C2F85">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22 786 200</w:t>
            </w:r>
          </w:p>
        </w:tc>
        <w:tc>
          <w:tcPr>
            <w:tcW w:w="992" w:type="dxa"/>
            <w:tcBorders>
              <w:top w:val="single" w:sz="12" w:space="0" w:color="auto"/>
            </w:tcBorders>
            <w:shd w:val="clear" w:color="auto" w:fill="auto"/>
            <w:vAlign w:val="bottom"/>
          </w:tcPr>
          <w:p w14:paraId="4C70103D" w14:textId="77777777" w:rsidR="000C2F85" w:rsidRPr="000C2F85" w:rsidRDefault="000C2F85" w:rsidP="000C2F85">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80,9</w:t>
            </w:r>
          </w:p>
        </w:tc>
        <w:tc>
          <w:tcPr>
            <w:tcW w:w="993" w:type="dxa"/>
            <w:tcBorders>
              <w:top w:val="single" w:sz="12" w:space="0" w:color="auto"/>
            </w:tcBorders>
            <w:shd w:val="clear" w:color="auto" w:fill="auto"/>
            <w:vAlign w:val="bottom"/>
          </w:tcPr>
          <w:p w14:paraId="022BD92B" w14:textId="77777777" w:rsidR="000C2F85" w:rsidRPr="000C2F85" w:rsidRDefault="000C2F85" w:rsidP="000C2F85">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23 896 700</w:t>
            </w:r>
          </w:p>
        </w:tc>
        <w:tc>
          <w:tcPr>
            <w:tcW w:w="992" w:type="dxa"/>
            <w:tcBorders>
              <w:top w:val="single" w:sz="12" w:space="0" w:color="auto"/>
            </w:tcBorders>
            <w:shd w:val="clear" w:color="auto" w:fill="auto"/>
            <w:vAlign w:val="bottom"/>
          </w:tcPr>
          <w:p w14:paraId="6736F466" w14:textId="77777777" w:rsidR="000C2F85" w:rsidRPr="000C2F85" w:rsidRDefault="000C2F85" w:rsidP="000C2F85">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80,9</w:t>
            </w:r>
          </w:p>
        </w:tc>
        <w:tc>
          <w:tcPr>
            <w:tcW w:w="1038" w:type="dxa"/>
            <w:tcBorders>
              <w:top w:val="single" w:sz="12" w:space="0" w:color="auto"/>
            </w:tcBorders>
            <w:shd w:val="clear" w:color="auto" w:fill="auto"/>
            <w:vAlign w:val="bottom"/>
          </w:tcPr>
          <w:p w14:paraId="424AEC96" w14:textId="77777777" w:rsidR="000C2F85" w:rsidRPr="000C2F85" w:rsidRDefault="000C2F85" w:rsidP="000C2F85">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46 682 900</w:t>
            </w:r>
          </w:p>
        </w:tc>
        <w:tc>
          <w:tcPr>
            <w:tcW w:w="945" w:type="dxa"/>
            <w:tcBorders>
              <w:top w:val="single" w:sz="12" w:space="0" w:color="auto"/>
            </w:tcBorders>
            <w:shd w:val="clear" w:color="auto" w:fill="auto"/>
            <w:vAlign w:val="bottom"/>
          </w:tcPr>
          <w:p w14:paraId="4F6306D1" w14:textId="77777777" w:rsidR="000C2F85" w:rsidRPr="000C2F85" w:rsidRDefault="000C2F85" w:rsidP="000C2F85">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80,9</w:t>
            </w:r>
          </w:p>
        </w:tc>
      </w:tr>
      <w:tr w:rsidR="000C2F85" w:rsidRPr="000C2F85" w14:paraId="21F2A453" w14:textId="77777777" w:rsidTr="000C2F85">
        <w:trPr>
          <w:trHeight w:val="240"/>
        </w:trPr>
        <w:tc>
          <w:tcPr>
            <w:tcW w:w="1418" w:type="dxa"/>
            <w:shd w:val="clear" w:color="auto" w:fill="auto"/>
          </w:tcPr>
          <w:p w14:paraId="7127987F" w14:textId="77777777" w:rsidR="000C2F85" w:rsidRPr="000C2F85" w:rsidRDefault="000C2F85" w:rsidP="000C2F85">
            <w:pPr>
              <w:pStyle w:val="SingleTxtG"/>
              <w:tabs>
                <w:tab w:val="clear" w:pos="1701"/>
                <w:tab w:val="clear" w:pos="2268"/>
                <w:tab w:val="clear" w:pos="2835"/>
              </w:tabs>
              <w:spacing w:before="40" w:after="40" w:line="220" w:lineRule="exact"/>
              <w:ind w:left="0" w:right="0"/>
              <w:jc w:val="left"/>
              <w:rPr>
                <w:sz w:val="18"/>
                <w:lang w:val="es-ES_tradnl"/>
              </w:rPr>
            </w:pPr>
            <w:r w:rsidRPr="000C2F85">
              <w:rPr>
                <w:sz w:val="18"/>
                <w:lang w:val="es-ES_tradnl"/>
              </w:rPr>
              <w:t>Mestizos</w:t>
            </w:r>
          </w:p>
        </w:tc>
        <w:tc>
          <w:tcPr>
            <w:tcW w:w="992" w:type="dxa"/>
            <w:shd w:val="clear" w:color="auto" w:fill="auto"/>
            <w:vAlign w:val="bottom"/>
          </w:tcPr>
          <w:p w14:paraId="17122B83" w14:textId="77777777" w:rsidR="000C2F85" w:rsidRPr="000C2F85" w:rsidRDefault="000C2F85" w:rsidP="000C2F85">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2 459 500</w:t>
            </w:r>
          </w:p>
        </w:tc>
        <w:tc>
          <w:tcPr>
            <w:tcW w:w="992" w:type="dxa"/>
            <w:shd w:val="clear" w:color="auto" w:fill="auto"/>
            <w:vAlign w:val="bottom"/>
          </w:tcPr>
          <w:p w14:paraId="2F1BFF4E" w14:textId="77777777" w:rsidR="000C2F85" w:rsidRPr="000C2F85" w:rsidRDefault="000C2F85" w:rsidP="000C2F85">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8,7</w:t>
            </w:r>
          </w:p>
        </w:tc>
        <w:tc>
          <w:tcPr>
            <w:tcW w:w="993" w:type="dxa"/>
            <w:shd w:val="clear" w:color="auto" w:fill="auto"/>
            <w:vAlign w:val="bottom"/>
          </w:tcPr>
          <w:p w14:paraId="601E2E72" w14:textId="77777777" w:rsidR="000C2F85" w:rsidRPr="000C2F85" w:rsidRDefault="000C2F85" w:rsidP="000C2F85">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2 614 800</w:t>
            </w:r>
          </w:p>
        </w:tc>
        <w:tc>
          <w:tcPr>
            <w:tcW w:w="992" w:type="dxa"/>
            <w:shd w:val="clear" w:color="auto" w:fill="auto"/>
            <w:vAlign w:val="bottom"/>
          </w:tcPr>
          <w:p w14:paraId="00E8C6D3" w14:textId="77777777" w:rsidR="000C2F85" w:rsidRPr="000C2F85" w:rsidRDefault="000C2F85" w:rsidP="000C2F85">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8,9</w:t>
            </w:r>
          </w:p>
        </w:tc>
        <w:tc>
          <w:tcPr>
            <w:tcW w:w="1038" w:type="dxa"/>
            <w:shd w:val="clear" w:color="auto" w:fill="auto"/>
            <w:vAlign w:val="bottom"/>
          </w:tcPr>
          <w:p w14:paraId="7D204658" w14:textId="77777777" w:rsidR="000C2F85" w:rsidRPr="000C2F85" w:rsidRDefault="000C2F85" w:rsidP="000C2F85">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5 074 300</w:t>
            </w:r>
          </w:p>
        </w:tc>
        <w:tc>
          <w:tcPr>
            <w:tcW w:w="945" w:type="dxa"/>
            <w:shd w:val="clear" w:color="auto" w:fill="auto"/>
            <w:vAlign w:val="bottom"/>
          </w:tcPr>
          <w:p w14:paraId="5A3798ED" w14:textId="77777777" w:rsidR="000C2F85" w:rsidRPr="000C2F85" w:rsidRDefault="000C2F85" w:rsidP="000C2F85">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8,8</w:t>
            </w:r>
          </w:p>
        </w:tc>
      </w:tr>
      <w:tr w:rsidR="000C2F85" w:rsidRPr="000C2F85" w14:paraId="34A02C74" w14:textId="77777777" w:rsidTr="000C2F85">
        <w:trPr>
          <w:trHeight w:val="240"/>
        </w:trPr>
        <w:tc>
          <w:tcPr>
            <w:tcW w:w="1418" w:type="dxa"/>
            <w:shd w:val="clear" w:color="auto" w:fill="auto"/>
          </w:tcPr>
          <w:p w14:paraId="7496D107" w14:textId="77777777" w:rsidR="000C2F85" w:rsidRPr="000C2F85" w:rsidRDefault="000C2F85" w:rsidP="000C2F85">
            <w:pPr>
              <w:pStyle w:val="SingleTxtG"/>
              <w:tabs>
                <w:tab w:val="clear" w:pos="1701"/>
                <w:tab w:val="clear" w:pos="2268"/>
                <w:tab w:val="clear" w:pos="2835"/>
              </w:tabs>
              <w:spacing w:before="40" w:after="40" w:line="220" w:lineRule="exact"/>
              <w:ind w:left="0" w:right="0"/>
              <w:jc w:val="left"/>
              <w:rPr>
                <w:sz w:val="18"/>
                <w:lang w:val="es-ES_tradnl"/>
              </w:rPr>
            </w:pPr>
            <w:r w:rsidRPr="000C2F85">
              <w:rPr>
                <w:sz w:val="18"/>
                <w:lang w:val="es-ES_tradnl"/>
              </w:rPr>
              <w:t>Indios/asiáticos</w:t>
            </w:r>
          </w:p>
        </w:tc>
        <w:tc>
          <w:tcPr>
            <w:tcW w:w="992" w:type="dxa"/>
            <w:shd w:val="clear" w:color="auto" w:fill="auto"/>
            <w:vAlign w:val="bottom"/>
          </w:tcPr>
          <w:p w14:paraId="58DDE151" w14:textId="77777777" w:rsidR="000C2F85" w:rsidRPr="000C2F85" w:rsidRDefault="000C2F85" w:rsidP="000C2F85">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740 200</w:t>
            </w:r>
          </w:p>
        </w:tc>
        <w:tc>
          <w:tcPr>
            <w:tcW w:w="992" w:type="dxa"/>
            <w:shd w:val="clear" w:color="auto" w:fill="auto"/>
            <w:vAlign w:val="bottom"/>
          </w:tcPr>
          <w:p w14:paraId="5319D04B" w14:textId="77777777" w:rsidR="000C2F85" w:rsidRPr="000C2F85" w:rsidRDefault="000C2F85" w:rsidP="000C2F85">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2,6</w:t>
            </w:r>
          </w:p>
        </w:tc>
        <w:tc>
          <w:tcPr>
            <w:tcW w:w="993" w:type="dxa"/>
            <w:shd w:val="clear" w:color="auto" w:fill="auto"/>
            <w:vAlign w:val="bottom"/>
          </w:tcPr>
          <w:p w14:paraId="2058AE5B" w14:textId="77777777" w:rsidR="000C2F85" w:rsidRPr="000C2F85" w:rsidRDefault="000C2F85" w:rsidP="000C2F85">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708 100</w:t>
            </w:r>
          </w:p>
        </w:tc>
        <w:tc>
          <w:tcPr>
            <w:tcW w:w="992" w:type="dxa"/>
            <w:shd w:val="clear" w:color="auto" w:fill="auto"/>
            <w:vAlign w:val="bottom"/>
          </w:tcPr>
          <w:p w14:paraId="05259C20" w14:textId="77777777" w:rsidR="000C2F85" w:rsidRPr="000C2F85" w:rsidRDefault="000C2F85" w:rsidP="000C2F85">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2,4</w:t>
            </w:r>
          </w:p>
        </w:tc>
        <w:tc>
          <w:tcPr>
            <w:tcW w:w="1038" w:type="dxa"/>
            <w:shd w:val="clear" w:color="auto" w:fill="auto"/>
            <w:vAlign w:val="bottom"/>
          </w:tcPr>
          <w:p w14:paraId="0EE31A8B" w14:textId="77777777" w:rsidR="000C2F85" w:rsidRPr="000C2F85" w:rsidRDefault="000C2F85" w:rsidP="000C2F85">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1 448 300</w:t>
            </w:r>
          </w:p>
        </w:tc>
        <w:tc>
          <w:tcPr>
            <w:tcW w:w="945" w:type="dxa"/>
            <w:shd w:val="clear" w:color="auto" w:fill="auto"/>
            <w:vAlign w:val="bottom"/>
          </w:tcPr>
          <w:p w14:paraId="397E12B3" w14:textId="77777777" w:rsidR="000C2F85" w:rsidRPr="000C2F85" w:rsidRDefault="000C2F85" w:rsidP="000C2F85">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2,5</w:t>
            </w:r>
          </w:p>
        </w:tc>
      </w:tr>
      <w:tr w:rsidR="000C2F85" w:rsidRPr="000C2F85" w14:paraId="00A255F6" w14:textId="77777777" w:rsidTr="000C2F85">
        <w:trPr>
          <w:trHeight w:val="240"/>
        </w:trPr>
        <w:tc>
          <w:tcPr>
            <w:tcW w:w="1418" w:type="dxa"/>
            <w:tcBorders>
              <w:bottom w:val="single" w:sz="4" w:space="0" w:color="auto"/>
            </w:tcBorders>
            <w:shd w:val="clear" w:color="auto" w:fill="auto"/>
          </w:tcPr>
          <w:p w14:paraId="7FD6264B" w14:textId="77777777" w:rsidR="000C2F85" w:rsidRPr="000C2F85" w:rsidRDefault="000C2F85" w:rsidP="000C2F85">
            <w:pPr>
              <w:pStyle w:val="SingleTxtG"/>
              <w:tabs>
                <w:tab w:val="clear" w:pos="1701"/>
                <w:tab w:val="clear" w:pos="2268"/>
                <w:tab w:val="clear" w:pos="2835"/>
              </w:tabs>
              <w:spacing w:before="40" w:after="40" w:line="220" w:lineRule="exact"/>
              <w:ind w:left="0" w:right="0"/>
              <w:jc w:val="left"/>
              <w:rPr>
                <w:sz w:val="18"/>
                <w:lang w:val="es-ES_tradnl"/>
              </w:rPr>
            </w:pPr>
            <w:r w:rsidRPr="000C2F85">
              <w:rPr>
                <w:sz w:val="18"/>
                <w:lang w:val="es-ES_tradnl"/>
              </w:rPr>
              <w:t xml:space="preserve">Blancos </w:t>
            </w:r>
          </w:p>
        </w:tc>
        <w:tc>
          <w:tcPr>
            <w:tcW w:w="992" w:type="dxa"/>
            <w:tcBorders>
              <w:bottom w:val="single" w:sz="4" w:space="0" w:color="auto"/>
            </w:tcBorders>
            <w:shd w:val="clear" w:color="auto" w:fill="auto"/>
            <w:vAlign w:val="bottom"/>
          </w:tcPr>
          <w:p w14:paraId="55880860" w14:textId="77777777" w:rsidR="000C2F85" w:rsidRPr="000C2F85" w:rsidRDefault="000C2F85" w:rsidP="000C2F85">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2 194 200</w:t>
            </w:r>
          </w:p>
        </w:tc>
        <w:tc>
          <w:tcPr>
            <w:tcW w:w="992" w:type="dxa"/>
            <w:tcBorders>
              <w:bottom w:val="single" w:sz="4" w:space="0" w:color="auto"/>
            </w:tcBorders>
            <w:shd w:val="clear" w:color="auto" w:fill="auto"/>
            <w:vAlign w:val="bottom"/>
          </w:tcPr>
          <w:p w14:paraId="5EB631E6" w14:textId="77777777" w:rsidR="000C2F85" w:rsidRPr="000C2F85" w:rsidRDefault="000C2F85" w:rsidP="000C2F85">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7,8</w:t>
            </w:r>
          </w:p>
        </w:tc>
        <w:tc>
          <w:tcPr>
            <w:tcW w:w="993" w:type="dxa"/>
            <w:tcBorders>
              <w:bottom w:val="single" w:sz="4" w:space="0" w:color="auto"/>
            </w:tcBorders>
            <w:shd w:val="clear" w:color="auto" w:fill="auto"/>
            <w:vAlign w:val="bottom"/>
          </w:tcPr>
          <w:p w14:paraId="0EA53B65" w14:textId="77777777" w:rsidR="000C2F85" w:rsidRPr="000C2F85" w:rsidRDefault="000C2F85" w:rsidP="000C2F85">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2 325 900</w:t>
            </w:r>
          </w:p>
        </w:tc>
        <w:tc>
          <w:tcPr>
            <w:tcW w:w="992" w:type="dxa"/>
            <w:tcBorders>
              <w:bottom w:val="single" w:sz="4" w:space="0" w:color="auto"/>
            </w:tcBorders>
            <w:shd w:val="clear" w:color="auto" w:fill="auto"/>
            <w:vAlign w:val="bottom"/>
          </w:tcPr>
          <w:p w14:paraId="73E44850" w14:textId="77777777" w:rsidR="000C2F85" w:rsidRPr="000C2F85" w:rsidRDefault="000C2F85" w:rsidP="000C2F85">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7,9</w:t>
            </w:r>
          </w:p>
        </w:tc>
        <w:tc>
          <w:tcPr>
            <w:tcW w:w="1038" w:type="dxa"/>
            <w:tcBorders>
              <w:bottom w:val="single" w:sz="4" w:space="0" w:color="auto"/>
            </w:tcBorders>
            <w:shd w:val="clear" w:color="auto" w:fill="auto"/>
            <w:vAlign w:val="bottom"/>
          </w:tcPr>
          <w:p w14:paraId="17B70EDD" w14:textId="77777777" w:rsidR="000C2F85" w:rsidRPr="000C2F85" w:rsidRDefault="000C2F85" w:rsidP="000C2F85">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4 520 100</w:t>
            </w:r>
          </w:p>
        </w:tc>
        <w:tc>
          <w:tcPr>
            <w:tcW w:w="945" w:type="dxa"/>
            <w:tcBorders>
              <w:bottom w:val="single" w:sz="4" w:space="0" w:color="auto"/>
            </w:tcBorders>
            <w:shd w:val="clear" w:color="auto" w:fill="auto"/>
            <w:vAlign w:val="bottom"/>
          </w:tcPr>
          <w:p w14:paraId="64C1FA0B" w14:textId="77777777" w:rsidR="000C2F85" w:rsidRPr="000C2F85" w:rsidRDefault="000C2F85" w:rsidP="000C2F85">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7,8</w:t>
            </w:r>
          </w:p>
        </w:tc>
      </w:tr>
      <w:tr w:rsidR="000C2F85" w:rsidRPr="000C2F85" w14:paraId="700C75FB" w14:textId="77777777" w:rsidTr="000C2F85">
        <w:trPr>
          <w:trHeight w:val="240"/>
        </w:trPr>
        <w:tc>
          <w:tcPr>
            <w:tcW w:w="1418" w:type="dxa"/>
            <w:tcBorders>
              <w:top w:val="single" w:sz="4" w:space="0" w:color="auto"/>
              <w:bottom w:val="single" w:sz="12" w:space="0" w:color="auto"/>
            </w:tcBorders>
            <w:shd w:val="clear" w:color="auto" w:fill="auto"/>
          </w:tcPr>
          <w:p w14:paraId="6EC8694C" w14:textId="77777777" w:rsidR="000C2F85" w:rsidRPr="000C2F85" w:rsidRDefault="000C2F85" w:rsidP="000C2F85">
            <w:pPr>
              <w:pStyle w:val="SingleTxtG"/>
              <w:tabs>
                <w:tab w:val="clear" w:pos="1701"/>
                <w:tab w:val="clear" w:pos="2268"/>
                <w:tab w:val="clear" w:pos="2835"/>
              </w:tabs>
              <w:spacing w:before="80" w:after="80" w:line="220" w:lineRule="exact"/>
              <w:ind w:left="283" w:right="0"/>
              <w:jc w:val="left"/>
              <w:rPr>
                <w:b/>
                <w:sz w:val="18"/>
                <w:lang w:val="es-ES_tradnl"/>
              </w:rPr>
            </w:pPr>
            <w:r w:rsidRPr="000C2F85">
              <w:rPr>
                <w:b/>
                <w:bCs/>
                <w:sz w:val="18"/>
                <w:lang w:val="es-ES_tradnl"/>
              </w:rPr>
              <w:t>Total</w:t>
            </w:r>
          </w:p>
        </w:tc>
        <w:tc>
          <w:tcPr>
            <w:tcW w:w="992" w:type="dxa"/>
            <w:tcBorders>
              <w:top w:val="single" w:sz="4" w:space="0" w:color="auto"/>
              <w:bottom w:val="single" w:sz="12" w:space="0" w:color="auto"/>
            </w:tcBorders>
            <w:shd w:val="clear" w:color="auto" w:fill="auto"/>
            <w:vAlign w:val="bottom"/>
          </w:tcPr>
          <w:p w14:paraId="197C8BE3" w14:textId="77777777" w:rsidR="000C2F85" w:rsidRPr="000C2F85" w:rsidRDefault="000C2F85" w:rsidP="000C2F85">
            <w:pPr>
              <w:pStyle w:val="SingleTxtG"/>
              <w:tabs>
                <w:tab w:val="clear" w:pos="1701"/>
                <w:tab w:val="clear" w:pos="2268"/>
                <w:tab w:val="clear" w:pos="2835"/>
              </w:tabs>
              <w:spacing w:before="80" w:after="80" w:line="220" w:lineRule="exact"/>
              <w:ind w:left="57" w:right="28"/>
              <w:jc w:val="right"/>
              <w:rPr>
                <w:b/>
                <w:sz w:val="18"/>
                <w:lang w:val="es-ES_tradnl"/>
              </w:rPr>
            </w:pPr>
            <w:r w:rsidRPr="000C2F85">
              <w:rPr>
                <w:b/>
                <w:bCs/>
                <w:sz w:val="18"/>
                <w:lang w:val="es-ES_tradnl"/>
              </w:rPr>
              <w:t>28 180 100</w:t>
            </w:r>
          </w:p>
        </w:tc>
        <w:tc>
          <w:tcPr>
            <w:tcW w:w="992" w:type="dxa"/>
            <w:tcBorders>
              <w:top w:val="single" w:sz="4" w:space="0" w:color="auto"/>
              <w:bottom w:val="single" w:sz="12" w:space="0" w:color="auto"/>
            </w:tcBorders>
            <w:shd w:val="clear" w:color="auto" w:fill="auto"/>
            <w:vAlign w:val="bottom"/>
          </w:tcPr>
          <w:p w14:paraId="5A0F4B78" w14:textId="77777777" w:rsidR="000C2F85" w:rsidRPr="000C2F85" w:rsidRDefault="000C2F85" w:rsidP="000C2F85">
            <w:pPr>
              <w:pStyle w:val="SingleTxtG"/>
              <w:tabs>
                <w:tab w:val="clear" w:pos="1701"/>
                <w:tab w:val="clear" w:pos="2268"/>
                <w:tab w:val="clear" w:pos="2835"/>
              </w:tabs>
              <w:spacing w:before="80" w:after="80" w:line="220" w:lineRule="exact"/>
              <w:ind w:left="57" w:right="28"/>
              <w:jc w:val="right"/>
              <w:rPr>
                <w:b/>
                <w:sz w:val="18"/>
                <w:lang w:val="es-ES_tradnl"/>
              </w:rPr>
            </w:pPr>
            <w:r w:rsidRPr="000C2F85">
              <w:rPr>
                <w:b/>
                <w:bCs/>
                <w:sz w:val="18"/>
                <w:lang w:val="es-ES_tradnl"/>
              </w:rPr>
              <w:t>100,0</w:t>
            </w:r>
          </w:p>
        </w:tc>
        <w:tc>
          <w:tcPr>
            <w:tcW w:w="993" w:type="dxa"/>
            <w:tcBorders>
              <w:top w:val="single" w:sz="4" w:space="0" w:color="auto"/>
              <w:bottom w:val="single" w:sz="12" w:space="0" w:color="auto"/>
            </w:tcBorders>
            <w:shd w:val="clear" w:color="auto" w:fill="auto"/>
            <w:vAlign w:val="bottom"/>
          </w:tcPr>
          <w:p w14:paraId="17CF29CA" w14:textId="77777777" w:rsidR="000C2F85" w:rsidRPr="000C2F85" w:rsidRDefault="000C2F85" w:rsidP="000C2F85">
            <w:pPr>
              <w:pStyle w:val="SingleTxtG"/>
              <w:tabs>
                <w:tab w:val="clear" w:pos="1701"/>
                <w:tab w:val="clear" w:pos="2268"/>
                <w:tab w:val="clear" w:pos="2835"/>
              </w:tabs>
              <w:spacing w:before="80" w:after="80" w:line="220" w:lineRule="exact"/>
              <w:ind w:left="57" w:right="28"/>
              <w:jc w:val="right"/>
              <w:rPr>
                <w:b/>
                <w:sz w:val="18"/>
                <w:lang w:val="es-ES_tradnl"/>
              </w:rPr>
            </w:pPr>
            <w:r w:rsidRPr="000C2F85">
              <w:rPr>
                <w:b/>
                <w:bCs/>
                <w:sz w:val="18"/>
                <w:lang w:val="es-ES_tradnl"/>
              </w:rPr>
              <w:t>29 545 500</w:t>
            </w:r>
          </w:p>
        </w:tc>
        <w:tc>
          <w:tcPr>
            <w:tcW w:w="992" w:type="dxa"/>
            <w:tcBorders>
              <w:top w:val="single" w:sz="4" w:space="0" w:color="auto"/>
              <w:bottom w:val="single" w:sz="12" w:space="0" w:color="auto"/>
            </w:tcBorders>
            <w:shd w:val="clear" w:color="auto" w:fill="auto"/>
            <w:vAlign w:val="bottom"/>
          </w:tcPr>
          <w:p w14:paraId="0182F324" w14:textId="77777777" w:rsidR="000C2F85" w:rsidRPr="000C2F85" w:rsidRDefault="000C2F85" w:rsidP="000C2F85">
            <w:pPr>
              <w:pStyle w:val="SingleTxtG"/>
              <w:tabs>
                <w:tab w:val="clear" w:pos="1701"/>
                <w:tab w:val="clear" w:pos="2268"/>
                <w:tab w:val="clear" w:pos="2835"/>
              </w:tabs>
              <w:spacing w:before="80" w:after="80" w:line="220" w:lineRule="exact"/>
              <w:ind w:left="57" w:right="28"/>
              <w:jc w:val="right"/>
              <w:rPr>
                <w:b/>
                <w:sz w:val="18"/>
                <w:lang w:val="es-ES_tradnl"/>
              </w:rPr>
            </w:pPr>
            <w:r w:rsidRPr="000C2F85">
              <w:rPr>
                <w:b/>
                <w:bCs/>
                <w:sz w:val="18"/>
                <w:lang w:val="es-ES_tradnl"/>
              </w:rPr>
              <w:t>100,0</w:t>
            </w:r>
          </w:p>
        </w:tc>
        <w:tc>
          <w:tcPr>
            <w:tcW w:w="1038" w:type="dxa"/>
            <w:tcBorders>
              <w:top w:val="single" w:sz="4" w:space="0" w:color="auto"/>
              <w:bottom w:val="single" w:sz="12" w:space="0" w:color="auto"/>
            </w:tcBorders>
            <w:shd w:val="clear" w:color="auto" w:fill="auto"/>
            <w:vAlign w:val="bottom"/>
          </w:tcPr>
          <w:p w14:paraId="17B66DDE" w14:textId="77777777" w:rsidR="000C2F85" w:rsidRPr="000C2F85" w:rsidRDefault="000C2F85" w:rsidP="000C2F85">
            <w:pPr>
              <w:pStyle w:val="SingleTxtG"/>
              <w:tabs>
                <w:tab w:val="clear" w:pos="1701"/>
                <w:tab w:val="clear" w:pos="2268"/>
                <w:tab w:val="clear" w:pos="2835"/>
              </w:tabs>
              <w:spacing w:before="80" w:after="80" w:line="220" w:lineRule="exact"/>
              <w:ind w:left="57" w:right="28"/>
              <w:jc w:val="right"/>
              <w:rPr>
                <w:b/>
                <w:sz w:val="18"/>
                <w:lang w:val="es-ES_tradnl"/>
              </w:rPr>
            </w:pPr>
            <w:r w:rsidRPr="000C2F85">
              <w:rPr>
                <w:b/>
                <w:bCs/>
                <w:sz w:val="18"/>
                <w:lang w:val="es-ES_tradnl"/>
              </w:rPr>
              <w:t>57 725 600</w:t>
            </w:r>
          </w:p>
        </w:tc>
        <w:tc>
          <w:tcPr>
            <w:tcW w:w="945" w:type="dxa"/>
            <w:tcBorders>
              <w:top w:val="single" w:sz="4" w:space="0" w:color="auto"/>
              <w:bottom w:val="single" w:sz="12" w:space="0" w:color="auto"/>
            </w:tcBorders>
            <w:shd w:val="clear" w:color="auto" w:fill="auto"/>
            <w:vAlign w:val="bottom"/>
          </w:tcPr>
          <w:p w14:paraId="4CA1A38F" w14:textId="77777777" w:rsidR="000C2F85" w:rsidRPr="000C2F85" w:rsidRDefault="000C2F85" w:rsidP="000C2F85">
            <w:pPr>
              <w:pStyle w:val="SingleTxtG"/>
              <w:tabs>
                <w:tab w:val="clear" w:pos="1701"/>
                <w:tab w:val="clear" w:pos="2268"/>
                <w:tab w:val="clear" w:pos="2835"/>
              </w:tabs>
              <w:spacing w:before="80" w:after="80" w:line="220" w:lineRule="exact"/>
              <w:ind w:left="57" w:right="28"/>
              <w:jc w:val="right"/>
              <w:rPr>
                <w:b/>
                <w:sz w:val="18"/>
                <w:lang w:val="es-ES_tradnl"/>
              </w:rPr>
            </w:pPr>
            <w:r w:rsidRPr="000C2F85">
              <w:rPr>
                <w:b/>
                <w:bCs/>
                <w:sz w:val="18"/>
                <w:lang w:val="es-ES_tradnl"/>
              </w:rPr>
              <w:t>11,0</w:t>
            </w:r>
          </w:p>
        </w:tc>
      </w:tr>
    </w:tbl>
    <w:p w14:paraId="29171C37" w14:textId="098D06FC" w:rsidR="000C2F85" w:rsidRPr="000C2F85" w:rsidRDefault="000C2F85" w:rsidP="000C2F85">
      <w:pPr>
        <w:pStyle w:val="SingleTxtG"/>
        <w:spacing w:before="240"/>
        <w:rPr>
          <w:lang w:val="es-ES_tradnl"/>
        </w:rPr>
      </w:pPr>
      <w:r w:rsidRPr="000C2F85">
        <w:rPr>
          <w:lang w:val="es-ES_tradnl"/>
        </w:rPr>
        <w:t>4.</w:t>
      </w:r>
      <w:r w:rsidRPr="000C2F85">
        <w:rPr>
          <w:lang w:val="es-ES_tradnl"/>
        </w:rPr>
        <w:tab/>
        <w:t>Hay 16,9 millones de hogares en el país. El promedio de miembros por hogar es de</w:t>
      </w:r>
      <w:r w:rsidR="001B2368">
        <w:rPr>
          <w:lang w:val="es-ES_tradnl"/>
        </w:rPr>
        <w:t> </w:t>
      </w:r>
      <w:r w:rsidRPr="000C2F85">
        <w:rPr>
          <w:lang w:val="es-ES_tradnl"/>
        </w:rPr>
        <w:t>3,3</w:t>
      </w:r>
      <w:r w:rsidRPr="00605B48">
        <w:rPr>
          <w:sz w:val="18"/>
          <w:szCs w:val="18"/>
          <w:vertAlign w:val="superscript"/>
          <w:lang w:val="es-ES_tradnl"/>
        </w:rPr>
        <w:footnoteReference w:id="7"/>
      </w:r>
      <w:r w:rsidRPr="000C2F85">
        <w:rPr>
          <w:lang w:val="es-ES_tradnl"/>
        </w:rPr>
        <w:t>. En los hogares encabezados por mujeres es de 3,36 miembros, algo superior al de los encabezados por hombres, en que es de 3,25 miembros. La misma tendencia general se ha observado en todos los tipos de asentamientos. Los hogares encabezados por mujeres en zonas tradicionales estaban integrados por el mayor número de miembros en promedio (4,36), mientras que los encabezados por hombres en las zonas urbanas informales registraban el menor promedio, con 2,71 miembros</w:t>
      </w:r>
      <w:r w:rsidRPr="00605B48">
        <w:rPr>
          <w:sz w:val="18"/>
          <w:szCs w:val="18"/>
          <w:vertAlign w:val="superscript"/>
          <w:lang w:val="es-ES_tradnl"/>
        </w:rPr>
        <w:footnoteReference w:id="8"/>
      </w:r>
      <w:r w:rsidRPr="000C2F85">
        <w:rPr>
          <w:lang w:val="es-ES_tradnl"/>
        </w:rPr>
        <w:t>. Los datos muestran que, en Sudáfrica, las mujeres, los niños, los africanos negros, las personas que viven en zonas rurales y quienes tienen un bajo nivel de educación son los más pobres. La fecundidad es más elevada entre las mujeres de las zonas no urbanas que entre las de las zonas urbanas. En consonancia con esta observación, las tasas de fecundidad por edad son mayores en las zonas no urbanas que en las zonas urbanas en todos los grupos de edad. En el cuadro que figura a continuación se consignan los datos sobre las tasas de fecundidad.</w:t>
      </w:r>
    </w:p>
    <w:p w14:paraId="76A23189" w14:textId="12319D79" w:rsidR="000C2F85" w:rsidRPr="000C2F85" w:rsidRDefault="000C2F85" w:rsidP="000C2F85">
      <w:pPr>
        <w:pStyle w:val="H23G"/>
        <w:rPr>
          <w:lang w:val="es-ES_tradnl"/>
        </w:rPr>
      </w:pPr>
      <w:r w:rsidRPr="000C2F85">
        <w:rPr>
          <w:b w:val="0"/>
          <w:bCs/>
          <w:lang w:val="es-ES_tradnl"/>
        </w:rPr>
        <w:tab/>
      </w:r>
      <w:r w:rsidRPr="000C2F85">
        <w:rPr>
          <w:b w:val="0"/>
          <w:bCs/>
          <w:lang w:val="es-ES_tradnl"/>
        </w:rPr>
        <w:tab/>
        <w:t xml:space="preserve">Cuadro 3 </w:t>
      </w:r>
      <w:r w:rsidRPr="000C2F85">
        <w:rPr>
          <w:b w:val="0"/>
          <w:bCs/>
          <w:lang w:val="es-ES_tradnl"/>
        </w:rPr>
        <w:br/>
      </w:r>
      <w:r w:rsidRPr="000C2F85">
        <w:rPr>
          <w:lang w:val="es-ES_tradnl"/>
        </w:rPr>
        <w:t>Tasas de fecundidad (2016)</w:t>
      </w:r>
      <w:r w:rsidRPr="00605B48">
        <w:rPr>
          <w:b w:val="0"/>
          <w:sz w:val="18"/>
          <w:szCs w:val="18"/>
          <w:vertAlign w:val="superscript"/>
          <w:lang w:val="es-ES_tradnl"/>
        </w:rPr>
        <w:footnoteReference w:id="9"/>
      </w:r>
      <w:r>
        <w:rPr>
          <w:lang w:val="es-ES_tradnl"/>
        </w:rPr>
        <w:br/>
      </w:r>
      <w:r w:rsidRPr="000C2F85">
        <w:rPr>
          <w:lang w:val="es-ES_tradnl"/>
        </w:rPr>
        <w:t>Tasa de fecundidad por edad y tasa global de fecundidad, tasa general de fecundidad y tasa bruta de natalidad durante los 3 años anteriores a la encuesta, según el lugar de</w:t>
      </w:r>
      <w:r w:rsidR="001B2368">
        <w:rPr>
          <w:lang w:val="es-ES_tradnl"/>
        </w:rPr>
        <w:t> </w:t>
      </w:r>
      <w:r w:rsidRPr="000C2F85">
        <w:rPr>
          <w:lang w:val="es-ES_tradnl"/>
        </w:rPr>
        <w:t>residencia</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61"/>
        <w:gridCol w:w="1417"/>
        <w:gridCol w:w="1701"/>
        <w:gridCol w:w="991"/>
      </w:tblGrid>
      <w:tr w:rsidR="000C2F85" w:rsidRPr="000C2F85" w14:paraId="6A5AD0CD" w14:textId="77777777" w:rsidTr="0079644B">
        <w:trPr>
          <w:trHeight w:val="240"/>
          <w:tblHeader/>
        </w:trPr>
        <w:tc>
          <w:tcPr>
            <w:tcW w:w="3261" w:type="dxa"/>
            <w:tcBorders>
              <w:top w:val="single" w:sz="4" w:space="0" w:color="auto"/>
              <w:bottom w:val="nil"/>
            </w:tcBorders>
            <w:shd w:val="clear" w:color="auto" w:fill="auto"/>
            <w:vAlign w:val="bottom"/>
          </w:tcPr>
          <w:p w14:paraId="05B3ECF9" w14:textId="77777777" w:rsidR="000C2F85" w:rsidRPr="000C2F85" w:rsidRDefault="000C2F85" w:rsidP="000C2F85">
            <w:pPr>
              <w:pStyle w:val="SingleTxtG"/>
              <w:tabs>
                <w:tab w:val="clear" w:pos="1701"/>
                <w:tab w:val="clear" w:pos="2268"/>
                <w:tab w:val="clear" w:pos="2835"/>
              </w:tabs>
              <w:spacing w:before="80" w:after="80" w:line="200" w:lineRule="exact"/>
              <w:ind w:left="0" w:right="0"/>
              <w:jc w:val="left"/>
              <w:rPr>
                <w:i/>
                <w:iCs/>
                <w:sz w:val="16"/>
                <w:lang w:val="es-ES_tradnl"/>
              </w:rPr>
            </w:pPr>
          </w:p>
        </w:tc>
        <w:tc>
          <w:tcPr>
            <w:tcW w:w="3118" w:type="dxa"/>
            <w:gridSpan w:val="2"/>
            <w:tcBorders>
              <w:top w:val="single" w:sz="4" w:space="0" w:color="auto"/>
              <w:bottom w:val="single" w:sz="4" w:space="0" w:color="auto"/>
            </w:tcBorders>
            <w:shd w:val="clear" w:color="auto" w:fill="auto"/>
            <w:vAlign w:val="bottom"/>
          </w:tcPr>
          <w:p w14:paraId="6296B8E3" w14:textId="77777777" w:rsidR="000C2F85" w:rsidRPr="000C2F85" w:rsidRDefault="000C2F85" w:rsidP="0079644B">
            <w:pPr>
              <w:pStyle w:val="SingleTxtG"/>
              <w:tabs>
                <w:tab w:val="clear" w:pos="1701"/>
                <w:tab w:val="clear" w:pos="2268"/>
                <w:tab w:val="clear" w:pos="2835"/>
              </w:tabs>
              <w:spacing w:before="80" w:after="80" w:line="200" w:lineRule="exact"/>
              <w:ind w:left="0" w:right="0"/>
              <w:jc w:val="center"/>
              <w:rPr>
                <w:i/>
                <w:iCs/>
                <w:sz w:val="16"/>
                <w:lang w:val="es-ES_tradnl"/>
              </w:rPr>
            </w:pPr>
            <w:r w:rsidRPr="000C2F85">
              <w:rPr>
                <w:i/>
                <w:iCs/>
                <w:sz w:val="16"/>
                <w:lang w:val="es-ES_tradnl"/>
              </w:rPr>
              <w:t>Residencia</w:t>
            </w:r>
          </w:p>
        </w:tc>
        <w:tc>
          <w:tcPr>
            <w:tcW w:w="991" w:type="dxa"/>
            <w:tcBorders>
              <w:top w:val="single" w:sz="4" w:space="0" w:color="auto"/>
              <w:bottom w:val="nil"/>
            </w:tcBorders>
            <w:shd w:val="clear" w:color="auto" w:fill="auto"/>
            <w:vAlign w:val="bottom"/>
          </w:tcPr>
          <w:p w14:paraId="4B3FD1A7" w14:textId="77777777" w:rsidR="000C2F85" w:rsidRPr="000C2F85" w:rsidRDefault="000C2F85" w:rsidP="000C2F85">
            <w:pPr>
              <w:pStyle w:val="SingleTxtG"/>
              <w:tabs>
                <w:tab w:val="clear" w:pos="1701"/>
                <w:tab w:val="clear" w:pos="2268"/>
                <w:tab w:val="clear" w:pos="2835"/>
              </w:tabs>
              <w:spacing w:before="80" w:after="80" w:line="200" w:lineRule="exact"/>
              <w:ind w:left="113" w:right="0"/>
              <w:jc w:val="right"/>
              <w:rPr>
                <w:i/>
                <w:iCs/>
                <w:sz w:val="16"/>
                <w:lang w:val="es-ES_tradnl"/>
              </w:rPr>
            </w:pPr>
          </w:p>
        </w:tc>
      </w:tr>
      <w:tr w:rsidR="000C2F85" w:rsidRPr="000C2F85" w14:paraId="24472E3E" w14:textId="77777777" w:rsidTr="0079644B">
        <w:trPr>
          <w:trHeight w:val="240"/>
          <w:tblHeader/>
        </w:trPr>
        <w:tc>
          <w:tcPr>
            <w:tcW w:w="3261" w:type="dxa"/>
            <w:tcBorders>
              <w:top w:val="nil"/>
              <w:bottom w:val="single" w:sz="12" w:space="0" w:color="auto"/>
            </w:tcBorders>
            <w:shd w:val="clear" w:color="auto" w:fill="auto"/>
          </w:tcPr>
          <w:p w14:paraId="39094035" w14:textId="77777777" w:rsidR="000C2F85" w:rsidRPr="000C2F85" w:rsidRDefault="000C2F85" w:rsidP="000C2F85">
            <w:pPr>
              <w:pStyle w:val="SingleTxtG"/>
              <w:tabs>
                <w:tab w:val="clear" w:pos="1701"/>
                <w:tab w:val="clear" w:pos="2268"/>
                <w:tab w:val="clear" w:pos="2835"/>
              </w:tabs>
              <w:spacing w:before="80" w:after="80" w:line="200" w:lineRule="exact"/>
              <w:ind w:left="0" w:right="0"/>
              <w:jc w:val="left"/>
              <w:rPr>
                <w:i/>
                <w:iCs/>
                <w:sz w:val="16"/>
                <w:lang w:val="es-ES_tradnl"/>
              </w:rPr>
            </w:pPr>
            <w:r w:rsidRPr="000C2F85">
              <w:rPr>
                <w:i/>
                <w:iCs/>
                <w:sz w:val="16"/>
                <w:lang w:val="es-ES_tradnl"/>
              </w:rPr>
              <w:t>Grupo de edad</w:t>
            </w:r>
          </w:p>
        </w:tc>
        <w:tc>
          <w:tcPr>
            <w:tcW w:w="1417" w:type="dxa"/>
            <w:tcBorders>
              <w:top w:val="single" w:sz="4" w:space="0" w:color="auto"/>
              <w:bottom w:val="single" w:sz="12" w:space="0" w:color="auto"/>
            </w:tcBorders>
            <w:shd w:val="clear" w:color="auto" w:fill="auto"/>
            <w:vAlign w:val="bottom"/>
          </w:tcPr>
          <w:p w14:paraId="32F11522" w14:textId="77777777" w:rsidR="000C2F85" w:rsidRPr="000C2F85" w:rsidRDefault="000C2F85" w:rsidP="0079644B">
            <w:pPr>
              <w:pStyle w:val="SingleTxtG"/>
              <w:tabs>
                <w:tab w:val="clear" w:pos="1701"/>
                <w:tab w:val="clear" w:pos="2268"/>
                <w:tab w:val="clear" w:pos="2835"/>
              </w:tabs>
              <w:spacing w:before="80" w:after="80" w:line="200" w:lineRule="exact"/>
              <w:ind w:left="57" w:right="28"/>
              <w:jc w:val="right"/>
              <w:rPr>
                <w:i/>
                <w:iCs/>
                <w:sz w:val="16"/>
                <w:lang w:val="es-ES_tradnl"/>
              </w:rPr>
            </w:pPr>
            <w:r w:rsidRPr="000C2F85">
              <w:rPr>
                <w:i/>
                <w:iCs/>
                <w:sz w:val="16"/>
                <w:lang w:val="es-ES_tradnl"/>
              </w:rPr>
              <w:t xml:space="preserve">Zonas urbanas </w:t>
            </w:r>
          </w:p>
        </w:tc>
        <w:tc>
          <w:tcPr>
            <w:tcW w:w="1701" w:type="dxa"/>
            <w:tcBorders>
              <w:top w:val="single" w:sz="4" w:space="0" w:color="auto"/>
              <w:bottom w:val="single" w:sz="12" w:space="0" w:color="auto"/>
            </w:tcBorders>
            <w:shd w:val="clear" w:color="auto" w:fill="auto"/>
            <w:vAlign w:val="bottom"/>
          </w:tcPr>
          <w:p w14:paraId="65C4980F" w14:textId="77777777" w:rsidR="000C2F85" w:rsidRPr="000C2F85" w:rsidRDefault="000C2F85" w:rsidP="0079644B">
            <w:pPr>
              <w:pStyle w:val="SingleTxtG"/>
              <w:tabs>
                <w:tab w:val="clear" w:pos="1701"/>
                <w:tab w:val="clear" w:pos="2268"/>
                <w:tab w:val="clear" w:pos="2835"/>
              </w:tabs>
              <w:spacing w:before="80" w:after="80" w:line="200" w:lineRule="exact"/>
              <w:ind w:left="57" w:right="28"/>
              <w:jc w:val="right"/>
              <w:rPr>
                <w:i/>
                <w:iCs/>
                <w:sz w:val="16"/>
                <w:lang w:val="es-ES_tradnl"/>
              </w:rPr>
            </w:pPr>
            <w:r w:rsidRPr="000C2F85">
              <w:rPr>
                <w:i/>
                <w:iCs/>
                <w:sz w:val="16"/>
                <w:lang w:val="es-ES_tradnl"/>
              </w:rPr>
              <w:t>Zonas no urbanas</w:t>
            </w:r>
          </w:p>
        </w:tc>
        <w:tc>
          <w:tcPr>
            <w:tcW w:w="991" w:type="dxa"/>
            <w:tcBorders>
              <w:top w:val="nil"/>
              <w:bottom w:val="single" w:sz="12" w:space="0" w:color="auto"/>
            </w:tcBorders>
            <w:shd w:val="clear" w:color="auto" w:fill="auto"/>
            <w:vAlign w:val="bottom"/>
          </w:tcPr>
          <w:p w14:paraId="420A6811" w14:textId="77777777" w:rsidR="000C2F85" w:rsidRPr="000C2F85" w:rsidRDefault="000C2F85" w:rsidP="0079644B">
            <w:pPr>
              <w:pStyle w:val="SingleTxtG"/>
              <w:tabs>
                <w:tab w:val="clear" w:pos="1701"/>
                <w:tab w:val="clear" w:pos="2268"/>
                <w:tab w:val="clear" w:pos="2835"/>
              </w:tabs>
              <w:spacing w:before="80" w:after="80" w:line="200" w:lineRule="exact"/>
              <w:ind w:left="57" w:right="28"/>
              <w:jc w:val="right"/>
              <w:rPr>
                <w:i/>
                <w:iCs/>
                <w:sz w:val="16"/>
                <w:lang w:val="es-ES_tradnl"/>
              </w:rPr>
            </w:pPr>
            <w:r w:rsidRPr="000C2F85">
              <w:rPr>
                <w:i/>
                <w:iCs/>
                <w:sz w:val="16"/>
                <w:lang w:val="es-ES_tradnl"/>
              </w:rPr>
              <w:t>Total</w:t>
            </w:r>
          </w:p>
        </w:tc>
      </w:tr>
      <w:tr w:rsidR="000C2F85" w:rsidRPr="000C2F85" w14:paraId="5CF7476D" w14:textId="77777777" w:rsidTr="0079644B">
        <w:trPr>
          <w:trHeight w:val="240"/>
        </w:trPr>
        <w:tc>
          <w:tcPr>
            <w:tcW w:w="3261" w:type="dxa"/>
            <w:tcBorders>
              <w:top w:val="single" w:sz="12" w:space="0" w:color="auto"/>
            </w:tcBorders>
            <w:shd w:val="clear" w:color="auto" w:fill="auto"/>
          </w:tcPr>
          <w:p w14:paraId="59C5C0BC" w14:textId="77777777" w:rsidR="000C2F85" w:rsidRPr="000C2F85" w:rsidRDefault="000C2F85" w:rsidP="000C2F85">
            <w:pPr>
              <w:pStyle w:val="SingleTxtG"/>
              <w:tabs>
                <w:tab w:val="clear" w:pos="1701"/>
                <w:tab w:val="clear" w:pos="2268"/>
                <w:tab w:val="clear" w:pos="2835"/>
              </w:tabs>
              <w:spacing w:before="40" w:after="40" w:line="220" w:lineRule="exact"/>
              <w:ind w:left="0" w:right="0"/>
              <w:jc w:val="left"/>
              <w:rPr>
                <w:sz w:val="18"/>
                <w:lang w:val="es-ES_tradnl"/>
              </w:rPr>
            </w:pPr>
            <w:r w:rsidRPr="000C2F85">
              <w:rPr>
                <w:sz w:val="18"/>
                <w:lang w:val="es-ES_tradnl"/>
              </w:rPr>
              <w:t>De 15 a 19 años</w:t>
            </w:r>
          </w:p>
        </w:tc>
        <w:tc>
          <w:tcPr>
            <w:tcW w:w="1417" w:type="dxa"/>
            <w:tcBorders>
              <w:top w:val="single" w:sz="12" w:space="0" w:color="auto"/>
            </w:tcBorders>
            <w:shd w:val="clear" w:color="auto" w:fill="auto"/>
            <w:vAlign w:val="bottom"/>
          </w:tcPr>
          <w:p w14:paraId="127FDFB1"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62</w:t>
            </w:r>
          </w:p>
        </w:tc>
        <w:tc>
          <w:tcPr>
            <w:tcW w:w="1701" w:type="dxa"/>
            <w:tcBorders>
              <w:top w:val="single" w:sz="12" w:space="0" w:color="auto"/>
            </w:tcBorders>
            <w:shd w:val="clear" w:color="auto" w:fill="auto"/>
            <w:vAlign w:val="bottom"/>
          </w:tcPr>
          <w:p w14:paraId="4EB53249"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86</w:t>
            </w:r>
          </w:p>
        </w:tc>
        <w:tc>
          <w:tcPr>
            <w:tcW w:w="991" w:type="dxa"/>
            <w:tcBorders>
              <w:top w:val="single" w:sz="12" w:space="0" w:color="auto"/>
            </w:tcBorders>
            <w:shd w:val="clear" w:color="auto" w:fill="auto"/>
            <w:vAlign w:val="bottom"/>
          </w:tcPr>
          <w:p w14:paraId="18570213"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71</w:t>
            </w:r>
          </w:p>
        </w:tc>
      </w:tr>
      <w:tr w:rsidR="000C2F85" w:rsidRPr="000C2F85" w14:paraId="727D017E" w14:textId="77777777" w:rsidTr="0079644B">
        <w:trPr>
          <w:trHeight w:val="240"/>
        </w:trPr>
        <w:tc>
          <w:tcPr>
            <w:tcW w:w="3261" w:type="dxa"/>
            <w:shd w:val="clear" w:color="auto" w:fill="auto"/>
          </w:tcPr>
          <w:p w14:paraId="157C071A" w14:textId="77777777" w:rsidR="000C2F85" w:rsidRPr="000C2F85" w:rsidRDefault="000C2F85" w:rsidP="000C2F85">
            <w:pPr>
              <w:pStyle w:val="SingleTxtG"/>
              <w:tabs>
                <w:tab w:val="clear" w:pos="1701"/>
                <w:tab w:val="clear" w:pos="2268"/>
                <w:tab w:val="clear" w:pos="2835"/>
              </w:tabs>
              <w:spacing w:before="40" w:after="40" w:line="220" w:lineRule="exact"/>
              <w:ind w:left="0" w:right="0"/>
              <w:jc w:val="left"/>
              <w:rPr>
                <w:sz w:val="18"/>
                <w:lang w:val="es-ES_tradnl"/>
              </w:rPr>
            </w:pPr>
            <w:r w:rsidRPr="000C2F85">
              <w:rPr>
                <w:sz w:val="18"/>
                <w:lang w:val="es-ES_tradnl"/>
              </w:rPr>
              <w:t>De 20 a 24 años</w:t>
            </w:r>
          </w:p>
        </w:tc>
        <w:tc>
          <w:tcPr>
            <w:tcW w:w="1417" w:type="dxa"/>
            <w:shd w:val="clear" w:color="auto" w:fill="auto"/>
            <w:vAlign w:val="bottom"/>
          </w:tcPr>
          <w:p w14:paraId="52293681"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125</w:t>
            </w:r>
          </w:p>
        </w:tc>
        <w:tc>
          <w:tcPr>
            <w:tcW w:w="1701" w:type="dxa"/>
            <w:shd w:val="clear" w:color="auto" w:fill="auto"/>
            <w:vAlign w:val="bottom"/>
          </w:tcPr>
          <w:p w14:paraId="121CC656"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150</w:t>
            </w:r>
          </w:p>
        </w:tc>
        <w:tc>
          <w:tcPr>
            <w:tcW w:w="991" w:type="dxa"/>
            <w:shd w:val="clear" w:color="auto" w:fill="auto"/>
            <w:vAlign w:val="bottom"/>
          </w:tcPr>
          <w:p w14:paraId="74F1920D"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133</w:t>
            </w:r>
          </w:p>
        </w:tc>
      </w:tr>
      <w:tr w:rsidR="000C2F85" w:rsidRPr="000C2F85" w14:paraId="7E9069E8" w14:textId="77777777" w:rsidTr="0079644B">
        <w:trPr>
          <w:trHeight w:val="240"/>
        </w:trPr>
        <w:tc>
          <w:tcPr>
            <w:tcW w:w="3261" w:type="dxa"/>
            <w:shd w:val="clear" w:color="auto" w:fill="auto"/>
          </w:tcPr>
          <w:p w14:paraId="40AF39E2" w14:textId="77777777" w:rsidR="000C2F85" w:rsidRPr="000C2F85" w:rsidRDefault="000C2F85" w:rsidP="000C2F85">
            <w:pPr>
              <w:pStyle w:val="SingleTxtG"/>
              <w:tabs>
                <w:tab w:val="clear" w:pos="1701"/>
                <w:tab w:val="clear" w:pos="2268"/>
                <w:tab w:val="clear" w:pos="2835"/>
              </w:tabs>
              <w:spacing w:before="40" w:after="40" w:line="220" w:lineRule="exact"/>
              <w:ind w:left="0" w:right="0"/>
              <w:jc w:val="left"/>
              <w:rPr>
                <w:sz w:val="18"/>
                <w:lang w:val="es-ES_tradnl"/>
              </w:rPr>
            </w:pPr>
            <w:r w:rsidRPr="000C2F85">
              <w:rPr>
                <w:sz w:val="18"/>
                <w:lang w:val="es-ES_tradnl"/>
              </w:rPr>
              <w:t>De 25 a 29 años</w:t>
            </w:r>
          </w:p>
        </w:tc>
        <w:tc>
          <w:tcPr>
            <w:tcW w:w="1417" w:type="dxa"/>
            <w:shd w:val="clear" w:color="auto" w:fill="auto"/>
            <w:vAlign w:val="bottom"/>
          </w:tcPr>
          <w:p w14:paraId="1D4C575D"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131</w:t>
            </w:r>
          </w:p>
        </w:tc>
        <w:tc>
          <w:tcPr>
            <w:tcW w:w="1701" w:type="dxa"/>
            <w:shd w:val="clear" w:color="auto" w:fill="auto"/>
            <w:vAlign w:val="bottom"/>
          </w:tcPr>
          <w:p w14:paraId="14C05079"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156</w:t>
            </w:r>
          </w:p>
        </w:tc>
        <w:tc>
          <w:tcPr>
            <w:tcW w:w="991" w:type="dxa"/>
            <w:shd w:val="clear" w:color="auto" w:fill="auto"/>
            <w:vAlign w:val="bottom"/>
          </w:tcPr>
          <w:p w14:paraId="30DBE296"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139</w:t>
            </w:r>
          </w:p>
        </w:tc>
      </w:tr>
      <w:tr w:rsidR="000C2F85" w:rsidRPr="000C2F85" w14:paraId="00996A6C" w14:textId="77777777" w:rsidTr="0079644B">
        <w:trPr>
          <w:trHeight w:val="240"/>
        </w:trPr>
        <w:tc>
          <w:tcPr>
            <w:tcW w:w="3261" w:type="dxa"/>
            <w:shd w:val="clear" w:color="auto" w:fill="auto"/>
          </w:tcPr>
          <w:p w14:paraId="053BEC2F" w14:textId="77777777" w:rsidR="000C2F85" w:rsidRPr="000C2F85" w:rsidRDefault="000C2F85" w:rsidP="000C2F85">
            <w:pPr>
              <w:pStyle w:val="SingleTxtG"/>
              <w:tabs>
                <w:tab w:val="clear" w:pos="1701"/>
                <w:tab w:val="clear" w:pos="2268"/>
                <w:tab w:val="clear" w:pos="2835"/>
              </w:tabs>
              <w:spacing w:before="40" w:after="40" w:line="220" w:lineRule="exact"/>
              <w:ind w:left="0" w:right="0"/>
              <w:jc w:val="left"/>
              <w:rPr>
                <w:sz w:val="18"/>
                <w:lang w:val="es-ES_tradnl"/>
              </w:rPr>
            </w:pPr>
            <w:r w:rsidRPr="000C2F85">
              <w:rPr>
                <w:sz w:val="18"/>
                <w:lang w:val="es-ES_tradnl"/>
              </w:rPr>
              <w:t>De 30 a 34 años</w:t>
            </w:r>
          </w:p>
        </w:tc>
        <w:tc>
          <w:tcPr>
            <w:tcW w:w="1417" w:type="dxa"/>
            <w:shd w:val="clear" w:color="auto" w:fill="auto"/>
            <w:vAlign w:val="bottom"/>
          </w:tcPr>
          <w:p w14:paraId="66E08723"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94</w:t>
            </w:r>
          </w:p>
        </w:tc>
        <w:tc>
          <w:tcPr>
            <w:tcW w:w="1701" w:type="dxa"/>
            <w:shd w:val="clear" w:color="auto" w:fill="auto"/>
            <w:vAlign w:val="bottom"/>
          </w:tcPr>
          <w:p w14:paraId="4EAD2F2B"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107</w:t>
            </w:r>
          </w:p>
        </w:tc>
        <w:tc>
          <w:tcPr>
            <w:tcW w:w="991" w:type="dxa"/>
            <w:shd w:val="clear" w:color="auto" w:fill="auto"/>
            <w:vAlign w:val="bottom"/>
          </w:tcPr>
          <w:p w14:paraId="64F75C36"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98</w:t>
            </w:r>
          </w:p>
        </w:tc>
      </w:tr>
      <w:tr w:rsidR="000C2F85" w:rsidRPr="000C2F85" w14:paraId="52D31B50" w14:textId="77777777" w:rsidTr="0079644B">
        <w:trPr>
          <w:trHeight w:val="240"/>
        </w:trPr>
        <w:tc>
          <w:tcPr>
            <w:tcW w:w="3261" w:type="dxa"/>
            <w:shd w:val="clear" w:color="auto" w:fill="auto"/>
          </w:tcPr>
          <w:p w14:paraId="18946CCE" w14:textId="77777777" w:rsidR="000C2F85" w:rsidRPr="000C2F85" w:rsidRDefault="000C2F85" w:rsidP="000C2F85">
            <w:pPr>
              <w:pStyle w:val="SingleTxtG"/>
              <w:tabs>
                <w:tab w:val="clear" w:pos="1701"/>
                <w:tab w:val="clear" w:pos="2268"/>
                <w:tab w:val="clear" w:pos="2835"/>
              </w:tabs>
              <w:spacing w:before="40" w:after="40" w:line="220" w:lineRule="exact"/>
              <w:ind w:left="0" w:right="0"/>
              <w:jc w:val="left"/>
              <w:rPr>
                <w:sz w:val="18"/>
                <w:lang w:val="es-ES_tradnl"/>
              </w:rPr>
            </w:pPr>
            <w:r w:rsidRPr="000C2F85">
              <w:rPr>
                <w:sz w:val="18"/>
                <w:lang w:val="es-ES_tradnl"/>
              </w:rPr>
              <w:lastRenderedPageBreak/>
              <w:t>De 35 a 39 años</w:t>
            </w:r>
          </w:p>
        </w:tc>
        <w:tc>
          <w:tcPr>
            <w:tcW w:w="1417" w:type="dxa"/>
            <w:shd w:val="clear" w:color="auto" w:fill="auto"/>
            <w:vAlign w:val="bottom"/>
          </w:tcPr>
          <w:p w14:paraId="111EDDD4"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52</w:t>
            </w:r>
          </w:p>
        </w:tc>
        <w:tc>
          <w:tcPr>
            <w:tcW w:w="1701" w:type="dxa"/>
            <w:shd w:val="clear" w:color="auto" w:fill="auto"/>
            <w:vAlign w:val="bottom"/>
          </w:tcPr>
          <w:p w14:paraId="6830B577"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87</w:t>
            </w:r>
          </w:p>
        </w:tc>
        <w:tc>
          <w:tcPr>
            <w:tcW w:w="991" w:type="dxa"/>
            <w:shd w:val="clear" w:color="auto" w:fill="auto"/>
            <w:vAlign w:val="bottom"/>
          </w:tcPr>
          <w:p w14:paraId="2FAE7534"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62</w:t>
            </w:r>
          </w:p>
        </w:tc>
      </w:tr>
      <w:tr w:rsidR="000C2F85" w:rsidRPr="000C2F85" w14:paraId="6B1EE321" w14:textId="77777777" w:rsidTr="0079644B">
        <w:trPr>
          <w:trHeight w:val="240"/>
        </w:trPr>
        <w:tc>
          <w:tcPr>
            <w:tcW w:w="3261" w:type="dxa"/>
            <w:shd w:val="clear" w:color="auto" w:fill="auto"/>
          </w:tcPr>
          <w:p w14:paraId="07CBBA96" w14:textId="77777777" w:rsidR="000C2F85" w:rsidRPr="000C2F85" w:rsidRDefault="000C2F85" w:rsidP="000C2F85">
            <w:pPr>
              <w:pStyle w:val="SingleTxtG"/>
              <w:tabs>
                <w:tab w:val="clear" w:pos="1701"/>
                <w:tab w:val="clear" w:pos="2268"/>
                <w:tab w:val="clear" w:pos="2835"/>
              </w:tabs>
              <w:spacing w:before="40" w:after="40" w:line="220" w:lineRule="exact"/>
              <w:ind w:left="0" w:right="0"/>
              <w:jc w:val="left"/>
              <w:rPr>
                <w:sz w:val="18"/>
                <w:lang w:val="es-ES_tradnl"/>
              </w:rPr>
            </w:pPr>
            <w:r w:rsidRPr="000C2F85">
              <w:rPr>
                <w:sz w:val="18"/>
                <w:lang w:val="es-ES_tradnl"/>
              </w:rPr>
              <w:t>De 40 a 44 años</w:t>
            </w:r>
          </w:p>
        </w:tc>
        <w:tc>
          <w:tcPr>
            <w:tcW w:w="1417" w:type="dxa"/>
            <w:shd w:val="clear" w:color="auto" w:fill="auto"/>
            <w:vAlign w:val="bottom"/>
          </w:tcPr>
          <w:p w14:paraId="2DC1BCE6"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21</w:t>
            </w:r>
          </w:p>
        </w:tc>
        <w:tc>
          <w:tcPr>
            <w:tcW w:w="1701" w:type="dxa"/>
            <w:shd w:val="clear" w:color="auto" w:fill="auto"/>
            <w:vAlign w:val="bottom"/>
          </w:tcPr>
          <w:p w14:paraId="7C788411"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29</w:t>
            </w:r>
          </w:p>
        </w:tc>
        <w:tc>
          <w:tcPr>
            <w:tcW w:w="991" w:type="dxa"/>
            <w:shd w:val="clear" w:color="auto" w:fill="auto"/>
            <w:vAlign w:val="bottom"/>
          </w:tcPr>
          <w:p w14:paraId="366F6914"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23</w:t>
            </w:r>
          </w:p>
        </w:tc>
      </w:tr>
      <w:tr w:rsidR="000C2F85" w:rsidRPr="000C2F85" w14:paraId="13CD9217" w14:textId="77777777" w:rsidTr="0079644B">
        <w:trPr>
          <w:trHeight w:val="240"/>
        </w:trPr>
        <w:tc>
          <w:tcPr>
            <w:tcW w:w="3261" w:type="dxa"/>
            <w:shd w:val="clear" w:color="auto" w:fill="auto"/>
          </w:tcPr>
          <w:p w14:paraId="1AFC520A" w14:textId="77777777" w:rsidR="000C2F85" w:rsidRPr="000C2F85" w:rsidRDefault="000C2F85" w:rsidP="000C2F85">
            <w:pPr>
              <w:pStyle w:val="SingleTxtG"/>
              <w:tabs>
                <w:tab w:val="clear" w:pos="1701"/>
                <w:tab w:val="clear" w:pos="2268"/>
                <w:tab w:val="clear" w:pos="2835"/>
              </w:tabs>
              <w:spacing w:before="40" w:after="40" w:line="220" w:lineRule="exact"/>
              <w:ind w:left="0" w:right="0"/>
              <w:jc w:val="left"/>
              <w:rPr>
                <w:sz w:val="18"/>
                <w:lang w:val="es-ES_tradnl"/>
              </w:rPr>
            </w:pPr>
            <w:r w:rsidRPr="000C2F85">
              <w:rPr>
                <w:sz w:val="18"/>
                <w:lang w:val="es-ES_tradnl"/>
              </w:rPr>
              <w:t>De 45 a 49 años</w:t>
            </w:r>
          </w:p>
        </w:tc>
        <w:tc>
          <w:tcPr>
            <w:tcW w:w="1417" w:type="dxa"/>
            <w:shd w:val="clear" w:color="auto" w:fill="auto"/>
            <w:vAlign w:val="bottom"/>
          </w:tcPr>
          <w:p w14:paraId="5CE41695"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1</w:t>
            </w:r>
          </w:p>
        </w:tc>
        <w:tc>
          <w:tcPr>
            <w:tcW w:w="1701" w:type="dxa"/>
            <w:shd w:val="clear" w:color="auto" w:fill="auto"/>
            <w:vAlign w:val="bottom"/>
          </w:tcPr>
          <w:p w14:paraId="354340E0"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4</w:t>
            </w:r>
          </w:p>
        </w:tc>
        <w:tc>
          <w:tcPr>
            <w:tcW w:w="991" w:type="dxa"/>
            <w:shd w:val="clear" w:color="auto" w:fill="auto"/>
            <w:vAlign w:val="bottom"/>
          </w:tcPr>
          <w:p w14:paraId="701C96AE"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2</w:t>
            </w:r>
          </w:p>
        </w:tc>
      </w:tr>
      <w:tr w:rsidR="000C2F85" w:rsidRPr="000C2F85" w14:paraId="7519C64B" w14:textId="77777777" w:rsidTr="0079644B">
        <w:trPr>
          <w:trHeight w:val="240"/>
        </w:trPr>
        <w:tc>
          <w:tcPr>
            <w:tcW w:w="3261" w:type="dxa"/>
            <w:shd w:val="clear" w:color="auto" w:fill="auto"/>
          </w:tcPr>
          <w:p w14:paraId="506A4004" w14:textId="77777777" w:rsidR="000C2F85" w:rsidRPr="000C2F85" w:rsidRDefault="000C2F85" w:rsidP="000C2F85">
            <w:pPr>
              <w:pStyle w:val="SingleTxtG"/>
              <w:tabs>
                <w:tab w:val="clear" w:pos="1701"/>
                <w:tab w:val="clear" w:pos="2268"/>
                <w:tab w:val="clear" w:pos="2835"/>
              </w:tabs>
              <w:spacing w:before="40" w:after="40" w:line="220" w:lineRule="exact"/>
              <w:ind w:left="0" w:right="0"/>
              <w:jc w:val="left"/>
              <w:rPr>
                <w:sz w:val="18"/>
                <w:lang w:val="es-ES_tradnl"/>
              </w:rPr>
            </w:pPr>
            <w:r w:rsidRPr="000C2F85">
              <w:rPr>
                <w:sz w:val="18"/>
                <w:lang w:val="es-ES_tradnl"/>
              </w:rPr>
              <w:t>Tasa global de fecundidad (15 a 49 años)</w:t>
            </w:r>
          </w:p>
        </w:tc>
        <w:tc>
          <w:tcPr>
            <w:tcW w:w="1417" w:type="dxa"/>
            <w:shd w:val="clear" w:color="auto" w:fill="auto"/>
            <w:vAlign w:val="bottom"/>
          </w:tcPr>
          <w:p w14:paraId="1726B41F"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2,4</w:t>
            </w:r>
          </w:p>
        </w:tc>
        <w:tc>
          <w:tcPr>
            <w:tcW w:w="1701" w:type="dxa"/>
            <w:shd w:val="clear" w:color="auto" w:fill="auto"/>
            <w:vAlign w:val="bottom"/>
          </w:tcPr>
          <w:p w14:paraId="42D8B47F"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3,1</w:t>
            </w:r>
          </w:p>
        </w:tc>
        <w:tc>
          <w:tcPr>
            <w:tcW w:w="991" w:type="dxa"/>
            <w:shd w:val="clear" w:color="auto" w:fill="auto"/>
            <w:vAlign w:val="bottom"/>
          </w:tcPr>
          <w:p w14:paraId="0E913E90"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2,6</w:t>
            </w:r>
          </w:p>
        </w:tc>
      </w:tr>
      <w:tr w:rsidR="000C2F85" w:rsidRPr="000C2F85" w14:paraId="0F98B8AB" w14:textId="77777777" w:rsidTr="0079644B">
        <w:trPr>
          <w:trHeight w:val="240"/>
        </w:trPr>
        <w:tc>
          <w:tcPr>
            <w:tcW w:w="3261" w:type="dxa"/>
            <w:shd w:val="clear" w:color="auto" w:fill="auto"/>
          </w:tcPr>
          <w:p w14:paraId="78D91CFC" w14:textId="77777777" w:rsidR="000C2F85" w:rsidRPr="000C2F85" w:rsidRDefault="000C2F85" w:rsidP="000C2F85">
            <w:pPr>
              <w:pStyle w:val="SingleTxtG"/>
              <w:tabs>
                <w:tab w:val="clear" w:pos="1701"/>
                <w:tab w:val="clear" w:pos="2268"/>
                <w:tab w:val="clear" w:pos="2835"/>
              </w:tabs>
              <w:spacing w:before="40" w:after="40" w:line="220" w:lineRule="exact"/>
              <w:ind w:left="0" w:right="0"/>
              <w:jc w:val="left"/>
              <w:rPr>
                <w:sz w:val="18"/>
                <w:lang w:val="es-ES_tradnl"/>
              </w:rPr>
            </w:pPr>
            <w:r w:rsidRPr="000C2F85">
              <w:rPr>
                <w:sz w:val="18"/>
                <w:lang w:val="es-ES_tradnl"/>
              </w:rPr>
              <w:t>Tasa general de fecundidad (15 a 44 años)</w:t>
            </w:r>
          </w:p>
        </w:tc>
        <w:tc>
          <w:tcPr>
            <w:tcW w:w="1417" w:type="dxa"/>
            <w:shd w:val="clear" w:color="auto" w:fill="auto"/>
            <w:vAlign w:val="bottom"/>
          </w:tcPr>
          <w:p w14:paraId="3C39E58F"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87</w:t>
            </w:r>
          </w:p>
        </w:tc>
        <w:tc>
          <w:tcPr>
            <w:tcW w:w="1701" w:type="dxa"/>
            <w:shd w:val="clear" w:color="auto" w:fill="auto"/>
            <w:vAlign w:val="bottom"/>
          </w:tcPr>
          <w:p w14:paraId="14287C17"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109</w:t>
            </w:r>
          </w:p>
        </w:tc>
        <w:tc>
          <w:tcPr>
            <w:tcW w:w="991" w:type="dxa"/>
            <w:shd w:val="clear" w:color="auto" w:fill="auto"/>
            <w:vAlign w:val="bottom"/>
          </w:tcPr>
          <w:p w14:paraId="702D295D"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94</w:t>
            </w:r>
          </w:p>
        </w:tc>
      </w:tr>
      <w:tr w:rsidR="000C2F85" w:rsidRPr="000C2F85" w14:paraId="2ADDDBD6" w14:textId="77777777" w:rsidTr="0079644B">
        <w:trPr>
          <w:trHeight w:val="240"/>
        </w:trPr>
        <w:tc>
          <w:tcPr>
            <w:tcW w:w="3261" w:type="dxa"/>
            <w:shd w:val="clear" w:color="auto" w:fill="auto"/>
          </w:tcPr>
          <w:p w14:paraId="70F1308A" w14:textId="77777777" w:rsidR="000C2F85" w:rsidRPr="000C2F85" w:rsidRDefault="000C2F85" w:rsidP="000C2F85">
            <w:pPr>
              <w:pStyle w:val="SingleTxtG"/>
              <w:tabs>
                <w:tab w:val="clear" w:pos="1701"/>
                <w:tab w:val="clear" w:pos="2268"/>
                <w:tab w:val="clear" w:pos="2835"/>
              </w:tabs>
              <w:spacing w:before="40" w:after="40" w:line="220" w:lineRule="exact"/>
              <w:ind w:left="0" w:right="0"/>
              <w:jc w:val="left"/>
              <w:rPr>
                <w:sz w:val="18"/>
                <w:lang w:val="es-ES_tradnl"/>
              </w:rPr>
            </w:pPr>
            <w:r w:rsidRPr="000C2F85">
              <w:rPr>
                <w:sz w:val="18"/>
                <w:lang w:val="es-ES_tradnl"/>
              </w:rPr>
              <w:t>Tasa general de fecundidad (15 a 49 años)</w:t>
            </w:r>
          </w:p>
        </w:tc>
        <w:tc>
          <w:tcPr>
            <w:tcW w:w="1417" w:type="dxa"/>
            <w:shd w:val="clear" w:color="auto" w:fill="auto"/>
            <w:vAlign w:val="bottom"/>
          </w:tcPr>
          <w:p w14:paraId="6FE015B7"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80</w:t>
            </w:r>
          </w:p>
        </w:tc>
        <w:tc>
          <w:tcPr>
            <w:tcW w:w="1701" w:type="dxa"/>
            <w:shd w:val="clear" w:color="auto" w:fill="auto"/>
            <w:vAlign w:val="bottom"/>
          </w:tcPr>
          <w:p w14:paraId="02AE09CA"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101</w:t>
            </w:r>
          </w:p>
        </w:tc>
        <w:tc>
          <w:tcPr>
            <w:tcW w:w="991" w:type="dxa"/>
            <w:shd w:val="clear" w:color="auto" w:fill="auto"/>
            <w:vAlign w:val="bottom"/>
          </w:tcPr>
          <w:p w14:paraId="69BA4B0B"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87</w:t>
            </w:r>
          </w:p>
        </w:tc>
      </w:tr>
      <w:tr w:rsidR="000C2F85" w:rsidRPr="000C2F85" w14:paraId="55BDF403" w14:textId="77777777" w:rsidTr="0079644B">
        <w:trPr>
          <w:trHeight w:val="240"/>
        </w:trPr>
        <w:tc>
          <w:tcPr>
            <w:tcW w:w="3261" w:type="dxa"/>
            <w:tcBorders>
              <w:bottom w:val="single" w:sz="12" w:space="0" w:color="auto"/>
            </w:tcBorders>
            <w:shd w:val="clear" w:color="auto" w:fill="auto"/>
          </w:tcPr>
          <w:p w14:paraId="1C476E5F" w14:textId="77777777" w:rsidR="000C2F85" w:rsidRPr="000C2F85" w:rsidRDefault="000C2F85" w:rsidP="000C2F85">
            <w:pPr>
              <w:pStyle w:val="SingleTxtG"/>
              <w:tabs>
                <w:tab w:val="clear" w:pos="1701"/>
                <w:tab w:val="clear" w:pos="2268"/>
                <w:tab w:val="clear" w:pos="2835"/>
              </w:tabs>
              <w:spacing w:before="40" w:after="40" w:line="220" w:lineRule="exact"/>
              <w:ind w:left="0" w:right="0"/>
              <w:jc w:val="left"/>
              <w:rPr>
                <w:sz w:val="18"/>
                <w:lang w:val="es-ES_tradnl"/>
              </w:rPr>
            </w:pPr>
            <w:r w:rsidRPr="000C2F85">
              <w:rPr>
                <w:sz w:val="18"/>
                <w:lang w:val="es-ES_tradnl"/>
              </w:rPr>
              <w:t>Tasa bruta de natalidad</w:t>
            </w:r>
          </w:p>
        </w:tc>
        <w:tc>
          <w:tcPr>
            <w:tcW w:w="1417" w:type="dxa"/>
            <w:tcBorders>
              <w:bottom w:val="single" w:sz="12" w:space="0" w:color="auto"/>
            </w:tcBorders>
            <w:shd w:val="clear" w:color="auto" w:fill="auto"/>
            <w:vAlign w:val="bottom"/>
          </w:tcPr>
          <w:p w14:paraId="7B61ECE1"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21,9</w:t>
            </w:r>
          </w:p>
        </w:tc>
        <w:tc>
          <w:tcPr>
            <w:tcW w:w="1701" w:type="dxa"/>
            <w:tcBorders>
              <w:bottom w:val="single" w:sz="12" w:space="0" w:color="auto"/>
            </w:tcBorders>
            <w:shd w:val="clear" w:color="auto" w:fill="auto"/>
            <w:vAlign w:val="bottom"/>
          </w:tcPr>
          <w:p w14:paraId="76C960AE"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23,1</w:t>
            </w:r>
          </w:p>
        </w:tc>
        <w:tc>
          <w:tcPr>
            <w:tcW w:w="991" w:type="dxa"/>
            <w:tcBorders>
              <w:bottom w:val="single" w:sz="12" w:space="0" w:color="auto"/>
            </w:tcBorders>
            <w:shd w:val="clear" w:color="auto" w:fill="auto"/>
            <w:vAlign w:val="bottom"/>
          </w:tcPr>
          <w:p w14:paraId="268EF79C" w14:textId="77777777" w:rsidR="000C2F85" w:rsidRPr="000C2F85" w:rsidRDefault="000C2F85" w:rsidP="0079644B">
            <w:pPr>
              <w:pStyle w:val="SingleTxtG"/>
              <w:tabs>
                <w:tab w:val="clear" w:pos="1701"/>
                <w:tab w:val="clear" w:pos="2268"/>
                <w:tab w:val="clear" w:pos="2835"/>
              </w:tabs>
              <w:spacing w:before="40" w:after="40" w:line="220" w:lineRule="exact"/>
              <w:ind w:left="57" w:right="28"/>
              <w:jc w:val="right"/>
              <w:rPr>
                <w:sz w:val="18"/>
                <w:lang w:val="es-ES_tradnl"/>
              </w:rPr>
            </w:pPr>
            <w:r w:rsidRPr="000C2F85">
              <w:rPr>
                <w:sz w:val="18"/>
                <w:lang w:val="es-ES_tradnl"/>
              </w:rPr>
              <w:t>22,3</w:t>
            </w:r>
          </w:p>
        </w:tc>
      </w:tr>
    </w:tbl>
    <w:p w14:paraId="7346F6D8" w14:textId="77777777" w:rsidR="000C2F85" w:rsidRPr="0079644B" w:rsidRDefault="000C2F85" w:rsidP="0079644B">
      <w:pPr>
        <w:pStyle w:val="SingleTxtG"/>
        <w:spacing w:before="120" w:after="0"/>
        <w:ind w:firstLine="170"/>
        <w:jc w:val="left"/>
        <w:rPr>
          <w:sz w:val="18"/>
          <w:szCs w:val="18"/>
          <w:lang w:val="es-ES_tradnl"/>
        </w:rPr>
      </w:pPr>
      <w:r w:rsidRPr="0079644B">
        <w:rPr>
          <w:i/>
          <w:iCs/>
          <w:sz w:val="18"/>
          <w:szCs w:val="18"/>
          <w:lang w:val="es-ES_tradnl"/>
        </w:rPr>
        <w:t>Notas:</w:t>
      </w:r>
      <w:r w:rsidRPr="0079644B">
        <w:rPr>
          <w:sz w:val="18"/>
          <w:szCs w:val="18"/>
          <w:lang w:val="es-ES_tradnl"/>
        </w:rPr>
        <w:t xml:space="preserve"> Las tasas de fecundidad por edad son por cada 1.000 mujeres. Las tasas correspondientes al grupo de edad de 45 a 49 años podrían tener un leve sesgo debido al truncamiento. Las tasas corresponden al período comprendido entre 1 y 36 meses antes de la entrevista.</w:t>
      </w:r>
    </w:p>
    <w:p w14:paraId="0478C1EC" w14:textId="77777777" w:rsidR="000C2F85" w:rsidRPr="0079644B" w:rsidRDefault="000C2F85" w:rsidP="0079644B">
      <w:pPr>
        <w:pStyle w:val="SingleTxtG"/>
        <w:spacing w:after="0"/>
        <w:ind w:firstLine="170"/>
        <w:jc w:val="left"/>
        <w:rPr>
          <w:sz w:val="18"/>
          <w:szCs w:val="18"/>
          <w:lang w:val="es-ES_tradnl"/>
        </w:rPr>
      </w:pPr>
      <w:r w:rsidRPr="0079644B">
        <w:rPr>
          <w:sz w:val="18"/>
          <w:szCs w:val="18"/>
          <w:lang w:val="es-ES_tradnl"/>
        </w:rPr>
        <w:t>La tasa global de fecundidad se indica por mujer.</w:t>
      </w:r>
    </w:p>
    <w:p w14:paraId="27B41B2E" w14:textId="77777777" w:rsidR="000C2F85" w:rsidRPr="0079644B" w:rsidRDefault="000C2F85" w:rsidP="0079644B">
      <w:pPr>
        <w:pStyle w:val="SingleTxtG"/>
        <w:spacing w:after="0"/>
        <w:ind w:firstLine="170"/>
        <w:jc w:val="left"/>
        <w:rPr>
          <w:sz w:val="18"/>
          <w:szCs w:val="18"/>
          <w:lang w:val="es-ES_tradnl"/>
        </w:rPr>
      </w:pPr>
      <w:r w:rsidRPr="0079644B">
        <w:rPr>
          <w:sz w:val="18"/>
          <w:szCs w:val="18"/>
          <w:lang w:val="es-ES_tradnl"/>
        </w:rPr>
        <w:t>La tasa general de fecundidad se consigna por cada 1.000 mujeres de 15 a 44 años de edad o por cada 1.000 mujeres de 15 años a 49 años de edad.</w:t>
      </w:r>
    </w:p>
    <w:p w14:paraId="43838023" w14:textId="77777777" w:rsidR="000C2F85" w:rsidRPr="0079644B" w:rsidRDefault="000C2F85" w:rsidP="0079644B">
      <w:pPr>
        <w:pStyle w:val="SingleTxtG"/>
        <w:spacing w:after="240"/>
        <w:ind w:firstLine="170"/>
        <w:jc w:val="left"/>
        <w:rPr>
          <w:sz w:val="18"/>
          <w:szCs w:val="18"/>
          <w:lang w:val="es-ES_tradnl"/>
        </w:rPr>
      </w:pPr>
      <w:r w:rsidRPr="0079644B">
        <w:rPr>
          <w:sz w:val="18"/>
          <w:szCs w:val="18"/>
          <w:lang w:val="es-ES_tradnl"/>
        </w:rPr>
        <w:t>La tasa bruta de natalidad se indica por cada 1.000 personas.</w:t>
      </w:r>
    </w:p>
    <w:p w14:paraId="26D7A30C" w14:textId="698D03DC" w:rsidR="000C2F85" w:rsidRPr="000C2F85" w:rsidRDefault="000C2F85" w:rsidP="000C2F85">
      <w:pPr>
        <w:pStyle w:val="SingleTxtG"/>
        <w:rPr>
          <w:lang w:val="es-ES_tradnl"/>
        </w:rPr>
      </w:pPr>
      <w:r w:rsidRPr="000C2F85">
        <w:rPr>
          <w:lang w:val="es-ES_tradnl"/>
        </w:rPr>
        <w:t>5.</w:t>
      </w:r>
      <w:r w:rsidRPr="000C2F85">
        <w:rPr>
          <w:lang w:val="es-ES_tradnl"/>
        </w:rPr>
        <w:tab/>
        <w:t>El Plan Nacional de Desarrollo aprobado por Sudáfrica prevé una esperanza de vida de al menos 70 años, que la población menor de 20 años esté en gran medida libre del VIH, una reducción del 28 % de las enfermedades no transmisibles, una reducción del 50 % de las lesiones, los accidentes y los actos de violencia, una tasa de mortalidad de los niños menores de 1 año de 20 por cada 1.000 nacidos vivos, una tasa de mortalidad de los niños menores de 5 años inferior a 30 por cada 1.000 nacidos vivos, una tasa de mortalidad materna inferior a 100 por cada 100.000 nacidos vivos y una lucha contra las epidemias de tuberculosis y del VIH/sida hasta 2030</w:t>
      </w:r>
      <w:r w:rsidRPr="00605B48">
        <w:rPr>
          <w:sz w:val="18"/>
          <w:szCs w:val="18"/>
          <w:vertAlign w:val="superscript"/>
          <w:lang w:val="es-ES_tradnl"/>
        </w:rPr>
        <w:footnoteReference w:id="10"/>
      </w:r>
      <w:r w:rsidRPr="000C2F85">
        <w:rPr>
          <w:lang w:val="es-ES_tradnl"/>
        </w:rPr>
        <w:t xml:space="preserve">. La </w:t>
      </w:r>
      <w:r w:rsidR="0091550D">
        <w:rPr>
          <w:lang w:val="es-ES_tradnl"/>
        </w:rPr>
        <w:t>“</w:t>
      </w:r>
      <w:r w:rsidRPr="000C2F85">
        <w:rPr>
          <w:lang w:val="es-ES_tradnl"/>
        </w:rPr>
        <w:t>atención sanitaria para todos</w:t>
      </w:r>
      <w:r w:rsidR="0091550D">
        <w:rPr>
          <w:lang w:val="es-ES_tradnl"/>
        </w:rPr>
        <w:t>”</w:t>
      </w:r>
      <w:r w:rsidRPr="000C2F85">
        <w:rPr>
          <w:lang w:val="es-ES_tradnl"/>
        </w:rPr>
        <w:t xml:space="preserve"> es uno de los principales objetivos de desarrollo enunciados en el Plan Nacional de Desarrollo y figura entre los compromisos relativos al logro de la cobertura sanitaria universal. Sudáfrica adoptó los Objetivos de Desarrollo Sostenible (ODS), que también tienen como finalidad no dejar a nadie atrás en el ámbito de la salud. Sudáfrica está haciendo importantes progresos en la consecución de las metas establecidas en el Plan Nacional de Desarrollo en relación con la esperanza de vida, la mortalidad de niños menores de 5 años, la mortalidad neonatal y de niños menores de 1 año y las tasas de mortalidad materna. Los indicadores demográficos completos para el período comprendido entre 2002 y 2017 se consignan en el cuadro que figura a continuación.</w:t>
      </w:r>
    </w:p>
    <w:p w14:paraId="3996BF27" w14:textId="489C04FB" w:rsidR="000C2F85" w:rsidRPr="000C2F85" w:rsidRDefault="0079644B" w:rsidP="0079644B">
      <w:pPr>
        <w:pStyle w:val="H23G"/>
        <w:rPr>
          <w:vertAlign w:val="superscript"/>
          <w:lang w:val="es-ES_tradnl"/>
        </w:rPr>
      </w:pPr>
      <w:r w:rsidRPr="0079644B">
        <w:rPr>
          <w:b w:val="0"/>
          <w:bCs/>
          <w:lang w:val="es-ES_tradnl"/>
        </w:rPr>
        <w:lastRenderedPageBreak/>
        <w:tab/>
      </w:r>
      <w:r w:rsidR="000C2F85" w:rsidRPr="0079644B">
        <w:rPr>
          <w:b w:val="0"/>
          <w:bCs/>
          <w:lang w:val="es-ES_tradnl"/>
        </w:rPr>
        <w:tab/>
        <w:t>Cuadro 4</w:t>
      </w:r>
      <w:r w:rsidR="000C2F85" w:rsidRPr="0079644B">
        <w:rPr>
          <w:b w:val="0"/>
          <w:bCs/>
          <w:lang w:val="es-ES_tradnl"/>
        </w:rPr>
        <w:br/>
      </w:r>
      <w:r w:rsidR="000C2F85" w:rsidRPr="000C2F85">
        <w:rPr>
          <w:lang w:val="es-ES_tradnl"/>
        </w:rPr>
        <w:t>Indicadores demográficos 2002-2017</w:t>
      </w:r>
      <w:r w:rsidR="000C2F85" w:rsidRPr="00605B48">
        <w:rPr>
          <w:b w:val="0"/>
          <w:sz w:val="18"/>
          <w:szCs w:val="18"/>
          <w:vertAlign w:val="superscript"/>
          <w:lang w:val="es-ES_tradnl"/>
        </w:rPr>
        <w:footnoteReference w:id="11"/>
      </w:r>
    </w:p>
    <w:p w14:paraId="6730130F" w14:textId="77777777" w:rsidR="000C2F85" w:rsidRPr="000C2F85" w:rsidRDefault="000C2F85" w:rsidP="000C2F85">
      <w:pPr>
        <w:pStyle w:val="SingleTxtG"/>
        <w:rPr>
          <w:bCs/>
          <w:lang w:val="es-ES_tradnl"/>
        </w:rPr>
      </w:pPr>
      <w:r w:rsidRPr="000C2F85">
        <w:rPr>
          <w:bCs/>
          <w:noProof/>
          <w:lang w:val="es-ES_tradnl"/>
        </w:rPr>
        <w:drawing>
          <wp:inline distT="0" distB="0" distL="0" distR="0" wp14:anchorId="0AD36674" wp14:editId="512696C2">
            <wp:extent cx="5341768" cy="36462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9865" cy="3651750"/>
                    </a:xfrm>
                    <a:prstGeom prst="rect">
                      <a:avLst/>
                    </a:prstGeom>
                    <a:noFill/>
                    <a:ln>
                      <a:noFill/>
                    </a:ln>
                  </pic:spPr>
                </pic:pic>
              </a:graphicData>
            </a:graphic>
          </wp:inline>
        </w:drawing>
      </w:r>
    </w:p>
    <w:p w14:paraId="3A5802C3" w14:textId="77777777" w:rsidR="000C2F85" w:rsidRPr="000C2F85" w:rsidRDefault="000C2F85" w:rsidP="0079644B">
      <w:pPr>
        <w:pStyle w:val="SingleTxtG"/>
        <w:spacing w:before="240"/>
        <w:rPr>
          <w:lang w:val="es-ES_tradnl"/>
        </w:rPr>
      </w:pPr>
      <w:r w:rsidRPr="000C2F85">
        <w:rPr>
          <w:lang w:val="es-ES_tradnl"/>
        </w:rPr>
        <w:t>6.</w:t>
      </w:r>
      <w:r w:rsidRPr="000C2F85">
        <w:rPr>
          <w:lang w:val="es-ES_tradnl"/>
        </w:rPr>
        <w:tab/>
        <w:t>La tasa estimada de crecimiento anual de la población entre 2002 y 2017 se indica en el cuadro que figura a continuación.</w:t>
      </w:r>
    </w:p>
    <w:p w14:paraId="5D6EC449" w14:textId="07BA50DC" w:rsidR="000C2F85" w:rsidRPr="00DD49CD" w:rsidRDefault="0079644B" w:rsidP="0079644B">
      <w:pPr>
        <w:pStyle w:val="H23G"/>
        <w:rPr>
          <w:b w:val="0"/>
          <w:bCs/>
          <w:lang w:val="es-ES_tradnl"/>
        </w:rPr>
      </w:pPr>
      <w:r w:rsidRPr="0079644B">
        <w:rPr>
          <w:b w:val="0"/>
          <w:bCs/>
          <w:lang w:val="es-ES_tradnl"/>
        </w:rPr>
        <w:tab/>
      </w:r>
      <w:r w:rsidR="000C2F85" w:rsidRPr="0079644B">
        <w:rPr>
          <w:b w:val="0"/>
          <w:bCs/>
          <w:lang w:val="es-ES_tradnl"/>
        </w:rPr>
        <w:tab/>
        <w:t xml:space="preserve">Cuadro 5 </w:t>
      </w:r>
      <w:r w:rsidR="000C2F85" w:rsidRPr="0079644B">
        <w:rPr>
          <w:b w:val="0"/>
          <w:bCs/>
          <w:lang w:val="es-ES_tradnl"/>
        </w:rPr>
        <w:br/>
      </w:r>
      <w:r w:rsidR="000C2F85" w:rsidRPr="000C2F85">
        <w:rPr>
          <w:lang w:val="es-ES_tradnl"/>
        </w:rPr>
        <w:t>Tasa estimada de crecimiento anual de la población (2002-2017)</w:t>
      </w:r>
      <w:r w:rsidR="000C2F85" w:rsidRPr="00605B48">
        <w:rPr>
          <w:b w:val="0"/>
          <w:sz w:val="18"/>
          <w:szCs w:val="18"/>
          <w:vertAlign w:val="superscript"/>
          <w:lang w:val="es-ES_tradnl"/>
        </w:rPr>
        <w:footnoteReference w:id="12"/>
      </w:r>
    </w:p>
    <w:p w14:paraId="7D6D0F5D" w14:textId="77777777" w:rsidR="000C2F85" w:rsidRPr="000C2F85" w:rsidRDefault="000C2F85" w:rsidP="000C2F85">
      <w:pPr>
        <w:pStyle w:val="SingleTxtG"/>
        <w:rPr>
          <w:bCs/>
          <w:lang w:val="es-ES_tradnl"/>
        </w:rPr>
      </w:pPr>
      <w:r w:rsidRPr="000C2F85">
        <w:rPr>
          <w:bCs/>
          <w:noProof/>
          <w:lang w:val="es-ES_tradnl"/>
        </w:rPr>
        <w:drawing>
          <wp:inline distT="0" distB="0" distL="0" distR="0" wp14:anchorId="179EBFE7" wp14:editId="4034BA63">
            <wp:extent cx="5394325" cy="32787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4325" cy="3278777"/>
                    </a:xfrm>
                    <a:prstGeom prst="rect">
                      <a:avLst/>
                    </a:prstGeom>
                    <a:noFill/>
                    <a:ln>
                      <a:noFill/>
                    </a:ln>
                  </pic:spPr>
                </pic:pic>
              </a:graphicData>
            </a:graphic>
          </wp:inline>
        </w:drawing>
      </w:r>
    </w:p>
    <w:p w14:paraId="5BF363BC" w14:textId="77777777" w:rsidR="000C2F85" w:rsidRPr="000C2F85" w:rsidRDefault="000C2F85" w:rsidP="000C2F85">
      <w:pPr>
        <w:pStyle w:val="SingleTxtG"/>
        <w:rPr>
          <w:lang w:val="es-ES_tradnl"/>
        </w:rPr>
      </w:pPr>
      <w:r w:rsidRPr="000C2F85">
        <w:rPr>
          <w:lang w:val="es-ES_tradnl"/>
        </w:rPr>
        <w:lastRenderedPageBreak/>
        <w:t>7.</w:t>
      </w:r>
      <w:r w:rsidRPr="000C2F85">
        <w:rPr>
          <w:lang w:val="es-ES_tradnl"/>
        </w:rPr>
        <w:tab/>
        <w:t>Las diez principales causas de muerte natural para el período comprendido entre 2014 y 2016 se indican en el cuadro que figura a continuación.</w:t>
      </w:r>
    </w:p>
    <w:p w14:paraId="2346145E" w14:textId="7FECC856" w:rsidR="000C2F85" w:rsidRPr="00DD49CD" w:rsidRDefault="000C2F85" w:rsidP="0079644B">
      <w:pPr>
        <w:pStyle w:val="H23G"/>
        <w:ind w:left="0" w:firstLine="0"/>
        <w:rPr>
          <w:b w:val="0"/>
          <w:bCs/>
          <w:lang w:val="es-ES_tradnl"/>
        </w:rPr>
      </w:pPr>
      <w:r w:rsidRPr="0079644B">
        <w:rPr>
          <w:b w:val="0"/>
          <w:bCs/>
          <w:lang w:val="es-ES_tradnl"/>
        </w:rPr>
        <w:t>Cuadro 6</w:t>
      </w:r>
      <w:r w:rsidR="0079644B" w:rsidRPr="0079644B">
        <w:rPr>
          <w:b w:val="0"/>
          <w:bCs/>
          <w:lang w:val="es-ES_tradnl"/>
        </w:rPr>
        <w:br/>
      </w:r>
      <w:r w:rsidRPr="000C2F85">
        <w:rPr>
          <w:lang w:val="es-ES_tradnl"/>
        </w:rPr>
        <w:t>Diez causas principales de muerte natural, 2014-2016</w:t>
      </w:r>
      <w:r w:rsidRPr="00605B48">
        <w:rPr>
          <w:b w:val="0"/>
          <w:sz w:val="18"/>
          <w:szCs w:val="18"/>
          <w:vertAlign w:val="superscript"/>
          <w:lang w:val="es-ES_tradnl"/>
        </w:rPr>
        <w:footnoteReference w:id="13"/>
      </w:r>
    </w:p>
    <w:tbl>
      <w:tblPr>
        <w:tblW w:w="9639" w:type="dxa"/>
        <w:tblBorders>
          <w:top w:val="single" w:sz="4" w:space="0" w:color="auto"/>
        </w:tblBorders>
        <w:tblLayout w:type="fixed"/>
        <w:tblCellMar>
          <w:left w:w="0" w:type="dxa"/>
          <w:right w:w="0" w:type="dxa"/>
        </w:tblCellMar>
        <w:tblLook w:val="00A0" w:firstRow="1" w:lastRow="0" w:firstColumn="1" w:lastColumn="0" w:noHBand="0" w:noVBand="0"/>
      </w:tblPr>
      <w:tblGrid>
        <w:gridCol w:w="3119"/>
        <w:gridCol w:w="709"/>
        <w:gridCol w:w="708"/>
        <w:gridCol w:w="851"/>
        <w:gridCol w:w="567"/>
        <w:gridCol w:w="709"/>
        <w:gridCol w:w="850"/>
        <w:gridCol w:w="567"/>
        <w:gridCol w:w="739"/>
        <w:gridCol w:w="820"/>
      </w:tblGrid>
      <w:tr w:rsidR="0079644B" w:rsidRPr="0079644B" w14:paraId="07AC077B" w14:textId="77777777" w:rsidTr="0079644B">
        <w:trPr>
          <w:trHeight w:val="240"/>
          <w:tblHeader/>
        </w:trPr>
        <w:tc>
          <w:tcPr>
            <w:tcW w:w="3119" w:type="dxa"/>
            <w:vMerge w:val="restart"/>
            <w:tcBorders>
              <w:top w:val="single" w:sz="4" w:space="0" w:color="auto"/>
              <w:bottom w:val="single" w:sz="4" w:space="0" w:color="auto"/>
            </w:tcBorders>
            <w:shd w:val="clear" w:color="auto" w:fill="auto"/>
            <w:vAlign w:val="bottom"/>
          </w:tcPr>
          <w:p w14:paraId="5288114B" w14:textId="487AC2ED" w:rsidR="0079644B" w:rsidRPr="0079644B" w:rsidRDefault="0079644B" w:rsidP="0079644B">
            <w:pPr>
              <w:pStyle w:val="SingleTxtG"/>
              <w:spacing w:before="80" w:after="80" w:line="200" w:lineRule="exact"/>
              <w:ind w:left="0" w:right="0"/>
              <w:jc w:val="left"/>
              <w:rPr>
                <w:i/>
                <w:sz w:val="16"/>
                <w:lang w:val="es-ES_tradnl"/>
              </w:rPr>
            </w:pPr>
            <w:r w:rsidRPr="0079644B">
              <w:rPr>
                <w:i/>
                <w:sz w:val="16"/>
                <w:lang w:val="es-ES_tradnl"/>
              </w:rPr>
              <w:t>Causas de muerte (según la Clasificación Internacional de Enfermedades (CIE)-10)</w:t>
            </w:r>
          </w:p>
        </w:tc>
        <w:tc>
          <w:tcPr>
            <w:tcW w:w="2268" w:type="dxa"/>
            <w:gridSpan w:val="3"/>
            <w:tcBorders>
              <w:top w:val="single" w:sz="4" w:space="0" w:color="auto"/>
              <w:bottom w:val="single" w:sz="4" w:space="0" w:color="auto"/>
              <w:right w:val="single" w:sz="24" w:space="0" w:color="FFFFFF" w:themeColor="background1"/>
            </w:tcBorders>
            <w:shd w:val="clear" w:color="auto" w:fill="auto"/>
            <w:vAlign w:val="bottom"/>
          </w:tcPr>
          <w:p w14:paraId="490C5E76" w14:textId="77777777" w:rsidR="0079644B" w:rsidRPr="0079644B" w:rsidRDefault="0079644B" w:rsidP="0079644B">
            <w:pPr>
              <w:pStyle w:val="SingleTxtG"/>
              <w:tabs>
                <w:tab w:val="clear" w:pos="1701"/>
                <w:tab w:val="clear" w:pos="2268"/>
                <w:tab w:val="clear" w:pos="2835"/>
              </w:tabs>
              <w:spacing w:before="80" w:after="80" w:line="200" w:lineRule="exact"/>
              <w:ind w:left="0" w:right="0"/>
              <w:jc w:val="center"/>
              <w:rPr>
                <w:i/>
                <w:sz w:val="16"/>
                <w:lang w:val="es-ES_tradnl"/>
              </w:rPr>
            </w:pPr>
            <w:r w:rsidRPr="0079644B">
              <w:rPr>
                <w:i/>
                <w:iCs/>
                <w:sz w:val="16"/>
                <w:lang w:val="es-ES_tradnl"/>
              </w:rPr>
              <w:t>2014</w:t>
            </w:r>
          </w:p>
        </w:tc>
        <w:tc>
          <w:tcPr>
            <w:tcW w:w="2126"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7A90A423" w14:textId="77777777" w:rsidR="0079644B" w:rsidRPr="0079644B" w:rsidRDefault="0079644B" w:rsidP="0079644B">
            <w:pPr>
              <w:pStyle w:val="SingleTxtG"/>
              <w:tabs>
                <w:tab w:val="clear" w:pos="1701"/>
                <w:tab w:val="clear" w:pos="2268"/>
                <w:tab w:val="clear" w:pos="2835"/>
              </w:tabs>
              <w:spacing w:before="80" w:after="80" w:line="200" w:lineRule="exact"/>
              <w:ind w:left="0" w:right="0"/>
              <w:jc w:val="center"/>
              <w:rPr>
                <w:i/>
                <w:sz w:val="16"/>
                <w:lang w:val="es-ES_tradnl"/>
              </w:rPr>
            </w:pPr>
            <w:r w:rsidRPr="0079644B">
              <w:rPr>
                <w:i/>
                <w:iCs/>
                <w:sz w:val="16"/>
                <w:lang w:val="es-ES_tradnl"/>
              </w:rPr>
              <w:t>2015</w:t>
            </w:r>
          </w:p>
        </w:tc>
        <w:tc>
          <w:tcPr>
            <w:tcW w:w="2126" w:type="dxa"/>
            <w:gridSpan w:val="3"/>
            <w:tcBorders>
              <w:top w:val="single" w:sz="4" w:space="0" w:color="auto"/>
              <w:left w:val="single" w:sz="24" w:space="0" w:color="FFFFFF" w:themeColor="background1"/>
              <w:bottom w:val="single" w:sz="4" w:space="0" w:color="auto"/>
            </w:tcBorders>
            <w:shd w:val="clear" w:color="auto" w:fill="auto"/>
            <w:vAlign w:val="bottom"/>
          </w:tcPr>
          <w:p w14:paraId="19F5D9AA" w14:textId="77777777" w:rsidR="0079644B" w:rsidRPr="0079644B" w:rsidRDefault="0079644B" w:rsidP="0079644B">
            <w:pPr>
              <w:pStyle w:val="SingleTxtG"/>
              <w:tabs>
                <w:tab w:val="clear" w:pos="1701"/>
                <w:tab w:val="clear" w:pos="2268"/>
                <w:tab w:val="clear" w:pos="2835"/>
              </w:tabs>
              <w:spacing w:before="80" w:after="80" w:line="200" w:lineRule="exact"/>
              <w:ind w:left="0" w:right="0"/>
              <w:jc w:val="center"/>
              <w:rPr>
                <w:i/>
                <w:sz w:val="16"/>
                <w:lang w:val="es-ES_tradnl"/>
              </w:rPr>
            </w:pPr>
            <w:r w:rsidRPr="0079644B">
              <w:rPr>
                <w:i/>
                <w:iCs/>
                <w:sz w:val="16"/>
                <w:lang w:val="es-ES_tradnl"/>
              </w:rPr>
              <w:t>2016</w:t>
            </w:r>
          </w:p>
        </w:tc>
      </w:tr>
      <w:tr w:rsidR="0079644B" w:rsidRPr="0079644B" w14:paraId="50983F3E" w14:textId="77777777" w:rsidTr="0079644B">
        <w:trPr>
          <w:trHeight w:val="240"/>
          <w:tblHeader/>
        </w:trPr>
        <w:tc>
          <w:tcPr>
            <w:tcW w:w="3119" w:type="dxa"/>
            <w:vMerge/>
            <w:tcBorders>
              <w:top w:val="single" w:sz="4" w:space="0" w:color="auto"/>
              <w:bottom w:val="single" w:sz="12" w:space="0" w:color="auto"/>
            </w:tcBorders>
            <w:shd w:val="clear" w:color="auto" w:fill="auto"/>
          </w:tcPr>
          <w:p w14:paraId="6DA7C06A" w14:textId="37941F1F" w:rsidR="0079644B" w:rsidRPr="0079644B" w:rsidRDefault="0079644B" w:rsidP="0079644B">
            <w:pPr>
              <w:pStyle w:val="SingleTxtG"/>
              <w:tabs>
                <w:tab w:val="clear" w:pos="1701"/>
                <w:tab w:val="clear" w:pos="2268"/>
                <w:tab w:val="clear" w:pos="2835"/>
              </w:tabs>
              <w:spacing w:before="80" w:after="80" w:line="200" w:lineRule="exact"/>
              <w:ind w:left="0" w:right="0"/>
              <w:jc w:val="left"/>
              <w:rPr>
                <w:sz w:val="18"/>
                <w:lang w:val="es-ES_tradnl"/>
              </w:rPr>
            </w:pPr>
          </w:p>
        </w:tc>
        <w:tc>
          <w:tcPr>
            <w:tcW w:w="709" w:type="dxa"/>
            <w:tcBorders>
              <w:top w:val="single" w:sz="4" w:space="0" w:color="auto"/>
              <w:bottom w:val="single" w:sz="12" w:space="0" w:color="auto"/>
            </w:tcBorders>
            <w:shd w:val="clear" w:color="auto" w:fill="auto"/>
            <w:vAlign w:val="bottom"/>
          </w:tcPr>
          <w:p w14:paraId="578D8E54" w14:textId="77777777" w:rsidR="0079644B" w:rsidRPr="0079644B" w:rsidRDefault="0079644B" w:rsidP="0079644B">
            <w:pPr>
              <w:pStyle w:val="SingleTxtG"/>
              <w:tabs>
                <w:tab w:val="clear" w:pos="1701"/>
                <w:tab w:val="clear" w:pos="2268"/>
                <w:tab w:val="clear" w:pos="2835"/>
              </w:tabs>
              <w:spacing w:before="80" w:after="80" w:line="200" w:lineRule="exact"/>
              <w:ind w:left="28" w:right="28"/>
              <w:jc w:val="right"/>
              <w:rPr>
                <w:i/>
                <w:iCs/>
                <w:sz w:val="16"/>
                <w:lang w:val="es-ES_tradnl"/>
              </w:rPr>
            </w:pPr>
            <w:r w:rsidRPr="0079644B">
              <w:rPr>
                <w:i/>
                <w:iCs/>
                <w:sz w:val="16"/>
                <w:lang w:val="es-ES_tradnl"/>
              </w:rPr>
              <w:t>Puesto</w:t>
            </w:r>
          </w:p>
        </w:tc>
        <w:tc>
          <w:tcPr>
            <w:tcW w:w="708" w:type="dxa"/>
            <w:tcBorders>
              <w:top w:val="single" w:sz="4" w:space="0" w:color="auto"/>
              <w:bottom w:val="single" w:sz="12" w:space="0" w:color="auto"/>
            </w:tcBorders>
            <w:shd w:val="clear" w:color="auto" w:fill="auto"/>
            <w:vAlign w:val="bottom"/>
          </w:tcPr>
          <w:p w14:paraId="6C9A150A" w14:textId="77777777" w:rsidR="0079644B" w:rsidRPr="0079644B" w:rsidRDefault="0079644B" w:rsidP="0079644B">
            <w:pPr>
              <w:pStyle w:val="SingleTxtG"/>
              <w:tabs>
                <w:tab w:val="clear" w:pos="1701"/>
                <w:tab w:val="clear" w:pos="2268"/>
                <w:tab w:val="clear" w:pos="2835"/>
              </w:tabs>
              <w:spacing w:before="80" w:after="80" w:line="200" w:lineRule="exact"/>
              <w:ind w:left="28" w:right="28"/>
              <w:jc w:val="right"/>
              <w:rPr>
                <w:i/>
                <w:iCs/>
                <w:sz w:val="16"/>
                <w:lang w:val="es-ES_tradnl"/>
              </w:rPr>
            </w:pPr>
            <w:r w:rsidRPr="0079644B">
              <w:rPr>
                <w:i/>
                <w:iCs/>
                <w:sz w:val="16"/>
                <w:lang w:val="es-ES_tradnl"/>
              </w:rPr>
              <w:t xml:space="preserve">Número de casos </w:t>
            </w:r>
          </w:p>
        </w:tc>
        <w:tc>
          <w:tcPr>
            <w:tcW w:w="851" w:type="dxa"/>
            <w:tcBorders>
              <w:top w:val="single" w:sz="4" w:space="0" w:color="auto"/>
              <w:bottom w:val="single" w:sz="12" w:space="0" w:color="auto"/>
              <w:right w:val="single" w:sz="24" w:space="0" w:color="FFFFFF" w:themeColor="background1"/>
            </w:tcBorders>
            <w:shd w:val="clear" w:color="auto" w:fill="auto"/>
            <w:vAlign w:val="bottom"/>
          </w:tcPr>
          <w:p w14:paraId="6E260961" w14:textId="77777777" w:rsidR="0079644B" w:rsidRPr="0079644B" w:rsidRDefault="0079644B" w:rsidP="0079644B">
            <w:pPr>
              <w:pStyle w:val="SingleTxtG"/>
              <w:tabs>
                <w:tab w:val="clear" w:pos="1701"/>
                <w:tab w:val="clear" w:pos="2268"/>
                <w:tab w:val="clear" w:pos="2835"/>
              </w:tabs>
              <w:spacing w:before="80" w:after="80" w:line="200" w:lineRule="exact"/>
              <w:ind w:left="28" w:right="28"/>
              <w:jc w:val="right"/>
              <w:rPr>
                <w:i/>
                <w:iCs/>
                <w:sz w:val="16"/>
                <w:lang w:val="es-ES_tradnl"/>
              </w:rPr>
            </w:pPr>
            <w:r w:rsidRPr="0079644B">
              <w:rPr>
                <w:i/>
                <w:iCs/>
                <w:sz w:val="16"/>
                <w:lang w:val="es-ES_tradnl"/>
              </w:rPr>
              <w:t>Porcentaje</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14:paraId="4442CC0B" w14:textId="77777777" w:rsidR="0079644B" w:rsidRPr="0079644B" w:rsidRDefault="0079644B" w:rsidP="0079644B">
            <w:pPr>
              <w:pStyle w:val="SingleTxtG"/>
              <w:tabs>
                <w:tab w:val="clear" w:pos="1701"/>
                <w:tab w:val="clear" w:pos="2268"/>
                <w:tab w:val="clear" w:pos="2835"/>
              </w:tabs>
              <w:spacing w:before="80" w:after="80" w:line="200" w:lineRule="exact"/>
              <w:ind w:left="28" w:right="28"/>
              <w:jc w:val="right"/>
              <w:rPr>
                <w:i/>
                <w:iCs/>
                <w:sz w:val="16"/>
                <w:lang w:val="es-ES_tradnl"/>
              </w:rPr>
            </w:pPr>
            <w:r w:rsidRPr="0079644B">
              <w:rPr>
                <w:i/>
                <w:iCs/>
                <w:sz w:val="16"/>
                <w:lang w:val="es-ES_tradnl"/>
              </w:rPr>
              <w:t>Puesto</w:t>
            </w:r>
          </w:p>
        </w:tc>
        <w:tc>
          <w:tcPr>
            <w:tcW w:w="709" w:type="dxa"/>
            <w:tcBorders>
              <w:top w:val="single" w:sz="4" w:space="0" w:color="auto"/>
              <w:bottom w:val="single" w:sz="12" w:space="0" w:color="auto"/>
            </w:tcBorders>
            <w:shd w:val="clear" w:color="auto" w:fill="auto"/>
            <w:vAlign w:val="bottom"/>
          </w:tcPr>
          <w:p w14:paraId="519A9AEF" w14:textId="77777777" w:rsidR="0079644B" w:rsidRPr="0079644B" w:rsidRDefault="0079644B" w:rsidP="0079644B">
            <w:pPr>
              <w:pStyle w:val="SingleTxtG"/>
              <w:tabs>
                <w:tab w:val="clear" w:pos="1701"/>
                <w:tab w:val="clear" w:pos="2268"/>
                <w:tab w:val="clear" w:pos="2835"/>
              </w:tabs>
              <w:spacing w:before="80" w:after="80" w:line="200" w:lineRule="exact"/>
              <w:ind w:left="28" w:right="28"/>
              <w:jc w:val="right"/>
              <w:rPr>
                <w:i/>
                <w:iCs/>
                <w:sz w:val="16"/>
                <w:lang w:val="es-ES_tradnl"/>
              </w:rPr>
            </w:pPr>
            <w:r w:rsidRPr="0079644B">
              <w:rPr>
                <w:i/>
                <w:iCs/>
                <w:sz w:val="16"/>
                <w:lang w:val="es-ES_tradnl"/>
              </w:rPr>
              <w:t xml:space="preserve">Número de casos </w:t>
            </w:r>
          </w:p>
        </w:tc>
        <w:tc>
          <w:tcPr>
            <w:tcW w:w="850" w:type="dxa"/>
            <w:tcBorders>
              <w:top w:val="single" w:sz="4" w:space="0" w:color="auto"/>
              <w:bottom w:val="single" w:sz="12" w:space="0" w:color="auto"/>
              <w:right w:val="single" w:sz="24" w:space="0" w:color="FFFFFF" w:themeColor="background1"/>
            </w:tcBorders>
            <w:shd w:val="clear" w:color="auto" w:fill="auto"/>
            <w:vAlign w:val="bottom"/>
          </w:tcPr>
          <w:p w14:paraId="3336B3F8" w14:textId="77777777" w:rsidR="0079644B" w:rsidRPr="0079644B" w:rsidRDefault="0079644B" w:rsidP="0079644B">
            <w:pPr>
              <w:pStyle w:val="SingleTxtG"/>
              <w:tabs>
                <w:tab w:val="clear" w:pos="1701"/>
                <w:tab w:val="clear" w:pos="2268"/>
                <w:tab w:val="clear" w:pos="2835"/>
              </w:tabs>
              <w:spacing w:before="80" w:after="80" w:line="200" w:lineRule="exact"/>
              <w:ind w:left="28" w:right="28"/>
              <w:jc w:val="right"/>
              <w:rPr>
                <w:i/>
                <w:iCs/>
                <w:sz w:val="16"/>
                <w:lang w:val="es-ES_tradnl"/>
              </w:rPr>
            </w:pPr>
            <w:r w:rsidRPr="0079644B">
              <w:rPr>
                <w:i/>
                <w:iCs/>
                <w:sz w:val="16"/>
                <w:lang w:val="es-ES_tradnl"/>
              </w:rPr>
              <w:t>Porcentaje</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14:paraId="54A2EF35" w14:textId="77777777" w:rsidR="0079644B" w:rsidRPr="0079644B" w:rsidRDefault="0079644B" w:rsidP="0079644B">
            <w:pPr>
              <w:pStyle w:val="SingleTxtG"/>
              <w:tabs>
                <w:tab w:val="clear" w:pos="1701"/>
                <w:tab w:val="clear" w:pos="2268"/>
                <w:tab w:val="clear" w:pos="2835"/>
              </w:tabs>
              <w:spacing w:before="80" w:after="80" w:line="200" w:lineRule="exact"/>
              <w:ind w:left="28" w:right="28"/>
              <w:jc w:val="right"/>
              <w:rPr>
                <w:i/>
                <w:iCs/>
                <w:sz w:val="16"/>
                <w:lang w:val="es-ES_tradnl"/>
              </w:rPr>
            </w:pPr>
            <w:r w:rsidRPr="0079644B">
              <w:rPr>
                <w:i/>
                <w:iCs/>
                <w:sz w:val="16"/>
                <w:lang w:val="es-ES_tradnl"/>
              </w:rPr>
              <w:t>Puesto</w:t>
            </w:r>
          </w:p>
        </w:tc>
        <w:tc>
          <w:tcPr>
            <w:tcW w:w="739" w:type="dxa"/>
            <w:tcBorders>
              <w:top w:val="single" w:sz="4" w:space="0" w:color="auto"/>
              <w:bottom w:val="single" w:sz="12" w:space="0" w:color="auto"/>
            </w:tcBorders>
            <w:shd w:val="clear" w:color="auto" w:fill="auto"/>
            <w:vAlign w:val="bottom"/>
          </w:tcPr>
          <w:p w14:paraId="09BFB45A" w14:textId="77777777" w:rsidR="0079644B" w:rsidRPr="0079644B" w:rsidRDefault="0079644B" w:rsidP="0079644B">
            <w:pPr>
              <w:pStyle w:val="SingleTxtG"/>
              <w:tabs>
                <w:tab w:val="clear" w:pos="1701"/>
                <w:tab w:val="clear" w:pos="2268"/>
                <w:tab w:val="clear" w:pos="2835"/>
              </w:tabs>
              <w:spacing w:before="80" w:after="80" w:line="200" w:lineRule="exact"/>
              <w:ind w:left="28" w:right="28"/>
              <w:jc w:val="right"/>
              <w:rPr>
                <w:i/>
                <w:iCs/>
                <w:sz w:val="16"/>
                <w:lang w:val="es-ES_tradnl"/>
              </w:rPr>
            </w:pPr>
            <w:r w:rsidRPr="0079644B">
              <w:rPr>
                <w:i/>
                <w:iCs/>
                <w:sz w:val="16"/>
                <w:lang w:val="es-ES_tradnl"/>
              </w:rPr>
              <w:t xml:space="preserve">Número de casos </w:t>
            </w:r>
          </w:p>
        </w:tc>
        <w:tc>
          <w:tcPr>
            <w:tcW w:w="820" w:type="dxa"/>
            <w:tcBorders>
              <w:top w:val="single" w:sz="4" w:space="0" w:color="auto"/>
              <w:bottom w:val="single" w:sz="12" w:space="0" w:color="auto"/>
            </w:tcBorders>
            <w:shd w:val="clear" w:color="auto" w:fill="auto"/>
            <w:vAlign w:val="bottom"/>
          </w:tcPr>
          <w:p w14:paraId="1A7689FC" w14:textId="77777777" w:rsidR="0079644B" w:rsidRPr="0079644B" w:rsidRDefault="0079644B" w:rsidP="0079644B">
            <w:pPr>
              <w:pStyle w:val="SingleTxtG"/>
              <w:tabs>
                <w:tab w:val="clear" w:pos="1701"/>
                <w:tab w:val="clear" w:pos="2268"/>
                <w:tab w:val="clear" w:pos="2835"/>
              </w:tabs>
              <w:spacing w:before="80" w:after="80" w:line="200" w:lineRule="exact"/>
              <w:ind w:left="28" w:right="28"/>
              <w:jc w:val="right"/>
              <w:rPr>
                <w:i/>
                <w:iCs/>
                <w:sz w:val="16"/>
                <w:lang w:val="es-ES_tradnl"/>
              </w:rPr>
            </w:pPr>
            <w:r w:rsidRPr="0079644B">
              <w:rPr>
                <w:i/>
                <w:iCs/>
                <w:sz w:val="16"/>
                <w:lang w:val="es-ES_tradnl"/>
              </w:rPr>
              <w:t>Porcentaje</w:t>
            </w:r>
          </w:p>
        </w:tc>
      </w:tr>
      <w:tr w:rsidR="0079644B" w:rsidRPr="0079644B" w14:paraId="72A2A7C8" w14:textId="77777777" w:rsidTr="0079644B">
        <w:trPr>
          <w:trHeight w:val="240"/>
        </w:trPr>
        <w:tc>
          <w:tcPr>
            <w:tcW w:w="3119" w:type="dxa"/>
            <w:tcBorders>
              <w:top w:val="single" w:sz="12" w:space="0" w:color="auto"/>
            </w:tcBorders>
            <w:shd w:val="clear" w:color="auto" w:fill="auto"/>
          </w:tcPr>
          <w:p w14:paraId="7BBF1E4A" w14:textId="77777777" w:rsidR="000C2F85" w:rsidRPr="0079644B" w:rsidRDefault="000C2F85" w:rsidP="0079644B">
            <w:pPr>
              <w:pStyle w:val="SingleTxtG"/>
              <w:tabs>
                <w:tab w:val="clear" w:pos="1701"/>
                <w:tab w:val="clear" w:pos="2268"/>
                <w:tab w:val="clear" w:pos="2835"/>
              </w:tabs>
              <w:spacing w:before="40" w:after="40" w:line="220" w:lineRule="exact"/>
              <w:ind w:left="0" w:right="0"/>
              <w:jc w:val="left"/>
              <w:rPr>
                <w:sz w:val="18"/>
                <w:lang w:val="es-ES_tradnl"/>
              </w:rPr>
            </w:pPr>
            <w:r w:rsidRPr="0079644B">
              <w:rPr>
                <w:sz w:val="18"/>
                <w:lang w:val="es-ES_tradnl"/>
              </w:rPr>
              <w:t>Tuberculosis (A15-A19)</w:t>
            </w:r>
          </w:p>
        </w:tc>
        <w:tc>
          <w:tcPr>
            <w:tcW w:w="709" w:type="dxa"/>
            <w:tcBorders>
              <w:top w:val="single" w:sz="12" w:space="0" w:color="auto"/>
            </w:tcBorders>
            <w:shd w:val="clear" w:color="auto" w:fill="auto"/>
            <w:vAlign w:val="bottom"/>
          </w:tcPr>
          <w:p w14:paraId="6DF9E4E1"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1</w:t>
            </w:r>
          </w:p>
        </w:tc>
        <w:tc>
          <w:tcPr>
            <w:tcW w:w="708" w:type="dxa"/>
            <w:tcBorders>
              <w:top w:val="single" w:sz="12" w:space="0" w:color="auto"/>
            </w:tcBorders>
            <w:shd w:val="clear" w:color="auto" w:fill="auto"/>
            <w:vAlign w:val="bottom"/>
          </w:tcPr>
          <w:p w14:paraId="26CE9070"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39 695</w:t>
            </w:r>
          </w:p>
        </w:tc>
        <w:tc>
          <w:tcPr>
            <w:tcW w:w="851" w:type="dxa"/>
            <w:tcBorders>
              <w:top w:val="single" w:sz="12" w:space="0" w:color="auto"/>
            </w:tcBorders>
            <w:shd w:val="clear" w:color="auto" w:fill="auto"/>
            <w:vAlign w:val="bottom"/>
          </w:tcPr>
          <w:p w14:paraId="5D87E689"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8,3</w:t>
            </w:r>
          </w:p>
        </w:tc>
        <w:tc>
          <w:tcPr>
            <w:tcW w:w="567" w:type="dxa"/>
            <w:tcBorders>
              <w:top w:val="single" w:sz="12" w:space="0" w:color="auto"/>
            </w:tcBorders>
            <w:shd w:val="clear" w:color="auto" w:fill="auto"/>
            <w:vAlign w:val="bottom"/>
          </w:tcPr>
          <w:p w14:paraId="41A40B68"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1</w:t>
            </w:r>
          </w:p>
        </w:tc>
        <w:tc>
          <w:tcPr>
            <w:tcW w:w="709" w:type="dxa"/>
            <w:tcBorders>
              <w:top w:val="single" w:sz="12" w:space="0" w:color="auto"/>
            </w:tcBorders>
            <w:shd w:val="clear" w:color="auto" w:fill="auto"/>
            <w:vAlign w:val="bottom"/>
          </w:tcPr>
          <w:p w14:paraId="4D56755D"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34 042</w:t>
            </w:r>
          </w:p>
        </w:tc>
        <w:tc>
          <w:tcPr>
            <w:tcW w:w="850" w:type="dxa"/>
            <w:tcBorders>
              <w:top w:val="single" w:sz="12" w:space="0" w:color="auto"/>
            </w:tcBorders>
            <w:shd w:val="clear" w:color="auto" w:fill="auto"/>
            <w:vAlign w:val="bottom"/>
          </w:tcPr>
          <w:p w14:paraId="08E14FCC"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7,2</w:t>
            </w:r>
          </w:p>
        </w:tc>
        <w:tc>
          <w:tcPr>
            <w:tcW w:w="567" w:type="dxa"/>
            <w:tcBorders>
              <w:top w:val="single" w:sz="12" w:space="0" w:color="auto"/>
            </w:tcBorders>
            <w:shd w:val="clear" w:color="auto" w:fill="auto"/>
            <w:vAlign w:val="bottom"/>
          </w:tcPr>
          <w:p w14:paraId="46BF04E0"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1</w:t>
            </w:r>
          </w:p>
        </w:tc>
        <w:tc>
          <w:tcPr>
            <w:tcW w:w="739" w:type="dxa"/>
            <w:tcBorders>
              <w:top w:val="single" w:sz="12" w:space="0" w:color="auto"/>
            </w:tcBorders>
            <w:shd w:val="clear" w:color="auto" w:fill="auto"/>
            <w:vAlign w:val="bottom"/>
          </w:tcPr>
          <w:p w14:paraId="292ACEF5"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29 513</w:t>
            </w:r>
          </w:p>
        </w:tc>
        <w:tc>
          <w:tcPr>
            <w:tcW w:w="820" w:type="dxa"/>
            <w:tcBorders>
              <w:top w:val="single" w:sz="12" w:space="0" w:color="auto"/>
            </w:tcBorders>
            <w:shd w:val="clear" w:color="auto" w:fill="auto"/>
            <w:vAlign w:val="bottom"/>
          </w:tcPr>
          <w:p w14:paraId="6A524EB7"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6,5</w:t>
            </w:r>
          </w:p>
        </w:tc>
      </w:tr>
      <w:tr w:rsidR="0079644B" w:rsidRPr="0079644B" w14:paraId="7A1C0737" w14:textId="77777777" w:rsidTr="0079644B">
        <w:trPr>
          <w:trHeight w:val="240"/>
        </w:trPr>
        <w:tc>
          <w:tcPr>
            <w:tcW w:w="3119" w:type="dxa"/>
            <w:shd w:val="clear" w:color="auto" w:fill="auto"/>
          </w:tcPr>
          <w:p w14:paraId="650B93AC" w14:textId="77777777" w:rsidR="000C2F85" w:rsidRPr="0079644B" w:rsidRDefault="000C2F85" w:rsidP="0079644B">
            <w:pPr>
              <w:pStyle w:val="SingleTxtG"/>
              <w:tabs>
                <w:tab w:val="clear" w:pos="1701"/>
                <w:tab w:val="clear" w:pos="2268"/>
                <w:tab w:val="clear" w:pos="2835"/>
              </w:tabs>
              <w:spacing w:before="40" w:after="40" w:line="220" w:lineRule="exact"/>
              <w:ind w:left="0" w:right="0"/>
              <w:jc w:val="left"/>
              <w:rPr>
                <w:sz w:val="18"/>
                <w:lang w:val="es-ES_tradnl"/>
              </w:rPr>
            </w:pPr>
            <w:r w:rsidRPr="0079644B">
              <w:rPr>
                <w:sz w:val="18"/>
                <w:lang w:val="es-ES_tradnl"/>
              </w:rPr>
              <w:t xml:space="preserve">Diabetes </w:t>
            </w:r>
            <w:r w:rsidRPr="0079644B">
              <w:rPr>
                <w:iCs/>
                <w:sz w:val="18"/>
                <w:lang w:val="es-ES_tradnl"/>
              </w:rPr>
              <w:t xml:space="preserve">mellitus </w:t>
            </w:r>
            <w:r w:rsidRPr="0079644B">
              <w:rPr>
                <w:sz w:val="18"/>
                <w:lang w:val="es-ES_tradnl"/>
              </w:rPr>
              <w:t>(E10-E14)</w:t>
            </w:r>
          </w:p>
        </w:tc>
        <w:tc>
          <w:tcPr>
            <w:tcW w:w="709" w:type="dxa"/>
            <w:shd w:val="clear" w:color="auto" w:fill="auto"/>
            <w:vAlign w:val="bottom"/>
          </w:tcPr>
          <w:p w14:paraId="082D1C9B"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3</w:t>
            </w:r>
          </w:p>
        </w:tc>
        <w:tc>
          <w:tcPr>
            <w:tcW w:w="708" w:type="dxa"/>
            <w:shd w:val="clear" w:color="auto" w:fill="auto"/>
            <w:vAlign w:val="bottom"/>
          </w:tcPr>
          <w:p w14:paraId="45AF2818"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24 092</w:t>
            </w:r>
          </w:p>
        </w:tc>
        <w:tc>
          <w:tcPr>
            <w:tcW w:w="851" w:type="dxa"/>
            <w:shd w:val="clear" w:color="auto" w:fill="auto"/>
            <w:vAlign w:val="bottom"/>
          </w:tcPr>
          <w:p w14:paraId="6BA20CFD"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5,1</w:t>
            </w:r>
          </w:p>
        </w:tc>
        <w:tc>
          <w:tcPr>
            <w:tcW w:w="567" w:type="dxa"/>
            <w:shd w:val="clear" w:color="auto" w:fill="auto"/>
            <w:vAlign w:val="bottom"/>
          </w:tcPr>
          <w:p w14:paraId="42D931CF"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2</w:t>
            </w:r>
          </w:p>
        </w:tc>
        <w:tc>
          <w:tcPr>
            <w:tcW w:w="709" w:type="dxa"/>
            <w:shd w:val="clear" w:color="auto" w:fill="auto"/>
            <w:vAlign w:val="bottom"/>
          </w:tcPr>
          <w:p w14:paraId="21589B42"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25 774</w:t>
            </w:r>
          </w:p>
        </w:tc>
        <w:tc>
          <w:tcPr>
            <w:tcW w:w="850" w:type="dxa"/>
            <w:shd w:val="clear" w:color="auto" w:fill="auto"/>
            <w:vAlign w:val="bottom"/>
          </w:tcPr>
          <w:p w14:paraId="5F48EA46"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5,4</w:t>
            </w:r>
          </w:p>
        </w:tc>
        <w:tc>
          <w:tcPr>
            <w:tcW w:w="567" w:type="dxa"/>
            <w:shd w:val="clear" w:color="auto" w:fill="auto"/>
            <w:vAlign w:val="bottom"/>
          </w:tcPr>
          <w:p w14:paraId="0B505B38"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2</w:t>
            </w:r>
          </w:p>
        </w:tc>
        <w:tc>
          <w:tcPr>
            <w:tcW w:w="739" w:type="dxa"/>
            <w:shd w:val="clear" w:color="auto" w:fill="auto"/>
            <w:vAlign w:val="bottom"/>
          </w:tcPr>
          <w:p w14:paraId="24C83A61"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25 255</w:t>
            </w:r>
          </w:p>
        </w:tc>
        <w:tc>
          <w:tcPr>
            <w:tcW w:w="820" w:type="dxa"/>
            <w:shd w:val="clear" w:color="auto" w:fill="auto"/>
            <w:vAlign w:val="bottom"/>
          </w:tcPr>
          <w:p w14:paraId="30745635"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5,5</w:t>
            </w:r>
          </w:p>
        </w:tc>
      </w:tr>
      <w:tr w:rsidR="0079644B" w:rsidRPr="0079644B" w14:paraId="69A0C784" w14:textId="77777777" w:rsidTr="0079644B">
        <w:trPr>
          <w:trHeight w:val="240"/>
        </w:trPr>
        <w:tc>
          <w:tcPr>
            <w:tcW w:w="3119" w:type="dxa"/>
            <w:shd w:val="clear" w:color="auto" w:fill="auto"/>
          </w:tcPr>
          <w:p w14:paraId="204DD2A0" w14:textId="77777777" w:rsidR="000C2F85" w:rsidRPr="0079644B" w:rsidRDefault="000C2F85" w:rsidP="0079644B">
            <w:pPr>
              <w:pStyle w:val="SingleTxtG"/>
              <w:tabs>
                <w:tab w:val="clear" w:pos="1701"/>
                <w:tab w:val="clear" w:pos="2268"/>
                <w:tab w:val="clear" w:pos="2835"/>
              </w:tabs>
              <w:spacing w:before="40" w:after="40" w:line="220" w:lineRule="exact"/>
              <w:ind w:left="0" w:right="0"/>
              <w:jc w:val="left"/>
              <w:rPr>
                <w:sz w:val="18"/>
                <w:lang w:val="es-ES_tradnl"/>
              </w:rPr>
            </w:pPr>
            <w:r w:rsidRPr="0079644B">
              <w:rPr>
                <w:sz w:val="18"/>
                <w:lang w:val="es-ES_tradnl"/>
              </w:rPr>
              <w:t>Otras enfermedades cardíacas (I30-I52)</w:t>
            </w:r>
          </w:p>
        </w:tc>
        <w:tc>
          <w:tcPr>
            <w:tcW w:w="709" w:type="dxa"/>
            <w:shd w:val="clear" w:color="auto" w:fill="auto"/>
            <w:vAlign w:val="bottom"/>
          </w:tcPr>
          <w:p w14:paraId="64961186"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4</w:t>
            </w:r>
          </w:p>
        </w:tc>
        <w:tc>
          <w:tcPr>
            <w:tcW w:w="708" w:type="dxa"/>
            <w:shd w:val="clear" w:color="auto" w:fill="auto"/>
            <w:vAlign w:val="bottom"/>
          </w:tcPr>
          <w:p w14:paraId="6C2B33DE"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23 009</w:t>
            </w:r>
          </w:p>
        </w:tc>
        <w:tc>
          <w:tcPr>
            <w:tcW w:w="851" w:type="dxa"/>
            <w:shd w:val="clear" w:color="auto" w:fill="auto"/>
            <w:vAlign w:val="bottom"/>
          </w:tcPr>
          <w:p w14:paraId="5071C4F5"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4,8</w:t>
            </w:r>
          </w:p>
        </w:tc>
        <w:tc>
          <w:tcPr>
            <w:tcW w:w="567" w:type="dxa"/>
            <w:shd w:val="clear" w:color="auto" w:fill="auto"/>
            <w:vAlign w:val="bottom"/>
          </w:tcPr>
          <w:p w14:paraId="379DC7D7"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4</w:t>
            </w:r>
          </w:p>
        </w:tc>
        <w:tc>
          <w:tcPr>
            <w:tcW w:w="709" w:type="dxa"/>
            <w:shd w:val="clear" w:color="auto" w:fill="auto"/>
            <w:vAlign w:val="bottom"/>
          </w:tcPr>
          <w:p w14:paraId="3B085EF8"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23 299</w:t>
            </w:r>
          </w:p>
        </w:tc>
        <w:tc>
          <w:tcPr>
            <w:tcW w:w="850" w:type="dxa"/>
            <w:shd w:val="clear" w:color="auto" w:fill="auto"/>
            <w:vAlign w:val="bottom"/>
          </w:tcPr>
          <w:p w14:paraId="4B301E18"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4,9</w:t>
            </w:r>
          </w:p>
        </w:tc>
        <w:tc>
          <w:tcPr>
            <w:tcW w:w="567" w:type="dxa"/>
            <w:shd w:val="clear" w:color="auto" w:fill="auto"/>
            <w:vAlign w:val="bottom"/>
          </w:tcPr>
          <w:p w14:paraId="0FFF5BEF"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3</w:t>
            </w:r>
          </w:p>
        </w:tc>
        <w:tc>
          <w:tcPr>
            <w:tcW w:w="739" w:type="dxa"/>
            <w:shd w:val="clear" w:color="auto" w:fill="auto"/>
            <w:vAlign w:val="bottom"/>
          </w:tcPr>
          <w:p w14:paraId="527691CD"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23 515</w:t>
            </w:r>
          </w:p>
        </w:tc>
        <w:tc>
          <w:tcPr>
            <w:tcW w:w="820" w:type="dxa"/>
            <w:shd w:val="clear" w:color="auto" w:fill="auto"/>
            <w:vAlign w:val="bottom"/>
          </w:tcPr>
          <w:p w14:paraId="29C4453C"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5,1</w:t>
            </w:r>
          </w:p>
        </w:tc>
      </w:tr>
      <w:tr w:rsidR="0079644B" w:rsidRPr="0079644B" w14:paraId="195ECF87" w14:textId="77777777" w:rsidTr="0079644B">
        <w:trPr>
          <w:trHeight w:val="240"/>
        </w:trPr>
        <w:tc>
          <w:tcPr>
            <w:tcW w:w="3119" w:type="dxa"/>
            <w:shd w:val="clear" w:color="auto" w:fill="auto"/>
          </w:tcPr>
          <w:p w14:paraId="5813000C" w14:textId="77777777" w:rsidR="000C2F85" w:rsidRPr="0079644B" w:rsidRDefault="000C2F85" w:rsidP="0079644B">
            <w:pPr>
              <w:pStyle w:val="SingleTxtG"/>
              <w:tabs>
                <w:tab w:val="clear" w:pos="1701"/>
                <w:tab w:val="clear" w:pos="2268"/>
                <w:tab w:val="clear" w:pos="2835"/>
              </w:tabs>
              <w:spacing w:before="40" w:after="40" w:line="220" w:lineRule="exact"/>
              <w:ind w:left="0" w:right="0"/>
              <w:jc w:val="left"/>
              <w:rPr>
                <w:sz w:val="18"/>
                <w:lang w:val="es-ES_tradnl"/>
              </w:rPr>
            </w:pPr>
            <w:r w:rsidRPr="0079644B">
              <w:rPr>
                <w:sz w:val="18"/>
                <w:lang w:val="es-ES_tradnl"/>
              </w:rPr>
              <w:t>Enfermedades cerebrovasculares (I60-I69); enfermedades intestinales infecciosas (A00-A09)</w:t>
            </w:r>
          </w:p>
        </w:tc>
        <w:tc>
          <w:tcPr>
            <w:tcW w:w="709" w:type="dxa"/>
            <w:shd w:val="clear" w:color="auto" w:fill="auto"/>
            <w:vAlign w:val="bottom"/>
          </w:tcPr>
          <w:p w14:paraId="6BF5B82E"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2</w:t>
            </w:r>
          </w:p>
        </w:tc>
        <w:tc>
          <w:tcPr>
            <w:tcW w:w="708" w:type="dxa"/>
            <w:shd w:val="clear" w:color="auto" w:fill="auto"/>
            <w:vAlign w:val="bottom"/>
          </w:tcPr>
          <w:p w14:paraId="4CA7A529"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24 258</w:t>
            </w:r>
          </w:p>
        </w:tc>
        <w:tc>
          <w:tcPr>
            <w:tcW w:w="851" w:type="dxa"/>
            <w:shd w:val="clear" w:color="auto" w:fill="auto"/>
            <w:vAlign w:val="bottom"/>
          </w:tcPr>
          <w:p w14:paraId="5677F7D3"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5,1</w:t>
            </w:r>
          </w:p>
        </w:tc>
        <w:tc>
          <w:tcPr>
            <w:tcW w:w="567" w:type="dxa"/>
            <w:shd w:val="clear" w:color="auto" w:fill="auto"/>
            <w:vAlign w:val="bottom"/>
          </w:tcPr>
          <w:p w14:paraId="536B4300"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3</w:t>
            </w:r>
          </w:p>
        </w:tc>
        <w:tc>
          <w:tcPr>
            <w:tcW w:w="709" w:type="dxa"/>
            <w:shd w:val="clear" w:color="auto" w:fill="auto"/>
            <w:vAlign w:val="bottom"/>
          </w:tcPr>
          <w:p w14:paraId="54F63FAD"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23 505</w:t>
            </w:r>
          </w:p>
        </w:tc>
        <w:tc>
          <w:tcPr>
            <w:tcW w:w="850" w:type="dxa"/>
            <w:shd w:val="clear" w:color="auto" w:fill="auto"/>
            <w:vAlign w:val="bottom"/>
          </w:tcPr>
          <w:p w14:paraId="05F5A02D"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5,0</w:t>
            </w:r>
          </w:p>
        </w:tc>
        <w:tc>
          <w:tcPr>
            <w:tcW w:w="567" w:type="dxa"/>
            <w:shd w:val="clear" w:color="auto" w:fill="auto"/>
            <w:vAlign w:val="bottom"/>
          </w:tcPr>
          <w:p w14:paraId="3B0E8709"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4</w:t>
            </w:r>
          </w:p>
        </w:tc>
        <w:tc>
          <w:tcPr>
            <w:tcW w:w="739" w:type="dxa"/>
            <w:shd w:val="clear" w:color="auto" w:fill="auto"/>
            <w:vAlign w:val="bottom"/>
          </w:tcPr>
          <w:p w14:paraId="375F2FF3"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23 137</w:t>
            </w:r>
          </w:p>
        </w:tc>
        <w:tc>
          <w:tcPr>
            <w:tcW w:w="820" w:type="dxa"/>
            <w:shd w:val="clear" w:color="auto" w:fill="auto"/>
            <w:vAlign w:val="bottom"/>
          </w:tcPr>
          <w:p w14:paraId="59BF4249"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5,1</w:t>
            </w:r>
          </w:p>
        </w:tc>
      </w:tr>
      <w:tr w:rsidR="0079644B" w:rsidRPr="0079644B" w14:paraId="036ABCCC" w14:textId="77777777" w:rsidTr="0079644B">
        <w:trPr>
          <w:trHeight w:val="240"/>
        </w:trPr>
        <w:tc>
          <w:tcPr>
            <w:tcW w:w="3119" w:type="dxa"/>
            <w:shd w:val="clear" w:color="auto" w:fill="auto"/>
          </w:tcPr>
          <w:p w14:paraId="654C1BD2" w14:textId="3B249F31" w:rsidR="000C2F85" w:rsidRPr="0079644B" w:rsidRDefault="000C2F85" w:rsidP="0079644B">
            <w:pPr>
              <w:pStyle w:val="SingleTxtG"/>
              <w:tabs>
                <w:tab w:val="clear" w:pos="1701"/>
                <w:tab w:val="clear" w:pos="2268"/>
                <w:tab w:val="clear" w:pos="2835"/>
              </w:tabs>
              <w:spacing w:before="40" w:after="40" w:line="220" w:lineRule="exact"/>
              <w:ind w:left="0" w:right="0"/>
              <w:jc w:val="left"/>
              <w:rPr>
                <w:sz w:val="18"/>
                <w:lang w:val="es-ES_tradnl"/>
              </w:rPr>
            </w:pPr>
            <w:r w:rsidRPr="0079644B">
              <w:rPr>
                <w:sz w:val="18"/>
                <w:lang w:val="es-ES_tradnl"/>
              </w:rPr>
              <w:t>Enfermedad por virus de la inmunodeficiencia humana [VIH] (B20</w:t>
            </w:r>
            <w:r w:rsidR="0079644B">
              <w:rPr>
                <w:sz w:val="18"/>
                <w:lang w:val="es-ES_tradnl"/>
              </w:rPr>
              <w:noBreakHyphen/>
            </w:r>
            <w:r w:rsidRPr="0079644B">
              <w:rPr>
                <w:sz w:val="18"/>
                <w:lang w:val="es-ES_tradnl"/>
              </w:rPr>
              <w:t>B24)</w:t>
            </w:r>
          </w:p>
        </w:tc>
        <w:tc>
          <w:tcPr>
            <w:tcW w:w="709" w:type="dxa"/>
            <w:shd w:val="clear" w:color="auto" w:fill="auto"/>
            <w:vAlign w:val="bottom"/>
          </w:tcPr>
          <w:p w14:paraId="33D446D1"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6</w:t>
            </w:r>
          </w:p>
        </w:tc>
        <w:tc>
          <w:tcPr>
            <w:tcW w:w="708" w:type="dxa"/>
            <w:shd w:val="clear" w:color="auto" w:fill="auto"/>
            <w:vAlign w:val="bottom"/>
          </w:tcPr>
          <w:p w14:paraId="71AD9F9B"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22 866</w:t>
            </w:r>
          </w:p>
        </w:tc>
        <w:tc>
          <w:tcPr>
            <w:tcW w:w="851" w:type="dxa"/>
            <w:shd w:val="clear" w:color="auto" w:fill="auto"/>
            <w:vAlign w:val="bottom"/>
          </w:tcPr>
          <w:p w14:paraId="2CD0FBCA"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4,8</w:t>
            </w:r>
          </w:p>
        </w:tc>
        <w:tc>
          <w:tcPr>
            <w:tcW w:w="567" w:type="dxa"/>
            <w:shd w:val="clear" w:color="auto" w:fill="auto"/>
            <w:vAlign w:val="bottom"/>
          </w:tcPr>
          <w:p w14:paraId="68583F3C"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5</w:t>
            </w:r>
          </w:p>
        </w:tc>
        <w:tc>
          <w:tcPr>
            <w:tcW w:w="709" w:type="dxa"/>
            <w:shd w:val="clear" w:color="auto" w:fill="auto"/>
            <w:vAlign w:val="bottom"/>
          </w:tcPr>
          <w:p w14:paraId="1C7ECC3F"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22 557</w:t>
            </w:r>
          </w:p>
        </w:tc>
        <w:tc>
          <w:tcPr>
            <w:tcW w:w="850" w:type="dxa"/>
            <w:shd w:val="clear" w:color="auto" w:fill="auto"/>
            <w:vAlign w:val="bottom"/>
          </w:tcPr>
          <w:p w14:paraId="476E527F"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4,8</w:t>
            </w:r>
          </w:p>
        </w:tc>
        <w:tc>
          <w:tcPr>
            <w:tcW w:w="567" w:type="dxa"/>
            <w:shd w:val="clear" w:color="auto" w:fill="auto"/>
            <w:vAlign w:val="bottom"/>
          </w:tcPr>
          <w:p w14:paraId="6E5FA228"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5</w:t>
            </w:r>
          </w:p>
        </w:tc>
        <w:tc>
          <w:tcPr>
            <w:tcW w:w="739" w:type="dxa"/>
            <w:shd w:val="clear" w:color="auto" w:fill="auto"/>
            <w:vAlign w:val="bottom"/>
          </w:tcPr>
          <w:p w14:paraId="65DCD86F"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21 830</w:t>
            </w:r>
          </w:p>
        </w:tc>
        <w:tc>
          <w:tcPr>
            <w:tcW w:w="820" w:type="dxa"/>
            <w:shd w:val="clear" w:color="auto" w:fill="auto"/>
            <w:vAlign w:val="bottom"/>
          </w:tcPr>
          <w:p w14:paraId="6467F68F"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4,8</w:t>
            </w:r>
          </w:p>
        </w:tc>
      </w:tr>
      <w:tr w:rsidR="0079644B" w:rsidRPr="0079644B" w14:paraId="5DFF6BF2" w14:textId="77777777" w:rsidTr="0079644B">
        <w:trPr>
          <w:trHeight w:val="240"/>
        </w:trPr>
        <w:tc>
          <w:tcPr>
            <w:tcW w:w="3119" w:type="dxa"/>
            <w:shd w:val="clear" w:color="auto" w:fill="auto"/>
          </w:tcPr>
          <w:p w14:paraId="30D9805A" w14:textId="77777777" w:rsidR="000C2F85" w:rsidRPr="0079644B" w:rsidRDefault="000C2F85" w:rsidP="0079644B">
            <w:pPr>
              <w:pStyle w:val="SingleTxtG"/>
              <w:tabs>
                <w:tab w:val="clear" w:pos="1701"/>
                <w:tab w:val="clear" w:pos="2268"/>
                <w:tab w:val="clear" w:pos="2835"/>
              </w:tabs>
              <w:spacing w:before="40" w:after="40" w:line="220" w:lineRule="exact"/>
              <w:ind w:left="0" w:right="0"/>
              <w:jc w:val="left"/>
              <w:rPr>
                <w:sz w:val="18"/>
                <w:lang w:val="es-ES_tradnl"/>
              </w:rPr>
            </w:pPr>
            <w:r w:rsidRPr="0079644B">
              <w:rPr>
                <w:sz w:val="18"/>
                <w:lang w:val="es-ES_tradnl"/>
              </w:rPr>
              <w:t>Enfermedades hipertensivas (I10-I15)</w:t>
            </w:r>
          </w:p>
        </w:tc>
        <w:tc>
          <w:tcPr>
            <w:tcW w:w="709" w:type="dxa"/>
            <w:shd w:val="clear" w:color="auto" w:fill="auto"/>
            <w:vAlign w:val="bottom"/>
          </w:tcPr>
          <w:p w14:paraId="231DD6E9"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7</w:t>
            </w:r>
          </w:p>
        </w:tc>
        <w:tc>
          <w:tcPr>
            <w:tcW w:w="708" w:type="dxa"/>
            <w:shd w:val="clear" w:color="auto" w:fill="auto"/>
            <w:vAlign w:val="bottom"/>
          </w:tcPr>
          <w:p w14:paraId="4ACA76CB"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18 416</w:t>
            </w:r>
          </w:p>
        </w:tc>
        <w:tc>
          <w:tcPr>
            <w:tcW w:w="851" w:type="dxa"/>
            <w:shd w:val="clear" w:color="auto" w:fill="auto"/>
            <w:vAlign w:val="bottom"/>
          </w:tcPr>
          <w:p w14:paraId="543C34E5"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3,9</w:t>
            </w:r>
          </w:p>
        </w:tc>
        <w:tc>
          <w:tcPr>
            <w:tcW w:w="567" w:type="dxa"/>
            <w:shd w:val="clear" w:color="auto" w:fill="auto"/>
            <w:vAlign w:val="bottom"/>
          </w:tcPr>
          <w:p w14:paraId="24C6054B"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7</w:t>
            </w:r>
          </w:p>
        </w:tc>
        <w:tc>
          <w:tcPr>
            <w:tcW w:w="709" w:type="dxa"/>
            <w:shd w:val="clear" w:color="auto" w:fill="auto"/>
            <w:vAlign w:val="bottom"/>
          </w:tcPr>
          <w:p w14:paraId="5BC5C864"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19 845</w:t>
            </w:r>
          </w:p>
        </w:tc>
        <w:tc>
          <w:tcPr>
            <w:tcW w:w="850" w:type="dxa"/>
            <w:shd w:val="clear" w:color="auto" w:fill="auto"/>
            <w:vAlign w:val="bottom"/>
          </w:tcPr>
          <w:p w14:paraId="4DA57C5E"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4,2</w:t>
            </w:r>
          </w:p>
        </w:tc>
        <w:tc>
          <w:tcPr>
            <w:tcW w:w="567" w:type="dxa"/>
            <w:shd w:val="clear" w:color="auto" w:fill="auto"/>
            <w:vAlign w:val="bottom"/>
          </w:tcPr>
          <w:p w14:paraId="60A10C65"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6</w:t>
            </w:r>
          </w:p>
        </w:tc>
        <w:tc>
          <w:tcPr>
            <w:tcW w:w="739" w:type="dxa"/>
            <w:shd w:val="clear" w:color="auto" w:fill="auto"/>
            <w:vAlign w:val="bottom"/>
          </w:tcPr>
          <w:p w14:paraId="1D656E43"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19 960</w:t>
            </w:r>
          </w:p>
        </w:tc>
        <w:tc>
          <w:tcPr>
            <w:tcW w:w="820" w:type="dxa"/>
            <w:shd w:val="clear" w:color="auto" w:fill="auto"/>
            <w:vAlign w:val="bottom"/>
          </w:tcPr>
          <w:p w14:paraId="5743C593"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4,4</w:t>
            </w:r>
          </w:p>
        </w:tc>
      </w:tr>
      <w:tr w:rsidR="0079644B" w:rsidRPr="0079644B" w14:paraId="3E2561A9" w14:textId="77777777" w:rsidTr="0079644B">
        <w:trPr>
          <w:trHeight w:val="240"/>
        </w:trPr>
        <w:tc>
          <w:tcPr>
            <w:tcW w:w="3119" w:type="dxa"/>
            <w:shd w:val="clear" w:color="auto" w:fill="auto"/>
          </w:tcPr>
          <w:p w14:paraId="2ADD110F" w14:textId="77777777" w:rsidR="000C2F85" w:rsidRPr="0079644B" w:rsidRDefault="000C2F85" w:rsidP="0079644B">
            <w:pPr>
              <w:pStyle w:val="SingleTxtG"/>
              <w:tabs>
                <w:tab w:val="clear" w:pos="1701"/>
                <w:tab w:val="clear" w:pos="2268"/>
                <w:tab w:val="clear" w:pos="2835"/>
              </w:tabs>
              <w:spacing w:before="40" w:after="40" w:line="220" w:lineRule="exact"/>
              <w:ind w:left="0" w:right="0"/>
              <w:jc w:val="left"/>
              <w:rPr>
                <w:sz w:val="18"/>
                <w:lang w:val="es-ES_tradnl"/>
              </w:rPr>
            </w:pPr>
            <w:r w:rsidRPr="0079644B">
              <w:rPr>
                <w:sz w:val="18"/>
                <w:lang w:val="es-ES_tradnl"/>
              </w:rPr>
              <w:t>Gripe y neumonía (J09-J18)</w:t>
            </w:r>
          </w:p>
        </w:tc>
        <w:tc>
          <w:tcPr>
            <w:tcW w:w="709" w:type="dxa"/>
            <w:shd w:val="clear" w:color="auto" w:fill="auto"/>
            <w:vAlign w:val="bottom"/>
          </w:tcPr>
          <w:p w14:paraId="7DE446BC"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5</w:t>
            </w:r>
          </w:p>
        </w:tc>
        <w:tc>
          <w:tcPr>
            <w:tcW w:w="708" w:type="dxa"/>
            <w:shd w:val="clear" w:color="auto" w:fill="auto"/>
            <w:vAlign w:val="bottom"/>
          </w:tcPr>
          <w:p w14:paraId="397A95C8"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22 878</w:t>
            </w:r>
          </w:p>
        </w:tc>
        <w:tc>
          <w:tcPr>
            <w:tcW w:w="851" w:type="dxa"/>
            <w:shd w:val="clear" w:color="auto" w:fill="auto"/>
            <w:vAlign w:val="bottom"/>
          </w:tcPr>
          <w:p w14:paraId="2ED0DA52"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4,8</w:t>
            </w:r>
          </w:p>
        </w:tc>
        <w:tc>
          <w:tcPr>
            <w:tcW w:w="567" w:type="dxa"/>
            <w:shd w:val="clear" w:color="auto" w:fill="auto"/>
            <w:vAlign w:val="bottom"/>
          </w:tcPr>
          <w:p w14:paraId="1D544C44"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6</w:t>
            </w:r>
          </w:p>
        </w:tc>
        <w:tc>
          <w:tcPr>
            <w:tcW w:w="709" w:type="dxa"/>
            <w:shd w:val="clear" w:color="auto" w:fill="auto"/>
            <w:vAlign w:val="bottom"/>
          </w:tcPr>
          <w:p w14:paraId="45FE8353"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21 001</w:t>
            </w:r>
          </w:p>
        </w:tc>
        <w:tc>
          <w:tcPr>
            <w:tcW w:w="850" w:type="dxa"/>
            <w:shd w:val="clear" w:color="auto" w:fill="auto"/>
            <w:vAlign w:val="bottom"/>
          </w:tcPr>
          <w:p w14:paraId="5000F0F3"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4,4</w:t>
            </w:r>
          </w:p>
        </w:tc>
        <w:tc>
          <w:tcPr>
            <w:tcW w:w="567" w:type="dxa"/>
            <w:shd w:val="clear" w:color="auto" w:fill="auto"/>
            <w:vAlign w:val="bottom"/>
          </w:tcPr>
          <w:p w14:paraId="4F288666"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7</w:t>
            </w:r>
          </w:p>
        </w:tc>
        <w:tc>
          <w:tcPr>
            <w:tcW w:w="739" w:type="dxa"/>
            <w:shd w:val="clear" w:color="auto" w:fill="auto"/>
            <w:vAlign w:val="bottom"/>
          </w:tcPr>
          <w:p w14:paraId="60B8D503"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19 638</w:t>
            </w:r>
          </w:p>
        </w:tc>
        <w:tc>
          <w:tcPr>
            <w:tcW w:w="820" w:type="dxa"/>
            <w:shd w:val="clear" w:color="auto" w:fill="auto"/>
            <w:vAlign w:val="bottom"/>
          </w:tcPr>
          <w:p w14:paraId="2DD0CBC0"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4,3</w:t>
            </w:r>
          </w:p>
        </w:tc>
      </w:tr>
      <w:tr w:rsidR="0079644B" w:rsidRPr="0079644B" w14:paraId="39778A2F" w14:textId="77777777" w:rsidTr="0079644B">
        <w:trPr>
          <w:trHeight w:val="240"/>
        </w:trPr>
        <w:tc>
          <w:tcPr>
            <w:tcW w:w="3119" w:type="dxa"/>
            <w:shd w:val="clear" w:color="auto" w:fill="auto"/>
          </w:tcPr>
          <w:p w14:paraId="3B20733A" w14:textId="77777777" w:rsidR="000C2F85" w:rsidRPr="0079644B" w:rsidRDefault="000C2F85" w:rsidP="0079644B">
            <w:pPr>
              <w:pStyle w:val="SingleTxtG"/>
              <w:tabs>
                <w:tab w:val="clear" w:pos="1701"/>
                <w:tab w:val="clear" w:pos="2268"/>
                <w:tab w:val="clear" w:pos="2835"/>
              </w:tabs>
              <w:spacing w:before="40" w:after="40" w:line="220" w:lineRule="exact"/>
              <w:ind w:left="0" w:right="0"/>
              <w:jc w:val="left"/>
              <w:rPr>
                <w:sz w:val="18"/>
                <w:lang w:val="es-ES_tradnl"/>
              </w:rPr>
            </w:pPr>
            <w:r w:rsidRPr="0079644B">
              <w:rPr>
                <w:sz w:val="18"/>
                <w:lang w:val="es-ES_tradnl"/>
              </w:rPr>
              <w:t>Otras enfermedades virales (B25-B34)</w:t>
            </w:r>
          </w:p>
        </w:tc>
        <w:tc>
          <w:tcPr>
            <w:tcW w:w="709" w:type="dxa"/>
            <w:shd w:val="clear" w:color="auto" w:fill="auto"/>
            <w:vAlign w:val="bottom"/>
          </w:tcPr>
          <w:p w14:paraId="66F141F3"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9</w:t>
            </w:r>
          </w:p>
        </w:tc>
        <w:tc>
          <w:tcPr>
            <w:tcW w:w="708" w:type="dxa"/>
            <w:shd w:val="clear" w:color="auto" w:fill="auto"/>
            <w:vAlign w:val="bottom"/>
          </w:tcPr>
          <w:p w14:paraId="507BE4DD"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14 574</w:t>
            </w:r>
          </w:p>
        </w:tc>
        <w:tc>
          <w:tcPr>
            <w:tcW w:w="851" w:type="dxa"/>
            <w:shd w:val="clear" w:color="auto" w:fill="auto"/>
            <w:vAlign w:val="bottom"/>
          </w:tcPr>
          <w:p w14:paraId="3C07C71B"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3,1</w:t>
            </w:r>
          </w:p>
        </w:tc>
        <w:tc>
          <w:tcPr>
            <w:tcW w:w="567" w:type="dxa"/>
            <w:shd w:val="clear" w:color="auto" w:fill="auto"/>
            <w:vAlign w:val="bottom"/>
          </w:tcPr>
          <w:p w14:paraId="116E21F7"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8</w:t>
            </w:r>
          </w:p>
        </w:tc>
        <w:tc>
          <w:tcPr>
            <w:tcW w:w="709" w:type="dxa"/>
            <w:shd w:val="clear" w:color="auto" w:fill="auto"/>
            <w:vAlign w:val="bottom"/>
          </w:tcPr>
          <w:p w14:paraId="4919BB53"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16 475</w:t>
            </w:r>
          </w:p>
        </w:tc>
        <w:tc>
          <w:tcPr>
            <w:tcW w:w="850" w:type="dxa"/>
            <w:shd w:val="clear" w:color="auto" w:fill="auto"/>
            <w:vAlign w:val="bottom"/>
          </w:tcPr>
          <w:p w14:paraId="7B343AA3"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3,5</w:t>
            </w:r>
          </w:p>
        </w:tc>
        <w:tc>
          <w:tcPr>
            <w:tcW w:w="567" w:type="dxa"/>
            <w:shd w:val="clear" w:color="auto" w:fill="auto"/>
            <w:vAlign w:val="bottom"/>
          </w:tcPr>
          <w:p w14:paraId="1DBA771A"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8</w:t>
            </w:r>
          </w:p>
        </w:tc>
        <w:tc>
          <w:tcPr>
            <w:tcW w:w="739" w:type="dxa"/>
            <w:shd w:val="clear" w:color="auto" w:fill="auto"/>
            <w:vAlign w:val="bottom"/>
          </w:tcPr>
          <w:p w14:paraId="1577EBE7"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16 577</w:t>
            </w:r>
          </w:p>
        </w:tc>
        <w:tc>
          <w:tcPr>
            <w:tcW w:w="820" w:type="dxa"/>
            <w:shd w:val="clear" w:color="auto" w:fill="auto"/>
            <w:vAlign w:val="bottom"/>
          </w:tcPr>
          <w:p w14:paraId="34A1AD06"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3,6</w:t>
            </w:r>
          </w:p>
        </w:tc>
      </w:tr>
      <w:tr w:rsidR="0079644B" w:rsidRPr="0079644B" w14:paraId="44AA9B54" w14:textId="77777777" w:rsidTr="0079644B">
        <w:trPr>
          <w:trHeight w:val="240"/>
        </w:trPr>
        <w:tc>
          <w:tcPr>
            <w:tcW w:w="3119" w:type="dxa"/>
            <w:shd w:val="clear" w:color="auto" w:fill="auto"/>
          </w:tcPr>
          <w:p w14:paraId="39FD0018" w14:textId="77777777" w:rsidR="000C2F85" w:rsidRPr="0079644B" w:rsidRDefault="000C2F85" w:rsidP="0079644B">
            <w:pPr>
              <w:pStyle w:val="SingleTxtG"/>
              <w:tabs>
                <w:tab w:val="clear" w:pos="1701"/>
                <w:tab w:val="clear" w:pos="2268"/>
                <w:tab w:val="clear" w:pos="2835"/>
              </w:tabs>
              <w:spacing w:before="40" w:after="40" w:line="220" w:lineRule="exact"/>
              <w:ind w:left="0" w:right="0"/>
              <w:jc w:val="left"/>
              <w:rPr>
                <w:sz w:val="18"/>
                <w:lang w:val="es-ES_tradnl"/>
              </w:rPr>
            </w:pPr>
            <w:r w:rsidRPr="0079644B">
              <w:rPr>
                <w:sz w:val="18"/>
                <w:lang w:val="es-ES_tradnl"/>
              </w:rPr>
              <w:t>Cardiopatías isquémicas (120-125)</w:t>
            </w:r>
          </w:p>
        </w:tc>
        <w:tc>
          <w:tcPr>
            <w:tcW w:w="709" w:type="dxa"/>
            <w:shd w:val="clear" w:color="auto" w:fill="auto"/>
            <w:vAlign w:val="bottom"/>
          </w:tcPr>
          <w:p w14:paraId="39F97C73"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w:t>
            </w:r>
          </w:p>
        </w:tc>
        <w:tc>
          <w:tcPr>
            <w:tcW w:w="708" w:type="dxa"/>
            <w:shd w:val="clear" w:color="auto" w:fill="auto"/>
            <w:vAlign w:val="bottom"/>
          </w:tcPr>
          <w:p w14:paraId="3328188D"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w:t>
            </w:r>
          </w:p>
        </w:tc>
        <w:tc>
          <w:tcPr>
            <w:tcW w:w="851" w:type="dxa"/>
            <w:shd w:val="clear" w:color="auto" w:fill="auto"/>
            <w:vAlign w:val="bottom"/>
          </w:tcPr>
          <w:p w14:paraId="2442ABB9"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w:t>
            </w:r>
          </w:p>
        </w:tc>
        <w:tc>
          <w:tcPr>
            <w:tcW w:w="567" w:type="dxa"/>
            <w:shd w:val="clear" w:color="auto" w:fill="auto"/>
            <w:vAlign w:val="bottom"/>
          </w:tcPr>
          <w:p w14:paraId="2CC28B29"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10</w:t>
            </w:r>
          </w:p>
        </w:tc>
        <w:tc>
          <w:tcPr>
            <w:tcW w:w="709" w:type="dxa"/>
            <w:shd w:val="clear" w:color="auto" w:fill="auto"/>
            <w:vAlign w:val="bottom"/>
          </w:tcPr>
          <w:p w14:paraId="3E616B27"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12 714</w:t>
            </w:r>
          </w:p>
        </w:tc>
        <w:tc>
          <w:tcPr>
            <w:tcW w:w="850" w:type="dxa"/>
            <w:shd w:val="clear" w:color="auto" w:fill="auto"/>
            <w:vAlign w:val="bottom"/>
          </w:tcPr>
          <w:p w14:paraId="3A58870B"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2,7</w:t>
            </w:r>
          </w:p>
        </w:tc>
        <w:tc>
          <w:tcPr>
            <w:tcW w:w="567" w:type="dxa"/>
            <w:shd w:val="clear" w:color="auto" w:fill="auto"/>
            <w:vAlign w:val="bottom"/>
          </w:tcPr>
          <w:p w14:paraId="71417C99"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9</w:t>
            </w:r>
          </w:p>
        </w:tc>
        <w:tc>
          <w:tcPr>
            <w:tcW w:w="739" w:type="dxa"/>
            <w:shd w:val="clear" w:color="auto" w:fill="auto"/>
            <w:vAlign w:val="bottom"/>
          </w:tcPr>
          <w:p w14:paraId="7855DDFC"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12 883</w:t>
            </w:r>
          </w:p>
        </w:tc>
        <w:tc>
          <w:tcPr>
            <w:tcW w:w="820" w:type="dxa"/>
            <w:shd w:val="clear" w:color="auto" w:fill="auto"/>
            <w:vAlign w:val="bottom"/>
          </w:tcPr>
          <w:p w14:paraId="1131F5AD"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2,8</w:t>
            </w:r>
          </w:p>
        </w:tc>
      </w:tr>
      <w:tr w:rsidR="0079644B" w:rsidRPr="0079644B" w14:paraId="43B93238" w14:textId="77777777" w:rsidTr="0079644B">
        <w:trPr>
          <w:trHeight w:val="240"/>
        </w:trPr>
        <w:tc>
          <w:tcPr>
            <w:tcW w:w="3119" w:type="dxa"/>
            <w:shd w:val="clear" w:color="auto" w:fill="auto"/>
          </w:tcPr>
          <w:p w14:paraId="6015C92B" w14:textId="77777777" w:rsidR="000C2F85" w:rsidRPr="0079644B" w:rsidRDefault="000C2F85" w:rsidP="0079644B">
            <w:pPr>
              <w:pStyle w:val="SingleTxtG"/>
              <w:tabs>
                <w:tab w:val="clear" w:pos="1701"/>
                <w:tab w:val="clear" w:pos="2268"/>
                <w:tab w:val="clear" w:pos="2835"/>
              </w:tabs>
              <w:spacing w:before="40" w:after="40" w:line="220" w:lineRule="exact"/>
              <w:ind w:left="0" w:right="0"/>
              <w:jc w:val="left"/>
              <w:rPr>
                <w:sz w:val="18"/>
                <w:lang w:val="es-ES_tradnl"/>
              </w:rPr>
            </w:pPr>
            <w:r w:rsidRPr="0079644B">
              <w:rPr>
                <w:sz w:val="18"/>
                <w:lang w:val="es-ES_tradnl"/>
              </w:rPr>
              <w:t>Enfermedades crónicas de las vías respiratorias inferiores (J40-J47)</w:t>
            </w:r>
          </w:p>
        </w:tc>
        <w:tc>
          <w:tcPr>
            <w:tcW w:w="709" w:type="dxa"/>
            <w:shd w:val="clear" w:color="auto" w:fill="auto"/>
            <w:vAlign w:val="bottom"/>
          </w:tcPr>
          <w:p w14:paraId="3ED366CA"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10</w:t>
            </w:r>
          </w:p>
        </w:tc>
        <w:tc>
          <w:tcPr>
            <w:tcW w:w="708" w:type="dxa"/>
            <w:shd w:val="clear" w:color="auto" w:fill="auto"/>
            <w:vAlign w:val="bottom"/>
          </w:tcPr>
          <w:p w14:paraId="4F1B2A00"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12 793</w:t>
            </w:r>
          </w:p>
        </w:tc>
        <w:tc>
          <w:tcPr>
            <w:tcW w:w="851" w:type="dxa"/>
            <w:shd w:val="clear" w:color="auto" w:fill="auto"/>
            <w:vAlign w:val="bottom"/>
          </w:tcPr>
          <w:p w14:paraId="60271AF0"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2,7</w:t>
            </w:r>
          </w:p>
        </w:tc>
        <w:tc>
          <w:tcPr>
            <w:tcW w:w="567" w:type="dxa"/>
            <w:shd w:val="clear" w:color="auto" w:fill="auto"/>
            <w:vAlign w:val="bottom"/>
          </w:tcPr>
          <w:p w14:paraId="57415A54"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9</w:t>
            </w:r>
          </w:p>
        </w:tc>
        <w:tc>
          <w:tcPr>
            <w:tcW w:w="709" w:type="dxa"/>
            <w:shd w:val="clear" w:color="auto" w:fill="auto"/>
            <w:vAlign w:val="bottom"/>
          </w:tcPr>
          <w:p w14:paraId="01332D00"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13 006</w:t>
            </w:r>
          </w:p>
        </w:tc>
        <w:tc>
          <w:tcPr>
            <w:tcW w:w="850" w:type="dxa"/>
            <w:shd w:val="clear" w:color="auto" w:fill="auto"/>
            <w:vAlign w:val="bottom"/>
          </w:tcPr>
          <w:p w14:paraId="2351FC5E"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2,7</w:t>
            </w:r>
          </w:p>
        </w:tc>
        <w:tc>
          <w:tcPr>
            <w:tcW w:w="567" w:type="dxa"/>
            <w:shd w:val="clear" w:color="auto" w:fill="auto"/>
            <w:vAlign w:val="bottom"/>
          </w:tcPr>
          <w:p w14:paraId="1B4B71CD"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10</w:t>
            </w:r>
          </w:p>
        </w:tc>
        <w:tc>
          <w:tcPr>
            <w:tcW w:w="739" w:type="dxa"/>
            <w:shd w:val="clear" w:color="auto" w:fill="auto"/>
            <w:vAlign w:val="bottom"/>
          </w:tcPr>
          <w:p w14:paraId="385987AC"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12 659</w:t>
            </w:r>
          </w:p>
        </w:tc>
        <w:tc>
          <w:tcPr>
            <w:tcW w:w="820" w:type="dxa"/>
            <w:shd w:val="clear" w:color="auto" w:fill="auto"/>
            <w:vAlign w:val="bottom"/>
          </w:tcPr>
          <w:p w14:paraId="5DB6AA89"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2,8</w:t>
            </w:r>
          </w:p>
        </w:tc>
      </w:tr>
      <w:tr w:rsidR="0079644B" w:rsidRPr="0079644B" w14:paraId="1F50ACD0" w14:textId="77777777" w:rsidTr="0079644B">
        <w:trPr>
          <w:trHeight w:val="240"/>
        </w:trPr>
        <w:tc>
          <w:tcPr>
            <w:tcW w:w="3119" w:type="dxa"/>
            <w:shd w:val="clear" w:color="auto" w:fill="auto"/>
          </w:tcPr>
          <w:p w14:paraId="32C87020" w14:textId="77777777" w:rsidR="000C2F85" w:rsidRPr="0079644B" w:rsidRDefault="000C2F85" w:rsidP="0079644B">
            <w:pPr>
              <w:pStyle w:val="SingleTxtG"/>
              <w:tabs>
                <w:tab w:val="clear" w:pos="1701"/>
                <w:tab w:val="clear" w:pos="2268"/>
                <w:tab w:val="clear" w:pos="2835"/>
              </w:tabs>
              <w:spacing w:before="40" w:after="40" w:line="220" w:lineRule="exact"/>
              <w:ind w:left="0" w:right="0"/>
              <w:jc w:val="left"/>
              <w:rPr>
                <w:sz w:val="18"/>
                <w:lang w:val="es-ES_tradnl"/>
              </w:rPr>
            </w:pPr>
            <w:r w:rsidRPr="0079644B">
              <w:rPr>
                <w:sz w:val="18"/>
                <w:lang w:val="es-ES_tradnl"/>
              </w:rPr>
              <w:t>Enfermedades infecciosas intestinales (A00-A09)</w:t>
            </w:r>
          </w:p>
        </w:tc>
        <w:tc>
          <w:tcPr>
            <w:tcW w:w="709" w:type="dxa"/>
            <w:shd w:val="clear" w:color="auto" w:fill="auto"/>
            <w:vAlign w:val="bottom"/>
          </w:tcPr>
          <w:p w14:paraId="4E825709"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8</w:t>
            </w:r>
          </w:p>
        </w:tc>
        <w:tc>
          <w:tcPr>
            <w:tcW w:w="708" w:type="dxa"/>
            <w:shd w:val="clear" w:color="auto" w:fill="auto"/>
            <w:vAlign w:val="bottom"/>
          </w:tcPr>
          <w:p w14:paraId="7951E52F"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14 834</w:t>
            </w:r>
          </w:p>
        </w:tc>
        <w:tc>
          <w:tcPr>
            <w:tcW w:w="851" w:type="dxa"/>
            <w:shd w:val="clear" w:color="auto" w:fill="auto"/>
            <w:vAlign w:val="bottom"/>
          </w:tcPr>
          <w:p w14:paraId="55D23203"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3,1</w:t>
            </w:r>
          </w:p>
        </w:tc>
        <w:tc>
          <w:tcPr>
            <w:tcW w:w="567" w:type="dxa"/>
            <w:shd w:val="clear" w:color="auto" w:fill="auto"/>
            <w:vAlign w:val="bottom"/>
          </w:tcPr>
          <w:p w14:paraId="7BD57354"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w:t>
            </w:r>
          </w:p>
        </w:tc>
        <w:tc>
          <w:tcPr>
            <w:tcW w:w="709" w:type="dxa"/>
            <w:shd w:val="clear" w:color="auto" w:fill="auto"/>
            <w:vAlign w:val="bottom"/>
          </w:tcPr>
          <w:p w14:paraId="46B66057"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w:t>
            </w:r>
          </w:p>
        </w:tc>
        <w:tc>
          <w:tcPr>
            <w:tcW w:w="850" w:type="dxa"/>
            <w:shd w:val="clear" w:color="auto" w:fill="auto"/>
            <w:vAlign w:val="bottom"/>
          </w:tcPr>
          <w:p w14:paraId="5D9AC923"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w:t>
            </w:r>
          </w:p>
        </w:tc>
        <w:tc>
          <w:tcPr>
            <w:tcW w:w="567" w:type="dxa"/>
            <w:shd w:val="clear" w:color="auto" w:fill="auto"/>
            <w:vAlign w:val="bottom"/>
          </w:tcPr>
          <w:p w14:paraId="16233443"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w:t>
            </w:r>
          </w:p>
        </w:tc>
        <w:tc>
          <w:tcPr>
            <w:tcW w:w="739" w:type="dxa"/>
            <w:shd w:val="clear" w:color="auto" w:fill="auto"/>
            <w:vAlign w:val="bottom"/>
          </w:tcPr>
          <w:p w14:paraId="5F989B12"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w:t>
            </w:r>
          </w:p>
        </w:tc>
        <w:tc>
          <w:tcPr>
            <w:tcW w:w="820" w:type="dxa"/>
            <w:shd w:val="clear" w:color="auto" w:fill="auto"/>
            <w:vAlign w:val="bottom"/>
          </w:tcPr>
          <w:p w14:paraId="7C81EC3C"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w:t>
            </w:r>
          </w:p>
        </w:tc>
      </w:tr>
      <w:tr w:rsidR="0079644B" w:rsidRPr="0079644B" w14:paraId="12115F32" w14:textId="77777777" w:rsidTr="0079644B">
        <w:trPr>
          <w:trHeight w:val="240"/>
        </w:trPr>
        <w:tc>
          <w:tcPr>
            <w:tcW w:w="3119" w:type="dxa"/>
            <w:shd w:val="clear" w:color="auto" w:fill="auto"/>
          </w:tcPr>
          <w:p w14:paraId="75027A81" w14:textId="77777777" w:rsidR="000C2F85" w:rsidRPr="0079644B" w:rsidRDefault="000C2F85" w:rsidP="0079644B">
            <w:pPr>
              <w:pStyle w:val="SingleTxtG"/>
              <w:tabs>
                <w:tab w:val="clear" w:pos="1701"/>
                <w:tab w:val="clear" w:pos="2268"/>
                <w:tab w:val="clear" w:pos="2835"/>
              </w:tabs>
              <w:spacing w:before="40" w:after="40" w:line="220" w:lineRule="exact"/>
              <w:ind w:left="0" w:right="0"/>
              <w:jc w:val="left"/>
              <w:rPr>
                <w:sz w:val="18"/>
                <w:lang w:val="es-ES_tradnl"/>
              </w:rPr>
            </w:pPr>
            <w:r w:rsidRPr="0079644B">
              <w:rPr>
                <w:sz w:val="18"/>
                <w:lang w:val="es-ES_tradnl"/>
              </w:rPr>
              <w:t>Otras causas naturales</w:t>
            </w:r>
          </w:p>
        </w:tc>
        <w:tc>
          <w:tcPr>
            <w:tcW w:w="709" w:type="dxa"/>
            <w:shd w:val="clear" w:color="auto" w:fill="auto"/>
            <w:vAlign w:val="bottom"/>
          </w:tcPr>
          <w:p w14:paraId="7B22A9FC"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p>
        </w:tc>
        <w:tc>
          <w:tcPr>
            <w:tcW w:w="708" w:type="dxa"/>
            <w:shd w:val="clear" w:color="auto" w:fill="auto"/>
            <w:vAlign w:val="bottom"/>
          </w:tcPr>
          <w:p w14:paraId="7BE023F3"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208 537</w:t>
            </w:r>
          </w:p>
        </w:tc>
        <w:tc>
          <w:tcPr>
            <w:tcW w:w="851" w:type="dxa"/>
            <w:shd w:val="clear" w:color="auto" w:fill="auto"/>
            <w:vAlign w:val="bottom"/>
          </w:tcPr>
          <w:p w14:paraId="60D027C6"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43,7</w:t>
            </w:r>
          </w:p>
        </w:tc>
        <w:tc>
          <w:tcPr>
            <w:tcW w:w="567" w:type="dxa"/>
            <w:shd w:val="clear" w:color="auto" w:fill="auto"/>
            <w:vAlign w:val="bottom"/>
          </w:tcPr>
          <w:p w14:paraId="2C92B292"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p>
        </w:tc>
        <w:tc>
          <w:tcPr>
            <w:tcW w:w="709" w:type="dxa"/>
            <w:shd w:val="clear" w:color="auto" w:fill="auto"/>
            <w:vAlign w:val="bottom"/>
          </w:tcPr>
          <w:p w14:paraId="12D94423"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207 820</w:t>
            </w:r>
          </w:p>
        </w:tc>
        <w:tc>
          <w:tcPr>
            <w:tcW w:w="850" w:type="dxa"/>
            <w:shd w:val="clear" w:color="auto" w:fill="auto"/>
            <w:vAlign w:val="bottom"/>
          </w:tcPr>
          <w:p w14:paraId="3417B5ED"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43,9</w:t>
            </w:r>
          </w:p>
        </w:tc>
        <w:tc>
          <w:tcPr>
            <w:tcW w:w="567" w:type="dxa"/>
            <w:shd w:val="clear" w:color="auto" w:fill="auto"/>
            <w:vAlign w:val="bottom"/>
          </w:tcPr>
          <w:p w14:paraId="0CAB1C51"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p>
        </w:tc>
        <w:tc>
          <w:tcPr>
            <w:tcW w:w="739" w:type="dxa"/>
            <w:shd w:val="clear" w:color="auto" w:fill="auto"/>
            <w:vAlign w:val="bottom"/>
          </w:tcPr>
          <w:p w14:paraId="1B6A1363"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200 403</w:t>
            </w:r>
          </w:p>
        </w:tc>
        <w:tc>
          <w:tcPr>
            <w:tcW w:w="820" w:type="dxa"/>
            <w:shd w:val="clear" w:color="auto" w:fill="auto"/>
            <w:vAlign w:val="bottom"/>
          </w:tcPr>
          <w:p w14:paraId="4F768D23"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43,9</w:t>
            </w:r>
          </w:p>
        </w:tc>
      </w:tr>
      <w:tr w:rsidR="0079644B" w:rsidRPr="0079644B" w14:paraId="75D32A8D" w14:textId="77777777" w:rsidTr="0079644B">
        <w:trPr>
          <w:trHeight w:val="240"/>
        </w:trPr>
        <w:tc>
          <w:tcPr>
            <w:tcW w:w="3119" w:type="dxa"/>
            <w:tcBorders>
              <w:bottom w:val="single" w:sz="4" w:space="0" w:color="auto"/>
            </w:tcBorders>
            <w:shd w:val="clear" w:color="auto" w:fill="auto"/>
          </w:tcPr>
          <w:p w14:paraId="3F7DAEB9" w14:textId="77777777" w:rsidR="000C2F85" w:rsidRPr="0079644B" w:rsidRDefault="000C2F85" w:rsidP="0079644B">
            <w:pPr>
              <w:pStyle w:val="SingleTxtG"/>
              <w:tabs>
                <w:tab w:val="clear" w:pos="1701"/>
                <w:tab w:val="clear" w:pos="2268"/>
                <w:tab w:val="clear" w:pos="2835"/>
              </w:tabs>
              <w:spacing w:before="40" w:after="40" w:line="220" w:lineRule="exact"/>
              <w:ind w:left="0" w:right="0"/>
              <w:jc w:val="left"/>
              <w:rPr>
                <w:sz w:val="18"/>
                <w:lang w:val="es-ES_tradnl"/>
              </w:rPr>
            </w:pPr>
            <w:r w:rsidRPr="0079644B">
              <w:rPr>
                <w:sz w:val="18"/>
                <w:lang w:val="es-ES_tradnl"/>
              </w:rPr>
              <w:t>Causas no naturales</w:t>
            </w:r>
          </w:p>
        </w:tc>
        <w:tc>
          <w:tcPr>
            <w:tcW w:w="709" w:type="dxa"/>
            <w:tcBorders>
              <w:bottom w:val="single" w:sz="4" w:space="0" w:color="auto"/>
            </w:tcBorders>
            <w:shd w:val="clear" w:color="auto" w:fill="auto"/>
            <w:vAlign w:val="bottom"/>
          </w:tcPr>
          <w:p w14:paraId="53A4B377"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p>
        </w:tc>
        <w:tc>
          <w:tcPr>
            <w:tcW w:w="708" w:type="dxa"/>
            <w:tcBorders>
              <w:bottom w:val="single" w:sz="4" w:space="0" w:color="auto"/>
            </w:tcBorders>
            <w:shd w:val="clear" w:color="auto" w:fill="auto"/>
            <w:vAlign w:val="bottom"/>
          </w:tcPr>
          <w:p w14:paraId="7085C846"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50 939</w:t>
            </w:r>
          </w:p>
        </w:tc>
        <w:tc>
          <w:tcPr>
            <w:tcW w:w="851" w:type="dxa"/>
            <w:tcBorders>
              <w:bottom w:val="single" w:sz="4" w:space="0" w:color="auto"/>
            </w:tcBorders>
            <w:shd w:val="clear" w:color="auto" w:fill="auto"/>
            <w:vAlign w:val="bottom"/>
          </w:tcPr>
          <w:p w14:paraId="576122C9"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10,7</w:t>
            </w:r>
          </w:p>
        </w:tc>
        <w:tc>
          <w:tcPr>
            <w:tcW w:w="567" w:type="dxa"/>
            <w:tcBorders>
              <w:bottom w:val="single" w:sz="4" w:space="0" w:color="auto"/>
            </w:tcBorders>
            <w:shd w:val="clear" w:color="auto" w:fill="auto"/>
            <w:vAlign w:val="bottom"/>
          </w:tcPr>
          <w:p w14:paraId="44804E83"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p>
        </w:tc>
        <w:tc>
          <w:tcPr>
            <w:tcW w:w="709" w:type="dxa"/>
            <w:tcBorders>
              <w:bottom w:val="single" w:sz="4" w:space="0" w:color="auto"/>
            </w:tcBorders>
            <w:shd w:val="clear" w:color="auto" w:fill="auto"/>
            <w:vAlign w:val="bottom"/>
          </w:tcPr>
          <w:p w14:paraId="0950DB19"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53 228</w:t>
            </w:r>
          </w:p>
        </w:tc>
        <w:tc>
          <w:tcPr>
            <w:tcW w:w="850" w:type="dxa"/>
            <w:tcBorders>
              <w:bottom w:val="single" w:sz="4" w:space="0" w:color="auto"/>
            </w:tcBorders>
            <w:shd w:val="clear" w:color="auto" w:fill="auto"/>
            <w:vAlign w:val="bottom"/>
          </w:tcPr>
          <w:p w14:paraId="7DF209F2"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11,2</w:t>
            </w:r>
          </w:p>
        </w:tc>
        <w:tc>
          <w:tcPr>
            <w:tcW w:w="567" w:type="dxa"/>
            <w:tcBorders>
              <w:bottom w:val="single" w:sz="4" w:space="0" w:color="auto"/>
            </w:tcBorders>
            <w:shd w:val="clear" w:color="auto" w:fill="auto"/>
            <w:vAlign w:val="bottom"/>
          </w:tcPr>
          <w:p w14:paraId="49748E23"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p>
        </w:tc>
        <w:tc>
          <w:tcPr>
            <w:tcW w:w="739" w:type="dxa"/>
            <w:tcBorders>
              <w:bottom w:val="single" w:sz="4" w:space="0" w:color="auto"/>
            </w:tcBorders>
            <w:shd w:val="clear" w:color="auto" w:fill="auto"/>
            <w:vAlign w:val="bottom"/>
          </w:tcPr>
          <w:p w14:paraId="177DAD0F"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51 242</w:t>
            </w:r>
          </w:p>
        </w:tc>
        <w:tc>
          <w:tcPr>
            <w:tcW w:w="820" w:type="dxa"/>
            <w:tcBorders>
              <w:bottom w:val="single" w:sz="4" w:space="0" w:color="auto"/>
            </w:tcBorders>
            <w:shd w:val="clear" w:color="auto" w:fill="auto"/>
            <w:vAlign w:val="bottom"/>
          </w:tcPr>
          <w:p w14:paraId="4B64D1D8" w14:textId="77777777" w:rsidR="000C2F85" w:rsidRPr="0079644B" w:rsidRDefault="000C2F85" w:rsidP="0079644B">
            <w:pPr>
              <w:pStyle w:val="SingleTxtG"/>
              <w:tabs>
                <w:tab w:val="clear" w:pos="1701"/>
                <w:tab w:val="clear" w:pos="2268"/>
                <w:tab w:val="clear" w:pos="2835"/>
              </w:tabs>
              <w:spacing w:before="40" w:after="40" w:line="220" w:lineRule="exact"/>
              <w:ind w:left="28" w:right="28"/>
              <w:jc w:val="right"/>
              <w:rPr>
                <w:sz w:val="18"/>
                <w:lang w:val="es-ES_tradnl"/>
              </w:rPr>
            </w:pPr>
            <w:r w:rsidRPr="0079644B">
              <w:rPr>
                <w:sz w:val="18"/>
                <w:lang w:val="es-ES_tradnl"/>
              </w:rPr>
              <w:t>11,2</w:t>
            </w:r>
          </w:p>
        </w:tc>
      </w:tr>
      <w:tr w:rsidR="0079644B" w:rsidRPr="0079644B" w14:paraId="279474EA" w14:textId="77777777" w:rsidTr="0079644B">
        <w:trPr>
          <w:trHeight w:val="240"/>
        </w:trPr>
        <w:tc>
          <w:tcPr>
            <w:tcW w:w="3119" w:type="dxa"/>
            <w:tcBorders>
              <w:top w:val="single" w:sz="4" w:space="0" w:color="auto"/>
              <w:bottom w:val="single" w:sz="12" w:space="0" w:color="auto"/>
            </w:tcBorders>
            <w:shd w:val="clear" w:color="auto" w:fill="auto"/>
          </w:tcPr>
          <w:p w14:paraId="41145052" w14:textId="77777777" w:rsidR="000C2F85" w:rsidRPr="0079644B" w:rsidRDefault="000C2F85" w:rsidP="0079644B">
            <w:pPr>
              <w:pStyle w:val="SingleTxtG"/>
              <w:tabs>
                <w:tab w:val="clear" w:pos="1701"/>
                <w:tab w:val="clear" w:pos="2268"/>
                <w:tab w:val="clear" w:pos="2835"/>
              </w:tabs>
              <w:spacing w:before="80" w:after="80" w:line="220" w:lineRule="exact"/>
              <w:ind w:left="283" w:right="0"/>
              <w:jc w:val="left"/>
              <w:rPr>
                <w:b/>
                <w:sz w:val="18"/>
                <w:lang w:val="es-ES_tradnl"/>
              </w:rPr>
            </w:pPr>
            <w:r w:rsidRPr="0079644B">
              <w:rPr>
                <w:b/>
                <w:bCs/>
                <w:sz w:val="18"/>
                <w:lang w:val="es-ES_tradnl"/>
              </w:rPr>
              <w:t>Todas las causas</w:t>
            </w:r>
          </w:p>
        </w:tc>
        <w:tc>
          <w:tcPr>
            <w:tcW w:w="709" w:type="dxa"/>
            <w:tcBorders>
              <w:top w:val="single" w:sz="4" w:space="0" w:color="auto"/>
              <w:bottom w:val="single" w:sz="12" w:space="0" w:color="auto"/>
            </w:tcBorders>
            <w:shd w:val="clear" w:color="auto" w:fill="auto"/>
            <w:vAlign w:val="bottom"/>
          </w:tcPr>
          <w:p w14:paraId="435A1F3F" w14:textId="77777777" w:rsidR="000C2F85" w:rsidRPr="0079644B" w:rsidRDefault="000C2F85" w:rsidP="0079644B">
            <w:pPr>
              <w:pStyle w:val="SingleTxtG"/>
              <w:tabs>
                <w:tab w:val="clear" w:pos="1701"/>
                <w:tab w:val="clear" w:pos="2268"/>
                <w:tab w:val="clear" w:pos="2835"/>
              </w:tabs>
              <w:spacing w:before="80" w:after="80" w:line="220" w:lineRule="exact"/>
              <w:ind w:left="28" w:right="28"/>
              <w:jc w:val="right"/>
              <w:rPr>
                <w:b/>
                <w:sz w:val="18"/>
                <w:lang w:val="es-ES_tradnl"/>
              </w:rPr>
            </w:pPr>
          </w:p>
        </w:tc>
        <w:tc>
          <w:tcPr>
            <w:tcW w:w="708" w:type="dxa"/>
            <w:tcBorders>
              <w:top w:val="single" w:sz="4" w:space="0" w:color="auto"/>
              <w:bottom w:val="single" w:sz="12" w:space="0" w:color="auto"/>
            </w:tcBorders>
            <w:shd w:val="clear" w:color="auto" w:fill="auto"/>
            <w:vAlign w:val="bottom"/>
          </w:tcPr>
          <w:p w14:paraId="736D9C55" w14:textId="77777777" w:rsidR="000C2F85" w:rsidRPr="0079644B" w:rsidRDefault="000C2F85" w:rsidP="0079644B">
            <w:pPr>
              <w:pStyle w:val="SingleTxtG"/>
              <w:tabs>
                <w:tab w:val="clear" w:pos="1701"/>
                <w:tab w:val="clear" w:pos="2268"/>
                <w:tab w:val="clear" w:pos="2835"/>
              </w:tabs>
              <w:spacing w:before="80" w:after="80" w:line="220" w:lineRule="exact"/>
              <w:ind w:left="28" w:right="28"/>
              <w:jc w:val="right"/>
              <w:rPr>
                <w:b/>
                <w:sz w:val="18"/>
                <w:lang w:val="es-ES_tradnl"/>
              </w:rPr>
            </w:pPr>
            <w:r w:rsidRPr="0079644B">
              <w:rPr>
                <w:b/>
                <w:bCs/>
                <w:sz w:val="18"/>
                <w:lang w:val="es-ES_tradnl"/>
              </w:rPr>
              <w:t>476 891</w:t>
            </w:r>
          </w:p>
        </w:tc>
        <w:tc>
          <w:tcPr>
            <w:tcW w:w="851" w:type="dxa"/>
            <w:tcBorders>
              <w:top w:val="single" w:sz="4" w:space="0" w:color="auto"/>
              <w:bottom w:val="single" w:sz="12" w:space="0" w:color="auto"/>
            </w:tcBorders>
            <w:shd w:val="clear" w:color="auto" w:fill="auto"/>
            <w:vAlign w:val="bottom"/>
          </w:tcPr>
          <w:p w14:paraId="4F137106" w14:textId="77777777" w:rsidR="000C2F85" w:rsidRPr="0079644B" w:rsidRDefault="000C2F85" w:rsidP="0079644B">
            <w:pPr>
              <w:pStyle w:val="SingleTxtG"/>
              <w:tabs>
                <w:tab w:val="clear" w:pos="1701"/>
                <w:tab w:val="clear" w:pos="2268"/>
                <w:tab w:val="clear" w:pos="2835"/>
              </w:tabs>
              <w:spacing w:before="80" w:after="80" w:line="220" w:lineRule="exact"/>
              <w:ind w:left="28" w:right="28"/>
              <w:jc w:val="right"/>
              <w:rPr>
                <w:b/>
                <w:sz w:val="18"/>
                <w:lang w:val="es-ES_tradnl"/>
              </w:rPr>
            </w:pPr>
            <w:r w:rsidRPr="0079644B">
              <w:rPr>
                <w:b/>
                <w:bCs/>
                <w:sz w:val="18"/>
                <w:lang w:val="es-ES_tradnl"/>
              </w:rPr>
              <w:t>100,0</w:t>
            </w:r>
          </w:p>
        </w:tc>
        <w:tc>
          <w:tcPr>
            <w:tcW w:w="567" w:type="dxa"/>
            <w:tcBorders>
              <w:top w:val="single" w:sz="4" w:space="0" w:color="auto"/>
              <w:bottom w:val="single" w:sz="12" w:space="0" w:color="auto"/>
            </w:tcBorders>
            <w:shd w:val="clear" w:color="auto" w:fill="auto"/>
            <w:vAlign w:val="bottom"/>
          </w:tcPr>
          <w:p w14:paraId="37E3CEAB" w14:textId="77777777" w:rsidR="000C2F85" w:rsidRPr="0079644B" w:rsidRDefault="000C2F85" w:rsidP="0079644B">
            <w:pPr>
              <w:pStyle w:val="SingleTxtG"/>
              <w:tabs>
                <w:tab w:val="clear" w:pos="1701"/>
                <w:tab w:val="clear" w:pos="2268"/>
                <w:tab w:val="clear" w:pos="2835"/>
              </w:tabs>
              <w:spacing w:before="80" w:after="80" w:line="220" w:lineRule="exact"/>
              <w:ind w:left="28" w:right="28"/>
              <w:jc w:val="right"/>
              <w:rPr>
                <w:b/>
                <w:sz w:val="18"/>
                <w:lang w:val="es-ES_tradnl"/>
              </w:rPr>
            </w:pPr>
          </w:p>
        </w:tc>
        <w:tc>
          <w:tcPr>
            <w:tcW w:w="709" w:type="dxa"/>
            <w:tcBorders>
              <w:top w:val="single" w:sz="4" w:space="0" w:color="auto"/>
              <w:bottom w:val="single" w:sz="12" w:space="0" w:color="auto"/>
            </w:tcBorders>
            <w:shd w:val="clear" w:color="auto" w:fill="auto"/>
            <w:vAlign w:val="bottom"/>
          </w:tcPr>
          <w:p w14:paraId="397C47A5" w14:textId="77777777" w:rsidR="000C2F85" w:rsidRPr="0079644B" w:rsidRDefault="000C2F85" w:rsidP="0079644B">
            <w:pPr>
              <w:pStyle w:val="SingleTxtG"/>
              <w:tabs>
                <w:tab w:val="clear" w:pos="1701"/>
                <w:tab w:val="clear" w:pos="2268"/>
                <w:tab w:val="clear" w:pos="2835"/>
              </w:tabs>
              <w:spacing w:before="80" w:after="80" w:line="220" w:lineRule="exact"/>
              <w:ind w:left="28" w:right="28"/>
              <w:jc w:val="right"/>
              <w:rPr>
                <w:b/>
                <w:sz w:val="18"/>
                <w:lang w:val="es-ES_tradnl"/>
              </w:rPr>
            </w:pPr>
            <w:r w:rsidRPr="0079644B">
              <w:rPr>
                <w:b/>
                <w:bCs/>
                <w:sz w:val="18"/>
                <w:lang w:val="es-ES_tradnl"/>
              </w:rPr>
              <w:t>473 266</w:t>
            </w:r>
          </w:p>
        </w:tc>
        <w:tc>
          <w:tcPr>
            <w:tcW w:w="850" w:type="dxa"/>
            <w:tcBorders>
              <w:top w:val="single" w:sz="4" w:space="0" w:color="auto"/>
              <w:bottom w:val="single" w:sz="12" w:space="0" w:color="auto"/>
            </w:tcBorders>
            <w:shd w:val="clear" w:color="auto" w:fill="auto"/>
            <w:vAlign w:val="bottom"/>
          </w:tcPr>
          <w:p w14:paraId="6FD55064" w14:textId="77777777" w:rsidR="000C2F85" w:rsidRPr="0079644B" w:rsidRDefault="000C2F85" w:rsidP="0079644B">
            <w:pPr>
              <w:pStyle w:val="SingleTxtG"/>
              <w:tabs>
                <w:tab w:val="clear" w:pos="1701"/>
                <w:tab w:val="clear" w:pos="2268"/>
                <w:tab w:val="clear" w:pos="2835"/>
              </w:tabs>
              <w:spacing w:before="80" w:after="80" w:line="220" w:lineRule="exact"/>
              <w:ind w:left="28" w:right="28"/>
              <w:jc w:val="right"/>
              <w:rPr>
                <w:b/>
                <w:sz w:val="18"/>
                <w:lang w:val="es-ES_tradnl"/>
              </w:rPr>
            </w:pPr>
            <w:r w:rsidRPr="0079644B">
              <w:rPr>
                <w:b/>
                <w:bCs/>
                <w:sz w:val="18"/>
                <w:lang w:val="es-ES_tradnl"/>
              </w:rPr>
              <w:t>100,0</w:t>
            </w:r>
          </w:p>
        </w:tc>
        <w:tc>
          <w:tcPr>
            <w:tcW w:w="567" w:type="dxa"/>
            <w:tcBorders>
              <w:top w:val="single" w:sz="4" w:space="0" w:color="auto"/>
              <w:bottom w:val="single" w:sz="12" w:space="0" w:color="auto"/>
            </w:tcBorders>
            <w:shd w:val="clear" w:color="auto" w:fill="auto"/>
            <w:vAlign w:val="bottom"/>
          </w:tcPr>
          <w:p w14:paraId="657A0928" w14:textId="77777777" w:rsidR="000C2F85" w:rsidRPr="0079644B" w:rsidRDefault="000C2F85" w:rsidP="0079644B">
            <w:pPr>
              <w:pStyle w:val="SingleTxtG"/>
              <w:tabs>
                <w:tab w:val="clear" w:pos="1701"/>
                <w:tab w:val="clear" w:pos="2268"/>
                <w:tab w:val="clear" w:pos="2835"/>
              </w:tabs>
              <w:spacing w:before="80" w:after="80" w:line="220" w:lineRule="exact"/>
              <w:ind w:left="28" w:right="28"/>
              <w:jc w:val="right"/>
              <w:rPr>
                <w:b/>
                <w:sz w:val="18"/>
                <w:lang w:val="es-ES_tradnl"/>
              </w:rPr>
            </w:pPr>
          </w:p>
        </w:tc>
        <w:tc>
          <w:tcPr>
            <w:tcW w:w="739" w:type="dxa"/>
            <w:tcBorders>
              <w:top w:val="single" w:sz="4" w:space="0" w:color="auto"/>
              <w:bottom w:val="single" w:sz="12" w:space="0" w:color="auto"/>
            </w:tcBorders>
            <w:shd w:val="clear" w:color="auto" w:fill="auto"/>
            <w:vAlign w:val="bottom"/>
          </w:tcPr>
          <w:p w14:paraId="15BE350D" w14:textId="77777777" w:rsidR="000C2F85" w:rsidRPr="0079644B" w:rsidRDefault="000C2F85" w:rsidP="0079644B">
            <w:pPr>
              <w:pStyle w:val="SingleTxtG"/>
              <w:tabs>
                <w:tab w:val="clear" w:pos="1701"/>
                <w:tab w:val="clear" w:pos="2268"/>
                <w:tab w:val="clear" w:pos="2835"/>
              </w:tabs>
              <w:spacing w:before="80" w:after="80" w:line="220" w:lineRule="exact"/>
              <w:ind w:left="28" w:right="28"/>
              <w:jc w:val="right"/>
              <w:rPr>
                <w:b/>
                <w:sz w:val="18"/>
                <w:lang w:val="es-ES_tradnl"/>
              </w:rPr>
            </w:pPr>
            <w:r w:rsidRPr="0079644B">
              <w:rPr>
                <w:b/>
                <w:bCs/>
                <w:sz w:val="18"/>
                <w:lang w:val="es-ES_tradnl"/>
              </w:rPr>
              <w:t>456 612</w:t>
            </w:r>
          </w:p>
        </w:tc>
        <w:tc>
          <w:tcPr>
            <w:tcW w:w="820" w:type="dxa"/>
            <w:tcBorders>
              <w:top w:val="single" w:sz="4" w:space="0" w:color="auto"/>
              <w:bottom w:val="single" w:sz="12" w:space="0" w:color="auto"/>
            </w:tcBorders>
            <w:shd w:val="clear" w:color="auto" w:fill="auto"/>
            <w:vAlign w:val="bottom"/>
          </w:tcPr>
          <w:p w14:paraId="3D05EE51" w14:textId="77777777" w:rsidR="000C2F85" w:rsidRPr="0079644B" w:rsidRDefault="000C2F85" w:rsidP="0079644B">
            <w:pPr>
              <w:pStyle w:val="SingleTxtG"/>
              <w:tabs>
                <w:tab w:val="clear" w:pos="1701"/>
                <w:tab w:val="clear" w:pos="2268"/>
                <w:tab w:val="clear" w:pos="2835"/>
              </w:tabs>
              <w:spacing w:before="80" w:after="80" w:line="220" w:lineRule="exact"/>
              <w:ind w:left="28" w:right="28"/>
              <w:jc w:val="right"/>
              <w:rPr>
                <w:b/>
                <w:sz w:val="18"/>
                <w:lang w:val="es-ES_tradnl"/>
              </w:rPr>
            </w:pPr>
            <w:r w:rsidRPr="0079644B">
              <w:rPr>
                <w:b/>
                <w:bCs/>
                <w:sz w:val="18"/>
                <w:lang w:val="es-ES_tradnl"/>
              </w:rPr>
              <w:t>100,0</w:t>
            </w:r>
          </w:p>
        </w:tc>
      </w:tr>
    </w:tbl>
    <w:p w14:paraId="05560689" w14:textId="77777777" w:rsidR="000C2F85" w:rsidRPr="000C2F85" w:rsidRDefault="000C2F85" w:rsidP="0079644B">
      <w:pPr>
        <w:pStyle w:val="SingleTxtG"/>
        <w:spacing w:before="240"/>
        <w:rPr>
          <w:lang w:val="es-ES_tradnl"/>
        </w:rPr>
      </w:pPr>
      <w:r w:rsidRPr="000C2F85">
        <w:rPr>
          <w:lang w:val="es-ES_tradnl"/>
        </w:rPr>
        <w:t>8.</w:t>
      </w:r>
      <w:r w:rsidRPr="000C2F85">
        <w:rPr>
          <w:lang w:val="es-ES_tradnl"/>
        </w:rPr>
        <w:tab/>
        <w:t>El Plan Estratégico Nacional para el VIH, la Tuberculosis y las Infecciones de Transmisión Sexual 2017-2022 comprende un examen amplio del estado de la epidemia del VIH, así como planes para frenar las nuevas infecciones y mitigar el estigma y la discriminación. En la actualidad, 7,1 millones de personas viven con el VIH y 4,2 millones siguen tratamiento antirretroviral. La intención es que 2 millones de personas más tengan acceso a estos medicamentos en diciembre de 2020, como muy tarde, para alcanzar el objetivo 90-90-90 del Programa Conjunto de las Naciones Unidas sobre el VIH/Sida (ONUSIDA). En lo que respecta a la prevención de la transmisión materno-infantil del VIH, los resultados obtenidos seis semanas después del parto muestran una reducción de la transmisión, del 8 % en 2008 al 1,4 % en 2017. En el cuadro siguiente se consignan las cifras de prevalencia del VIH.</w:t>
      </w:r>
    </w:p>
    <w:p w14:paraId="50455ADC" w14:textId="06FBEC54" w:rsidR="000C2F85" w:rsidRPr="00DD49CD" w:rsidRDefault="0079644B" w:rsidP="0079644B">
      <w:pPr>
        <w:pStyle w:val="H23G"/>
        <w:rPr>
          <w:b w:val="0"/>
          <w:bCs/>
          <w:lang w:val="es-ES_tradnl"/>
        </w:rPr>
      </w:pPr>
      <w:r w:rsidRPr="0079644B">
        <w:rPr>
          <w:b w:val="0"/>
          <w:bCs/>
          <w:lang w:val="es-ES_tradnl"/>
        </w:rPr>
        <w:tab/>
      </w:r>
      <w:r w:rsidR="000C2F85" w:rsidRPr="0079644B">
        <w:rPr>
          <w:b w:val="0"/>
          <w:bCs/>
          <w:lang w:val="es-ES_tradnl"/>
        </w:rPr>
        <w:tab/>
        <w:t>Cuadro 7</w:t>
      </w:r>
      <w:r w:rsidR="000C2F85" w:rsidRPr="0079644B">
        <w:rPr>
          <w:b w:val="0"/>
          <w:bCs/>
          <w:lang w:val="es-ES_tradnl"/>
        </w:rPr>
        <w:br/>
      </w:r>
      <w:r w:rsidR="000C2F85" w:rsidRPr="000C2F85">
        <w:rPr>
          <w:lang w:val="es-ES_tradnl"/>
        </w:rPr>
        <w:t>Prevalencia del VIH (2014-2017)</w:t>
      </w:r>
      <w:r w:rsidR="000C2F85" w:rsidRPr="00605B48">
        <w:rPr>
          <w:b w:val="0"/>
          <w:sz w:val="18"/>
          <w:szCs w:val="18"/>
          <w:vertAlign w:val="superscript"/>
          <w:lang w:val="es-ES_tradnl"/>
        </w:rPr>
        <w:footnoteReference w:id="14"/>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928"/>
        <w:gridCol w:w="1057"/>
        <w:gridCol w:w="1134"/>
        <w:gridCol w:w="1276"/>
        <w:gridCol w:w="1417"/>
        <w:gridCol w:w="1558"/>
      </w:tblGrid>
      <w:tr w:rsidR="00F948B8" w:rsidRPr="0079644B" w14:paraId="62087A4A" w14:textId="77777777" w:rsidTr="00F948B8">
        <w:trPr>
          <w:trHeight w:val="240"/>
          <w:tblHeader/>
        </w:trPr>
        <w:tc>
          <w:tcPr>
            <w:tcW w:w="928" w:type="dxa"/>
            <w:vMerge w:val="restart"/>
            <w:tcBorders>
              <w:top w:val="single" w:sz="4" w:space="0" w:color="auto"/>
              <w:bottom w:val="single" w:sz="4" w:space="0" w:color="auto"/>
            </w:tcBorders>
            <w:shd w:val="clear" w:color="auto" w:fill="auto"/>
            <w:vAlign w:val="bottom"/>
          </w:tcPr>
          <w:p w14:paraId="0FBB8064" w14:textId="5CC5AF06" w:rsidR="00F948B8" w:rsidRPr="0079644B" w:rsidRDefault="00F948B8" w:rsidP="0079644B">
            <w:pPr>
              <w:pStyle w:val="SingleTxtG"/>
              <w:spacing w:before="80" w:after="80" w:line="200" w:lineRule="exact"/>
              <w:ind w:left="0" w:right="0"/>
              <w:jc w:val="left"/>
              <w:rPr>
                <w:i/>
                <w:sz w:val="16"/>
                <w:lang w:val="es-ES_tradnl"/>
              </w:rPr>
            </w:pPr>
            <w:r w:rsidRPr="0079644B">
              <w:rPr>
                <w:i/>
                <w:sz w:val="16"/>
                <w:lang w:val="es-ES_tradnl"/>
              </w:rPr>
              <w:t xml:space="preserve">Año </w:t>
            </w:r>
          </w:p>
        </w:tc>
        <w:tc>
          <w:tcPr>
            <w:tcW w:w="3467" w:type="dxa"/>
            <w:gridSpan w:val="3"/>
            <w:tcBorders>
              <w:top w:val="single" w:sz="4" w:space="0" w:color="auto"/>
              <w:bottom w:val="single" w:sz="4" w:space="0" w:color="auto"/>
            </w:tcBorders>
            <w:shd w:val="clear" w:color="auto" w:fill="auto"/>
            <w:vAlign w:val="bottom"/>
          </w:tcPr>
          <w:p w14:paraId="27394755" w14:textId="77777777" w:rsidR="00F948B8" w:rsidRPr="0079644B" w:rsidRDefault="00F948B8" w:rsidP="00F948B8">
            <w:pPr>
              <w:pStyle w:val="SingleTxtG"/>
              <w:tabs>
                <w:tab w:val="clear" w:pos="1701"/>
                <w:tab w:val="clear" w:pos="2268"/>
                <w:tab w:val="clear" w:pos="2835"/>
              </w:tabs>
              <w:spacing w:before="80" w:after="80" w:line="200" w:lineRule="exact"/>
              <w:ind w:left="0" w:right="0"/>
              <w:jc w:val="center"/>
              <w:rPr>
                <w:i/>
                <w:sz w:val="16"/>
                <w:lang w:val="es-ES_tradnl"/>
              </w:rPr>
            </w:pPr>
            <w:r w:rsidRPr="0079644B">
              <w:rPr>
                <w:i/>
                <w:iCs/>
                <w:sz w:val="16"/>
                <w:lang w:val="es-ES_tradnl"/>
              </w:rPr>
              <w:t>Prevalencia</w:t>
            </w:r>
          </w:p>
        </w:tc>
        <w:tc>
          <w:tcPr>
            <w:tcW w:w="1417" w:type="dxa"/>
            <w:vMerge w:val="restart"/>
            <w:tcBorders>
              <w:top w:val="single" w:sz="4" w:space="0" w:color="auto"/>
            </w:tcBorders>
            <w:shd w:val="clear" w:color="auto" w:fill="auto"/>
            <w:vAlign w:val="bottom"/>
          </w:tcPr>
          <w:p w14:paraId="5B725AE6" w14:textId="7ADDF6E2" w:rsidR="00F948B8" w:rsidRPr="0079644B" w:rsidRDefault="00F948B8" w:rsidP="00F948B8">
            <w:pPr>
              <w:pStyle w:val="SingleTxtG"/>
              <w:tabs>
                <w:tab w:val="clear" w:pos="1701"/>
                <w:tab w:val="clear" w:pos="2268"/>
                <w:tab w:val="clear" w:pos="2835"/>
              </w:tabs>
              <w:spacing w:before="80" w:after="80" w:line="200" w:lineRule="exact"/>
              <w:ind w:left="57" w:right="28"/>
              <w:jc w:val="right"/>
              <w:rPr>
                <w:i/>
                <w:sz w:val="16"/>
                <w:lang w:val="es-ES_tradnl"/>
              </w:rPr>
            </w:pPr>
            <w:r w:rsidRPr="0079644B">
              <w:rPr>
                <w:i/>
                <w:iCs/>
                <w:sz w:val="16"/>
                <w:lang w:val="es-ES_tradnl"/>
              </w:rPr>
              <w:t>Tasa de incidencia (porcentaje)</w:t>
            </w:r>
            <w:r>
              <w:rPr>
                <w:i/>
                <w:iCs/>
                <w:sz w:val="16"/>
                <w:lang w:val="es-ES_tradnl"/>
              </w:rPr>
              <w:br/>
            </w:r>
            <w:r w:rsidRPr="0079644B">
              <w:rPr>
                <w:i/>
                <w:iCs/>
                <w:sz w:val="16"/>
                <w:lang w:val="es-ES_tradnl"/>
              </w:rPr>
              <w:t>De 15 a 49 años</w:t>
            </w:r>
          </w:p>
        </w:tc>
        <w:tc>
          <w:tcPr>
            <w:tcW w:w="1558" w:type="dxa"/>
            <w:vMerge w:val="restart"/>
            <w:tcBorders>
              <w:top w:val="single" w:sz="4" w:space="0" w:color="auto"/>
            </w:tcBorders>
            <w:shd w:val="clear" w:color="auto" w:fill="auto"/>
            <w:vAlign w:val="bottom"/>
          </w:tcPr>
          <w:p w14:paraId="4D160D49" w14:textId="60608F22" w:rsidR="00F948B8" w:rsidRPr="0079644B" w:rsidRDefault="00F948B8" w:rsidP="00F948B8">
            <w:pPr>
              <w:pStyle w:val="SingleTxtG"/>
              <w:spacing w:before="80" w:after="80" w:line="200" w:lineRule="exact"/>
              <w:ind w:left="57" w:right="28"/>
              <w:jc w:val="right"/>
              <w:rPr>
                <w:i/>
                <w:sz w:val="16"/>
                <w:lang w:val="es-ES_tradnl"/>
              </w:rPr>
            </w:pPr>
            <w:r w:rsidRPr="0079644B">
              <w:rPr>
                <w:i/>
                <w:iCs/>
                <w:sz w:val="16"/>
                <w:lang w:val="es-ES_tradnl"/>
              </w:rPr>
              <w:t>Número de habitantes con VIH (millones)</w:t>
            </w:r>
          </w:p>
        </w:tc>
      </w:tr>
      <w:tr w:rsidR="00F948B8" w:rsidRPr="0079644B" w14:paraId="5150700A" w14:textId="77777777" w:rsidTr="00F948B8">
        <w:trPr>
          <w:trHeight w:val="240"/>
          <w:tblHeader/>
        </w:trPr>
        <w:tc>
          <w:tcPr>
            <w:tcW w:w="928" w:type="dxa"/>
            <w:vMerge/>
            <w:tcBorders>
              <w:top w:val="single" w:sz="4" w:space="0" w:color="auto"/>
              <w:bottom w:val="single" w:sz="12" w:space="0" w:color="auto"/>
            </w:tcBorders>
            <w:shd w:val="clear" w:color="auto" w:fill="auto"/>
          </w:tcPr>
          <w:p w14:paraId="7A4861BD" w14:textId="506C1099" w:rsidR="00F948B8" w:rsidRPr="0079644B" w:rsidRDefault="00F948B8" w:rsidP="0079644B">
            <w:pPr>
              <w:pStyle w:val="SingleTxtG"/>
              <w:tabs>
                <w:tab w:val="clear" w:pos="1701"/>
                <w:tab w:val="clear" w:pos="2268"/>
                <w:tab w:val="clear" w:pos="2835"/>
              </w:tabs>
              <w:spacing w:before="80" w:after="80" w:line="200" w:lineRule="exact"/>
              <w:ind w:left="0" w:right="0"/>
              <w:jc w:val="left"/>
              <w:rPr>
                <w:sz w:val="18"/>
                <w:lang w:val="es-ES_tradnl"/>
              </w:rPr>
            </w:pPr>
          </w:p>
        </w:tc>
        <w:tc>
          <w:tcPr>
            <w:tcW w:w="1057" w:type="dxa"/>
            <w:tcBorders>
              <w:top w:val="single" w:sz="4" w:space="0" w:color="auto"/>
              <w:bottom w:val="single" w:sz="12" w:space="0" w:color="auto"/>
            </w:tcBorders>
            <w:shd w:val="clear" w:color="auto" w:fill="auto"/>
            <w:vAlign w:val="bottom"/>
          </w:tcPr>
          <w:p w14:paraId="45DA8F57" w14:textId="77777777" w:rsidR="00F948B8" w:rsidRPr="0079644B" w:rsidRDefault="00F948B8" w:rsidP="00F948B8">
            <w:pPr>
              <w:pStyle w:val="SingleTxtG"/>
              <w:tabs>
                <w:tab w:val="clear" w:pos="1701"/>
                <w:tab w:val="clear" w:pos="2268"/>
                <w:tab w:val="clear" w:pos="2835"/>
              </w:tabs>
              <w:spacing w:before="80" w:after="80" w:line="200" w:lineRule="exact"/>
              <w:ind w:left="57" w:right="28"/>
              <w:jc w:val="right"/>
              <w:rPr>
                <w:i/>
                <w:iCs/>
                <w:sz w:val="16"/>
                <w:lang w:val="es-ES_tradnl"/>
              </w:rPr>
            </w:pPr>
            <w:r w:rsidRPr="0079644B">
              <w:rPr>
                <w:i/>
                <w:iCs/>
                <w:sz w:val="16"/>
                <w:lang w:val="es-ES_tradnl"/>
              </w:rPr>
              <w:t>Mujeres de 15 a 49 años</w:t>
            </w:r>
          </w:p>
        </w:tc>
        <w:tc>
          <w:tcPr>
            <w:tcW w:w="1134" w:type="dxa"/>
            <w:tcBorders>
              <w:top w:val="single" w:sz="4" w:space="0" w:color="auto"/>
              <w:bottom w:val="single" w:sz="12" w:space="0" w:color="auto"/>
            </w:tcBorders>
            <w:shd w:val="clear" w:color="auto" w:fill="auto"/>
            <w:vAlign w:val="bottom"/>
          </w:tcPr>
          <w:p w14:paraId="6CB9C3DC" w14:textId="2ABFE33C" w:rsidR="00F948B8" w:rsidRPr="0079644B" w:rsidRDefault="00F948B8" w:rsidP="00F948B8">
            <w:pPr>
              <w:pStyle w:val="SingleTxtG"/>
              <w:tabs>
                <w:tab w:val="clear" w:pos="1701"/>
                <w:tab w:val="clear" w:pos="2268"/>
                <w:tab w:val="clear" w:pos="2835"/>
              </w:tabs>
              <w:spacing w:before="80" w:after="80" w:line="200" w:lineRule="exact"/>
              <w:ind w:left="57" w:right="28"/>
              <w:jc w:val="right"/>
              <w:rPr>
                <w:i/>
                <w:iCs/>
                <w:sz w:val="16"/>
                <w:lang w:val="es-ES_tradnl"/>
              </w:rPr>
            </w:pPr>
            <w:r w:rsidRPr="0079644B">
              <w:rPr>
                <w:i/>
                <w:iCs/>
                <w:sz w:val="16"/>
                <w:lang w:val="es-ES_tradnl"/>
              </w:rPr>
              <w:t>Adultos de 15 a</w:t>
            </w:r>
            <w:r>
              <w:rPr>
                <w:i/>
                <w:iCs/>
                <w:sz w:val="16"/>
                <w:lang w:val="es-ES_tradnl"/>
              </w:rPr>
              <w:t> </w:t>
            </w:r>
            <w:r w:rsidRPr="0079644B">
              <w:rPr>
                <w:i/>
                <w:iCs/>
                <w:sz w:val="16"/>
                <w:lang w:val="es-ES_tradnl"/>
              </w:rPr>
              <w:t>49 años</w:t>
            </w:r>
          </w:p>
        </w:tc>
        <w:tc>
          <w:tcPr>
            <w:tcW w:w="1276" w:type="dxa"/>
            <w:tcBorders>
              <w:top w:val="single" w:sz="4" w:space="0" w:color="auto"/>
              <w:bottom w:val="single" w:sz="12" w:space="0" w:color="auto"/>
            </w:tcBorders>
            <w:shd w:val="clear" w:color="auto" w:fill="auto"/>
            <w:vAlign w:val="bottom"/>
          </w:tcPr>
          <w:p w14:paraId="2D9BC529" w14:textId="5F066697" w:rsidR="00F948B8" w:rsidRPr="0079644B" w:rsidRDefault="00F948B8" w:rsidP="00F948B8">
            <w:pPr>
              <w:pStyle w:val="SingleTxtG"/>
              <w:tabs>
                <w:tab w:val="clear" w:pos="1701"/>
                <w:tab w:val="clear" w:pos="2268"/>
                <w:tab w:val="clear" w:pos="2835"/>
              </w:tabs>
              <w:spacing w:before="80" w:after="80" w:line="200" w:lineRule="exact"/>
              <w:ind w:left="57" w:right="28"/>
              <w:jc w:val="right"/>
              <w:rPr>
                <w:i/>
                <w:iCs/>
                <w:sz w:val="16"/>
                <w:lang w:val="es-ES_tradnl"/>
              </w:rPr>
            </w:pPr>
            <w:r w:rsidRPr="0079644B">
              <w:rPr>
                <w:i/>
                <w:iCs/>
                <w:sz w:val="16"/>
                <w:lang w:val="es-ES_tradnl"/>
              </w:rPr>
              <w:t>Número total de</w:t>
            </w:r>
            <w:r>
              <w:rPr>
                <w:i/>
                <w:iCs/>
                <w:sz w:val="16"/>
                <w:lang w:val="es-ES_tradnl"/>
              </w:rPr>
              <w:t> </w:t>
            </w:r>
            <w:r w:rsidRPr="0079644B">
              <w:rPr>
                <w:i/>
                <w:iCs/>
                <w:sz w:val="16"/>
                <w:lang w:val="es-ES_tradnl"/>
              </w:rPr>
              <w:t>habitantes</w:t>
            </w:r>
          </w:p>
        </w:tc>
        <w:tc>
          <w:tcPr>
            <w:tcW w:w="1417" w:type="dxa"/>
            <w:vMerge/>
            <w:tcBorders>
              <w:bottom w:val="single" w:sz="12" w:space="0" w:color="auto"/>
            </w:tcBorders>
            <w:shd w:val="clear" w:color="auto" w:fill="auto"/>
            <w:vAlign w:val="bottom"/>
          </w:tcPr>
          <w:p w14:paraId="4BE781A6" w14:textId="47FF9969" w:rsidR="00F948B8" w:rsidRPr="0079644B" w:rsidRDefault="00F948B8" w:rsidP="00F948B8">
            <w:pPr>
              <w:pStyle w:val="SingleTxtG"/>
              <w:tabs>
                <w:tab w:val="clear" w:pos="1701"/>
                <w:tab w:val="clear" w:pos="2268"/>
                <w:tab w:val="clear" w:pos="2835"/>
              </w:tabs>
              <w:spacing w:before="80" w:after="80" w:line="200" w:lineRule="exact"/>
              <w:ind w:left="57" w:right="28"/>
              <w:jc w:val="right"/>
              <w:rPr>
                <w:i/>
                <w:iCs/>
                <w:sz w:val="16"/>
                <w:lang w:val="es-ES_tradnl"/>
              </w:rPr>
            </w:pPr>
          </w:p>
        </w:tc>
        <w:tc>
          <w:tcPr>
            <w:tcW w:w="1558" w:type="dxa"/>
            <w:vMerge/>
            <w:tcBorders>
              <w:bottom w:val="single" w:sz="12" w:space="0" w:color="auto"/>
            </w:tcBorders>
            <w:shd w:val="clear" w:color="auto" w:fill="auto"/>
            <w:vAlign w:val="bottom"/>
          </w:tcPr>
          <w:p w14:paraId="0B658949" w14:textId="64CE7B64" w:rsidR="00F948B8" w:rsidRPr="0079644B" w:rsidRDefault="00F948B8" w:rsidP="00F948B8">
            <w:pPr>
              <w:pStyle w:val="SingleTxtG"/>
              <w:tabs>
                <w:tab w:val="clear" w:pos="1701"/>
                <w:tab w:val="clear" w:pos="2268"/>
                <w:tab w:val="clear" w:pos="2835"/>
              </w:tabs>
              <w:spacing w:before="80" w:after="80" w:line="200" w:lineRule="exact"/>
              <w:ind w:left="57" w:right="28"/>
              <w:jc w:val="right"/>
              <w:rPr>
                <w:i/>
                <w:iCs/>
                <w:sz w:val="16"/>
                <w:lang w:val="es-ES_tradnl"/>
              </w:rPr>
            </w:pPr>
          </w:p>
        </w:tc>
      </w:tr>
      <w:tr w:rsidR="000C2F85" w:rsidRPr="0079644B" w14:paraId="2A7763FD" w14:textId="77777777" w:rsidTr="00F948B8">
        <w:trPr>
          <w:trHeight w:val="240"/>
        </w:trPr>
        <w:tc>
          <w:tcPr>
            <w:tcW w:w="928" w:type="dxa"/>
            <w:tcBorders>
              <w:top w:val="single" w:sz="12" w:space="0" w:color="auto"/>
            </w:tcBorders>
            <w:shd w:val="clear" w:color="auto" w:fill="auto"/>
          </w:tcPr>
          <w:p w14:paraId="15E70428" w14:textId="77777777" w:rsidR="000C2F85" w:rsidRPr="0079644B" w:rsidRDefault="000C2F85" w:rsidP="0079644B">
            <w:pPr>
              <w:pStyle w:val="SingleTxtG"/>
              <w:tabs>
                <w:tab w:val="clear" w:pos="1701"/>
                <w:tab w:val="clear" w:pos="2268"/>
                <w:tab w:val="clear" w:pos="2835"/>
              </w:tabs>
              <w:spacing w:before="40" w:after="40" w:line="220" w:lineRule="exact"/>
              <w:ind w:left="0" w:right="0"/>
              <w:jc w:val="left"/>
              <w:rPr>
                <w:sz w:val="18"/>
                <w:lang w:val="es-ES_tradnl"/>
              </w:rPr>
            </w:pPr>
            <w:r w:rsidRPr="0079644B">
              <w:rPr>
                <w:sz w:val="18"/>
                <w:lang w:val="es-ES_tradnl"/>
              </w:rPr>
              <w:t>2014</w:t>
            </w:r>
          </w:p>
        </w:tc>
        <w:tc>
          <w:tcPr>
            <w:tcW w:w="1057" w:type="dxa"/>
            <w:tcBorders>
              <w:top w:val="single" w:sz="12" w:space="0" w:color="auto"/>
            </w:tcBorders>
            <w:shd w:val="clear" w:color="auto" w:fill="auto"/>
            <w:vAlign w:val="bottom"/>
          </w:tcPr>
          <w:p w14:paraId="5A9721CF" w14:textId="77777777" w:rsidR="000C2F85" w:rsidRPr="0079644B"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79644B">
              <w:rPr>
                <w:sz w:val="18"/>
                <w:lang w:val="es-ES_tradnl"/>
              </w:rPr>
              <w:t>21,40</w:t>
            </w:r>
          </w:p>
        </w:tc>
        <w:tc>
          <w:tcPr>
            <w:tcW w:w="1134" w:type="dxa"/>
            <w:tcBorders>
              <w:top w:val="single" w:sz="12" w:space="0" w:color="auto"/>
            </w:tcBorders>
            <w:shd w:val="clear" w:color="auto" w:fill="auto"/>
            <w:vAlign w:val="bottom"/>
          </w:tcPr>
          <w:p w14:paraId="72F8F3A3" w14:textId="77777777" w:rsidR="000C2F85" w:rsidRPr="0079644B"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79644B">
              <w:rPr>
                <w:sz w:val="18"/>
                <w:lang w:val="es-ES_tradnl"/>
              </w:rPr>
              <w:t>18,25</w:t>
            </w:r>
          </w:p>
        </w:tc>
        <w:tc>
          <w:tcPr>
            <w:tcW w:w="1276" w:type="dxa"/>
            <w:tcBorders>
              <w:top w:val="single" w:sz="12" w:space="0" w:color="auto"/>
            </w:tcBorders>
            <w:shd w:val="clear" w:color="auto" w:fill="auto"/>
            <w:vAlign w:val="bottom"/>
          </w:tcPr>
          <w:p w14:paraId="53A7B491" w14:textId="77777777" w:rsidR="000C2F85" w:rsidRPr="0079644B"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79644B">
              <w:rPr>
                <w:sz w:val="18"/>
                <w:lang w:val="es-ES_tradnl"/>
              </w:rPr>
              <w:t>12,46</w:t>
            </w:r>
          </w:p>
        </w:tc>
        <w:tc>
          <w:tcPr>
            <w:tcW w:w="1417" w:type="dxa"/>
            <w:tcBorders>
              <w:top w:val="single" w:sz="12" w:space="0" w:color="auto"/>
            </w:tcBorders>
            <w:shd w:val="clear" w:color="auto" w:fill="auto"/>
            <w:vAlign w:val="bottom"/>
          </w:tcPr>
          <w:p w14:paraId="63C6FE5B" w14:textId="77777777" w:rsidR="000C2F85" w:rsidRPr="0079644B"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79644B">
              <w:rPr>
                <w:sz w:val="18"/>
                <w:lang w:val="es-ES_tradnl"/>
              </w:rPr>
              <w:t>0,97</w:t>
            </w:r>
          </w:p>
        </w:tc>
        <w:tc>
          <w:tcPr>
            <w:tcW w:w="1558" w:type="dxa"/>
            <w:tcBorders>
              <w:top w:val="single" w:sz="12" w:space="0" w:color="auto"/>
            </w:tcBorders>
            <w:shd w:val="clear" w:color="auto" w:fill="auto"/>
            <w:vAlign w:val="bottom"/>
          </w:tcPr>
          <w:p w14:paraId="6418E789" w14:textId="77777777" w:rsidR="000C2F85" w:rsidRPr="0079644B"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79644B">
              <w:rPr>
                <w:sz w:val="18"/>
                <w:lang w:val="es-ES_tradnl"/>
              </w:rPr>
              <w:t>6,67</w:t>
            </w:r>
          </w:p>
        </w:tc>
      </w:tr>
      <w:tr w:rsidR="000C2F85" w:rsidRPr="0079644B" w14:paraId="6B785A35" w14:textId="77777777" w:rsidTr="00F948B8">
        <w:trPr>
          <w:trHeight w:val="240"/>
        </w:trPr>
        <w:tc>
          <w:tcPr>
            <w:tcW w:w="928" w:type="dxa"/>
            <w:shd w:val="clear" w:color="auto" w:fill="auto"/>
          </w:tcPr>
          <w:p w14:paraId="4143A5FF" w14:textId="77777777" w:rsidR="000C2F85" w:rsidRPr="0079644B" w:rsidRDefault="000C2F85" w:rsidP="0079644B">
            <w:pPr>
              <w:pStyle w:val="SingleTxtG"/>
              <w:tabs>
                <w:tab w:val="clear" w:pos="1701"/>
                <w:tab w:val="clear" w:pos="2268"/>
                <w:tab w:val="clear" w:pos="2835"/>
              </w:tabs>
              <w:spacing w:before="40" w:after="40" w:line="220" w:lineRule="exact"/>
              <w:ind w:left="0" w:right="0"/>
              <w:jc w:val="left"/>
              <w:rPr>
                <w:sz w:val="18"/>
                <w:lang w:val="es-ES_tradnl"/>
              </w:rPr>
            </w:pPr>
            <w:r w:rsidRPr="0079644B">
              <w:rPr>
                <w:sz w:val="18"/>
                <w:lang w:val="es-ES_tradnl"/>
              </w:rPr>
              <w:t>2015</w:t>
            </w:r>
          </w:p>
        </w:tc>
        <w:tc>
          <w:tcPr>
            <w:tcW w:w="1057" w:type="dxa"/>
            <w:shd w:val="clear" w:color="auto" w:fill="auto"/>
            <w:vAlign w:val="bottom"/>
          </w:tcPr>
          <w:p w14:paraId="5B43ED3E" w14:textId="77777777" w:rsidR="000C2F85" w:rsidRPr="0079644B"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79644B">
              <w:rPr>
                <w:sz w:val="18"/>
                <w:lang w:val="es-ES_tradnl"/>
              </w:rPr>
              <w:t>21,34</w:t>
            </w:r>
          </w:p>
        </w:tc>
        <w:tc>
          <w:tcPr>
            <w:tcW w:w="1134" w:type="dxa"/>
            <w:shd w:val="clear" w:color="auto" w:fill="auto"/>
            <w:vAlign w:val="bottom"/>
          </w:tcPr>
          <w:p w14:paraId="57F159E9" w14:textId="77777777" w:rsidR="000C2F85" w:rsidRPr="0079644B"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79644B">
              <w:rPr>
                <w:sz w:val="18"/>
                <w:lang w:val="es-ES_tradnl"/>
              </w:rPr>
              <w:t>18,17</w:t>
            </w:r>
          </w:p>
        </w:tc>
        <w:tc>
          <w:tcPr>
            <w:tcW w:w="1276" w:type="dxa"/>
            <w:shd w:val="clear" w:color="auto" w:fill="auto"/>
            <w:vAlign w:val="bottom"/>
          </w:tcPr>
          <w:p w14:paraId="6113192F" w14:textId="77777777" w:rsidR="000C2F85" w:rsidRPr="0079644B"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79644B">
              <w:rPr>
                <w:sz w:val="18"/>
                <w:lang w:val="es-ES_tradnl"/>
              </w:rPr>
              <w:t>12,50</w:t>
            </w:r>
          </w:p>
        </w:tc>
        <w:tc>
          <w:tcPr>
            <w:tcW w:w="1417" w:type="dxa"/>
            <w:shd w:val="clear" w:color="auto" w:fill="auto"/>
            <w:vAlign w:val="bottom"/>
          </w:tcPr>
          <w:p w14:paraId="34B9FC3D" w14:textId="77777777" w:rsidR="000C2F85" w:rsidRPr="0079644B"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79644B">
              <w:rPr>
                <w:sz w:val="18"/>
                <w:lang w:val="es-ES_tradnl"/>
              </w:rPr>
              <w:t>1,01</w:t>
            </w:r>
          </w:p>
        </w:tc>
        <w:tc>
          <w:tcPr>
            <w:tcW w:w="1558" w:type="dxa"/>
            <w:shd w:val="clear" w:color="auto" w:fill="auto"/>
            <w:vAlign w:val="bottom"/>
          </w:tcPr>
          <w:p w14:paraId="5E0E73AB" w14:textId="77777777" w:rsidR="000C2F85" w:rsidRPr="0079644B"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79644B">
              <w:rPr>
                <w:sz w:val="18"/>
                <w:lang w:val="es-ES_tradnl"/>
              </w:rPr>
              <w:t>8,80</w:t>
            </w:r>
          </w:p>
        </w:tc>
      </w:tr>
      <w:tr w:rsidR="000C2F85" w:rsidRPr="0079644B" w14:paraId="37B2D008" w14:textId="77777777" w:rsidTr="00F948B8">
        <w:trPr>
          <w:trHeight w:val="240"/>
        </w:trPr>
        <w:tc>
          <w:tcPr>
            <w:tcW w:w="928" w:type="dxa"/>
            <w:shd w:val="clear" w:color="auto" w:fill="auto"/>
          </w:tcPr>
          <w:p w14:paraId="0329A376" w14:textId="77777777" w:rsidR="000C2F85" w:rsidRPr="0079644B" w:rsidRDefault="000C2F85" w:rsidP="009E1059">
            <w:pPr>
              <w:pStyle w:val="SingleTxtG"/>
              <w:keepNext/>
              <w:keepLines/>
              <w:tabs>
                <w:tab w:val="clear" w:pos="1701"/>
                <w:tab w:val="clear" w:pos="2268"/>
                <w:tab w:val="clear" w:pos="2835"/>
              </w:tabs>
              <w:spacing w:before="40" w:after="40" w:line="220" w:lineRule="exact"/>
              <w:ind w:left="0" w:right="0"/>
              <w:jc w:val="left"/>
              <w:rPr>
                <w:sz w:val="18"/>
                <w:lang w:val="es-ES_tradnl"/>
              </w:rPr>
            </w:pPr>
            <w:r w:rsidRPr="0079644B">
              <w:rPr>
                <w:sz w:val="18"/>
                <w:lang w:val="es-ES_tradnl"/>
              </w:rPr>
              <w:lastRenderedPageBreak/>
              <w:t>2016</w:t>
            </w:r>
          </w:p>
        </w:tc>
        <w:tc>
          <w:tcPr>
            <w:tcW w:w="1057" w:type="dxa"/>
            <w:shd w:val="clear" w:color="auto" w:fill="auto"/>
            <w:vAlign w:val="bottom"/>
          </w:tcPr>
          <w:p w14:paraId="6F709140" w14:textId="77777777" w:rsidR="000C2F85" w:rsidRPr="0079644B" w:rsidRDefault="000C2F85" w:rsidP="009E1059">
            <w:pPr>
              <w:pStyle w:val="SingleTxtG"/>
              <w:keepNext/>
              <w:keepLines/>
              <w:tabs>
                <w:tab w:val="clear" w:pos="1701"/>
                <w:tab w:val="clear" w:pos="2268"/>
                <w:tab w:val="clear" w:pos="2835"/>
              </w:tabs>
              <w:spacing w:before="40" w:after="40" w:line="220" w:lineRule="exact"/>
              <w:ind w:left="57" w:right="28"/>
              <w:jc w:val="right"/>
              <w:rPr>
                <w:sz w:val="18"/>
                <w:lang w:val="es-ES_tradnl"/>
              </w:rPr>
            </w:pPr>
            <w:r w:rsidRPr="0079644B">
              <w:rPr>
                <w:sz w:val="18"/>
                <w:lang w:val="es-ES_tradnl"/>
              </w:rPr>
              <w:t>21,29</w:t>
            </w:r>
          </w:p>
        </w:tc>
        <w:tc>
          <w:tcPr>
            <w:tcW w:w="1134" w:type="dxa"/>
            <w:shd w:val="clear" w:color="auto" w:fill="auto"/>
            <w:vAlign w:val="bottom"/>
          </w:tcPr>
          <w:p w14:paraId="4C81249C" w14:textId="77777777" w:rsidR="000C2F85" w:rsidRPr="0079644B" w:rsidRDefault="000C2F85" w:rsidP="009E1059">
            <w:pPr>
              <w:pStyle w:val="SingleTxtG"/>
              <w:keepNext/>
              <w:keepLines/>
              <w:tabs>
                <w:tab w:val="clear" w:pos="1701"/>
                <w:tab w:val="clear" w:pos="2268"/>
                <w:tab w:val="clear" w:pos="2835"/>
              </w:tabs>
              <w:spacing w:before="40" w:after="40" w:line="220" w:lineRule="exact"/>
              <w:ind w:left="57" w:right="28"/>
              <w:jc w:val="right"/>
              <w:rPr>
                <w:sz w:val="18"/>
                <w:lang w:val="es-ES_tradnl"/>
              </w:rPr>
            </w:pPr>
            <w:r w:rsidRPr="0079644B">
              <w:rPr>
                <w:sz w:val="18"/>
                <w:lang w:val="es-ES_tradnl"/>
              </w:rPr>
              <w:t>18,10</w:t>
            </w:r>
          </w:p>
        </w:tc>
        <w:tc>
          <w:tcPr>
            <w:tcW w:w="1276" w:type="dxa"/>
            <w:shd w:val="clear" w:color="auto" w:fill="auto"/>
            <w:vAlign w:val="bottom"/>
          </w:tcPr>
          <w:p w14:paraId="116655DB" w14:textId="77777777" w:rsidR="000C2F85" w:rsidRPr="0079644B" w:rsidRDefault="000C2F85" w:rsidP="009E1059">
            <w:pPr>
              <w:pStyle w:val="SingleTxtG"/>
              <w:keepNext/>
              <w:keepLines/>
              <w:tabs>
                <w:tab w:val="clear" w:pos="1701"/>
                <w:tab w:val="clear" w:pos="2268"/>
                <w:tab w:val="clear" w:pos="2835"/>
              </w:tabs>
              <w:spacing w:before="40" w:after="40" w:line="220" w:lineRule="exact"/>
              <w:ind w:left="57" w:right="28"/>
              <w:jc w:val="right"/>
              <w:rPr>
                <w:sz w:val="18"/>
                <w:lang w:val="es-ES_tradnl"/>
              </w:rPr>
            </w:pPr>
            <w:r w:rsidRPr="0079644B">
              <w:rPr>
                <w:sz w:val="18"/>
                <w:lang w:val="es-ES_tradnl"/>
              </w:rPr>
              <w:t>12,55</w:t>
            </w:r>
          </w:p>
        </w:tc>
        <w:tc>
          <w:tcPr>
            <w:tcW w:w="1417" w:type="dxa"/>
            <w:shd w:val="clear" w:color="auto" w:fill="auto"/>
            <w:vAlign w:val="bottom"/>
          </w:tcPr>
          <w:p w14:paraId="1DF87C97" w14:textId="77777777" w:rsidR="000C2F85" w:rsidRPr="0079644B" w:rsidRDefault="000C2F85" w:rsidP="009E1059">
            <w:pPr>
              <w:pStyle w:val="SingleTxtG"/>
              <w:keepNext/>
              <w:keepLines/>
              <w:tabs>
                <w:tab w:val="clear" w:pos="1701"/>
                <w:tab w:val="clear" w:pos="2268"/>
                <w:tab w:val="clear" w:pos="2835"/>
              </w:tabs>
              <w:spacing w:before="40" w:after="40" w:line="220" w:lineRule="exact"/>
              <w:ind w:left="57" w:right="28"/>
              <w:jc w:val="right"/>
              <w:rPr>
                <w:sz w:val="18"/>
                <w:lang w:val="es-ES_tradnl"/>
              </w:rPr>
            </w:pPr>
            <w:r w:rsidRPr="0079644B">
              <w:rPr>
                <w:sz w:val="18"/>
                <w:lang w:val="es-ES_tradnl"/>
              </w:rPr>
              <w:t>1,00</w:t>
            </w:r>
          </w:p>
        </w:tc>
        <w:tc>
          <w:tcPr>
            <w:tcW w:w="1558" w:type="dxa"/>
            <w:shd w:val="clear" w:color="auto" w:fill="auto"/>
            <w:vAlign w:val="bottom"/>
          </w:tcPr>
          <w:p w14:paraId="60D07203" w14:textId="77777777" w:rsidR="000C2F85" w:rsidRPr="0079644B" w:rsidRDefault="000C2F85" w:rsidP="009E1059">
            <w:pPr>
              <w:pStyle w:val="SingleTxtG"/>
              <w:keepNext/>
              <w:keepLines/>
              <w:tabs>
                <w:tab w:val="clear" w:pos="1701"/>
                <w:tab w:val="clear" w:pos="2268"/>
                <w:tab w:val="clear" w:pos="2835"/>
              </w:tabs>
              <w:spacing w:before="40" w:after="40" w:line="220" w:lineRule="exact"/>
              <w:ind w:left="57" w:right="28"/>
              <w:jc w:val="right"/>
              <w:rPr>
                <w:sz w:val="18"/>
                <w:lang w:val="es-ES_tradnl"/>
              </w:rPr>
            </w:pPr>
            <w:r w:rsidRPr="0079644B">
              <w:rPr>
                <w:sz w:val="18"/>
                <w:lang w:val="es-ES_tradnl"/>
              </w:rPr>
              <w:t>6,93</w:t>
            </w:r>
          </w:p>
        </w:tc>
      </w:tr>
      <w:tr w:rsidR="000C2F85" w:rsidRPr="0079644B" w14:paraId="63DC3A5F" w14:textId="77777777" w:rsidTr="00F948B8">
        <w:trPr>
          <w:trHeight w:val="240"/>
        </w:trPr>
        <w:tc>
          <w:tcPr>
            <w:tcW w:w="928" w:type="dxa"/>
            <w:tcBorders>
              <w:bottom w:val="single" w:sz="12" w:space="0" w:color="auto"/>
            </w:tcBorders>
            <w:shd w:val="clear" w:color="auto" w:fill="auto"/>
          </w:tcPr>
          <w:p w14:paraId="61E38ECF" w14:textId="77777777" w:rsidR="000C2F85" w:rsidRPr="0079644B" w:rsidRDefault="000C2F85" w:rsidP="0079644B">
            <w:pPr>
              <w:pStyle w:val="SingleTxtG"/>
              <w:tabs>
                <w:tab w:val="clear" w:pos="1701"/>
                <w:tab w:val="clear" w:pos="2268"/>
                <w:tab w:val="clear" w:pos="2835"/>
              </w:tabs>
              <w:spacing w:before="40" w:after="40" w:line="220" w:lineRule="exact"/>
              <w:ind w:left="0" w:right="0"/>
              <w:jc w:val="left"/>
              <w:rPr>
                <w:sz w:val="18"/>
                <w:lang w:val="es-ES_tradnl"/>
              </w:rPr>
            </w:pPr>
            <w:r w:rsidRPr="0079644B">
              <w:rPr>
                <w:sz w:val="18"/>
                <w:lang w:val="es-ES_tradnl"/>
              </w:rPr>
              <w:t>2017</w:t>
            </w:r>
          </w:p>
        </w:tc>
        <w:tc>
          <w:tcPr>
            <w:tcW w:w="1057" w:type="dxa"/>
            <w:tcBorders>
              <w:bottom w:val="single" w:sz="12" w:space="0" w:color="auto"/>
            </w:tcBorders>
            <w:shd w:val="clear" w:color="auto" w:fill="auto"/>
            <w:vAlign w:val="bottom"/>
          </w:tcPr>
          <w:p w14:paraId="71EA751C" w14:textId="77777777" w:rsidR="000C2F85" w:rsidRPr="0079644B"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79644B">
              <w:rPr>
                <w:sz w:val="18"/>
                <w:lang w:val="es-ES_tradnl"/>
              </w:rPr>
              <w:t>21,17</w:t>
            </w:r>
          </w:p>
        </w:tc>
        <w:tc>
          <w:tcPr>
            <w:tcW w:w="1134" w:type="dxa"/>
            <w:tcBorders>
              <w:bottom w:val="single" w:sz="12" w:space="0" w:color="auto"/>
            </w:tcBorders>
            <w:shd w:val="clear" w:color="auto" w:fill="auto"/>
            <w:vAlign w:val="bottom"/>
          </w:tcPr>
          <w:p w14:paraId="4A9BB22D" w14:textId="77777777" w:rsidR="000C2F85" w:rsidRPr="0079644B"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79644B">
              <w:rPr>
                <w:sz w:val="18"/>
                <w:lang w:val="es-ES_tradnl"/>
              </w:rPr>
              <w:t>17,98</w:t>
            </w:r>
          </w:p>
        </w:tc>
        <w:tc>
          <w:tcPr>
            <w:tcW w:w="1276" w:type="dxa"/>
            <w:tcBorders>
              <w:bottom w:val="single" w:sz="12" w:space="0" w:color="auto"/>
            </w:tcBorders>
            <w:shd w:val="clear" w:color="auto" w:fill="auto"/>
            <w:vAlign w:val="bottom"/>
          </w:tcPr>
          <w:p w14:paraId="520F3DB1" w14:textId="77777777" w:rsidR="000C2F85" w:rsidRPr="0079644B"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79644B">
              <w:rPr>
                <w:sz w:val="18"/>
                <w:lang w:val="es-ES_tradnl"/>
              </w:rPr>
              <w:t>12,57</w:t>
            </w:r>
          </w:p>
        </w:tc>
        <w:tc>
          <w:tcPr>
            <w:tcW w:w="1417" w:type="dxa"/>
            <w:tcBorders>
              <w:bottom w:val="single" w:sz="12" w:space="0" w:color="auto"/>
            </w:tcBorders>
            <w:shd w:val="clear" w:color="auto" w:fill="auto"/>
            <w:vAlign w:val="bottom"/>
          </w:tcPr>
          <w:p w14:paraId="2DBE84DF" w14:textId="77777777" w:rsidR="000C2F85" w:rsidRPr="0079644B"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79644B">
              <w:rPr>
                <w:sz w:val="18"/>
                <w:lang w:val="es-ES_tradnl"/>
              </w:rPr>
              <w:t>0,91</w:t>
            </w:r>
          </w:p>
        </w:tc>
        <w:tc>
          <w:tcPr>
            <w:tcW w:w="1558" w:type="dxa"/>
            <w:tcBorders>
              <w:bottom w:val="single" w:sz="12" w:space="0" w:color="auto"/>
            </w:tcBorders>
            <w:shd w:val="clear" w:color="auto" w:fill="auto"/>
            <w:vAlign w:val="bottom"/>
          </w:tcPr>
          <w:p w14:paraId="00FC2320" w14:textId="77777777" w:rsidR="000C2F85" w:rsidRPr="0079644B"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79644B">
              <w:rPr>
                <w:sz w:val="18"/>
                <w:lang w:val="es-ES_tradnl"/>
              </w:rPr>
              <w:t>7,06</w:t>
            </w:r>
          </w:p>
        </w:tc>
      </w:tr>
    </w:tbl>
    <w:p w14:paraId="12B82DC0" w14:textId="692A3202" w:rsidR="000C2F85" w:rsidRPr="00DD49CD" w:rsidRDefault="000C2F85" w:rsidP="00F948B8">
      <w:pPr>
        <w:pStyle w:val="SingleTxtG"/>
        <w:spacing w:before="240"/>
        <w:rPr>
          <w:lang w:val="es-ES_tradnl"/>
        </w:rPr>
      </w:pPr>
      <w:r w:rsidRPr="000C2F85">
        <w:rPr>
          <w:lang w:val="es-ES_tradnl"/>
        </w:rPr>
        <w:t>9.</w:t>
      </w:r>
      <w:r w:rsidRPr="000C2F85">
        <w:rPr>
          <w:lang w:val="es-ES_tradnl"/>
        </w:rPr>
        <w:tab/>
        <w:t>Aproximadamente siete de cada diez hogares (el 71,2 %) indicaron que, cuando se enfermaban o lesionaban miembros de la familia, acudían en primer lugar a hospitales, clínicas u otras instituciones públicas. En contraste, una cuarta parte de los hogares (el 27,4</w:t>
      </w:r>
      <w:r w:rsidR="00DD49CD">
        <w:rPr>
          <w:lang w:val="es-ES_tradnl"/>
        </w:rPr>
        <w:t> </w:t>
      </w:r>
      <w:r w:rsidRPr="000C2F85">
        <w:rPr>
          <w:lang w:val="es-ES_tradnl"/>
        </w:rPr>
        <w:t>%) indicaron que recurrían a médicos, clínicas u hospitales privados. Casi una cuarta parte de los hogares sudafricanos (el 23,3 %) tenían al menos un miembro afiliado a un plan de asistencia médica. Sin embargo, un porcentaje relativamente pequeño de personas (el 17,1</w:t>
      </w:r>
      <w:r w:rsidR="00DD49CD">
        <w:rPr>
          <w:lang w:val="es-ES_tradnl"/>
        </w:rPr>
        <w:t> </w:t>
      </w:r>
      <w:r w:rsidRPr="000C2F85">
        <w:rPr>
          <w:lang w:val="es-ES_tradnl"/>
        </w:rPr>
        <w:t>%) estaban afiliadas a un plan de asistencia médica en 2017</w:t>
      </w:r>
      <w:r w:rsidRPr="00605B48">
        <w:rPr>
          <w:sz w:val="18"/>
          <w:szCs w:val="18"/>
          <w:vertAlign w:val="superscript"/>
          <w:lang w:val="es-ES_tradnl"/>
        </w:rPr>
        <w:footnoteReference w:id="15"/>
      </w:r>
      <w:r w:rsidRPr="000C2F85">
        <w:rPr>
          <w:lang w:val="es-ES_tradnl"/>
        </w:rPr>
        <w:t>.</w:t>
      </w:r>
    </w:p>
    <w:p w14:paraId="3EBFD885" w14:textId="6C811ADA" w:rsidR="000C2F85" w:rsidRPr="00DD49CD" w:rsidRDefault="000C2F85" w:rsidP="000C2F85">
      <w:pPr>
        <w:pStyle w:val="SingleTxtG"/>
        <w:rPr>
          <w:lang w:val="es-ES_tradnl"/>
        </w:rPr>
      </w:pPr>
      <w:r w:rsidRPr="000C2F85">
        <w:rPr>
          <w:lang w:val="es-ES_tradnl"/>
        </w:rPr>
        <w:t>10.</w:t>
      </w:r>
      <w:r w:rsidRPr="000C2F85">
        <w:rPr>
          <w:lang w:val="es-ES_tradnl"/>
        </w:rPr>
        <w:tab/>
        <w:t>El número de niños de edades comprendidas entre los 7 y los 17 años en Sudáfrica aumentó de 11,1 millones en 2010 a 11,2 millones en 2015, lo que representa un incremento de unos 127.000. En 2015, la proporción de niños de ambos sexos era semejante. En 2015 la mayoría de los niños de 7 a 17 años (el 74,8 %) tenía ambos progenitores vivos, mientras que el 7,3 % no tenía ningún progenitor vivo. La proporción de niños cuyos progenitores no formaban parte del hogar en 2015 era más elevada entre los niños africanos negros (el 28,3</w:t>
      </w:r>
      <w:r w:rsidR="00DD49CD">
        <w:rPr>
          <w:lang w:val="es-ES_tradnl"/>
        </w:rPr>
        <w:t> </w:t>
      </w:r>
      <w:r w:rsidRPr="000C2F85">
        <w:rPr>
          <w:lang w:val="es-ES_tradnl"/>
        </w:rPr>
        <w:t>%) que entre los demás grupos de población. Se observa que en 2015 disminuyó del 56,5 % al 52,9 % el número de niños cuyos progenitores no formaban parte del hogar y que vivían con al menos uno de los abuelos en el seno de la familia. En 2015 aproximadamente el 98,4 % de los niños asistían a la escuela. Ese mismo año, la probabilidad de no asistir a la escuela era mayor entre los niños que no tenían progenitores vivos que entre los que tenían un solo progenitor vivo. La probabilidad de asistir a la escuela era mayor en el caso de los niños que vivían con ambos progenitores o con la madre</w:t>
      </w:r>
      <w:r w:rsidRPr="00605B48">
        <w:rPr>
          <w:sz w:val="18"/>
          <w:szCs w:val="18"/>
          <w:vertAlign w:val="superscript"/>
          <w:lang w:val="es-ES_tradnl"/>
        </w:rPr>
        <w:footnoteReference w:id="16"/>
      </w:r>
      <w:r w:rsidRPr="000C2F85">
        <w:rPr>
          <w:lang w:val="es-ES_tradnl"/>
        </w:rPr>
        <w:t>.</w:t>
      </w:r>
    </w:p>
    <w:p w14:paraId="60E241E1" w14:textId="6DE75DF0" w:rsidR="000C2F85" w:rsidRPr="00D525A5" w:rsidRDefault="000C2F85" w:rsidP="000C2F85">
      <w:pPr>
        <w:pStyle w:val="SingleTxtG"/>
        <w:rPr>
          <w:lang w:val="es-ES_tradnl"/>
        </w:rPr>
      </w:pPr>
      <w:r w:rsidRPr="000C2F85">
        <w:rPr>
          <w:lang w:val="es-ES_tradnl"/>
        </w:rPr>
        <w:t>11.</w:t>
      </w:r>
      <w:r w:rsidRPr="000C2F85">
        <w:rPr>
          <w:lang w:val="es-ES_tradnl"/>
        </w:rPr>
        <w:tab/>
        <w:t xml:space="preserve">En lo que respecta a la </w:t>
      </w:r>
      <w:r w:rsidRPr="000C2F85">
        <w:rPr>
          <w:b/>
          <w:bCs/>
          <w:lang w:val="es-ES_tradnl"/>
        </w:rPr>
        <w:t>educación</w:t>
      </w:r>
      <w:r w:rsidRPr="000C2F85">
        <w:rPr>
          <w:lang w:val="es-ES_tradnl"/>
        </w:rPr>
        <w:t>, el artículo 29 de la Constitución de la República de Sudáfrica de 1996</w:t>
      </w:r>
      <w:r w:rsidRPr="00605B48">
        <w:rPr>
          <w:sz w:val="18"/>
          <w:szCs w:val="18"/>
          <w:vertAlign w:val="superscript"/>
          <w:lang w:val="es-ES_tradnl"/>
        </w:rPr>
        <w:footnoteReference w:id="17"/>
      </w:r>
      <w:r w:rsidRPr="000C2F85">
        <w:rPr>
          <w:lang w:val="es-ES_tradnl"/>
        </w:rPr>
        <w:t xml:space="preserve"> reconoce ese derecho. Se promulgó legislación en virtud de la cual se hacía obligatoria la escolarización de los niños de 7 a 15 años de edad (o hasta el noveno grado, si es antes) a fin de que los padres y los departamentos de educación provinciales pusieran en marcha las iniciativas necesarias para que los niños recibieran educación básica. Para facilitar esta labor, se adoptaron nuevas medidas legislativas que autorizaban a suprimir los derechos de matrícula en las escuelas de las zonas más pobres, con objeto de prestar apoyo a los niños de las familias pobres y a los huérfanos. Unos 9 millones de alumnos de 20.965</w:t>
      </w:r>
      <w:r w:rsidR="00D525A5">
        <w:rPr>
          <w:lang w:val="es-ES_tradnl"/>
        </w:rPr>
        <w:t> </w:t>
      </w:r>
      <w:r w:rsidRPr="000C2F85">
        <w:rPr>
          <w:lang w:val="es-ES_tradnl"/>
        </w:rPr>
        <w:t>escuelas públicas se beneficiaron de la política de escuelas gratuitas. El 87,1 % de las escuelas públicas eran gratuitas y a ellas asistían el 71,8 % de los alumnos</w:t>
      </w:r>
      <w:r w:rsidRPr="00605B48">
        <w:rPr>
          <w:sz w:val="18"/>
          <w:szCs w:val="18"/>
          <w:vertAlign w:val="superscript"/>
          <w:lang w:val="es-ES_tradnl"/>
        </w:rPr>
        <w:footnoteReference w:id="18"/>
      </w:r>
      <w:r w:rsidRPr="000C2F85">
        <w:rPr>
          <w:lang w:val="es-ES_tradnl"/>
        </w:rPr>
        <w:t>.</w:t>
      </w:r>
    </w:p>
    <w:p w14:paraId="63062D3A" w14:textId="77777777" w:rsidR="000C2F85" w:rsidRPr="00D525A5" w:rsidRDefault="000C2F85" w:rsidP="000C2F85">
      <w:pPr>
        <w:pStyle w:val="SingleTxtG"/>
        <w:rPr>
          <w:lang w:val="es-ES_tradnl"/>
        </w:rPr>
      </w:pPr>
      <w:r w:rsidRPr="000C2F85">
        <w:rPr>
          <w:lang w:val="es-ES_tradnl"/>
        </w:rPr>
        <w:t>12.</w:t>
      </w:r>
      <w:r w:rsidRPr="000C2F85">
        <w:rPr>
          <w:lang w:val="es-ES_tradnl"/>
        </w:rPr>
        <w:tab/>
        <w:t xml:space="preserve">Las investigaciones confirman que la atención a las necesidades de desarrollo del niño en la primera infancia, desde el nacimiento hasta los 4 años, rinde grandes frutos. En este sentido, Sudáfrica ha dado la máxima prioridad en el ámbito educativo al acceso a programas integrales de desarrollo del niño en la primera infancia. Estos se ofrecen en guarderías, casas cuna, jardines de infancia y establecimientos de enseñanza preescolar. Aproximadamente el 42,8 % de los niños sudafricanos de 0 a 4 años asistían a guarderías o establecimientos educativos fuera de sus hogares. En torno al 87,5 % de los sudafricanos mayores de 5 años que asistían a instituciones de enseñanza iban a la escuela, mientras que otro 4,5 % asistían a instituciones de educación terciaria. En cambio, solo el 2,1 % de las personas asistían a institutos de enseñanza y formación técnica y profesional. Si bien el porcentaje de este amplio </w:t>
      </w:r>
      <w:r w:rsidRPr="000C2F85">
        <w:rPr>
          <w:lang w:val="es-ES_tradnl"/>
        </w:rPr>
        <w:lastRenderedPageBreak/>
        <w:t>grupo de edad no ha cambiado, entre los 7 y los 15 años la asistencia es prácticamente universal</w:t>
      </w:r>
      <w:r w:rsidRPr="00605B48">
        <w:rPr>
          <w:sz w:val="18"/>
          <w:szCs w:val="18"/>
          <w:vertAlign w:val="superscript"/>
          <w:lang w:val="es-ES_tradnl"/>
        </w:rPr>
        <w:footnoteReference w:id="19"/>
      </w:r>
      <w:r w:rsidRPr="000C2F85">
        <w:rPr>
          <w:lang w:val="es-ES_tradnl"/>
        </w:rPr>
        <w:t>.</w:t>
      </w:r>
    </w:p>
    <w:p w14:paraId="7F01F7C3" w14:textId="77777777" w:rsidR="000C2F85" w:rsidRPr="000C2F85" w:rsidRDefault="000C2F85" w:rsidP="000C2F85">
      <w:pPr>
        <w:pStyle w:val="SingleTxtG"/>
        <w:rPr>
          <w:lang w:val="es-ES_tradnl"/>
        </w:rPr>
      </w:pPr>
      <w:r w:rsidRPr="000C2F85">
        <w:rPr>
          <w:lang w:val="es-ES_tradnl"/>
        </w:rPr>
        <w:t>13.</w:t>
      </w:r>
      <w:r w:rsidRPr="000C2F85">
        <w:rPr>
          <w:lang w:val="es-ES_tradnl"/>
        </w:rPr>
        <w:tab/>
        <w:t xml:space="preserve">El porcentaje de alumnos que informaron de que estaban exentos del pago de derechos de matrícula aumentó del 0,4 % en 2002 al 66,0 % en 2017. A nivel provincial, el 91,4 % de los alumnos de Limpopo y el 76,6 % de los del Cabo Oriental asistían a escuelas gratuitas, frente al 48,8 % de los alumnos del Cabo Occidental y el 48,5 % de los de Gauteng. </w:t>
      </w:r>
    </w:p>
    <w:p w14:paraId="098AF10C" w14:textId="77777777" w:rsidR="000C2F85" w:rsidRPr="000C2F85" w:rsidRDefault="000C2F85" w:rsidP="000C2F85">
      <w:pPr>
        <w:pStyle w:val="SingleTxtG"/>
        <w:rPr>
          <w:lang w:val="es-ES_tradnl"/>
        </w:rPr>
      </w:pPr>
      <w:r w:rsidRPr="000C2F85">
        <w:rPr>
          <w:lang w:val="es-ES_tradnl"/>
        </w:rPr>
        <w:t>14.</w:t>
      </w:r>
      <w:r w:rsidRPr="000C2F85">
        <w:rPr>
          <w:lang w:val="es-ES_tradnl"/>
        </w:rPr>
        <w:tab/>
        <w:t>En 2017 asistían a la escuela unos 14 millones de alumnos, de los cuales el 5,9 % iban a establecimientos educativos privados. Tres cuartas partes de los estudiantes (el 77,3 %) que asistían a escuelas públicas se beneficiaban de programas de alimentación escolar. Además, el 68,1 % de los alumnos hacían a pie el trayecto a la escuela, mientras que el 8,2 % iban en vehículo privado. En 2017 había unos 686.000 estudiantes matriculados en instituciones de educación superior. Más de dos terceras partes (el 66,4 %) de estos estudiantes eran africanos negros. Sin embargo, proporcionalmente este grupo sigue estando insuficientemente representado</w:t>
      </w:r>
      <w:r w:rsidRPr="00605B48">
        <w:rPr>
          <w:sz w:val="18"/>
          <w:szCs w:val="18"/>
          <w:vertAlign w:val="superscript"/>
          <w:lang w:val="es-ES_tradnl"/>
        </w:rPr>
        <w:footnoteReference w:id="20"/>
      </w:r>
      <w:r w:rsidRPr="000C2F85">
        <w:rPr>
          <w:lang w:val="es-ES_tradnl"/>
        </w:rPr>
        <w:t xml:space="preserve">. </w:t>
      </w:r>
    </w:p>
    <w:p w14:paraId="324E20EB" w14:textId="77777777" w:rsidR="000C2F85" w:rsidRPr="000C2F85" w:rsidRDefault="000C2F85" w:rsidP="000C2F85">
      <w:pPr>
        <w:pStyle w:val="SingleTxtG"/>
        <w:rPr>
          <w:lang w:val="es-ES_tradnl"/>
        </w:rPr>
      </w:pPr>
      <w:r w:rsidRPr="000C2F85">
        <w:rPr>
          <w:lang w:val="es-ES_tradnl"/>
        </w:rPr>
        <w:t>15.</w:t>
      </w:r>
      <w:r w:rsidRPr="000C2F85">
        <w:rPr>
          <w:lang w:val="es-ES_tradnl"/>
        </w:rPr>
        <w:tab/>
        <w:t xml:space="preserve">Los resultados educativos siguen mejorando gracias a la facilitación del acceso a los establecimientos y los servicios de enseñanza. Entre las personas de 20 años y más, el porcentaje de quienes alcanzaron el grado 12 como máximo nivel de educación aumentó, al pasar del 30,7 % en 2002 al 43,6 % en 2017. Asimismo, el porcentaje de personas con formación terciaria creció del 9,2 % al 13,9 %. El porcentaje de personas no escolarizadas se redujo del 11,4 % en 2002 al 4,7 % en 2017. No obstante, los resultados muestran que hubo disminuciones en los porcentajes de personas sin educación académica en todas las provincias durante el período comprendido entre 2002 y 2017. Si bien el analfabetismo funcional se redujo, pasando del 27,3 % en 2002 al 13,7 % en 2017, un mejor acceso a la escolarización ha propiciado una considerable reducción del porcentaje de analfabetos funcionales en el grupo de edad de los 20 a los 39 años. </w:t>
      </w:r>
    </w:p>
    <w:p w14:paraId="7A519CC0" w14:textId="70221ED2" w:rsidR="000C2F85" w:rsidRPr="000C2F85" w:rsidRDefault="000C2F85" w:rsidP="000C2F85">
      <w:pPr>
        <w:pStyle w:val="SingleTxtG"/>
        <w:rPr>
          <w:lang w:val="es-ES_tradnl"/>
        </w:rPr>
      </w:pPr>
      <w:r w:rsidRPr="000C2F85">
        <w:rPr>
          <w:lang w:val="es-ES_tradnl"/>
        </w:rPr>
        <w:t>16.</w:t>
      </w:r>
      <w:r w:rsidRPr="000C2F85">
        <w:rPr>
          <w:lang w:val="es-ES_tradnl"/>
        </w:rPr>
        <w:tab/>
        <w:t>Entre 2002 y 2017, el analfabetismo funcional en el grupo de edad de los 20 a los 39</w:t>
      </w:r>
      <w:r w:rsidR="00365371">
        <w:rPr>
          <w:lang w:val="es-ES_tradnl"/>
        </w:rPr>
        <w:t> </w:t>
      </w:r>
      <w:r w:rsidRPr="000C2F85">
        <w:rPr>
          <w:lang w:val="es-ES_tradnl"/>
        </w:rPr>
        <w:t>años disminuyó notablemente, tanto para los hombres (del 17,1 % al 6,0 %) como para las mujeres (del 15,8 % al 3,5 %). Sin embargo, la tasa de alfabetización de adultos fue inferior al promedio nacional (94,3 %) en las provincias del Cabo Septentrional (89,5 %), Noroccidental (89,6 %) y Limpopo (89,9 %), entre otras.</w:t>
      </w:r>
    </w:p>
    <w:p w14:paraId="27F77999" w14:textId="77777777" w:rsidR="000C2F85" w:rsidRPr="000C2F85" w:rsidRDefault="000C2F85" w:rsidP="000C2F85">
      <w:pPr>
        <w:pStyle w:val="SingleTxtG"/>
        <w:rPr>
          <w:lang w:val="es-ES_tradnl"/>
        </w:rPr>
      </w:pPr>
      <w:r w:rsidRPr="000C2F85">
        <w:rPr>
          <w:lang w:val="es-ES_tradnl"/>
        </w:rPr>
        <w:t>17.</w:t>
      </w:r>
      <w:r w:rsidRPr="000C2F85">
        <w:rPr>
          <w:lang w:val="es-ES_tradnl"/>
        </w:rPr>
        <w:tab/>
        <w:t xml:space="preserve">Tras haber logrado el acceso casi universal a la enseñanza primaria, Sudáfrica está centrando actualmente su atención en el mejoramiento de la calidad de la educación, en la ampliación de las infraestructuras, las instalaciones y los recursos de aprendizaje y en el fortalecimiento de la capacidad de los docentes para proporcionar una educación básica más amplia y de mayor calidad. En 2010 se instituyeron las Evaluaciones Anuales Nacionales con el fin de mejorar la calidad de la educación. El Gobierno se ha comprometido además a erradicar las escuelas de adobe y a proveer agua corriente, servicios de saneamiento y suministro eléctrico a través de la Iniciativa de Suministro Acelerado de Infraestructuras a las Escuelas y el programa provincial de infraestructuras. Se ha avanzado considerablemente en la prestación de servicios básicos (agua, saneamiento y suministro de energía), la construcción de nuevas escuelas y el mantenimiento de las existentes. El Programa Provincial de Construcción de Escuelas, de carácter complementario, lo implementan las provincias y tiene por objeto la prestación de servicios básicos, la construcción de nuevas escuelas y de adiciones a escuelas existentes, la prestación de nuevos servicios y de servicios mejorados, así como operaciones de mantenimiento, mientras que la Iniciativa de Suministro Acelerado </w:t>
      </w:r>
      <w:r w:rsidRPr="000C2F85">
        <w:rPr>
          <w:lang w:val="es-ES_tradnl"/>
        </w:rPr>
        <w:lastRenderedPageBreak/>
        <w:t>de Infraestructuras a las Escuelas es un programa impulsado por el Departamento de Educación Básica para corregir el retraso en la construcción de infraestructuras en todas las escuelas que no cumplen las normas básicas de seguridad. La finalidad del programa es la erradicación de las escuelas construidas íntegramente con estructuras inadecuadas y la prestación de servicios básicos de suministro de agua, saneamiento y electricidad a las escuelas. Por medio de esta iniciativa, se han erradicado 173 estructuras inadecuadas, se ha suministrado agua a 615 escuelas, saneamiento a 425 y electricidad a 307. Ambos programas han facilitado conjuntamente la mejora de las infraestructuras, lo que ha permitido que una mayor proporción de niños más pequeños puedan acceder a las instalaciones escolares.</w:t>
      </w:r>
    </w:p>
    <w:p w14:paraId="5C00A232" w14:textId="77777777" w:rsidR="000C2F85" w:rsidRPr="000C2F85" w:rsidRDefault="000C2F85" w:rsidP="000C2F85">
      <w:pPr>
        <w:pStyle w:val="SingleTxtG"/>
        <w:rPr>
          <w:lang w:val="es-ES_tradnl"/>
        </w:rPr>
      </w:pPr>
      <w:r w:rsidRPr="000C2F85">
        <w:rPr>
          <w:lang w:val="es-ES_tradnl"/>
        </w:rPr>
        <w:t>18.</w:t>
      </w:r>
      <w:r w:rsidRPr="000C2F85">
        <w:rPr>
          <w:lang w:val="es-ES_tradnl"/>
        </w:rPr>
        <w:tab/>
        <w:t>Existen varios mecanismos para observar los progresos hacia la plena realización del derecho a la educación. Debido a la historia del país, en Sudáfrica se superponen la pobreza, la raza y la desventaja histórica. Aunque las políticas educativas y económicas se orientan a favorecer a los pobres, no pueden erradicarse completamente los efectos negativos de los factores del entorno familiar. El ritmo del desarrollo social y económico del país es, por tanto, un obstáculo a largo plazo para la plena realización del derecho a la educación.</w:t>
      </w:r>
    </w:p>
    <w:p w14:paraId="1F5B3A2C" w14:textId="0B670557" w:rsidR="000C2F85" w:rsidRPr="000C2F85" w:rsidRDefault="00F948B8" w:rsidP="00F948B8">
      <w:pPr>
        <w:pStyle w:val="H23G"/>
        <w:rPr>
          <w:lang w:val="es-ES_tradnl"/>
        </w:rPr>
      </w:pPr>
      <w:r>
        <w:rPr>
          <w:lang w:val="es-ES_tradnl"/>
        </w:rPr>
        <w:tab/>
      </w:r>
      <w:r w:rsidR="000C2F85" w:rsidRPr="000C2F85">
        <w:rPr>
          <w:lang w:val="es-ES_tradnl"/>
        </w:rPr>
        <w:tab/>
        <w:t>Indicadores económicos</w:t>
      </w:r>
    </w:p>
    <w:p w14:paraId="09D373F1" w14:textId="6830023A" w:rsidR="000C2F85" w:rsidRPr="000C2F85" w:rsidRDefault="000C2F85" w:rsidP="000C2F85">
      <w:pPr>
        <w:pStyle w:val="SingleTxtG"/>
        <w:rPr>
          <w:lang w:val="es-ES_tradnl"/>
        </w:rPr>
      </w:pPr>
      <w:r w:rsidRPr="000C2F85">
        <w:rPr>
          <w:lang w:val="es-ES_tradnl"/>
        </w:rPr>
        <w:t>19.</w:t>
      </w:r>
      <w:r w:rsidRPr="000C2F85">
        <w:rPr>
          <w:lang w:val="es-ES_tradnl"/>
        </w:rPr>
        <w:tab/>
        <w:t>Con respecto a los indicadores económicos y el gasto público, se prevé que el déficit presupuestario se reduzca del 4,3 % del producto interno bruto (PIB) estimado en el ejercicio</w:t>
      </w:r>
      <w:r w:rsidR="005A0920">
        <w:rPr>
          <w:lang w:val="es-ES_tradnl"/>
        </w:rPr>
        <w:t> </w:t>
      </w:r>
      <w:r w:rsidRPr="000C2F85">
        <w:rPr>
          <w:lang w:val="es-ES_tradnl"/>
        </w:rPr>
        <w:t>2017/18 al 3,5 % en 2020/21. Si bien se espera que la deuda neta se estabilice en el 53,2 % en 2023/24, seguirá aumentando a medio plazo, al igual que el costo del servicio de la deuda. El PIB nominal se estimó en 1.184 billones de rand para el primer trimestre de</w:t>
      </w:r>
      <w:r w:rsidR="005A0920">
        <w:rPr>
          <w:lang w:val="es-ES_tradnl"/>
        </w:rPr>
        <w:t> </w:t>
      </w:r>
      <w:r w:rsidRPr="000C2F85">
        <w:rPr>
          <w:lang w:val="es-ES_tradnl"/>
        </w:rPr>
        <w:t>2018, 24.000 millones de rand menos que en el cuarto trimestre de 2017. El PIB de Sudáfrica se redujo un 2,2 % en el primer trimestre de 2018. El gasto sobre el PIB real retrocedió un 2,5</w:t>
      </w:r>
      <w:r w:rsidR="005A0920">
        <w:rPr>
          <w:lang w:val="es-ES_tradnl"/>
        </w:rPr>
        <w:t> </w:t>
      </w:r>
      <w:r w:rsidRPr="000C2F85">
        <w:rPr>
          <w:lang w:val="es-ES_tradnl"/>
        </w:rPr>
        <w:t>% en el primer trimestre de 2018. El gasto de consumo final de los hogares aumentó un 1,5 % en el primer trimestre, contribuyendo con 0,9 puntos porcentuales al crecimiento total. En el cuadro que figura a continuación se consignan las principales estadísticas a diciembre de</w:t>
      </w:r>
      <w:r w:rsidR="005A0920">
        <w:rPr>
          <w:lang w:val="es-ES_tradnl"/>
        </w:rPr>
        <w:t> </w:t>
      </w:r>
      <w:r w:rsidRPr="000C2F85">
        <w:rPr>
          <w:lang w:val="es-ES_tradnl"/>
        </w:rPr>
        <w:t>2017.</w:t>
      </w:r>
    </w:p>
    <w:p w14:paraId="1013A2BF" w14:textId="0A44882A" w:rsidR="000C2F85" w:rsidRPr="000C2F85" w:rsidRDefault="00F948B8" w:rsidP="00F948B8">
      <w:pPr>
        <w:pStyle w:val="H23G"/>
        <w:rPr>
          <w:lang w:val="es-ES_tradnl"/>
        </w:rPr>
      </w:pPr>
      <w:r w:rsidRPr="00F948B8">
        <w:rPr>
          <w:b w:val="0"/>
          <w:bCs/>
          <w:lang w:val="es-ES_tradnl"/>
        </w:rPr>
        <w:tab/>
      </w:r>
      <w:r w:rsidR="000C2F85" w:rsidRPr="00F948B8">
        <w:rPr>
          <w:b w:val="0"/>
          <w:bCs/>
          <w:lang w:val="es-ES_tradnl"/>
        </w:rPr>
        <w:tab/>
        <w:t>Cuadro 8</w:t>
      </w:r>
      <w:r w:rsidR="000C2F85" w:rsidRPr="00F948B8">
        <w:rPr>
          <w:b w:val="0"/>
          <w:bCs/>
          <w:lang w:val="es-ES_tradnl"/>
        </w:rPr>
        <w:br/>
      </w:r>
      <w:r w:rsidR="000C2F85" w:rsidRPr="000C2F85">
        <w:rPr>
          <w:lang w:val="es-ES_tradnl"/>
        </w:rPr>
        <w:t>Principales estadísticas (diciembre de 2017)</w:t>
      </w:r>
    </w:p>
    <w:tbl>
      <w:tblPr>
        <w:tblW w:w="7370" w:type="dxa"/>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4773"/>
        <w:gridCol w:w="2597"/>
      </w:tblGrid>
      <w:tr w:rsidR="000C2F85" w:rsidRPr="00F948B8" w14:paraId="6EBA78BB" w14:textId="77777777" w:rsidTr="00F948B8">
        <w:trPr>
          <w:trHeight w:val="240"/>
          <w:tblHeader/>
        </w:trPr>
        <w:tc>
          <w:tcPr>
            <w:tcW w:w="4773" w:type="dxa"/>
            <w:tcBorders>
              <w:top w:val="single" w:sz="4" w:space="0" w:color="auto"/>
              <w:bottom w:val="nil"/>
            </w:tcBorders>
            <w:shd w:val="clear" w:color="auto" w:fill="auto"/>
            <w:vAlign w:val="bottom"/>
          </w:tcPr>
          <w:p w14:paraId="5C5723B8" w14:textId="77777777" w:rsidR="000C2F85" w:rsidRPr="00F948B8" w:rsidRDefault="000C2F85" w:rsidP="00F948B8">
            <w:pPr>
              <w:pStyle w:val="SingleTxtG"/>
              <w:tabs>
                <w:tab w:val="clear" w:pos="1701"/>
                <w:tab w:val="clear" w:pos="2268"/>
                <w:tab w:val="clear" w:pos="2835"/>
              </w:tabs>
              <w:spacing w:before="40" w:after="40" w:line="220" w:lineRule="exact"/>
              <w:ind w:left="0" w:right="0"/>
              <w:jc w:val="left"/>
              <w:rPr>
                <w:i/>
                <w:iCs/>
                <w:sz w:val="16"/>
                <w:lang w:val="es-ES_tradnl"/>
              </w:rPr>
            </w:pPr>
            <w:bookmarkStart w:id="0" w:name="_Hlk97895026"/>
            <w:r w:rsidRPr="00F948B8">
              <w:rPr>
                <w:iCs/>
                <w:sz w:val="18"/>
                <w:lang w:val="es-ES_tradnl"/>
              </w:rPr>
              <w:t>Índice de precios al consumidor (IPC): diciembre de 2017 (general)</w:t>
            </w:r>
          </w:p>
        </w:tc>
        <w:tc>
          <w:tcPr>
            <w:tcW w:w="2597" w:type="dxa"/>
            <w:tcBorders>
              <w:top w:val="single" w:sz="4" w:space="0" w:color="auto"/>
              <w:bottom w:val="nil"/>
            </w:tcBorders>
            <w:shd w:val="clear" w:color="auto" w:fill="auto"/>
            <w:vAlign w:val="bottom"/>
          </w:tcPr>
          <w:p w14:paraId="16023BBD" w14:textId="77777777" w:rsidR="000C2F85" w:rsidRPr="00F948B8" w:rsidRDefault="000C2F85" w:rsidP="00F948B8">
            <w:pPr>
              <w:pStyle w:val="SingleTxtG"/>
              <w:tabs>
                <w:tab w:val="clear" w:pos="1701"/>
                <w:tab w:val="clear" w:pos="2268"/>
                <w:tab w:val="clear" w:pos="2835"/>
              </w:tabs>
              <w:spacing w:before="40" w:after="40" w:line="220" w:lineRule="exact"/>
              <w:ind w:left="113" w:right="0"/>
              <w:jc w:val="right"/>
              <w:rPr>
                <w:sz w:val="18"/>
                <w:lang w:val="es-ES_tradnl"/>
              </w:rPr>
            </w:pPr>
            <w:r w:rsidRPr="00F948B8">
              <w:rPr>
                <w:sz w:val="18"/>
                <w:lang w:val="es-ES_tradnl"/>
              </w:rPr>
              <w:t>4,6 %</w:t>
            </w:r>
          </w:p>
        </w:tc>
      </w:tr>
      <w:tr w:rsidR="000C2F85" w:rsidRPr="00F948B8" w14:paraId="19FA9B40" w14:textId="77777777" w:rsidTr="00F948B8">
        <w:trPr>
          <w:trHeight w:val="240"/>
        </w:trPr>
        <w:tc>
          <w:tcPr>
            <w:tcW w:w="4773" w:type="dxa"/>
            <w:shd w:val="clear" w:color="auto" w:fill="auto"/>
          </w:tcPr>
          <w:p w14:paraId="244451C5" w14:textId="77777777" w:rsidR="000C2F85" w:rsidRPr="00F948B8" w:rsidRDefault="000C2F85" w:rsidP="00F948B8">
            <w:pPr>
              <w:pStyle w:val="SingleTxtG"/>
              <w:tabs>
                <w:tab w:val="clear" w:pos="1701"/>
                <w:tab w:val="clear" w:pos="2268"/>
                <w:tab w:val="clear" w:pos="2835"/>
              </w:tabs>
              <w:spacing w:before="40" w:after="40" w:line="220" w:lineRule="exact"/>
              <w:ind w:left="0" w:right="0"/>
              <w:jc w:val="left"/>
              <w:rPr>
                <w:sz w:val="18"/>
                <w:lang w:val="es-ES_tradnl"/>
              </w:rPr>
            </w:pPr>
            <w:r w:rsidRPr="00F948B8">
              <w:rPr>
                <w:sz w:val="18"/>
                <w:lang w:val="es-ES_tradnl"/>
              </w:rPr>
              <w:t xml:space="preserve">Índice de precios al productor (IPP): </w:t>
            </w:r>
            <w:r w:rsidRPr="00F948B8">
              <w:rPr>
                <w:iCs/>
                <w:sz w:val="18"/>
                <w:lang w:val="es-ES_tradnl"/>
              </w:rPr>
              <w:t>diciembre</w:t>
            </w:r>
            <w:r w:rsidRPr="00F948B8">
              <w:rPr>
                <w:sz w:val="18"/>
                <w:lang w:val="es-ES_tradnl"/>
              </w:rPr>
              <w:t xml:space="preserve"> de 2017 (</w:t>
            </w:r>
            <w:r w:rsidRPr="00F948B8">
              <w:rPr>
                <w:iCs/>
                <w:sz w:val="18"/>
                <w:lang w:val="es-ES_tradnl"/>
              </w:rPr>
              <w:t>general</w:t>
            </w:r>
            <w:r w:rsidRPr="00F948B8">
              <w:rPr>
                <w:sz w:val="18"/>
                <w:lang w:val="es-ES_tradnl"/>
              </w:rPr>
              <w:t>)</w:t>
            </w:r>
          </w:p>
        </w:tc>
        <w:tc>
          <w:tcPr>
            <w:tcW w:w="2597" w:type="dxa"/>
            <w:shd w:val="clear" w:color="auto" w:fill="auto"/>
            <w:vAlign w:val="bottom"/>
          </w:tcPr>
          <w:p w14:paraId="6C01BE9E" w14:textId="77777777" w:rsidR="000C2F85" w:rsidRPr="00F948B8" w:rsidRDefault="000C2F85" w:rsidP="00F948B8">
            <w:pPr>
              <w:pStyle w:val="SingleTxtG"/>
              <w:tabs>
                <w:tab w:val="clear" w:pos="1701"/>
                <w:tab w:val="clear" w:pos="2268"/>
                <w:tab w:val="clear" w:pos="2835"/>
              </w:tabs>
              <w:spacing w:before="40" w:after="40" w:line="220" w:lineRule="exact"/>
              <w:ind w:left="113" w:right="0"/>
              <w:jc w:val="right"/>
              <w:rPr>
                <w:sz w:val="18"/>
                <w:lang w:val="es-ES_tradnl"/>
              </w:rPr>
            </w:pPr>
            <w:r w:rsidRPr="00F948B8">
              <w:rPr>
                <w:sz w:val="18"/>
                <w:lang w:val="es-ES_tradnl"/>
              </w:rPr>
              <w:t>5,1 %</w:t>
            </w:r>
          </w:p>
        </w:tc>
      </w:tr>
      <w:tr w:rsidR="000C2F85" w:rsidRPr="00F948B8" w14:paraId="20FC0F7E" w14:textId="77777777" w:rsidTr="00F948B8">
        <w:trPr>
          <w:trHeight w:val="240"/>
        </w:trPr>
        <w:tc>
          <w:tcPr>
            <w:tcW w:w="4773" w:type="dxa"/>
            <w:shd w:val="clear" w:color="auto" w:fill="auto"/>
          </w:tcPr>
          <w:p w14:paraId="3E22B6CC" w14:textId="77777777" w:rsidR="000C2F85" w:rsidRPr="00F948B8" w:rsidRDefault="000C2F85" w:rsidP="00F948B8">
            <w:pPr>
              <w:pStyle w:val="SingleTxtG"/>
              <w:tabs>
                <w:tab w:val="clear" w:pos="1701"/>
                <w:tab w:val="clear" w:pos="2268"/>
                <w:tab w:val="clear" w:pos="2835"/>
              </w:tabs>
              <w:spacing w:before="40" w:after="40" w:line="220" w:lineRule="exact"/>
              <w:ind w:left="0" w:right="0"/>
              <w:jc w:val="left"/>
              <w:rPr>
                <w:sz w:val="18"/>
                <w:lang w:val="es-ES_tradnl"/>
              </w:rPr>
            </w:pPr>
            <w:r w:rsidRPr="00F948B8">
              <w:rPr>
                <w:sz w:val="18"/>
                <w:lang w:val="es-ES_tradnl"/>
              </w:rPr>
              <w:t xml:space="preserve">IPP: </w:t>
            </w:r>
            <w:r w:rsidRPr="00F948B8">
              <w:rPr>
                <w:iCs/>
                <w:sz w:val="18"/>
                <w:lang w:val="es-ES_tradnl"/>
              </w:rPr>
              <w:t>diciembre</w:t>
            </w:r>
            <w:r w:rsidRPr="00F948B8">
              <w:rPr>
                <w:sz w:val="18"/>
                <w:lang w:val="es-ES_tradnl"/>
              </w:rPr>
              <w:t xml:space="preserve"> de 2017 (</w:t>
            </w:r>
            <w:r w:rsidRPr="00F948B8">
              <w:rPr>
                <w:iCs/>
                <w:sz w:val="18"/>
                <w:lang w:val="es-ES_tradnl"/>
              </w:rPr>
              <w:t>manufactura intermedia</w:t>
            </w:r>
            <w:r w:rsidRPr="00F948B8">
              <w:rPr>
                <w:sz w:val="18"/>
                <w:lang w:val="es-ES_tradnl"/>
              </w:rPr>
              <w:t>)</w:t>
            </w:r>
          </w:p>
        </w:tc>
        <w:tc>
          <w:tcPr>
            <w:tcW w:w="2597" w:type="dxa"/>
            <w:shd w:val="clear" w:color="auto" w:fill="auto"/>
            <w:vAlign w:val="bottom"/>
          </w:tcPr>
          <w:p w14:paraId="54CB9410" w14:textId="77777777" w:rsidR="000C2F85" w:rsidRPr="00F948B8" w:rsidRDefault="000C2F85" w:rsidP="00F948B8">
            <w:pPr>
              <w:pStyle w:val="SingleTxtG"/>
              <w:tabs>
                <w:tab w:val="clear" w:pos="1701"/>
                <w:tab w:val="clear" w:pos="2268"/>
                <w:tab w:val="clear" w:pos="2835"/>
              </w:tabs>
              <w:spacing w:before="40" w:after="40" w:line="220" w:lineRule="exact"/>
              <w:ind w:left="113" w:right="0"/>
              <w:jc w:val="right"/>
              <w:rPr>
                <w:sz w:val="18"/>
                <w:lang w:val="es-ES_tradnl"/>
              </w:rPr>
            </w:pPr>
            <w:r w:rsidRPr="00F948B8">
              <w:rPr>
                <w:sz w:val="18"/>
                <w:lang w:val="es-ES_tradnl"/>
              </w:rPr>
              <w:t xml:space="preserve">4,1 % </w:t>
            </w:r>
          </w:p>
        </w:tc>
      </w:tr>
      <w:tr w:rsidR="000C2F85" w:rsidRPr="00F948B8" w14:paraId="3DB245E7" w14:textId="77777777" w:rsidTr="00F948B8">
        <w:trPr>
          <w:trHeight w:val="240"/>
        </w:trPr>
        <w:tc>
          <w:tcPr>
            <w:tcW w:w="4773" w:type="dxa"/>
            <w:shd w:val="clear" w:color="auto" w:fill="auto"/>
          </w:tcPr>
          <w:p w14:paraId="00EB1AE9" w14:textId="77777777" w:rsidR="000C2F85" w:rsidRPr="00F948B8" w:rsidRDefault="000C2F85" w:rsidP="00F948B8">
            <w:pPr>
              <w:pStyle w:val="SingleTxtG"/>
              <w:tabs>
                <w:tab w:val="clear" w:pos="1701"/>
                <w:tab w:val="clear" w:pos="2268"/>
                <w:tab w:val="clear" w:pos="2835"/>
              </w:tabs>
              <w:spacing w:before="40" w:after="40" w:line="220" w:lineRule="exact"/>
              <w:ind w:left="0" w:right="0"/>
              <w:jc w:val="left"/>
              <w:rPr>
                <w:sz w:val="18"/>
                <w:lang w:val="es-ES_tradnl"/>
              </w:rPr>
            </w:pPr>
            <w:r w:rsidRPr="00F948B8">
              <w:rPr>
                <w:iCs/>
                <w:sz w:val="18"/>
                <w:lang w:val="es-ES_tradnl"/>
              </w:rPr>
              <w:t>IPP</w:t>
            </w:r>
            <w:r w:rsidRPr="00F948B8">
              <w:rPr>
                <w:sz w:val="18"/>
                <w:lang w:val="es-ES_tradnl"/>
              </w:rPr>
              <w:t xml:space="preserve">: </w:t>
            </w:r>
            <w:r w:rsidRPr="00F948B8">
              <w:rPr>
                <w:iCs/>
                <w:sz w:val="18"/>
                <w:lang w:val="es-ES_tradnl"/>
              </w:rPr>
              <w:t>diciembre</w:t>
            </w:r>
            <w:r w:rsidRPr="00F948B8">
              <w:rPr>
                <w:sz w:val="18"/>
                <w:lang w:val="es-ES_tradnl"/>
              </w:rPr>
              <w:t xml:space="preserve"> de 2017 (</w:t>
            </w:r>
            <w:r w:rsidRPr="00F948B8">
              <w:rPr>
                <w:iCs/>
                <w:sz w:val="18"/>
                <w:lang w:val="es-ES_tradnl"/>
              </w:rPr>
              <w:t>agricultura</w:t>
            </w:r>
            <w:r w:rsidRPr="00F948B8">
              <w:rPr>
                <w:sz w:val="18"/>
                <w:lang w:val="es-ES_tradnl"/>
              </w:rPr>
              <w:t>)</w:t>
            </w:r>
          </w:p>
        </w:tc>
        <w:tc>
          <w:tcPr>
            <w:tcW w:w="2597" w:type="dxa"/>
            <w:shd w:val="clear" w:color="auto" w:fill="auto"/>
            <w:vAlign w:val="bottom"/>
          </w:tcPr>
          <w:p w14:paraId="567410B8" w14:textId="77777777" w:rsidR="000C2F85" w:rsidRPr="00F948B8" w:rsidRDefault="000C2F85" w:rsidP="00F948B8">
            <w:pPr>
              <w:pStyle w:val="SingleTxtG"/>
              <w:tabs>
                <w:tab w:val="clear" w:pos="1701"/>
                <w:tab w:val="clear" w:pos="2268"/>
                <w:tab w:val="clear" w:pos="2835"/>
              </w:tabs>
              <w:spacing w:before="40" w:after="40" w:line="220" w:lineRule="exact"/>
              <w:ind w:left="113" w:right="0"/>
              <w:jc w:val="right"/>
              <w:rPr>
                <w:sz w:val="18"/>
                <w:lang w:val="es-ES_tradnl"/>
              </w:rPr>
            </w:pPr>
            <w:r w:rsidRPr="00F948B8">
              <w:rPr>
                <w:sz w:val="18"/>
                <w:lang w:val="es-ES_tradnl"/>
              </w:rPr>
              <w:t xml:space="preserve">6,78 % </w:t>
            </w:r>
          </w:p>
        </w:tc>
      </w:tr>
      <w:tr w:rsidR="000C2F85" w:rsidRPr="00F948B8" w14:paraId="000DF54F" w14:textId="77777777" w:rsidTr="00F948B8">
        <w:trPr>
          <w:trHeight w:val="240"/>
        </w:trPr>
        <w:tc>
          <w:tcPr>
            <w:tcW w:w="4773" w:type="dxa"/>
            <w:shd w:val="clear" w:color="auto" w:fill="auto"/>
          </w:tcPr>
          <w:p w14:paraId="7B3072CD" w14:textId="77777777" w:rsidR="000C2F85" w:rsidRPr="00F948B8" w:rsidRDefault="000C2F85" w:rsidP="00F948B8">
            <w:pPr>
              <w:pStyle w:val="SingleTxtG"/>
              <w:tabs>
                <w:tab w:val="clear" w:pos="1701"/>
                <w:tab w:val="clear" w:pos="2268"/>
                <w:tab w:val="clear" w:pos="2835"/>
              </w:tabs>
              <w:spacing w:before="40" w:after="40" w:line="220" w:lineRule="exact"/>
              <w:ind w:left="0" w:right="0"/>
              <w:jc w:val="left"/>
              <w:rPr>
                <w:sz w:val="18"/>
                <w:lang w:val="es-ES_tradnl"/>
              </w:rPr>
            </w:pPr>
            <w:r w:rsidRPr="00F948B8">
              <w:rPr>
                <w:sz w:val="18"/>
                <w:lang w:val="es-ES_tradnl"/>
              </w:rPr>
              <w:t>PIB (cuarto trimestre de 2017)</w:t>
            </w:r>
          </w:p>
        </w:tc>
        <w:tc>
          <w:tcPr>
            <w:tcW w:w="2597" w:type="dxa"/>
            <w:shd w:val="clear" w:color="auto" w:fill="auto"/>
            <w:vAlign w:val="bottom"/>
          </w:tcPr>
          <w:p w14:paraId="0CB1120B" w14:textId="77777777" w:rsidR="000C2F85" w:rsidRPr="00F948B8" w:rsidRDefault="000C2F85" w:rsidP="00F948B8">
            <w:pPr>
              <w:pStyle w:val="SingleTxtG"/>
              <w:tabs>
                <w:tab w:val="clear" w:pos="1701"/>
                <w:tab w:val="clear" w:pos="2268"/>
                <w:tab w:val="clear" w:pos="2835"/>
              </w:tabs>
              <w:spacing w:before="40" w:after="40" w:line="220" w:lineRule="exact"/>
              <w:ind w:left="113" w:right="0"/>
              <w:jc w:val="right"/>
              <w:rPr>
                <w:sz w:val="18"/>
                <w:lang w:val="es-ES_tradnl"/>
              </w:rPr>
            </w:pPr>
            <w:r w:rsidRPr="00F948B8">
              <w:rPr>
                <w:sz w:val="18"/>
                <w:lang w:val="es-ES_tradnl"/>
              </w:rPr>
              <w:t>2 % (en comparación con el mismo trimestre del año anterior)</w:t>
            </w:r>
          </w:p>
        </w:tc>
      </w:tr>
      <w:tr w:rsidR="000C2F85" w:rsidRPr="00F948B8" w14:paraId="69D6D2DB" w14:textId="77777777" w:rsidTr="00F948B8">
        <w:trPr>
          <w:trHeight w:val="240"/>
        </w:trPr>
        <w:tc>
          <w:tcPr>
            <w:tcW w:w="4773" w:type="dxa"/>
            <w:tcBorders>
              <w:bottom w:val="single" w:sz="12" w:space="0" w:color="auto"/>
            </w:tcBorders>
            <w:shd w:val="clear" w:color="auto" w:fill="auto"/>
          </w:tcPr>
          <w:p w14:paraId="32888BDA" w14:textId="77777777" w:rsidR="000C2F85" w:rsidRPr="00F948B8" w:rsidRDefault="000C2F85" w:rsidP="00F948B8">
            <w:pPr>
              <w:pStyle w:val="SingleTxtG"/>
              <w:tabs>
                <w:tab w:val="clear" w:pos="1701"/>
                <w:tab w:val="clear" w:pos="2268"/>
                <w:tab w:val="clear" w:pos="2835"/>
              </w:tabs>
              <w:spacing w:before="40" w:after="40" w:line="220" w:lineRule="exact"/>
              <w:ind w:left="0" w:right="0"/>
              <w:jc w:val="left"/>
              <w:rPr>
                <w:sz w:val="18"/>
                <w:lang w:val="es-ES_tradnl"/>
              </w:rPr>
            </w:pPr>
            <w:r w:rsidRPr="00F948B8">
              <w:rPr>
                <w:sz w:val="18"/>
                <w:lang w:val="es-ES_tradnl"/>
              </w:rPr>
              <w:t>Ingreso nacional bruto (INB) (2017)</w:t>
            </w:r>
          </w:p>
        </w:tc>
        <w:tc>
          <w:tcPr>
            <w:tcW w:w="2597" w:type="dxa"/>
            <w:tcBorders>
              <w:bottom w:val="single" w:sz="12" w:space="0" w:color="auto"/>
            </w:tcBorders>
            <w:shd w:val="clear" w:color="auto" w:fill="auto"/>
            <w:vAlign w:val="bottom"/>
          </w:tcPr>
          <w:p w14:paraId="3B69EDDC" w14:textId="752A055B" w:rsidR="000C2F85" w:rsidRPr="00F948B8" w:rsidRDefault="000C2F85" w:rsidP="00F948B8">
            <w:pPr>
              <w:pStyle w:val="SingleTxtG"/>
              <w:tabs>
                <w:tab w:val="clear" w:pos="1701"/>
                <w:tab w:val="clear" w:pos="2268"/>
                <w:tab w:val="clear" w:pos="2835"/>
              </w:tabs>
              <w:spacing w:before="40" w:after="40" w:line="220" w:lineRule="exact"/>
              <w:ind w:left="113" w:right="0"/>
              <w:jc w:val="right"/>
              <w:rPr>
                <w:sz w:val="18"/>
                <w:lang w:val="es-ES_tradnl"/>
              </w:rPr>
            </w:pPr>
            <w:r w:rsidRPr="00F948B8">
              <w:rPr>
                <w:sz w:val="18"/>
                <w:lang w:val="es-ES_tradnl"/>
              </w:rPr>
              <w:t>308</w:t>
            </w:r>
            <w:r w:rsidR="00967B72">
              <w:rPr>
                <w:sz w:val="18"/>
                <w:lang w:val="es-ES_tradnl"/>
              </w:rPr>
              <w:t xml:space="preserve"> </w:t>
            </w:r>
            <w:r w:rsidRPr="00F948B8">
              <w:rPr>
                <w:sz w:val="18"/>
                <w:lang w:val="es-ES_tradnl"/>
              </w:rPr>
              <w:t>560,6 millones de rand</w:t>
            </w:r>
          </w:p>
        </w:tc>
      </w:tr>
    </w:tbl>
    <w:bookmarkEnd w:id="0"/>
    <w:p w14:paraId="716415C4" w14:textId="0F0382F3" w:rsidR="000C2F85" w:rsidRPr="000C2F85" w:rsidRDefault="000C2F85" w:rsidP="00F948B8">
      <w:pPr>
        <w:pStyle w:val="SingleTxtG"/>
        <w:spacing w:before="240"/>
        <w:rPr>
          <w:lang w:val="es-ES_tradnl"/>
        </w:rPr>
      </w:pPr>
      <w:r w:rsidRPr="000C2F85">
        <w:rPr>
          <w:lang w:val="es-ES_tradnl"/>
        </w:rPr>
        <w:t>20.</w:t>
      </w:r>
      <w:r w:rsidRPr="000C2F85">
        <w:rPr>
          <w:lang w:val="es-ES_tradnl"/>
        </w:rPr>
        <w:tab/>
        <w:t xml:space="preserve">En el informe </w:t>
      </w:r>
      <w:r w:rsidRPr="000C2F85">
        <w:rPr>
          <w:i/>
          <w:iCs/>
          <w:lang w:val="es-ES_tradnl"/>
        </w:rPr>
        <w:t>Financial statistics of national government</w:t>
      </w:r>
      <w:r w:rsidRPr="000C2F85">
        <w:rPr>
          <w:lang w:val="es-ES_tradnl"/>
        </w:rPr>
        <w:t>, de la Dirección de Estadísticas de Sudáfrica, se indica que en el ejercicio 2016/17 el gasto total del Gobierno ascendió a 1,33 billones de rand</w:t>
      </w:r>
      <w:r w:rsidRPr="00605B48">
        <w:rPr>
          <w:sz w:val="18"/>
          <w:szCs w:val="18"/>
          <w:vertAlign w:val="superscript"/>
          <w:lang w:val="es-ES_tradnl"/>
        </w:rPr>
        <w:footnoteReference w:id="21"/>
      </w:r>
      <w:r w:rsidRPr="000C2F85">
        <w:rPr>
          <w:lang w:val="es-ES_tradnl"/>
        </w:rPr>
        <w:t>. Esta cifra representa un 4 % más que los 1,28 billones de rand que se gastaron en 2015/16. La mayor parte del gasto correspondió a subsidios financieros. Estos, que no deben confundirse con los subsidios sociales, son transferencias de una dependencia gubernamental a otra, o a una organización internacional. Los subsidios permiten mantener en marcha el engranaje del Gobierno. En 2016/17, el Gobierno nacional transfirió 764.000 millones de rand (el 57 % del gasto total) en forma de subsidios a otros niveles de gobierno y a organizaciones internacionales. Las administraciones provinciales recibieron la mayor parte de las subvenciones en 2016/17, casi dos tercios de los 764.000</w:t>
      </w:r>
      <w:r w:rsidR="00C55DE3">
        <w:rPr>
          <w:lang w:val="es-ES_tradnl"/>
        </w:rPr>
        <w:t> </w:t>
      </w:r>
      <w:r w:rsidRPr="000C2F85">
        <w:rPr>
          <w:lang w:val="es-ES_tradnl"/>
        </w:rPr>
        <w:t xml:space="preserve">millones de rand. Esto supuso un 6 % más que la cantidad recibida en el ejercicio 2015/16. Era de esperar, ya que las nueve provincias son responsables de la administración de algunas de las funciones básicas de gobierno (por ejemplo, educación y salud). Se </w:t>
      </w:r>
      <w:r w:rsidRPr="000C2F85">
        <w:rPr>
          <w:lang w:val="es-ES_tradnl"/>
        </w:rPr>
        <w:lastRenderedPageBreak/>
        <w:t>transfirió aproximadamente el 14 % de los subsidios financieros a las 257 municipalidades. Se pagó algo más del 11 % (87.000 millones de rand) a las 252 cuentas y fondos extrapresupuestarios de Sudáfrica (un 8 % más que en el ejercicio 2015/16). Se pagaron 46.000 millones de rand (el 6 %) a organizaciones extranjeras e instituciones internacionales. De esta suma, 39.000 millones de rand se abonaron a la Unión Aduanera de África Meridional (SACU), de la que Sudáfrica es miembro. El Nuevo Banco de Desarrollo (NBD), establecido por los países pertenecientes al grupo BRICS (Brasil, Rusia, India, China y Sudáfrica), recibió 3.500 millones de rand. Las 26 instituciones de educación superior de Sudáfrica recibieron 28.000 millones de rand (el 4 % de las transferencias de subsidios del Gobierno nacional) en el ejercicio 2016/17.</w:t>
      </w:r>
    </w:p>
    <w:p w14:paraId="27A3E3DC" w14:textId="77777777" w:rsidR="000C2F85" w:rsidRPr="000C2F85" w:rsidRDefault="000C2F85" w:rsidP="000C2F85">
      <w:pPr>
        <w:pStyle w:val="SingleTxtG"/>
        <w:rPr>
          <w:lang w:val="es-ES_tradnl"/>
        </w:rPr>
      </w:pPr>
      <w:r w:rsidRPr="000C2F85">
        <w:rPr>
          <w:lang w:val="es-ES_tradnl"/>
        </w:rPr>
        <w:t>21.</w:t>
      </w:r>
      <w:r w:rsidRPr="000C2F85">
        <w:rPr>
          <w:lang w:val="es-ES_tradnl"/>
        </w:rPr>
        <w:tab/>
        <w:t>En el cuadro que figura a continuación se indica la proporción de los ingresos públicos que se financia mediante impuestos.</w:t>
      </w:r>
    </w:p>
    <w:p w14:paraId="556938E0" w14:textId="2982CA12" w:rsidR="000C2F85" w:rsidRPr="00F948B8" w:rsidRDefault="00F948B8" w:rsidP="00F948B8">
      <w:pPr>
        <w:pStyle w:val="H23G"/>
        <w:rPr>
          <w:b w:val="0"/>
          <w:bCs/>
          <w:sz w:val="16"/>
          <w:szCs w:val="16"/>
          <w:lang w:val="es-ES_tradnl"/>
        </w:rPr>
      </w:pPr>
      <w:r w:rsidRPr="00F948B8">
        <w:rPr>
          <w:b w:val="0"/>
          <w:bCs/>
          <w:lang w:val="es-ES_tradnl"/>
        </w:rPr>
        <w:tab/>
      </w:r>
      <w:r w:rsidR="000C2F85" w:rsidRPr="00F948B8">
        <w:rPr>
          <w:b w:val="0"/>
          <w:bCs/>
          <w:lang w:val="es-ES_tradnl"/>
        </w:rPr>
        <w:tab/>
        <w:t xml:space="preserve">Cuadro 9 </w:t>
      </w:r>
      <w:r w:rsidR="000C2F85" w:rsidRPr="00F948B8">
        <w:rPr>
          <w:b w:val="0"/>
          <w:bCs/>
          <w:lang w:val="es-ES_tradnl"/>
        </w:rPr>
        <w:br/>
      </w:r>
      <w:r w:rsidR="000C2F85" w:rsidRPr="000C2F85">
        <w:rPr>
          <w:lang w:val="es-ES_tradnl"/>
        </w:rPr>
        <w:t xml:space="preserve">Ingresos públicos financiados mediante impuestos (2006-2019) </w:t>
      </w:r>
      <w:r w:rsidR="000C2F85" w:rsidRPr="000C2F85">
        <w:rPr>
          <w:lang w:val="es-ES_tradnl"/>
        </w:rPr>
        <w:br/>
      </w:r>
      <w:r w:rsidR="000C2F85" w:rsidRPr="00F948B8">
        <w:rPr>
          <w:b w:val="0"/>
          <w:bCs/>
          <w:sz w:val="16"/>
          <w:szCs w:val="16"/>
          <w:lang w:val="es-ES_tradnl"/>
        </w:rPr>
        <w:t>(En porcentajes)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641"/>
        <w:gridCol w:w="4761"/>
      </w:tblGrid>
      <w:tr w:rsidR="000C2F85" w:rsidRPr="00F948B8" w14:paraId="239A946D" w14:textId="77777777" w:rsidTr="00F948B8">
        <w:trPr>
          <w:trHeight w:val="240"/>
          <w:tblHeader/>
        </w:trPr>
        <w:tc>
          <w:tcPr>
            <w:tcW w:w="2625" w:type="dxa"/>
            <w:tcBorders>
              <w:top w:val="single" w:sz="4" w:space="0" w:color="auto"/>
              <w:bottom w:val="single" w:sz="12" w:space="0" w:color="auto"/>
            </w:tcBorders>
            <w:shd w:val="clear" w:color="auto" w:fill="auto"/>
            <w:noWrap/>
            <w:vAlign w:val="bottom"/>
            <w:hideMark/>
          </w:tcPr>
          <w:p w14:paraId="40B7CDEE" w14:textId="77777777" w:rsidR="000C2F85" w:rsidRPr="00F948B8" w:rsidRDefault="000C2F85" w:rsidP="00F948B8">
            <w:pPr>
              <w:pStyle w:val="SingleTxtG"/>
              <w:tabs>
                <w:tab w:val="clear" w:pos="1701"/>
                <w:tab w:val="clear" w:pos="2268"/>
                <w:tab w:val="clear" w:pos="2835"/>
              </w:tabs>
              <w:spacing w:before="80" w:after="80" w:line="200" w:lineRule="exact"/>
              <w:ind w:left="0" w:right="0"/>
              <w:jc w:val="left"/>
              <w:rPr>
                <w:i/>
                <w:sz w:val="16"/>
                <w:lang w:val="es-ES_tradnl"/>
              </w:rPr>
            </w:pPr>
            <w:r w:rsidRPr="00F948B8">
              <w:rPr>
                <w:i/>
                <w:iCs/>
                <w:sz w:val="16"/>
                <w:lang w:val="es-ES_tradnl"/>
              </w:rPr>
              <w:t>Ejercicio económico</w:t>
            </w:r>
          </w:p>
        </w:tc>
        <w:tc>
          <w:tcPr>
            <w:tcW w:w="4745" w:type="dxa"/>
            <w:tcBorders>
              <w:top w:val="single" w:sz="4" w:space="0" w:color="auto"/>
              <w:bottom w:val="single" w:sz="12" w:space="0" w:color="auto"/>
            </w:tcBorders>
            <w:shd w:val="clear" w:color="auto" w:fill="auto"/>
            <w:vAlign w:val="bottom"/>
            <w:hideMark/>
          </w:tcPr>
          <w:p w14:paraId="6663F428" w14:textId="77777777" w:rsidR="000C2F85" w:rsidRPr="00F948B8" w:rsidRDefault="000C2F85" w:rsidP="00F948B8">
            <w:pPr>
              <w:pStyle w:val="SingleTxtG"/>
              <w:tabs>
                <w:tab w:val="clear" w:pos="1701"/>
                <w:tab w:val="clear" w:pos="2268"/>
                <w:tab w:val="clear" w:pos="2835"/>
              </w:tabs>
              <w:spacing w:before="80" w:after="80" w:line="200" w:lineRule="exact"/>
              <w:ind w:left="57" w:right="28"/>
              <w:jc w:val="right"/>
              <w:rPr>
                <w:i/>
                <w:sz w:val="16"/>
                <w:lang w:val="es-ES_tradnl"/>
              </w:rPr>
            </w:pPr>
            <w:r w:rsidRPr="00F948B8">
              <w:rPr>
                <w:i/>
                <w:iCs/>
                <w:sz w:val="16"/>
                <w:lang w:val="es-ES_tradnl"/>
              </w:rPr>
              <w:t>Proporción de los ingresos públicos financiadas con impuestos</w:t>
            </w:r>
          </w:p>
        </w:tc>
      </w:tr>
      <w:tr w:rsidR="000C2F85" w:rsidRPr="00F948B8" w14:paraId="525972B1" w14:textId="77777777" w:rsidTr="00F948B8">
        <w:trPr>
          <w:trHeight w:val="240"/>
        </w:trPr>
        <w:tc>
          <w:tcPr>
            <w:tcW w:w="2625" w:type="dxa"/>
            <w:tcBorders>
              <w:top w:val="single" w:sz="12" w:space="0" w:color="auto"/>
            </w:tcBorders>
            <w:shd w:val="clear" w:color="auto" w:fill="auto"/>
            <w:noWrap/>
            <w:hideMark/>
          </w:tcPr>
          <w:p w14:paraId="7C3CD0AB" w14:textId="77777777" w:rsidR="000C2F85" w:rsidRPr="00F948B8" w:rsidRDefault="000C2F85" w:rsidP="00F948B8">
            <w:pPr>
              <w:pStyle w:val="SingleTxtG"/>
              <w:tabs>
                <w:tab w:val="clear" w:pos="1701"/>
                <w:tab w:val="clear" w:pos="2268"/>
                <w:tab w:val="clear" w:pos="2835"/>
              </w:tabs>
              <w:spacing w:before="40" w:after="40" w:line="220" w:lineRule="exact"/>
              <w:ind w:left="0" w:right="0"/>
              <w:jc w:val="left"/>
              <w:rPr>
                <w:sz w:val="18"/>
                <w:lang w:val="es-ES_tradnl"/>
              </w:rPr>
            </w:pPr>
            <w:r w:rsidRPr="00F948B8">
              <w:rPr>
                <w:sz w:val="18"/>
                <w:lang w:val="es-ES_tradnl"/>
              </w:rPr>
              <w:t>2006/07</w:t>
            </w:r>
          </w:p>
        </w:tc>
        <w:tc>
          <w:tcPr>
            <w:tcW w:w="4745" w:type="dxa"/>
            <w:tcBorders>
              <w:top w:val="single" w:sz="12" w:space="0" w:color="auto"/>
            </w:tcBorders>
            <w:shd w:val="clear" w:color="auto" w:fill="auto"/>
            <w:noWrap/>
            <w:vAlign w:val="bottom"/>
            <w:hideMark/>
          </w:tcPr>
          <w:p w14:paraId="441E1D5E"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97,75</w:t>
            </w:r>
          </w:p>
        </w:tc>
      </w:tr>
      <w:tr w:rsidR="000C2F85" w:rsidRPr="00F948B8" w14:paraId="57EEEF82" w14:textId="77777777" w:rsidTr="00F948B8">
        <w:trPr>
          <w:trHeight w:val="240"/>
        </w:trPr>
        <w:tc>
          <w:tcPr>
            <w:tcW w:w="2625" w:type="dxa"/>
            <w:shd w:val="clear" w:color="auto" w:fill="auto"/>
            <w:noWrap/>
            <w:hideMark/>
          </w:tcPr>
          <w:p w14:paraId="4C91DE72" w14:textId="77777777" w:rsidR="000C2F85" w:rsidRPr="00F948B8" w:rsidRDefault="000C2F85" w:rsidP="00F948B8">
            <w:pPr>
              <w:pStyle w:val="SingleTxtG"/>
              <w:tabs>
                <w:tab w:val="clear" w:pos="1701"/>
                <w:tab w:val="clear" w:pos="2268"/>
                <w:tab w:val="clear" w:pos="2835"/>
              </w:tabs>
              <w:spacing w:before="40" w:after="40" w:line="220" w:lineRule="exact"/>
              <w:ind w:left="0" w:right="0"/>
              <w:jc w:val="left"/>
              <w:rPr>
                <w:sz w:val="18"/>
                <w:lang w:val="es-ES_tradnl"/>
              </w:rPr>
            </w:pPr>
            <w:r w:rsidRPr="00F948B8">
              <w:rPr>
                <w:sz w:val="18"/>
                <w:lang w:val="es-ES_tradnl"/>
              </w:rPr>
              <w:t>2007/08</w:t>
            </w:r>
          </w:p>
        </w:tc>
        <w:tc>
          <w:tcPr>
            <w:tcW w:w="4745" w:type="dxa"/>
            <w:shd w:val="clear" w:color="auto" w:fill="auto"/>
            <w:noWrap/>
            <w:vAlign w:val="bottom"/>
            <w:hideMark/>
          </w:tcPr>
          <w:p w14:paraId="130F95B5"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97,74</w:t>
            </w:r>
          </w:p>
        </w:tc>
      </w:tr>
      <w:tr w:rsidR="000C2F85" w:rsidRPr="00F948B8" w14:paraId="7D7F5BFA" w14:textId="77777777" w:rsidTr="00F948B8">
        <w:trPr>
          <w:trHeight w:val="240"/>
        </w:trPr>
        <w:tc>
          <w:tcPr>
            <w:tcW w:w="2625" w:type="dxa"/>
            <w:shd w:val="clear" w:color="auto" w:fill="auto"/>
            <w:noWrap/>
            <w:hideMark/>
          </w:tcPr>
          <w:p w14:paraId="04673542" w14:textId="77777777" w:rsidR="000C2F85" w:rsidRPr="00F948B8" w:rsidRDefault="000C2F85" w:rsidP="00F948B8">
            <w:pPr>
              <w:pStyle w:val="SingleTxtG"/>
              <w:tabs>
                <w:tab w:val="clear" w:pos="1701"/>
                <w:tab w:val="clear" w:pos="2268"/>
                <w:tab w:val="clear" w:pos="2835"/>
              </w:tabs>
              <w:spacing w:before="40" w:after="40" w:line="220" w:lineRule="exact"/>
              <w:ind w:left="0" w:right="0"/>
              <w:jc w:val="left"/>
              <w:rPr>
                <w:sz w:val="18"/>
                <w:lang w:val="es-ES_tradnl"/>
              </w:rPr>
            </w:pPr>
            <w:r w:rsidRPr="00F948B8">
              <w:rPr>
                <w:sz w:val="18"/>
                <w:lang w:val="es-ES_tradnl"/>
              </w:rPr>
              <w:t>2008/09</w:t>
            </w:r>
          </w:p>
        </w:tc>
        <w:tc>
          <w:tcPr>
            <w:tcW w:w="4745" w:type="dxa"/>
            <w:shd w:val="clear" w:color="auto" w:fill="auto"/>
            <w:noWrap/>
            <w:vAlign w:val="bottom"/>
            <w:hideMark/>
          </w:tcPr>
          <w:p w14:paraId="0672CF17"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97,93</w:t>
            </w:r>
          </w:p>
        </w:tc>
      </w:tr>
      <w:tr w:rsidR="000C2F85" w:rsidRPr="00F948B8" w14:paraId="05248848" w14:textId="77777777" w:rsidTr="00F948B8">
        <w:trPr>
          <w:trHeight w:val="240"/>
        </w:trPr>
        <w:tc>
          <w:tcPr>
            <w:tcW w:w="2625" w:type="dxa"/>
            <w:shd w:val="clear" w:color="auto" w:fill="auto"/>
            <w:noWrap/>
            <w:hideMark/>
          </w:tcPr>
          <w:p w14:paraId="19F86F9F" w14:textId="77777777" w:rsidR="000C2F85" w:rsidRPr="00F948B8" w:rsidRDefault="000C2F85" w:rsidP="00F948B8">
            <w:pPr>
              <w:pStyle w:val="SingleTxtG"/>
              <w:tabs>
                <w:tab w:val="clear" w:pos="1701"/>
                <w:tab w:val="clear" w:pos="2268"/>
                <w:tab w:val="clear" w:pos="2835"/>
              </w:tabs>
              <w:spacing w:before="40" w:after="40" w:line="220" w:lineRule="exact"/>
              <w:ind w:left="0" w:right="0"/>
              <w:jc w:val="left"/>
              <w:rPr>
                <w:sz w:val="18"/>
                <w:lang w:val="es-ES_tradnl"/>
              </w:rPr>
            </w:pPr>
            <w:r w:rsidRPr="00F948B8">
              <w:rPr>
                <w:sz w:val="18"/>
                <w:lang w:val="es-ES_tradnl"/>
              </w:rPr>
              <w:t>2009/10</w:t>
            </w:r>
          </w:p>
        </w:tc>
        <w:tc>
          <w:tcPr>
            <w:tcW w:w="4745" w:type="dxa"/>
            <w:shd w:val="clear" w:color="auto" w:fill="auto"/>
            <w:noWrap/>
            <w:vAlign w:val="bottom"/>
            <w:hideMark/>
          </w:tcPr>
          <w:p w14:paraId="6ADEEC85"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98,47</w:t>
            </w:r>
          </w:p>
        </w:tc>
      </w:tr>
      <w:tr w:rsidR="000C2F85" w:rsidRPr="00F948B8" w14:paraId="560D1F50" w14:textId="77777777" w:rsidTr="00F948B8">
        <w:trPr>
          <w:trHeight w:val="240"/>
        </w:trPr>
        <w:tc>
          <w:tcPr>
            <w:tcW w:w="2625" w:type="dxa"/>
            <w:shd w:val="clear" w:color="auto" w:fill="auto"/>
            <w:noWrap/>
            <w:hideMark/>
          </w:tcPr>
          <w:p w14:paraId="658CDD3D" w14:textId="77777777" w:rsidR="000C2F85" w:rsidRPr="00F948B8" w:rsidRDefault="000C2F85" w:rsidP="00F948B8">
            <w:pPr>
              <w:pStyle w:val="SingleTxtG"/>
              <w:tabs>
                <w:tab w:val="clear" w:pos="1701"/>
                <w:tab w:val="clear" w:pos="2268"/>
                <w:tab w:val="clear" w:pos="2835"/>
              </w:tabs>
              <w:spacing w:before="40" w:after="40" w:line="220" w:lineRule="exact"/>
              <w:ind w:left="0" w:right="0"/>
              <w:jc w:val="left"/>
              <w:rPr>
                <w:sz w:val="18"/>
                <w:lang w:val="es-ES_tradnl"/>
              </w:rPr>
            </w:pPr>
            <w:r w:rsidRPr="00F948B8">
              <w:rPr>
                <w:sz w:val="18"/>
                <w:lang w:val="es-ES_tradnl"/>
              </w:rPr>
              <w:t>2010/11</w:t>
            </w:r>
          </w:p>
        </w:tc>
        <w:tc>
          <w:tcPr>
            <w:tcW w:w="4745" w:type="dxa"/>
            <w:shd w:val="clear" w:color="auto" w:fill="auto"/>
            <w:noWrap/>
            <w:vAlign w:val="bottom"/>
            <w:hideMark/>
          </w:tcPr>
          <w:p w14:paraId="68105801"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97,55</w:t>
            </w:r>
          </w:p>
        </w:tc>
      </w:tr>
      <w:tr w:rsidR="000C2F85" w:rsidRPr="00F948B8" w14:paraId="62CE3E75" w14:textId="77777777" w:rsidTr="00F948B8">
        <w:trPr>
          <w:trHeight w:val="240"/>
        </w:trPr>
        <w:tc>
          <w:tcPr>
            <w:tcW w:w="2625" w:type="dxa"/>
            <w:shd w:val="clear" w:color="auto" w:fill="auto"/>
            <w:noWrap/>
            <w:hideMark/>
          </w:tcPr>
          <w:p w14:paraId="5077310E" w14:textId="77777777" w:rsidR="000C2F85" w:rsidRPr="00F948B8" w:rsidRDefault="000C2F85" w:rsidP="00F948B8">
            <w:pPr>
              <w:pStyle w:val="SingleTxtG"/>
              <w:tabs>
                <w:tab w:val="clear" w:pos="1701"/>
                <w:tab w:val="clear" w:pos="2268"/>
                <w:tab w:val="clear" w:pos="2835"/>
              </w:tabs>
              <w:spacing w:before="40" w:after="40" w:line="220" w:lineRule="exact"/>
              <w:ind w:left="0" w:right="0"/>
              <w:jc w:val="left"/>
              <w:rPr>
                <w:sz w:val="18"/>
                <w:lang w:val="es-ES_tradnl"/>
              </w:rPr>
            </w:pPr>
            <w:r w:rsidRPr="00F948B8">
              <w:rPr>
                <w:sz w:val="18"/>
                <w:lang w:val="es-ES_tradnl"/>
              </w:rPr>
              <w:t>2011/12</w:t>
            </w:r>
          </w:p>
        </w:tc>
        <w:tc>
          <w:tcPr>
            <w:tcW w:w="4745" w:type="dxa"/>
            <w:shd w:val="clear" w:color="auto" w:fill="auto"/>
            <w:noWrap/>
            <w:vAlign w:val="bottom"/>
            <w:hideMark/>
          </w:tcPr>
          <w:p w14:paraId="07A1BCA2"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96,73</w:t>
            </w:r>
          </w:p>
        </w:tc>
      </w:tr>
      <w:tr w:rsidR="000C2F85" w:rsidRPr="00F948B8" w14:paraId="781555F2" w14:textId="77777777" w:rsidTr="00F948B8">
        <w:trPr>
          <w:trHeight w:val="240"/>
        </w:trPr>
        <w:tc>
          <w:tcPr>
            <w:tcW w:w="2625" w:type="dxa"/>
            <w:shd w:val="clear" w:color="auto" w:fill="auto"/>
            <w:noWrap/>
            <w:hideMark/>
          </w:tcPr>
          <w:p w14:paraId="1D3F03C5" w14:textId="77777777" w:rsidR="000C2F85" w:rsidRPr="00F948B8" w:rsidRDefault="000C2F85" w:rsidP="00F948B8">
            <w:pPr>
              <w:pStyle w:val="SingleTxtG"/>
              <w:tabs>
                <w:tab w:val="clear" w:pos="1701"/>
                <w:tab w:val="clear" w:pos="2268"/>
                <w:tab w:val="clear" w:pos="2835"/>
              </w:tabs>
              <w:spacing w:before="40" w:after="40" w:line="220" w:lineRule="exact"/>
              <w:ind w:left="0" w:right="0"/>
              <w:jc w:val="left"/>
              <w:rPr>
                <w:sz w:val="18"/>
                <w:lang w:val="es-ES_tradnl"/>
              </w:rPr>
            </w:pPr>
            <w:r w:rsidRPr="00F948B8">
              <w:rPr>
                <w:sz w:val="18"/>
                <w:lang w:val="es-ES_tradnl"/>
              </w:rPr>
              <w:t>2012/13</w:t>
            </w:r>
          </w:p>
        </w:tc>
        <w:tc>
          <w:tcPr>
            <w:tcW w:w="4745" w:type="dxa"/>
            <w:shd w:val="clear" w:color="auto" w:fill="auto"/>
            <w:noWrap/>
            <w:vAlign w:val="bottom"/>
            <w:hideMark/>
          </w:tcPr>
          <w:p w14:paraId="15805A4F"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96,44</w:t>
            </w:r>
          </w:p>
        </w:tc>
      </w:tr>
      <w:tr w:rsidR="000C2F85" w:rsidRPr="00F948B8" w14:paraId="694315F8" w14:textId="77777777" w:rsidTr="00F948B8">
        <w:trPr>
          <w:trHeight w:val="240"/>
        </w:trPr>
        <w:tc>
          <w:tcPr>
            <w:tcW w:w="2625" w:type="dxa"/>
            <w:shd w:val="clear" w:color="auto" w:fill="auto"/>
            <w:noWrap/>
            <w:hideMark/>
          </w:tcPr>
          <w:p w14:paraId="658F2F88" w14:textId="77777777" w:rsidR="000C2F85" w:rsidRPr="00F948B8" w:rsidRDefault="000C2F85" w:rsidP="00F948B8">
            <w:pPr>
              <w:pStyle w:val="SingleTxtG"/>
              <w:tabs>
                <w:tab w:val="clear" w:pos="1701"/>
                <w:tab w:val="clear" w:pos="2268"/>
                <w:tab w:val="clear" w:pos="2835"/>
              </w:tabs>
              <w:spacing w:before="40" w:after="40" w:line="220" w:lineRule="exact"/>
              <w:ind w:left="0" w:right="0"/>
              <w:jc w:val="left"/>
              <w:rPr>
                <w:sz w:val="18"/>
                <w:lang w:val="es-ES_tradnl"/>
              </w:rPr>
            </w:pPr>
            <w:r w:rsidRPr="00F948B8">
              <w:rPr>
                <w:sz w:val="18"/>
                <w:lang w:val="es-ES_tradnl"/>
              </w:rPr>
              <w:t xml:space="preserve">2013/14 </w:t>
            </w:r>
          </w:p>
        </w:tc>
        <w:tc>
          <w:tcPr>
            <w:tcW w:w="4745" w:type="dxa"/>
            <w:shd w:val="clear" w:color="auto" w:fill="auto"/>
            <w:noWrap/>
            <w:vAlign w:val="bottom"/>
            <w:hideMark/>
          </w:tcPr>
          <w:p w14:paraId="411F4FBE"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96,54</w:t>
            </w:r>
          </w:p>
        </w:tc>
      </w:tr>
      <w:tr w:rsidR="000C2F85" w:rsidRPr="00F948B8" w14:paraId="374F5C83" w14:textId="77777777" w:rsidTr="00F948B8">
        <w:trPr>
          <w:trHeight w:val="240"/>
        </w:trPr>
        <w:tc>
          <w:tcPr>
            <w:tcW w:w="2625" w:type="dxa"/>
            <w:shd w:val="clear" w:color="auto" w:fill="auto"/>
            <w:noWrap/>
            <w:hideMark/>
          </w:tcPr>
          <w:p w14:paraId="4DAEC527" w14:textId="77777777" w:rsidR="000C2F85" w:rsidRPr="00F948B8" w:rsidRDefault="000C2F85" w:rsidP="00F948B8">
            <w:pPr>
              <w:pStyle w:val="SingleTxtG"/>
              <w:tabs>
                <w:tab w:val="clear" w:pos="1701"/>
                <w:tab w:val="clear" w:pos="2268"/>
                <w:tab w:val="clear" w:pos="2835"/>
              </w:tabs>
              <w:spacing w:before="40" w:after="40" w:line="220" w:lineRule="exact"/>
              <w:ind w:left="0" w:right="0"/>
              <w:jc w:val="left"/>
              <w:rPr>
                <w:sz w:val="18"/>
                <w:lang w:val="es-ES_tradnl"/>
              </w:rPr>
            </w:pPr>
            <w:r w:rsidRPr="00F948B8">
              <w:rPr>
                <w:sz w:val="18"/>
                <w:lang w:val="es-ES_tradnl"/>
              </w:rPr>
              <w:t xml:space="preserve">2014/15 </w:t>
            </w:r>
          </w:p>
        </w:tc>
        <w:tc>
          <w:tcPr>
            <w:tcW w:w="4745" w:type="dxa"/>
            <w:shd w:val="clear" w:color="auto" w:fill="auto"/>
            <w:noWrap/>
            <w:vAlign w:val="bottom"/>
            <w:hideMark/>
          </w:tcPr>
          <w:p w14:paraId="44CE3EE3"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96,80</w:t>
            </w:r>
          </w:p>
        </w:tc>
      </w:tr>
      <w:tr w:rsidR="000C2F85" w:rsidRPr="00F948B8" w14:paraId="6E608C1C" w14:textId="77777777" w:rsidTr="00F948B8">
        <w:trPr>
          <w:trHeight w:val="240"/>
        </w:trPr>
        <w:tc>
          <w:tcPr>
            <w:tcW w:w="2625" w:type="dxa"/>
            <w:shd w:val="clear" w:color="auto" w:fill="auto"/>
            <w:noWrap/>
            <w:hideMark/>
          </w:tcPr>
          <w:p w14:paraId="7A9CE374" w14:textId="77777777" w:rsidR="000C2F85" w:rsidRPr="00F948B8" w:rsidRDefault="000C2F85" w:rsidP="00F948B8">
            <w:pPr>
              <w:pStyle w:val="SingleTxtG"/>
              <w:tabs>
                <w:tab w:val="clear" w:pos="1701"/>
                <w:tab w:val="clear" w:pos="2268"/>
                <w:tab w:val="clear" w:pos="2835"/>
              </w:tabs>
              <w:spacing w:before="40" w:after="40" w:line="220" w:lineRule="exact"/>
              <w:ind w:left="0" w:right="0"/>
              <w:jc w:val="left"/>
              <w:rPr>
                <w:sz w:val="18"/>
                <w:lang w:val="es-ES_tradnl"/>
              </w:rPr>
            </w:pPr>
            <w:r w:rsidRPr="00F948B8">
              <w:rPr>
                <w:sz w:val="18"/>
                <w:lang w:val="es-ES_tradnl"/>
              </w:rPr>
              <w:t xml:space="preserve">2015/16 </w:t>
            </w:r>
          </w:p>
        </w:tc>
        <w:tc>
          <w:tcPr>
            <w:tcW w:w="4745" w:type="dxa"/>
            <w:shd w:val="clear" w:color="auto" w:fill="auto"/>
            <w:noWrap/>
            <w:vAlign w:val="bottom"/>
            <w:hideMark/>
          </w:tcPr>
          <w:p w14:paraId="6FCEDF7C"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94,68</w:t>
            </w:r>
          </w:p>
        </w:tc>
      </w:tr>
      <w:tr w:rsidR="000C2F85" w:rsidRPr="00F948B8" w14:paraId="49C0BDC3" w14:textId="77777777" w:rsidTr="00F948B8">
        <w:trPr>
          <w:trHeight w:val="240"/>
        </w:trPr>
        <w:tc>
          <w:tcPr>
            <w:tcW w:w="2625" w:type="dxa"/>
            <w:shd w:val="clear" w:color="auto" w:fill="auto"/>
            <w:noWrap/>
            <w:hideMark/>
          </w:tcPr>
          <w:p w14:paraId="08EBF5F4" w14:textId="77777777" w:rsidR="000C2F85" w:rsidRPr="00F948B8" w:rsidRDefault="000C2F85" w:rsidP="00F948B8">
            <w:pPr>
              <w:pStyle w:val="SingleTxtG"/>
              <w:tabs>
                <w:tab w:val="clear" w:pos="1701"/>
                <w:tab w:val="clear" w:pos="2268"/>
                <w:tab w:val="clear" w:pos="2835"/>
              </w:tabs>
              <w:spacing w:before="40" w:after="40" w:line="220" w:lineRule="exact"/>
              <w:ind w:left="0" w:right="0"/>
              <w:jc w:val="left"/>
              <w:rPr>
                <w:sz w:val="18"/>
                <w:lang w:val="es-ES_tradnl"/>
              </w:rPr>
            </w:pPr>
            <w:r w:rsidRPr="00F948B8">
              <w:rPr>
                <w:sz w:val="18"/>
                <w:lang w:val="es-ES_tradnl"/>
              </w:rPr>
              <w:t>2016/17</w:t>
            </w:r>
          </w:p>
        </w:tc>
        <w:tc>
          <w:tcPr>
            <w:tcW w:w="4745" w:type="dxa"/>
            <w:shd w:val="clear" w:color="auto" w:fill="auto"/>
            <w:noWrap/>
            <w:vAlign w:val="bottom"/>
            <w:hideMark/>
          </w:tcPr>
          <w:p w14:paraId="5F4734C8"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97,08</w:t>
            </w:r>
          </w:p>
        </w:tc>
      </w:tr>
      <w:tr w:rsidR="000C2F85" w:rsidRPr="00F948B8" w14:paraId="741B67C0" w14:textId="77777777" w:rsidTr="00F948B8">
        <w:trPr>
          <w:trHeight w:val="240"/>
        </w:trPr>
        <w:tc>
          <w:tcPr>
            <w:tcW w:w="2625" w:type="dxa"/>
            <w:shd w:val="clear" w:color="auto" w:fill="auto"/>
            <w:noWrap/>
            <w:hideMark/>
          </w:tcPr>
          <w:p w14:paraId="023CCB45" w14:textId="77777777" w:rsidR="000C2F85" w:rsidRPr="00F948B8" w:rsidRDefault="000C2F85" w:rsidP="00F948B8">
            <w:pPr>
              <w:pStyle w:val="SingleTxtG"/>
              <w:tabs>
                <w:tab w:val="clear" w:pos="1701"/>
                <w:tab w:val="clear" w:pos="2268"/>
                <w:tab w:val="clear" w:pos="2835"/>
              </w:tabs>
              <w:spacing w:before="40" w:after="40" w:line="220" w:lineRule="exact"/>
              <w:ind w:left="0" w:right="0"/>
              <w:jc w:val="left"/>
              <w:rPr>
                <w:sz w:val="18"/>
                <w:lang w:val="es-ES_tradnl"/>
              </w:rPr>
            </w:pPr>
            <w:r w:rsidRPr="00F948B8">
              <w:rPr>
                <w:sz w:val="18"/>
                <w:lang w:val="es-ES_tradnl"/>
              </w:rPr>
              <w:t>2017/18*</w:t>
            </w:r>
          </w:p>
        </w:tc>
        <w:tc>
          <w:tcPr>
            <w:tcW w:w="4745" w:type="dxa"/>
            <w:shd w:val="clear" w:color="auto" w:fill="auto"/>
            <w:noWrap/>
            <w:vAlign w:val="bottom"/>
            <w:hideMark/>
          </w:tcPr>
          <w:p w14:paraId="714EB8FB"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97,22</w:t>
            </w:r>
          </w:p>
        </w:tc>
      </w:tr>
      <w:tr w:rsidR="000C2F85" w:rsidRPr="00F948B8" w14:paraId="5937B5EF" w14:textId="77777777" w:rsidTr="00F948B8">
        <w:trPr>
          <w:trHeight w:val="240"/>
        </w:trPr>
        <w:tc>
          <w:tcPr>
            <w:tcW w:w="2625" w:type="dxa"/>
            <w:tcBorders>
              <w:bottom w:val="single" w:sz="12" w:space="0" w:color="auto"/>
            </w:tcBorders>
            <w:shd w:val="clear" w:color="auto" w:fill="auto"/>
            <w:noWrap/>
            <w:hideMark/>
          </w:tcPr>
          <w:p w14:paraId="5A68172D" w14:textId="77777777" w:rsidR="000C2F85" w:rsidRPr="00F948B8" w:rsidRDefault="000C2F85" w:rsidP="00F948B8">
            <w:pPr>
              <w:pStyle w:val="SingleTxtG"/>
              <w:tabs>
                <w:tab w:val="clear" w:pos="1701"/>
                <w:tab w:val="clear" w:pos="2268"/>
                <w:tab w:val="clear" w:pos="2835"/>
              </w:tabs>
              <w:spacing w:before="40" w:after="40" w:line="220" w:lineRule="exact"/>
              <w:ind w:left="0" w:right="0"/>
              <w:jc w:val="left"/>
              <w:rPr>
                <w:sz w:val="18"/>
                <w:lang w:val="es-ES_tradnl"/>
              </w:rPr>
            </w:pPr>
            <w:r w:rsidRPr="00F948B8">
              <w:rPr>
                <w:sz w:val="18"/>
                <w:lang w:val="es-ES_tradnl"/>
              </w:rPr>
              <w:t>2018/19*</w:t>
            </w:r>
          </w:p>
        </w:tc>
        <w:tc>
          <w:tcPr>
            <w:tcW w:w="4745" w:type="dxa"/>
            <w:tcBorders>
              <w:bottom w:val="single" w:sz="12" w:space="0" w:color="auto"/>
            </w:tcBorders>
            <w:shd w:val="clear" w:color="auto" w:fill="auto"/>
            <w:noWrap/>
            <w:vAlign w:val="bottom"/>
            <w:hideMark/>
          </w:tcPr>
          <w:p w14:paraId="664DFEE0"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98,15</w:t>
            </w:r>
          </w:p>
        </w:tc>
      </w:tr>
    </w:tbl>
    <w:p w14:paraId="494B7481" w14:textId="4FDC916E" w:rsidR="000C2F85" w:rsidRPr="00F948B8" w:rsidRDefault="000C2F85" w:rsidP="00F948B8">
      <w:pPr>
        <w:pStyle w:val="SingleTxtG"/>
        <w:spacing w:before="120" w:after="240"/>
        <w:ind w:firstLine="170"/>
        <w:jc w:val="left"/>
        <w:rPr>
          <w:sz w:val="18"/>
          <w:szCs w:val="18"/>
          <w:lang w:val="es-ES_tradnl"/>
        </w:rPr>
      </w:pPr>
      <w:r w:rsidRPr="00F948B8">
        <w:rPr>
          <w:sz w:val="18"/>
          <w:szCs w:val="18"/>
          <w:lang w:val="es-ES_tradnl"/>
        </w:rPr>
        <w:t>*</w:t>
      </w:r>
      <w:r w:rsidR="009E1059" w:rsidRPr="00C3764D">
        <w:rPr>
          <w:sz w:val="18"/>
          <w:szCs w:val="18"/>
          <w:vertAlign w:val="superscript"/>
          <w:lang w:val="es-ES_tradnl"/>
        </w:rPr>
        <w:t xml:space="preserve"> </w:t>
      </w:r>
      <w:r w:rsidRPr="00C3764D">
        <w:rPr>
          <w:sz w:val="18"/>
          <w:szCs w:val="18"/>
          <w:vertAlign w:val="superscript"/>
          <w:lang w:val="es-ES_tradnl"/>
        </w:rPr>
        <w:t xml:space="preserve"> </w:t>
      </w:r>
      <w:r w:rsidRPr="00F948B8">
        <w:rPr>
          <w:sz w:val="18"/>
          <w:szCs w:val="18"/>
          <w:lang w:val="es-ES_tradnl"/>
        </w:rPr>
        <w:t>Estimación.</w:t>
      </w:r>
    </w:p>
    <w:p w14:paraId="6EC15B2B" w14:textId="77777777" w:rsidR="000C2F85" w:rsidRPr="000C2F85" w:rsidRDefault="000C2F85" w:rsidP="000C2F85">
      <w:pPr>
        <w:pStyle w:val="SingleTxtG"/>
        <w:rPr>
          <w:lang w:val="es-ES_tradnl"/>
        </w:rPr>
      </w:pPr>
      <w:r w:rsidRPr="000C2F85">
        <w:rPr>
          <w:lang w:val="es-ES_tradnl"/>
        </w:rPr>
        <w:t>22.</w:t>
      </w:r>
      <w:r w:rsidRPr="000C2F85">
        <w:rPr>
          <w:lang w:val="es-ES_tradnl"/>
        </w:rPr>
        <w:tab/>
        <w:t>Los tipos impositivos con que se gravan los beneficios de las empresas y los ingresos personales, el tipo del impuesto sobre el valor añadido (IVA) (excluido el IVA sobre los artículos de lujo, el tabaco y el alcohol o las bebidas azucaradas y refrigerios, y la gasolina), respectivamente; y el porcentaje del total de los ingresos que representan los impuestos sobre la renta personal del decil más rico de la población se indican en el cuadro que figura a continuación.</w:t>
      </w:r>
    </w:p>
    <w:p w14:paraId="4213D599" w14:textId="10AC9DE5" w:rsidR="000C2F85" w:rsidRPr="00F948B8" w:rsidRDefault="000C2F85" w:rsidP="00F948B8">
      <w:pPr>
        <w:pStyle w:val="H23G"/>
        <w:ind w:left="0" w:firstLine="0"/>
        <w:rPr>
          <w:b w:val="0"/>
          <w:bCs/>
          <w:sz w:val="16"/>
          <w:szCs w:val="16"/>
          <w:lang w:val="es-ES_tradnl"/>
        </w:rPr>
      </w:pPr>
      <w:r w:rsidRPr="00F948B8">
        <w:rPr>
          <w:b w:val="0"/>
          <w:bCs/>
          <w:lang w:val="es-ES_tradnl"/>
        </w:rPr>
        <w:tab/>
        <w:t xml:space="preserve">Cuadro 10 </w:t>
      </w:r>
      <w:r w:rsidRPr="00F948B8">
        <w:rPr>
          <w:b w:val="0"/>
          <w:bCs/>
          <w:lang w:val="es-ES_tradnl"/>
        </w:rPr>
        <w:br/>
      </w:r>
      <w:r w:rsidRPr="000C2F85">
        <w:rPr>
          <w:lang w:val="es-ES_tradnl"/>
        </w:rPr>
        <w:t xml:space="preserve">Tributación (2006-2019) </w:t>
      </w:r>
      <w:r w:rsidRPr="000C2F85">
        <w:rPr>
          <w:lang w:val="es-ES_tradnl"/>
        </w:rPr>
        <w:br/>
      </w:r>
      <w:r w:rsidRPr="00F948B8">
        <w:rPr>
          <w:b w:val="0"/>
          <w:bCs/>
          <w:sz w:val="16"/>
          <w:szCs w:val="16"/>
          <w:lang w:val="es-ES_tradnl"/>
        </w:rPr>
        <w:t>(En porcentajes)</w:t>
      </w:r>
    </w:p>
    <w:tbl>
      <w:tblPr>
        <w:tblStyle w:val="Tablaconcuadrcula"/>
        <w:tblW w:w="9639"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20" w:firstRow="1" w:lastRow="0" w:firstColumn="0" w:lastColumn="0" w:noHBand="0" w:noVBand="1"/>
      </w:tblPr>
      <w:tblGrid>
        <w:gridCol w:w="1134"/>
        <w:gridCol w:w="1701"/>
        <w:gridCol w:w="1843"/>
        <w:gridCol w:w="1843"/>
        <w:gridCol w:w="992"/>
        <w:gridCol w:w="2126"/>
      </w:tblGrid>
      <w:tr w:rsidR="00F948B8" w:rsidRPr="00F948B8" w14:paraId="690E4C66" w14:textId="77777777" w:rsidTr="00F948B8">
        <w:trPr>
          <w:trHeight w:val="240"/>
          <w:tblHeader/>
        </w:trPr>
        <w:tc>
          <w:tcPr>
            <w:tcW w:w="1134" w:type="dxa"/>
            <w:tcBorders>
              <w:top w:val="single" w:sz="4" w:space="0" w:color="auto"/>
              <w:bottom w:val="single" w:sz="12" w:space="0" w:color="auto"/>
            </w:tcBorders>
            <w:shd w:val="clear" w:color="auto" w:fill="auto"/>
            <w:noWrap/>
            <w:vAlign w:val="bottom"/>
            <w:hideMark/>
          </w:tcPr>
          <w:p w14:paraId="0DF630F7" w14:textId="77777777" w:rsidR="000C2F85" w:rsidRPr="00F948B8" w:rsidRDefault="000C2F85" w:rsidP="00F948B8">
            <w:pPr>
              <w:pStyle w:val="SingleTxtG"/>
              <w:tabs>
                <w:tab w:val="clear" w:pos="1701"/>
                <w:tab w:val="clear" w:pos="2268"/>
                <w:tab w:val="clear" w:pos="2835"/>
              </w:tabs>
              <w:spacing w:before="80" w:after="80" w:line="200" w:lineRule="exact"/>
              <w:ind w:left="0" w:right="0"/>
              <w:jc w:val="left"/>
              <w:rPr>
                <w:i/>
                <w:sz w:val="16"/>
                <w:lang w:val="es-ES_tradnl"/>
              </w:rPr>
            </w:pPr>
            <w:r w:rsidRPr="00F948B8">
              <w:rPr>
                <w:i/>
                <w:iCs/>
                <w:sz w:val="16"/>
                <w:lang w:val="es-ES_tradnl"/>
              </w:rPr>
              <w:t>Ejercicio económico</w:t>
            </w:r>
          </w:p>
        </w:tc>
        <w:tc>
          <w:tcPr>
            <w:tcW w:w="1701" w:type="dxa"/>
            <w:tcBorders>
              <w:top w:val="single" w:sz="4" w:space="0" w:color="auto"/>
              <w:bottom w:val="single" w:sz="12" w:space="0" w:color="auto"/>
            </w:tcBorders>
            <w:shd w:val="clear" w:color="auto" w:fill="auto"/>
            <w:vAlign w:val="bottom"/>
            <w:hideMark/>
          </w:tcPr>
          <w:p w14:paraId="38C13A2A" w14:textId="77777777" w:rsidR="000C2F85" w:rsidRPr="00F948B8" w:rsidRDefault="000C2F85" w:rsidP="00F948B8">
            <w:pPr>
              <w:pStyle w:val="SingleTxtG"/>
              <w:tabs>
                <w:tab w:val="clear" w:pos="1701"/>
                <w:tab w:val="clear" w:pos="2268"/>
                <w:tab w:val="clear" w:pos="2835"/>
              </w:tabs>
              <w:spacing w:before="80" w:after="80" w:line="200" w:lineRule="exact"/>
              <w:ind w:left="57" w:right="28"/>
              <w:jc w:val="right"/>
              <w:rPr>
                <w:i/>
                <w:sz w:val="16"/>
                <w:lang w:val="es-ES_tradnl"/>
              </w:rPr>
            </w:pPr>
            <w:r w:rsidRPr="00F948B8">
              <w:rPr>
                <w:i/>
                <w:iCs/>
                <w:sz w:val="16"/>
                <w:lang w:val="es-ES_tradnl"/>
              </w:rPr>
              <w:t>Impuesto sobre la renta de las sociedades</w:t>
            </w:r>
          </w:p>
        </w:tc>
        <w:tc>
          <w:tcPr>
            <w:tcW w:w="1843" w:type="dxa"/>
            <w:tcBorders>
              <w:top w:val="single" w:sz="4" w:space="0" w:color="auto"/>
              <w:bottom w:val="single" w:sz="12" w:space="0" w:color="auto"/>
            </w:tcBorders>
            <w:shd w:val="clear" w:color="auto" w:fill="auto"/>
            <w:vAlign w:val="bottom"/>
            <w:hideMark/>
          </w:tcPr>
          <w:p w14:paraId="67E12D34" w14:textId="77777777" w:rsidR="000C2F85" w:rsidRPr="00F948B8" w:rsidRDefault="000C2F85" w:rsidP="00F948B8">
            <w:pPr>
              <w:pStyle w:val="SingleTxtG"/>
              <w:tabs>
                <w:tab w:val="clear" w:pos="1701"/>
                <w:tab w:val="clear" w:pos="2268"/>
                <w:tab w:val="clear" w:pos="2835"/>
              </w:tabs>
              <w:spacing w:before="80" w:after="80" w:line="200" w:lineRule="exact"/>
              <w:ind w:left="57" w:right="28"/>
              <w:jc w:val="right"/>
              <w:rPr>
                <w:i/>
                <w:sz w:val="16"/>
                <w:lang w:val="es-ES_tradnl"/>
              </w:rPr>
            </w:pPr>
            <w:r w:rsidRPr="00F948B8">
              <w:rPr>
                <w:i/>
                <w:iCs/>
                <w:sz w:val="16"/>
                <w:lang w:val="es-ES_tradnl"/>
              </w:rPr>
              <w:t>Tipo impositivo más bajo aplicado a la renta de personas naturales</w:t>
            </w:r>
          </w:p>
        </w:tc>
        <w:tc>
          <w:tcPr>
            <w:tcW w:w="1843" w:type="dxa"/>
            <w:tcBorders>
              <w:top w:val="single" w:sz="4" w:space="0" w:color="auto"/>
              <w:bottom w:val="single" w:sz="12" w:space="0" w:color="auto"/>
            </w:tcBorders>
            <w:shd w:val="clear" w:color="auto" w:fill="auto"/>
            <w:vAlign w:val="bottom"/>
            <w:hideMark/>
          </w:tcPr>
          <w:p w14:paraId="44901CD3" w14:textId="77777777" w:rsidR="000C2F85" w:rsidRPr="00F948B8" w:rsidRDefault="000C2F85" w:rsidP="00F948B8">
            <w:pPr>
              <w:pStyle w:val="SingleTxtG"/>
              <w:tabs>
                <w:tab w:val="clear" w:pos="1701"/>
                <w:tab w:val="clear" w:pos="2268"/>
                <w:tab w:val="clear" w:pos="2835"/>
              </w:tabs>
              <w:spacing w:before="80" w:after="80" w:line="200" w:lineRule="exact"/>
              <w:ind w:left="57" w:right="28"/>
              <w:jc w:val="right"/>
              <w:rPr>
                <w:i/>
                <w:sz w:val="16"/>
                <w:lang w:val="es-ES_tradnl"/>
              </w:rPr>
            </w:pPr>
            <w:r w:rsidRPr="00F948B8">
              <w:rPr>
                <w:i/>
                <w:iCs/>
                <w:sz w:val="16"/>
                <w:lang w:val="es-ES_tradnl"/>
              </w:rPr>
              <w:t>Tipo impositivo más alto aplicado a la renta de personas naturales</w:t>
            </w:r>
          </w:p>
        </w:tc>
        <w:tc>
          <w:tcPr>
            <w:tcW w:w="992" w:type="dxa"/>
            <w:tcBorders>
              <w:top w:val="single" w:sz="4" w:space="0" w:color="auto"/>
              <w:bottom w:val="single" w:sz="12" w:space="0" w:color="auto"/>
            </w:tcBorders>
            <w:shd w:val="clear" w:color="auto" w:fill="auto"/>
            <w:vAlign w:val="bottom"/>
            <w:hideMark/>
          </w:tcPr>
          <w:p w14:paraId="67AEAAEF" w14:textId="77777777" w:rsidR="000C2F85" w:rsidRPr="00F948B8" w:rsidRDefault="000C2F85" w:rsidP="00F948B8">
            <w:pPr>
              <w:pStyle w:val="SingleTxtG"/>
              <w:tabs>
                <w:tab w:val="clear" w:pos="1701"/>
                <w:tab w:val="clear" w:pos="2268"/>
                <w:tab w:val="clear" w:pos="2835"/>
              </w:tabs>
              <w:spacing w:before="80" w:after="80" w:line="200" w:lineRule="exact"/>
              <w:ind w:left="57" w:right="28"/>
              <w:jc w:val="right"/>
              <w:rPr>
                <w:i/>
                <w:sz w:val="16"/>
                <w:lang w:val="es-ES_tradnl"/>
              </w:rPr>
            </w:pPr>
            <w:r w:rsidRPr="00F948B8">
              <w:rPr>
                <w:i/>
                <w:iCs/>
                <w:sz w:val="16"/>
                <w:lang w:val="es-ES_tradnl"/>
              </w:rPr>
              <w:t>Tipo de IVA corriente</w:t>
            </w:r>
          </w:p>
        </w:tc>
        <w:tc>
          <w:tcPr>
            <w:tcW w:w="2126" w:type="dxa"/>
            <w:tcBorders>
              <w:top w:val="single" w:sz="4" w:space="0" w:color="auto"/>
              <w:bottom w:val="single" w:sz="12" w:space="0" w:color="auto"/>
            </w:tcBorders>
            <w:shd w:val="clear" w:color="auto" w:fill="auto"/>
            <w:vAlign w:val="bottom"/>
            <w:hideMark/>
          </w:tcPr>
          <w:p w14:paraId="32E07C53" w14:textId="77777777" w:rsidR="000C2F85" w:rsidRPr="00F948B8" w:rsidRDefault="000C2F85" w:rsidP="00F948B8">
            <w:pPr>
              <w:pStyle w:val="SingleTxtG"/>
              <w:tabs>
                <w:tab w:val="clear" w:pos="1701"/>
                <w:tab w:val="clear" w:pos="2268"/>
                <w:tab w:val="clear" w:pos="2835"/>
              </w:tabs>
              <w:spacing w:before="80" w:after="80" w:line="200" w:lineRule="exact"/>
              <w:ind w:left="57" w:right="28"/>
              <w:jc w:val="right"/>
              <w:rPr>
                <w:i/>
                <w:sz w:val="16"/>
                <w:lang w:val="es-ES_tradnl"/>
              </w:rPr>
            </w:pPr>
            <w:r w:rsidRPr="00F948B8">
              <w:rPr>
                <w:i/>
                <w:iCs/>
                <w:sz w:val="16"/>
                <w:lang w:val="es-ES_tradnl"/>
              </w:rPr>
              <w:t>Porcentaje de los ingresos recaudados sobre la renta personal del decil más rico**</w:t>
            </w:r>
          </w:p>
        </w:tc>
      </w:tr>
      <w:tr w:rsidR="00F948B8" w:rsidRPr="00F948B8" w14:paraId="09D02717" w14:textId="77777777" w:rsidTr="00F948B8">
        <w:trPr>
          <w:trHeight w:val="240"/>
        </w:trPr>
        <w:tc>
          <w:tcPr>
            <w:tcW w:w="1134" w:type="dxa"/>
            <w:tcBorders>
              <w:top w:val="single" w:sz="12" w:space="0" w:color="auto"/>
            </w:tcBorders>
            <w:shd w:val="clear" w:color="auto" w:fill="auto"/>
            <w:noWrap/>
            <w:hideMark/>
          </w:tcPr>
          <w:p w14:paraId="6495D37F" w14:textId="77777777" w:rsidR="000C2F85" w:rsidRPr="00F948B8" w:rsidRDefault="000C2F85" w:rsidP="00F948B8">
            <w:pPr>
              <w:pStyle w:val="SingleTxtG"/>
              <w:tabs>
                <w:tab w:val="clear" w:pos="1701"/>
                <w:tab w:val="clear" w:pos="2268"/>
                <w:tab w:val="clear" w:pos="2835"/>
              </w:tabs>
              <w:spacing w:before="40" w:after="40" w:line="220" w:lineRule="exact"/>
              <w:ind w:left="0" w:right="0"/>
              <w:jc w:val="left"/>
              <w:rPr>
                <w:sz w:val="18"/>
                <w:lang w:val="es-ES_tradnl"/>
              </w:rPr>
            </w:pPr>
            <w:r w:rsidRPr="00F948B8">
              <w:rPr>
                <w:sz w:val="18"/>
                <w:lang w:val="es-ES_tradnl"/>
              </w:rPr>
              <w:t>2006/07</w:t>
            </w:r>
          </w:p>
        </w:tc>
        <w:tc>
          <w:tcPr>
            <w:tcW w:w="1701" w:type="dxa"/>
            <w:tcBorders>
              <w:top w:val="single" w:sz="12" w:space="0" w:color="auto"/>
            </w:tcBorders>
            <w:shd w:val="clear" w:color="auto" w:fill="auto"/>
            <w:noWrap/>
            <w:vAlign w:val="bottom"/>
            <w:hideMark/>
          </w:tcPr>
          <w:p w14:paraId="62DFA54C"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 xml:space="preserve">29,0 </w:t>
            </w:r>
          </w:p>
        </w:tc>
        <w:tc>
          <w:tcPr>
            <w:tcW w:w="1843" w:type="dxa"/>
            <w:tcBorders>
              <w:top w:val="single" w:sz="12" w:space="0" w:color="auto"/>
            </w:tcBorders>
            <w:shd w:val="clear" w:color="auto" w:fill="auto"/>
            <w:noWrap/>
            <w:vAlign w:val="bottom"/>
            <w:hideMark/>
          </w:tcPr>
          <w:p w14:paraId="38D53F9C"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18,0</w:t>
            </w:r>
          </w:p>
        </w:tc>
        <w:tc>
          <w:tcPr>
            <w:tcW w:w="1843" w:type="dxa"/>
            <w:tcBorders>
              <w:top w:val="single" w:sz="12" w:space="0" w:color="auto"/>
            </w:tcBorders>
            <w:shd w:val="clear" w:color="auto" w:fill="auto"/>
            <w:noWrap/>
            <w:vAlign w:val="bottom"/>
            <w:hideMark/>
          </w:tcPr>
          <w:p w14:paraId="67F605D5"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40,0</w:t>
            </w:r>
          </w:p>
        </w:tc>
        <w:tc>
          <w:tcPr>
            <w:tcW w:w="992" w:type="dxa"/>
            <w:tcBorders>
              <w:top w:val="single" w:sz="12" w:space="0" w:color="auto"/>
            </w:tcBorders>
            <w:shd w:val="clear" w:color="auto" w:fill="auto"/>
            <w:noWrap/>
            <w:vAlign w:val="bottom"/>
            <w:hideMark/>
          </w:tcPr>
          <w:p w14:paraId="644AA520"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14,0</w:t>
            </w:r>
          </w:p>
        </w:tc>
        <w:tc>
          <w:tcPr>
            <w:tcW w:w="2126" w:type="dxa"/>
            <w:tcBorders>
              <w:top w:val="single" w:sz="12" w:space="0" w:color="auto"/>
            </w:tcBorders>
            <w:shd w:val="clear" w:color="auto" w:fill="auto"/>
            <w:noWrap/>
            <w:vAlign w:val="bottom"/>
            <w:hideMark/>
          </w:tcPr>
          <w:p w14:paraId="1EADBA48"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 xml:space="preserve"> </w:t>
            </w:r>
          </w:p>
        </w:tc>
      </w:tr>
      <w:tr w:rsidR="00F948B8" w:rsidRPr="00F948B8" w14:paraId="65FEE0A0" w14:textId="77777777" w:rsidTr="00F948B8">
        <w:trPr>
          <w:trHeight w:val="240"/>
        </w:trPr>
        <w:tc>
          <w:tcPr>
            <w:tcW w:w="1134" w:type="dxa"/>
            <w:shd w:val="clear" w:color="auto" w:fill="auto"/>
            <w:noWrap/>
            <w:hideMark/>
          </w:tcPr>
          <w:p w14:paraId="1178430C" w14:textId="77777777" w:rsidR="000C2F85" w:rsidRPr="00F948B8" w:rsidRDefault="000C2F85" w:rsidP="00F948B8">
            <w:pPr>
              <w:pStyle w:val="SingleTxtG"/>
              <w:tabs>
                <w:tab w:val="clear" w:pos="1701"/>
                <w:tab w:val="clear" w:pos="2268"/>
                <w:tab w:val="clear" w:pos="2835"/>
              </w:tabs>
              <w:spacing w:before="40" w:after="40" w:line="220" w:lineRule="exact"/>
              <w:ind w:left="0" w:right="0"/>
              <w:jc w:val="left"/>
              <w:rPr>
                <w:sz w:val="18"/>
                <w:lang w:val="es-ES_tradnl"/>
              </w:rPr>
            </w:pPr>
            <w:r w:rsidRPr="00F948B8">
              <w:rPr>
                <w:sz w:val="18"/>
                <w:lang w:val="es-ES_tradnl"/>
              </w:rPr>
              <w:t>2007/08</w:t>
            </w:r>
          </w:p>
        </w:tc>
        <w:tc>
          <w:tcPr>
            <w:tcW w:w="1701" w:type="dxa"/>
            <w:shd w:val="clear" w:color="auto" w:fill="auto"/>
            <w:noWrap/>
            <w:vAlign w:val="bottom"/>
            <w:hideMark/>
          </w:tcPr>
          <w:p w14:paraId="4DB0E4D9"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29,0</w:t>
            </w:r>
          </w:p>
        </w:tc>
        <w:tc>
          <w:tcPr>
            <w:tcW w:w="1843" w:type="dxa"/>
            <w:shd w:val="clear" w:color="auto" w:fill="auto"/>
            <w:noWrap/>
            <w:vAlign w:val="bottom"/>
            <w:hideMark/>
          </w:tcPr>
          <w:p w14:paraId="1648293C"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18,0</w:t>
            </w:r>
          </w:p>
        </w:tc>
        <w:tc>
          <w:tcPr>
            <w:tcW w:w="1843" w:type="dxa"/>
            <w:shd w:val="clear" w:color="auto" w:fill="auto"/>
            <w:noWrap/>
            <w:vAlign w:val="bottom"/>
            <w:hideMark/>
          </w:tcPr>
          <w:p w14:paraId="69629273"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40,0</w:t>
            </w:r>
          </w:p>
        </w:tc>
        <w:tc>
          <w:tcPr>
            <w:tcW w:w="992" w:type="dxa"/>
            <w:shd w:val="clear" w:color="auto" w:fill="auto"/>
            <w:noWrap/>
            <w:vAlign w:val="bottom"/>
            <w:hideMark/>
          </w:tcPr>
          <w:p w14:paraId="059933B3"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14,0</w:t>
            </w:r>
          </w:p>
        </w:tc>
        <w:tc>
          <w:tcPr>
            <w:tcW w:w="2126" w:type="dxa"/>
            <w:shd w:val="clear" w:color="auto" w:fill="auto"/>
            <w:noWrap/>
            <w:vAlign w:val="bottom"/>
            <w:hideMark/>
          </w:tcPr>
          <w:p w14:paraId="61611F69"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 xml:space="preserve"> </w:t>
            </w:r>
          </w:p>
        </w:tc>
      </w:tr>
      <w:tr w:rsidR="00F948B8" w:rsidRPr="00F948B8" w14:paraId="25AD7B9B" w14:textId="77777777" w:rsidTr="00F948B8">
        <w:trPr>
          <w:trHeight w:val="240"/>
        </w:trPr>
        <w:tc>
          <w:tcPr>
            <w:tcW w:w="1134" w:type="dxa"/>
            <w:shd w:val="clear" w:color="auto" w:fill="auto"/>
            <w:noWrap/>
            <w:hideMark/>
          </w:tcPr>
          <w:p w14:paraId="7DFC4006" w14:textId="77777777" w:rsidR="000C2F85" w:rsidRPr="00F948B8" w:rsidRDefault="000C2F85" w:rsidP="00F948B8">
            <w:pPr>
              <w:pStyle w:val="SingleTxtG"/>
              <w:tabs>
                <w:tab w:val="clear" w:pos="1701"/>
                <w:tab w:val="clear" w:pos="2268"/>
                <w:tab w:val="clear" w:pos="2835"/>
              </w:tabs>
              <w:spacing w:before="40" w:after="40" w:line="220" w:lineRule="exact"/>
              <w:ind w:left="0" w:right="0"/>
              <w:jc w:val="left"/>
              <w:rPr>
                <w:sz w:val="18"/>
                <w:lang w:val="es-ES_tradnl"/>
              </w:rPr>
            </w:pPr>
            <w:r w:rsidRPr="00F948B8">
              <w:rPr>
                <w:sz w:val="18"/>
                <w:lang w:val="es-ES_tradnl"/>
              </w:rPr>
              <w:t>2008/09</w:t>
            </w:r>
          </w:p>
        </w:tc>
        <w:tc>
          <w:tcPr>
            <w:tcW w:w="1701" w:type="dxa"/>
            <w:shd w:val="clear" w:color="auto" w:fill="auto"/>
            <w:noWrap/>
            <w:vAlign w:val="bottom"/>
            <w:hideMark/>
          </w:tcPr>
          <w:p w14:paraId="51312795"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28,0</w:t>
            </w:r>
          </w:p>
        </w:tc>
        <w:tc>
          <w:tcPr>
            <w:tcW w:w="1843" w:type="dxa"/>
            <w:shd w:val="clear" w:color="auto" w:fill="auto"/>
            <w:noWrap/>
            <w:vAlign w:val="bottom"/>
            <w:hideMark/>
          </w:tcPr>
          <w:p w14:paraId="65C84D47"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18,0</w:t>
            </w:r>
          </w:p>
        </w:tc>
        <w:tc>
          <w:tcPr>
            <w:tcW w:w="1843" w:type="dxa"/>
            <w:shd w:val="clear" w:color="auto" w:fill="auto"/>
            <w:noWrap/>
            <w:vAlign w:val="bottom"/>
            <w:hideMark/>
          </w:tcPr>
          <w:p w14:paraId="504987F1"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40,0</w:t>
            </w:r>
          </w:p>
        </w:tc>
        <w:tc>
          <w:tcPr>
            <w:tcW w:w="992" w:type="dxa"/>
            <w:shd w:val="clear" w:color="auto" w:fill="auto"/>
            <w:noWrap/>
            <w:vAlign w:val="bottom"/>
            <w:hideMark/>
          </w:tcPr>
          <w:p w14:paraId="2FF0F8A7"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14,0</w:t>
            </w:r>
          </w:p>
        </w:tc>
        <w:tc>
          <w:tcPr>
            <w:tcW w:w="2126" w:type="dxa"/>
            <w:shd w:val="clear" w:color="auto" w:fill="auto"/>
            <w:noWrap/>
            <w:vAlign w:val="bottom"/>
            <w:hideMark/>
          </w:tcPr>
          <w:p w14:paraId="4A7FD8D0"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 xml:space="preserve"> </w:t>
            </w:r>
          </w:p>
        </w:tc>
      </w:tr>
      <w:tr w:rsidR="00F948B8" w:rsidRPr="00F948B8" w14:paraId="122C7398" w14:textId="77777777" w:rsidTr="00F948B8">
        <w:trPr>
          <w:trHeight w:val="240"/>
        </w:trPr>
        <w:tc>
          <w:tcPr>
            <w:tcW w:w="1134" w:type="dxa"/>
            <w:shd w:val="clear" w:color="auto" w:fill="auto"/>
            <w:noWrap/>
            <w:hideMark/>
          </w:tcPr>
          <w:p w14:paraId="0B6BAD32" w14:textId="77777777" w:rsidR="000C2F85" w:rsidRPr="00F948B8" w:rsidRDefault="000C2F85" w:rsidP="00F948B8">
            <w:pPr>
              <w:pStyle w:val="SingleTxtG"/>
              <w:tabs>
                <w:tab w:val="clear" w:pos="1701"/>
                <w:tab w:val="clear" w:pos="2268"/>
                <w:tab w:val="clear" w:pos="2835"/>
              </w:tabs>
              <w:spacing w:before="40" w:after="40" w:line="220" w:lineRule="exact"/>
              <w:ind w:left="0" w:right="0"/>
              <w:jc w:val="left"/>
              <w:rPr>
                <w:sz w:val="18"/>
                <w:lang w:val="es-ES_tradnl"/>
              </w:rPr>
            </w:pPr>
            <w:r w:rsidRPr="00F948B8">
              <w:rPr>
                <w:sz w:val="18"/>
                <w:lang w:val="es-ES_tradnl"/>
              </w:rPr>
              <w:t>2009/10</w:t>
            </w:r>
          </w:p>
        </w:tc>
        <w:tc>
          <w:tcPr>
            <w:tcW w:w="1701" w:type="dxa"/>
            <w:shd w:val="clear" w:color="auto" w:fill="auto"/>
            <w:noWrap/>
            <w:vAlign w:val="bottom"/>
            <w:hideMark/>
          </w:tcPr>
          <w:p w14:paraId="3CE0205F"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28,0</w:t>
            </w:r>
          </w:p>
        </w:tc>
        <w:tc>
          <w:tcPr>
            <w:tcW w:w="1843" w:type="dxa"/>
            <w:shd w:val="clear" w:color="auto" w:fill="auto"/>
            <w:noWrap/>
            <w:vAlign w:val="bottom"/>
            <w:hideMark/>
          </w:tcPr>
          <w:p w14:paraId="7D46A1BE"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18,0</w:t>
            </w:r>
          </w:p>
        </w:tc>
        <w:tc>
          <w:tcPr>
            <w:tcW w:w="1843" w:type="dxa"/>
            <w:shd w:val="clear" w:color="auto" w:fill="auto"/>
            <w:noWrap/>
            <w:vAlign w:val="bottom"/>
            <w:hideMark/>
          </w:tcPr>
          <w:p w14:paraId="19B7EFEF"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40,0</w:t>
            </w:r>
          </w:p>
        </w:tc>
        <w:tc>
          <w:tcPr>
            <w:tcW w:w="992" w:type="dxa"/>
            <w:shd w:val="clear" w:color="auto" w:fill="auto"/>
            <w:noWrap/>
            <w:vAlign w:val="bottom"/>
            <w:hideMark/>
          </w:tcPr>
          <w:p w14:paraId="407C6BAE"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14,0</w:t>
            </w:r>
          </w:p>
        </w:tc>
        <w:tc>
          <w:tcPr>
            <w:tcW w:w="2126" w:type="dxa"/>
            <w:shd w:val="clear" w:color="auto" w:fill="auto"/>
            <w:noWrap/>
            <w:vAlign w:val="bottom"/>
            <w:hideMark/>
          </w:tcPr>
          <w:p w14:paraId="003BD379"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 xml:space="preserve"> </w:t>
            </w:r>
          </w:p>
        </w:tc>
      </w:tr>
      <w:tr w:rsidR="00F948B8" w:rsidRPr="00F948B8" w14:paraId="3383C1BD" w14:textId="77777777" w:rsidTr="00F948B8">
        <w:trPr>
          <w:trHeight w:val="240"/>
        </w:trPr>
        <w:tc>
          <w:tcPr>
            <w:tcW w:w="1134" w:type="dxa"/>
            <w:shd w:val="clear" w:color="auto" w:fill="auto"/>
            <w:noWrap/>
            <w:hideMark/>
          </w:tcPr>
          <w:p w14:paraId="4E5B4F42" w14:textId="77777777" w:rsidR="000C2F85" w:rsidRPr="00F948B8" w:rsidRDefault="000C2F85" w:rsidP="00F948B8">
            <w:pPr>
              <w:pStyle w:val="SingleTxtG"/>
              <w:tabs>
                <w:tab w:val="clear" w:pos="1701"/>
                <w:tab w:val="clear" w:pos="2268"/>
                <w:tab w:val="clear" w:pos="2835"/>
              </w:tabs>
              <w:spacing w:before="40" w:after="40" w:line="220" w:lineRule="exact"/>
              <w:ind w:left="0" w:right="0"/>
              <w:jc w:val="left"/>
              <w:rPr>
                <w:sz w:val="18"/>
                <w:lang w:val="es-ES_tradnl"/>
              </w:rPr>
            </w:pPr>
            <w:r w:rsidRPr="00F948B8">
              <w:rPr>
                <w:sz w:val="18"/>
                <w:lang w:val="es-ES_tradnl"/>
              </w:rPr>
              <w:t>2010/11</w:t>
            </w:r>
          </w:p>
        </w:tc>
        <w:tc>
          <w:tcPr>
            <w:tcW w:w="1701" w:type="dxa"/>
            <w:shd w:val="clear" w:color="auto" w:fill="auto"/>
            <w:noWrap/>
            <w:vAlign w:val="bottom"/>
            <w:hideMark/>
          </w:tcPr>
          <w:p w14:paraId="1FFC724C"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28,0</w:t>
            </w:r>
          </w:p>
        </w:tc>
        <w:tc>
          <w:tcPr>
            <w:tcW w:w="1843" w:type="dxa"/>
            <w:shd w:val="clear" w:color="auto" w:fill="auto"/>
            <w:noWrap/>
            <w:vAlign w:val="bottom"/>
            <w:hideMark/>
          </w:tcPr>
          <w:p w14:paraId="32B99910"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18,0</w:t>
            </w:r>
          </w:p>
        </w:tc>
        <w:tc>
          <w:tcPr>
            <w:tcW w:w="1843" w:type="dxa"/>
            <w:shd w:val="clear" w:color="auto" w:fill="auto"/>
            <w:noWrap/>
            <w:vAlign w:val="bottom"/>
            <w:hideMark/>
          </w:tcPr>
          <w:p w14:paraId="1531D148"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40,0</w:t>
            </w:r>
          </w:p>
        </w:tc>
        <w:tc>
          <w:tcPr>
            <w:tcW w:w="992" w:type="dxa"/>
            <w:shd w:val="clear" w:color="auto" w:fill="auto"/>
            <w:noWrap/>
            <w:vAlign w:val="bottom"/>
            <w:hideMark/>
          </w:tcPr>
          <w:p w14:paraId="33368229"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14,0</w:t>
            </w:r>
          </w:p>
        </w:tc>
        <w:tc>
          <w:tcPr>
            <w:tcW w:w="2126" w:type="dxa"/>
            <w:shd w:val="clear" w:color="auto" w:fill="auto"/>
            <w:noWrap/>
            <w:vAlign w:val="bottom"/>
            <w:hideMark/>
          </w:tcPr>
          <w:p w14:paraId="4D2C31EA"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p>
        </w:tc>
      </w:tr>
      <w:tr w:rsidR="00F948B8" w:rsidRPr="00F948B8" w14:paraId="1B0F630F" w14:textId="77777777" w:rsidTr="00F948B8">
        <w:trPr>
          <w:trHeight w:val="240"/>
        </w:trPr>
        <w:tc>
          <w:tcPr>
            <w:tcW w:w="1134" w:type="dxa"/>
            <w:shd w:val="clear" w:color="auto" w:fill="auto"/>
            <w:noWrap/>
            <w:hideMark/>
          </w:tcPr>
          <w:p w14:paraId="60AC406E" w14:textId="77777777" w:rsidR="000C2F85" w:rsidRPr="00F948B8" w:rsidRDefault="000C2F85" w:rsidP="00F948B8">
            <w:pPr>
              <w:pStyle w:val="SingleTxtG"/>
              <w:tabs>
                <w:tab w:val="clear" w:pos="1701"/>
                <w:tab w:val="clear" w:pos="2268"/>
                <w:tab w:val="clear" w:pos="2835"/>
              </w:tabs>
              <w:spacing w:before="40" w:after="40" w:line="220" w:lineRule="exact"/>
              <w:ind w:left="0" w:right="0"/>
              <w:jc w:val="left"/>
              <w:rPr>
                <w:sz w:val="18"/>
                <w:lang w:val="es-ES_tradnl"/>
              </w:rPr>
            </w:pPr>
            <w:r w:rsidRPr="00F948B8">
              <w:rPr>
                <w:sz w:val="18"/>
                <w:lang w:val="es-ES_tradnl"/>
              </w:rPr>
              <w:t>2011/12</w:t>
            </w:r>
          </w:p>
        </w:tc>
        <w:tc>
          <w:tcPr>
            <w:tcW w:w="1701" w:type="dxa"/>
            <w:shd w:val="clear" w:color="auto" w:fill="auto"/>
            <w:noWrap/>
            <w:vAlign w:val="bottom"/>
            <w:hideMark/>
          </w:tcPr>
          <w:p w14:paraId="4B30B4D2"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28,0</w:t>
            </w:r>
          </w:p>
        </w:tc>
        <w:tc>
          <w:tcPr>
            <w:tcW w:w="1843" w:type="dxa"/>
            <w:shd w:val="clear" w:color="auto" w:fill="auto"/>
            <w:noWrap/>
            <w:vAlign w:val="bottom"/>
            <w:hideMark/>
          </w:tcPr>
          <w:p w14:paraId="2695B59B"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18,0</w:t>
            </w:r>
          </w:p>
        </w:tc>
        <w:tc>
          <w:tcPr>
            <w:tcW w:w="1843" w:type="dxa"/>
            <w:shd w:val="clear" w:color="auto" w:fill="auto"/>
            <w:noWrap/>
            <w:vAlign w:val="bottom"/>
            <w:hideMark/>
          </w:tcPr>
          <w:p w14:paraId="5864C290"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40,0</w:t>
            </w:r>
          </w:p>
        </w:tc>
        <w:tc>
          <w:tcPr>
            <w:tcW w:w="992" w:type="dxa"/>
            <w:shd w:val="clear" w:color="auto" w:fill="auto"/>
            <w:noWrap/>
            <w:vAlign w:val="bottom"/>
            <w:hideMark/>
          </w:tcPr>
          <w:p w14:paraId="2C89048D"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14,0</w:t>
            </w:r>
          </w:p>
        </w:tc>
        <w:tc>
          <w:tcPr>
            <w:tcW w:w="2126" w:type="dxa"/>
            <w:shd w:val="clear" w:color="auto" w:fill="auto"/>
            <w:noWrap/>
            <w:vAlign w:val="bottom"/>
            <w:hideMark/>
          </w:tcPr>
          <w:p w14:paraId="1F8060D4"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 xml:space="preserve"> </w:t>
            </w:r>
          </w:p>
        </w:tc>
      </w:tr>
      <w:tr w:rsidR="00F948B8" w:rsidRPr="00F948B8" w14:paraId="13238FE7" w14:textId="77777777" w:rsidTr="00F948B8">
        <w:trPr>
          <w:trHeight w:val="240"/>
        </w:trPr>
        <w:tc>
          <w:tcPr>
            <w:tcW w:w="1134" w:type="dxa"/>
            <w:shd w:val="clear" w:color="auto" w:fill="auto"/>
            <w:noWrap/>
            <w:hideMark/>
          </w:tcPr>
          <w:p w14:paraId="3857F936" w14:textId="77777777" w:rsidR="000C2F85" w:rsidRPr="00F948B8" w:rsidRDefault="000C2F85" w:rsidP="00F948B8">
            <w:pPr>
              <w:pStyle w:val="SingleTxtG"/>
              <w:tabs>
                <w:tab w:val="clear" w:pos="1701"/>
                <w:tab w:val="clear" w:pos="2268"/>
                <w:tab w:val="clear" w:pos="2835"/>
              </w:tabs>
              <w:spacing w:before="40" w:after="40" w:line="220" w:lineRule="exact"/>
              <w:ind w:left="0" w:right="0"/>
              <w:jc w:val="left"/>
              <w:rPr>
                <w:sz w:val="18"/>
                <w:lang w:val="es-ES_tradnl"/>
              </w:rPr>
            </w:pPr>
            <w:r w:rsidRPr="00F948B8">
              <w:rPr>
                <w:sz w:val="18"/>
                <w:lang w:val="es-ES_tradnl"/>
              </w:rPr>
              <w:lastRenderedPageBreak/>
              <w:t>2012/13</w:t>
            </w:r>
          </w:p>
        </w:tc>
        <w:tc>
          <w:tcPr>
            <w:tcW w:w="1701" w:type="dxa"/>
            <w:shd w:val="clear" w:color="auto" w:fill="auto"/>
            <w:noWrap/>
            <w:vAlign w:val="bottom"/>
            <w:hideMark/>
          </w:tcPr>
          <w:p w14:paraId="22006064"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28,0</w:t>
            </w:r>
          </w:p>
        </w:tc>
        <w:tc>
          <w:tcPr>
            <w:tcW w:w="1843" w:type="dxa"/>
            <w:shd w:val="clear" w:color="auto" w:fill="auto"/>
            <w:noWrap/>
            <w:vAlign w:val="bottom"/>
            <w:hideMark/>
          </w:tcPr>
          <w:p w14:paraId="037E92A8"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18,0</w:t>
            </w:r>
          </w:p>
        </w:tc>
        <w:tc>
          <w:tcPr>
            <w:tcW w:w="1843" w:type="dxa"/>
            <w:shd w:val="clear" w:color="auto" w:fill="auto"/>
            <w:noWrap/>
            <w:vAlign w:val="bottom"/>
            <w:hideMark/>
          </w:tcPr>
          <w:p w14:paraId="29CCDE98"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40,0</w:t>
            </w:r>
          </w:p>
        </w:tc>
        <w:tc>
          <w:tcPr>
            <w:tcW w:w="992" w:type="dxa"/>
            <w:shd w:val="clear" w:color="auto" w:fill="auto"/>
            <w:noWrap/>
            <w:vAlign w:val="bottom"/>
            <w:hideMark/>
          </w:tcPr>
          <w:p w14:paraId="33844376"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14,0</w:t>
            </w:r>
          </w:p>
        </w:tc>
        <w:tc>
          <w:tcPr>
            <w:tcW w:w="2126" w:type="dxa"/>
            <w:shd w:val="clear" w:color="auto" w:fill="auto"/>
            <w:noWrap/>
            <w:vAlign w:val="bottom"/>
            <w:hideMark/>
          </w:tcPr>
          <w:p w14:paraId="741CE253"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 xml:space="preserve"> </w:t>
            </w:r>
          </w:p>
        </w:tc>
      </w:tr>
      <w:tr w:rsidR="00F948B8" w:rsidRPr="00F948B8" w14:paraId="54FB6847" w14:textId="77777777" w:rsidTr="00F948B8">
        <w:trPr>
          <w:trHeight w:val="240"/>
        </w:trPr>
        <w:tc>
          <w:tcPr>
            <w:tcW w:w="1134" w:type="dxa"/>
            <w:shd w:val="clear" w:color="auto" w:fill="auto"/>
            <w:noWrap/>
            <w:hideMark/>
          </w:tcPr>
          <w:p w14:paraId="56544D3C" w14:textId="77777777" w:rsidR="000C2F85" w:rsidRPr="00F948B8" w:rsidRDefault="000C2F85" w:rsidP="00F948B8">
            <w:pPr>
              <w:pStyle w:val="SingleTxtG"/>
              <w:tabs>
                <w:tab w:val="clear" w:pos="1701"/>
                <w:tab w:val="clear" w:pos="2268"/>
                <w:tab w:val="clear" w:pos="2835"/>
              </w:tabs>
              <w:spacing w:before="40" w:after="40" w:line="220" w:lineRule="exact"/>
              <w:ind w:left="0" w:right="0"/>
              <w:jc w:val="left"/>
              <w:rPr>
                <w:sz w:val="18"/>
                <w:lang w:val="es-ES_tradnl"/>
              </w:rPr>
            </w:pPr>
            <w:r w:rsidRPr="00F948B8">
              <w:rPr>
                <w:sz w:val="18"/>
                <w:lang w:val="es-ES_tradnl"/>
              </w:rPr>
              <w:t>2013/14</w:t>
            </w:r>
          </w:p>
        </w:tc>
        <w:tc>
          <w:tcPr>
            <w:tcW w:w="1701" w:type="dxa"/>
            <w:shd w:val="clear" w:color="auto" w:fill="auto"/>
            <w:noWrap/>
            <w:vAlign w:val="bottom"/>
            <w:hideMark/>
          </w:tcPr>
          <w:p w14:paraId="7B23D919"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28,0</w:t>
            </w:r>
          </w:p>
        </w:tc>
        <w:tc>
          <w:tcPr>
            <w:tcW w:w="1843" w:type="dxa"/>
            <w:shd w:val="clear" w:color="auto" w:fill="auto"/>
            <w:noWrap/>
            <w:vAlign w:val="bottom"/>
            <w:hideMark/>
          </w:tcPr>
          <w:p w14:paraId="294CA046"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18,0</w:t>
            </w:r>
          </w:p>
        </w:tc>
        <w:tc>
          <w:tcPr>
            <w:tcW w:w="1843" w:type="dxa"/>
            <w:shd w:val="clear" w:color="auto" w:fill="auto"/>
            <w:noWrap/>
            <w:vAlign w:val="bottom"/>
            <w:hideMark/>
          </w:tcPr>
          <w:p w14:paraId="7BAD7192"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40,0</w:t>
            </w:r>
          </w:p>
        </w:tc>
        <w:tc>
          <w:tcPr>
            <w:tcW w:w="992" w:type="dxa"/>
            <w:shd w:val="clear" w:color="auto" w:fill="auto"/>
            <w:noWrap/>
            <w:vAlign w:val="bottom"/>
            <w:hideMark/>
          </w:tcPr>
          <w:p w14:paraId="47EAED91"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14,0</w:t>
            </w:r>
          </w:p>
        </w:tc>
        <w:tc>
          <w:tcPr>
            <w:tcW w:w="2126" w:type="dxa"/>
            <w:shd w:val="clear" w:color="auto" w:fill="auto"/>
            <w:noWrap/>
            <w:vAlign w:val="bottom"/>
            <w:hideMark/>
          </w:tcPr>
          <w:p w14:paraId="1AA8B383"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 xml:space="preserve"> </w:t>
            </w:r>
          </w:p>
        </w:tc>
      </w:tr>
      <w:tr w:rsidR="00F948B8" w:rsidRPr="00F948B8" w14:paraId="7075F422" w14:textId="77777777" w:rsidTr="00F948B8">
        <w:trPr>
          <w:trHeight w:val="240"/>
        </w:trPr>
        <w:tc>
          <w:tcPr>
            <w:tcW w:w="1134" w:type="dxa"/>
            <w:shd w:val="clear" w:color="auto" w:fill="auto"/>
            <w:noWrap/>
            <w:hideMark/>
          </w:tcPr>
          <w:p w14:paraId="4BDC54C4" w14:textId="77777777" w:rsidR="000C2F85" w:rsidRPr="00F948B8" w:rsidRDefault="000C2F85" w:rsidP="00F948B8">
            <w:pPr>
              <w:pStyle w:val="SingleTxtG"/>
              <w:tabs>
                <w:tab w:val="clear" w:pos="1701"/>
                <w:tab w:val="clear" w:pos="2268"/>
                <w:tab w:val="clear" w:pos="2835"/>
              </w:tabs>
              <w:spacing w:before="40" w:after="40" w:line="220" w:lineRule="exact"/>
              <w:ind w:left="0" w:right="0"/>
              <w:jc w:val="left"/>
              <w:rPr>
                <w:sz w:val="18"/>
                <w:lang w:val="es-ES_tradnl"/>
              </w:rPr>
            </w:pPr>
            <w:r w:rsidRPr="00F948B8">
              <w:rPr>
                <w:sz w:val="18"/>
                <w:lang w:val="es-ES_tradnl"/>
              </w:rPr>
              <w:t>2014/15</w:t>
            </w:r>
          </w:p>
        </w:tc>
        <w:tc>
          <w:tcPr>
            <w:tcW w:w="1701" w:type="dxa"/>
            <w:shd w:val="clear" w:color="auto" w:fill="auto"/>
            <w:noWrap/>
            <w:vAlign w:val="bottom"/>
            <w:hideMark/>
          </w:tcPr>
          <w:p w14:paraId="5EACCF66"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28,0</w:t>
            </w:r>
          </w:p>
        </w:tc>
        <w:tc>
          <w:tcPr>
            <w:tcW w:w="1843" w:type="dxa"/>
            <w:shd w:val="clear" w:color="auto" w:fill="auto"/>
            <w:noWrap/>
            <w:vAlign w:val="bottom"/>
            <w:hideMark/>
          </w:tcPr>
          <w:p w14:paraId="269D60FC"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18,0</w:t>
            </w:r>
          </w:p>
        </w:tc>
        <w:tc>
          <w:tcPr>
            <w:tcW w:w="1843" w:type="dxa"/>
            <w:shd w:val="clear" w:color="auto" w:fill="auto"/>
            <w:noWrap/>
            <w:vAlign w:val="bottom"/>
            <w:hideMark/>
          </w:tcPr>
          <w:p w14:paraId="7E9E70B8"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40,0</w:t>
            </w:r>
          </w:p>
        </w:tc>
        <w:tc>
          <w:tcPr>
            <w:tcW w:w="992" w:type="dxa"/>
            <w:shd w:val="clear" w:color="auto" w:fill="auto"/>
            <w:noWrap/>
            <w:vAlign w:val="bottom"/>
            <w:hideMark/>
          </w:tcPr>
          <w:p w14:paraId="1F57467F"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14,0</w:t>
            </w:r>
          </w:p>
        </w:tc>
        <w:tc>
          <w:tcPr>
            <w:tcW w:w="2126" w:type="dxa"/>
            <w:shd w:val="clear" w:color="auto" w:fill="auto"/>
            <w:noWrap/>
            <w:vAlign w:val="bottom"/>
            <w:hideMark/>
          </w:tcPr>
          <w:p w14:paraId="72382F28"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 xml:space="preserve"> </w:t>
            </w:r>
          </w:p>
        </w:tc>
      </w:tr>
      <w:tr w:rsidR="00F948B8" w:rsidRPr="00F948B8" w14:paraId="7AEFEF79" w14:textId="77777777" w:rsidTr="00F948B8">
        <w:trPr>
          <w:trHeight w:val="240"/>
        </w:trPr>
        <w:tc>
          <w:tcPr>
            <w:tcW w:w="1134" w:type="dxa"/>
            <w:shd w:val="clear" w:color="auto" w:fill="auto"/>
            <w:noWrap/>
            <w:hideMark/>
          </w:tcPr>
          <w:p w14:paraId="7823BE0D" w14:textId="77777777" w:rsidR="000C2F85" w:rsidRPr="00F948B8" w:rsidRDefault="000C2F85" w:rsidP="00F948B8">
            <w:pPr>
              <w:pStyle w:val="SingleTxtG"/>
              <w:tabs>
                <w:tab w:val="clear" w:pos="1701"/>
                <w:tab w:val="clear" w:pos="2268"/>
                <w:tab w:val="clear" w:pos="2835"/>
              </w:tabs>
              <w:spacing w:before="40" w:after="40" w:line="220" w:lineRule="exact"/>
              <w:ind w:left="0" w:right="0"/>
              <w:jc w:val="left"/>
              <w:rPr>
                <w:sz w:val="18"/>
                <w:lang w:val="es-ES_tradnl"/>
              </w:rPr>
            </w:pPr>
            <w:r w:rsidRPr="00F948B8">
              <w:rPr>
                <w:sz w:val="18"/>
                <w:lang w:val="es-ES_tradnl"/>
              </w:rPr>
              <w:t xml:space="preserve">2015/16 </w:t>
            </w:r>
          </w:p>
        </w:tc>
        <w:tc>
          <w:tcPr>
            <w:tcW w:w="1701" w:type="dxa"/>
            <w:shd w:val="clear" w:color="auto" w:fill="auto"/>
            <w:noWrap/>
            <w:vAlign w:val="bottom"/>
            <w:hideMark/>
          </w:tcPr>
          <w:p w14:paraId="0E3EE2C0"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28,0</w:t>
            </w:r>
          </w:p>
        </w:tc>
        <w:tc>
          <w:tcPr>
            <w:tcW w:w="1843" w:type="dxa"/>
            <w:shd w:val="clear" w:color="auto" w:fill="auto"/>
            <w:noWrap/>
            <w:vAlign w:val="bottom"/>
            <w:hideMark/>
          </w:tcPr>
          <w:p w14:paraId="1D8D9421"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18,0</w:t>
            </w:r>
          </w:p>
        </w:tc>
        <w:tc>
          <w:tcPr>
            <w:tcW w:w="1843" w:type="dxa"/>
            <w:shd w:val="clear" w:color="auto" w:fill="auto"/>
            <w:noWrap/>
            <w:vAlign w:val="bottom"/>
            <w:hideMark/>
          </w:tcPr>
          <w:p w14:paraId="5B786830"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41,0</w:t>
            </w:r>
          </w:p>
        </w:tc>
        <w:tc>
          <w:tcPr>
            <w:tcW w:w="992" w:type="dxa"/>
            <w:shd w:val="clear" w:color="auto" w:fill="auto"/>
            <w:noWrap/>
            <w:vAlign w:val="bottom"/>
            <w:hideMark/>
          </w:tcPr>
          <w:p w14:paraId="3541EE1A"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14,0</w:t>
            </w:r>
          </w:p>
        </w:tc>
        <w:tc>
          <w:tcPr>
            <w:tcW w:w="2126" w:type="dxa"/>
            <w:shd w:val="clear" w:color="auto" w:fill="auto"/>
            <w:noWrap/>
            <w:vAlign w:val="bottom"/>
            <w:hideMark/>
          </w:tcPr>
          <w:p w14:paraId="3D582E2B"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 xml:space="preserve"> </w:t>
            </w:r>
          </w:p>
        </w:tc>
      </w:tr>
      <w:tr w:rsidR="00F948B8" w:rsidRPr="00F948B8" w14:paraId="532E1E5A" w14:textId="77777777" w:rsidTr="00F948B8">
        <w:trPr>
          <w:trHeight w:val="240"/>
        </w:trPr>
        <w:tc>
          <w:tcPr>
            <w:tcW w:w="1134" w:type="dxa"/>
            <w:shd w:val="clear" w:color="auto" w:fill="auto"/>
            <w:noWrap/>
            <w:hideMark/>
          </w:tcPr>
          <w:p w14:paraId="61C2FC93" w14:textId="77777777" w:rsidR="000C2F85" w:rsidRPr="00F948B8" w:rsidRDefault="000C2F85" w:rsidP="00F948B8">
            <w:pPr>
              <w:pStyle w:val="SingleTxtG"/>
              <w:tabs>
                <w:tab w:val="clear" w:pos="1701"/>
                <w:tab w:val="clear" w:pos="2268"/>
                <w:tab w:val="clear" w:pos="2835"/>
              </w:tabs>
              <w:spacing w:before="40" w:after="40" w:line="220" w:lineRule="exact"/>
              <w:ind w:left="0" w:right="0"/>
              <w:jc w:val="left"/>
              <w:rPr>
                <w:sz w:val="18"/>
                <w:lang w:val="es-ES_tradnl"/>
              </w:rPr>
            </w:pPr>
            <w:r w:rsidRPr="00F948B8">
              <w:rPr>
                <w:sz w:val="18"/>
                <w:lang w:val="es-ES_tradnl"/>
              </w:rPr>
              <w:t>2016/17</w:t>
            </w:r>
          </w:p>
        </w:tc>
        <w:tc>
          <w:tcPr>
            <w:tcW w:w="1701" w:type="dxa"/>
            <w:shd w:val="clear" w:color="auto" w:fill="auto"/>
            <w:noWrap/>
            <w:vAlign w:val="bottom"/>
            <w:hideMark/>
          </w:tcPr>
          <w:p w14:paraId="10608AEB"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28,0</w:t>
            </w:r>
          </w:p>
        </w:tc>
        <w:tc>
          <w:tcPr>
            <w:tcW w:w="1843" w:type="dxa"/>
            <w:shd w:val="clear" w:color="auto" w:fill="auto"/>
            <w:noWrap/>
            <w:vAlign w:val="bottom"/>
            <w:hideMark/>
          </w:tcPr>
          <w:p w14:paraId="62BE01FB"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18,0</w:t>
            </w:r>
          </w:p>
        </w:tc>
        <w:tc>
          <w:tcPr>
            <w:tcW w:w="1843" w:type="dxa"/>
            <w:shd w:val="clear" w:color="auto" w:fill="auto"/>
            <w:noWrap/>
            <w:vAlign w:val="bottom"/>
            <w:hideMark/>
          </w:tcPr>
          <w:p w14:paraId="2E5EE542"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41,0</w:t>
            </w:r>
          </w:p>
        </w:tc>
        <w:tc>
          <w:tcPr>
            <w:tcW w:w="992" w:type="dxa"/>
            <w:shd w:val="clear" w:color="auto" w:fill="auto"/>
            <w:noWrap/>
            <w:vAlign w:val="bottom"/>
            <w:hideMark/>
          </w:tcPr>
          <w:p w14:paraId="098DDE1C"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14,0</w:t>
            </w:r>
          </w:p>
        </w:tc>
        <w:tc>
          <w:tcPr>
            <w:tcW w:w="2126" w:type="dxa"/>
            <w:shd w:val="clear" w:color="auto" w:fill="auto"/>
            <w:noWrap/>
            <w:vAlign w:val="bottom"/>
            <w:hideMark/>
          </w:tcPr>
          <w:p w14:paraId="228E9670"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 xml:space="preserve"> </w:t>
            </w:r>
          </w:p>
        </w:tc>
      </w:tr>
      <w:tr w:rsidR="00F948B8" w:rsidRPr="00F948B8" w14:paraId="4A7BEAB6" w14:textId="77777777" w:rsidTr="00F948B8">
        <w:trPr>
          <w:trHeight w:val="240"/>
        </w:trPr>
        <w:tc>
          <w:tcPr>
            <w:tcW w:w="1134" w:type="dxa"/>
            <w:shd w:val="clear" w:color="auto" w:fill="auto"/>
            <w:noWrap/>
            <w:hideMark/>
          </w:tcPr>
          <w:p w14:paraId="2B4F5078" w14:textId="77777777" w:rsidR="000C2F85" w:rsidRPr="00F948B8" w:rsidRDefault="000C2F85" w:rsidP="00F948B8">
            <w:pPr>
              <w:pStyle w:val="SingleTxtG"/>
              <w:tabs>
                <w:tab w:val="clear" w:pos="1701"/>
                <w:tab w:val="clear" w:pos="2268"/>
                <w:tab w:val="clear" w:pos="2835"/>
              </w:tabs>
              <w:spacing w:before="40" w:after="40" w:line="220" w:lineRule="exact"/>
              <w:ind w:left="0" w:right="0"/>
              <w:jc w:val="left"/>
              <w:rPr>
                <w:sz w:val="18"/>
                <w:lang w:val="es-ES_tradnl"/>
              </w:rPr>
            </w:pPr>
            <w:r w:rsidRPr="00F948B8">
              <w:rPr>
                <w:sz w:val="18"/>
                <w:lang w:val="es-ES_tradnl"/>
              </w:rPr>
              <w:t>2017/18</w:t>
            </w:r>
          </w:p>
        </w:tc>
        <w:tc>
          <w:tcPr>
            <w:tcW w:w="1701" w:type="dxa"/>
            <w:shd w:val="clear" w:color="auto" w:fill="auto"/>
            <w:noWrap/>
            <w:vAlign w:val="bottom"/>
            <w:hideMark/>
          </w:tcPr>
          <w:p w14:paraId="1CCEC30B"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28,0</w:t>
            </w:r>
          </w:p>
        </w:tc>
        <w:tc>
          <w:tcPr>
            <w:tcW w:w="1843" w:type="dxa"/>
            <w:shd w:val="clear" w:color="auto" w:fill="auto"/>
            <w:noWrap/>
            <w:vAlign w:val="bottom"/>
            <w:hideMark/>
          </w:tcPr>
          <w:p w14:paraId="431D405B"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18,0</w:t>
            </w:r>
          </w:p>
        </w:tc>
        <w:tc>
          <w:tcPr>
            <w:tcW w:w="1843" w:type="dxa"/>
            <w:shd w:val="clear" w:color="auto" w:fill="auto"/>
            <w:noWrap/>
            <w:vAlign w:val="bottom"/>
            <w:hideMark/>
          </w:tcPr>
          <w:p w14:paraId="543AC836"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45,0</w:t>
            </w:r>
          </w:p>
        </w:tc>
        <w:tc>
          <w:tcPr>
            <w:tcW w:w="992" w:type="dxa"/>
            <w:shd w:val="clear" w:color="auto" w:fill="auto"/>
            <w:noWrap/>
            <w:vAlign w:val="bottom"/>
            <w:hideMark/>
          </w:tcPr>
          <w:p w14:paraId="6E1FA1B2"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14,0</w:t>
            </w:r>
          </w:p>
        </w:tc>
        <w:tc>
          <w:tcPr>
            <w:tcW w:w="2126" w:type="dxa"/>
            <w:shd w:val="clear" w:color="auto" w:fill="auto"/>
            <w:noWrap/>
            <w:vAlign w:val="bottom"/>
            <w:hideMark/>
          </w:tcPr>
          <w:p w14:paraId="4E8B20F3"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 xml:space="preserve"> </w:t>
            </w:r>
          </w:p>
        </w:tc>
      </w:tr>
      <w:tr w:rsidR="00F948B8" w:rsidRPr="00F948B8" w14:paraId="5BE856D7" w14:textId="77777777" w:rsidTr="00F948B8">
        <w:trPr>
          <w:trHeight w:val="240"/>
        </w:trPr>
        <w:tc>
          <w:tcPr>
            <w:tcW w:w="1134" w:type="dxa"/>
            <w:tcBorders>
              <w:bottom w:val="single" w:sz="12" w:space="0" w:color="auto"/>
            </w:tcBorders>
            <w:shd w:val="clear" w:color="auto" w:fill="auto"/>
            <w:noWrap/>
            <w:hideMark/>
          </w:tcPr>
          <w:p w14:paraId="0EE81931" w14:textId="77777777" w:rsidR="000C2F85" w:rsidRPr="00F948B8" w:rsidRDefault="000C2F85" w:rsidP="00F948B8">
            <w:pPr>
              <w:pStyle w:val="SingleTxtG"/>
              <w:tabs>
                <w:tab w:val="clear" w:pos="1701"/>
                <w:tab w:val="clear" w:pos="2268"/>
                <w:tab w:val="clear" w:pos="2835"/>
              </w:tabs>
              <w:spacing w:before="40" w:after="40" w:line="220" w:lineRule="exact"/>
              <w:ind w:left="0" w:right="0"/>
              <w:jc w:val="left"/>
              <w:rPr>
                <w:sz w:val="18"/>
                <w:lang w:val="es-ES_tradnl"/>
              </w:rPr>
            </w:pPr>
            <w:r w:rsidRPr="00F948B8">
              <w:rPr>
                <w:sz w:val="18"/>
                <w:lang w:val="es-ES_tradnl"/>
              </w:rPr>
              <w:t>2018/19*</w:t>
            </w:r>
          </w:p>
        </w:tc>
        <w:tc>
          <w:tcPr>
            <w:tcW w:w="1701" w:type="dxa"/>
            <w:tcBorders>
              <w:bottom w:val="single" w:sz="12" w:space="0" w:color="auto"/>
            </w:tcBorders>
            <w:shd w:val="clear" w:color="auto" w:fill="auto"/>
            <w:noWrap/>
            <w:vAlign w:val="bottom"/>
            <w:hideMark/>
          </w:tcPr>
          <w:p w14:paraId="791B34CE"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28,0</w:t>
            </w:r>
          </w:p>
        </w:tc>
        <w:tc>
          <w:tcPr>
            <w:tcW w:w="1843" w:type="dxa"/>
            <w:tcBorders>
              <w:bottom w:val="single" w:sz="12" w:space="0" w:color="auto"/>
            </w:tcBorders>
            <w:shd w:val="clear" w:color="auto" w:fill="auto"/>
            <w:noWrap/>
            <w:vAlign w:val="bottom"/>
            <w:hideMark/>
          </w:tcPr>
          <w:p w14:paraId="23C5B208"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18,0</w:t>
            </w:r>
          </w:p>
        </w:tc>
        <w:tc>
          <w:tcPr>
            <w:tcW w:w="1843" w:type="dxa"/>
            <w:tcBorders>
              <w:bottom w:val="single" w:sz="12" w:space="0" w:color="auto"/>
            </w:tcBorders>
            <w:shd w:val="clear" w:color="auto" w:fill="auto"/>
            <w:noWrap/>
            <w:vAlign w:val="bottom"/>
            <w:hideMark/>
          </w:tcPr>
          <w:p w14:paraId="724BA5A9"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45,0</w:t>
            </w:r>
          </w:p>
        </w:tc>
        <w:tc>
          <w:tcPr>
            <w:tcW w:w="992" w:type="dxa"/>
            <w:tcBorders>
              <w:bottom w:val="single" w:sz="12" w:space="0" w:color="auto"/>
            </w:tcBorders>
            <w:shd w:val="clear" w:color="auto" w:fill="auto"/>
            <w:noWrap/>
            <w:vAlign w:val="bottom"/>
            <w:hideMark/>
          </w:tcPr>
          <w:p w14:paraId="5B1F2C8B"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15,0</w:t>
            </w:r>
          </w:p>
        </w:tc>
        <w:tc>
          <w:tcPr>
            <w:tcW w:w="2126" w:type="dxa"/>
            <w:tcBorders>
              <w:bottom w:val="single" w:sz="12" w:space="0" w:color="auto"/>
            </w:tcBorders>
            <w:shd w:val="clear" w:color="auto" w:fill="auto"/>
            <w:noWrap/>
            <w:vAlign w:val="bottom"/>
            <w:hideMark/>
          </w:tcPr>
          <w:p w14:paraId="55FCBCEB" w14:textId="77777777" w:rsidR="000C2F85" w:rsidRPr="00F948B8" w:rsidRDefault="000C2F85" w:rsidP="00F948B8">
            <w:pPr>
              <w:pStyle w:val="SingleTxtG"/>
              <w:tabs>
                <w:tab w:val="clear" w:pos="1701"/>
                <w:tab w:val="clear" w:pos="2268"/>
                <w:tab w:val="clear" w:pos="2835"/>
              </w:tabs>
              <w:spacing w:before="40" w:after="40" w:line="220" w:lineRule="exact"/>
              <w:ind w:left="57" w:right="28"/>
              <w:jc w:val="right"/>
              <w:rPr>
                <w:sz w:val="18"/>
                <w:lang w:val="es-ES_tradnl"/>
              </w:rPr>
            </w:pPr>
            <w:r w:rsidRPr="00F948B8">
              <w:rPr>
                <w:sz w:val="18"/>
                <w:lang w:val="es-ES_tradnl"/>
              </w:rPr>
              <w:t xml:space="preserve"> </w:t>
            </w:r>
          </w:p>
        </w:tc>
      </w:tr>
    </w:tbl>
    <w:p w14:paraId="07FF7192" w14:textId="2DEA2814" w:rsidR="000C2F85" w:rsidRPr="00120B8B" w:rsidRDefault="000C2F85" w:rsidP="00120B8B">
      <w:pPr>
        <w:pStyle w:val="SingleTxtG"/>
        <w:spacing w:before="120" w:after="240"/>
        <w:ind w:left="0" w:right="-1" w:firstLine="170"/>
        <w:jc w:val="left"/>
        <w:rPr>
          <w:sz w:val="18"/>
          <w:szCs w:val="18"/>
          <w:lang w:val="es-ES_tradnl"/>
        </w:rPr>
      </w:pPr>
      <w:r w:rsidRPr="00120B8B">
        <w:rPr>
          <w:sz w:val="18"/>
          <w:szCs w:val="18"/>
          <w:lang w:val="es-ES_tradnl"/>
        </w:rPr>
        <w:t>*</w:t>
      </w:r>
      <w:r w:rsidRPr="00C3764D">
        <w:rPr>
          <w:sz w:val="18"/>
          <w:szCs w:val="18"/>
          <w:vertAlign w:val="superscript"/>
          <w:lang w:val="es-ES_tradnl"/>
        </w:rPr>
        <w:t xml:space="preserve"> </w:t>
      </w:r>
      <w:r w:rsidR="00C3764D" w:rsidRPr="00C3764D">
        <w:rPr>
          <w:sz w:val="18"/>
          <w:szCs w:val="18"/>
          <w:vertAlign w:val="superscript"/>
          <w:lang w:val="es-ES_tradnl"/>
        </w:rPr>
        <w:t xml:space="preserve"> </w:t>
      </w:r>
      <w:r w:rsidRPr="00120B8B">
        <w:rPr>
          <w:sz w:val="18"/>
          <w:szCs w:val="18"/>
          <w:lang w:val="es-ES_tradnl"/>
        </w:rPr>
        <w:t>Propuestas tributarias incluidas en el presupuesto de 2018 y estimaciones publicadas en el examen presupuestario de 2018.</w:t>
      </w:r>
    </w:p>
    <w:p w14:paraId="6DB49C6B" w14:textId="77777777" w:rsidR="000C2F85" w:rsidRPr="000C2F85" w:rsidRDefault="000C2F85" w:rsidP="00120B8B">
      <w:pPr>
        <w:pStyle w:val="SingleTxtG"/>
        <w:spacing w:before="240"/>
        <w:rPr>
          <w:lang w:val="es-ES_tradnl"/>
        </w:rPr>
      </w:pPr>
      <w:r w:rsidRPr="000C2F85">
        <w:rPr>
          <w:lang w:val="es-ES_tradnl"/>
        </w:rPr>
        <w:t>23.</w:t>
      </w:r>
      <w:r w:rsidRPr="000C2F85">
        <w:rPr>
          <w:lang w:val="es-ES_tradnl"/>
        </w:rPr>
        <w:tab/>
        <w:t>El gasto público como porcentaje del producto interno bruto y, dentro del gasto público total, la proporción del presupuesto público que se destina a las prioridades sociales (educación, alimentos, salud, agua y saneamiento y vivienda) se indican en el cuadro que figura a continuación.</w:t>
      </w:r>
    </w:p>
    <w:p w14:paraId="44E19F6B" w14:textId="77777777" w:rsidR="000C2F85" w:rsidRPr="00120B8B" w:rsidRDefault="000C2F85" w:rsidP="00120B8B">
      <w:pPr>
        <w:pStyle w:val="H23G"/>
        <w:rPr>
          <w:b w:val="0"/>
          <w:bCs/>
          <w:sz w:val="16"/>
          <w:szCs w:val="16"/>
          <w:lang w:val="es-ES_tradnl"/>
        </w:rPr>
      </w:pPr>
      <w:r w:rsidRPr="00120B8B">
        <w:rPr>
          <w:b w:val="0"/>
          <w:bCs/>
          <w:lang w:val="es-ES_tradnl"/>
        </w:rPr>
        <w:tab/>
      </w:r>
      <w:r w:rsidRPr="00120B8B">
        <w:rPr>
          <w:b w:val="0"/>
          <w:bCs/>
          <w:lang w:val="es-ES_tradnl"/>
        </w:rPr>
        <w:tab/>
        <w:t>Cuadro 11</w:t>
      </w:r>
      <w:r w:rsidRPr="00120B8B">
        <w:rPr>
          <w:b w:val="0"/>
          <w:bCs/>
          <w:lang w:val="es-ES_tradnl"/>
        </w:rPr>
        <w:br/>
      </w:r>
      <w:r w:rsidRPr="000C2F85">
        <w:rPr>
          <w:lang w:val="es-ES_tradnl"/>
        </w:rPr>
        <w:t xml:space="preserve">Gasto público como porcentaje del PIB (2007-2018) </w:t>
      </w:r>
      <w:r w:rsidRPr="000C2F85">
        <w:rPr>
          <w:lang w:val="es-ES_tradnl"/>
        </w:rPr>
        <w:br/>
      </w:r>
      <w:r w:rsidRPr="00120B8B">
        <w:rPr>
          <w:b w:val="0"/>
          <w:bCs/>
          <w:sz w:val="16"/>
          <w:szCs w:val="16"/>
          <w:lang w:val="es-ES_tradnl"/>
        </w:rPr>
        <w:t>(En porcentajes)</w:t>
      </w:r>
    </w:p>
    <w:tbl>
      <w:tblPr>
        <w:tblW w:w="7371"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713"/>
        <w:gridCol w:w="2578"/>
        <w:gridCol w:w="2080"/>
      </w:tblGrid>
      <w:tr w:rsidR="00120B8B" w:rsidRPr="00120B8B" w14:paraId="2B5946FA" w14:textId="77777777" w:rsidTr="00120B8B">
        <w:trPr>
          <w:trHeight w:val="240"/>
          <w:tblHeader/>
        </w:trPr>
        <w:tc>
          <w:tcPr>
            <w:tcW w:w="2835" w:type="dxa"/>
            <w:tcBorders>
              <w:top w:val="single" w:sz="4" w:space="0" w:color="auto"/>
              <w:bottom w:val="single" w:sz="12" w:space="0" w:color="auto"/>
            </w:tcBorders>
            <w:shd w:val="clear" w:color="auto" w:fill="auto"/>
            <w:vAlign w:val="bottom"/>
            <w:hideMark/>
          </w:tcPr>
          <w:p w14:paraId="1EADB11A" w14:textId="77777777" w:rsidR="000C2F85" w:rsidRPr="00120B8B" w:rsidRDefault="000C2F85" w:rsidP="00120B8B">
            <w:pPr>
              <w:pStyle w:val="SingleTxtG"/>
              <w:tabs>
                <w:tab w:val="clear" w:pos="1701"/>
                <w:tab w:val="clear" w:pos="2268"/>
                <w:tab w:val="clear" w:pos="2835"/>
              </w:tabs>
              <w:spacing w:before="80" w:after="80" w:line="200" w:lineRule="exact"/>
              <w:ind w:left="0" w:right="0"/>
              <w:jc w:val="left"/>
              <w:rPr>
                <w:i/>
                <w:sz w:val="16"/>
                <w:lang w:val="es-ES_tradnl"/>
              </w:rPr>
            </w:pPr>
            <w:r w:rsidRPr="00120B8B">
              <w:rPr>
                <w:i/>
                <w:iCs/>
                <w:sz w:val="16"/>
                <w:lang w:val="es-ES_tradnl"/>
              </w:rPr>
              <w:t>Prioridades sociales (protección social, educación, salud, vivienda y servicios comunitarios)</w:t>
            </w:r>
          </w:p>
        </w:tc>
        <w:tc>
          <w:tcPr>
            <w:tcW w:w="2694" w:type="dxa"/>
            <w:tcBorders>
              <w:top w:val="single" w:sz="4" w:space="0" w:color="auto"/>
              <w:bottom w:val="single" w:sz="12" w:space="0" w:color="auto"/>
            </w:tcBorders>
            <w:shd w:val="clear" w:color="auto" w:fill="auto"/>
            <w:vAlign w:val="bottom"/>
            <w:hideMark/>
          </w:tcPr>
          <w:p w14:paraId="086FF523" w14:textId="6C8BB0DF" w:rsidR="000C2F85" w:rsidRPr="00120B8B" w:rsidRDefault="000C2F85" w:rsidP="00120B8B">
            <w:pPr>
              <w:pStyle w:val="SingleTxtG"/>
              <w:tabs>
                <w:tab w:val="clear" w:pos="1701"/>
                <w:tab w:val="clear" w:pos="2268"/>
                <w:tab w:val="clear" w:pos="2835"/>
              </w:tabs>
              <w:spacing w:before="80" w:after="80" w:line="200" w:lineRule="exact"/>
              <w:ind w:left="57" w:right="28"/>
              <w:jc w:val="right"/>
              <w:rPr>
                <w:i/>
                <w:sz w:val="16"/>
                <w:lang w:val="es-ES_tradnl"/>
              </w:rPr>
            </w:pPr>
            <w:r w:rsidRPr="00120B8B">
              <w:rPr>
                <w:i/>
                <w:iCs/>
                <w:sz w:val="16"/>
                <w:lang w:val="es-ES_tradnl"/>
              </w:rPr>
              <w:t>Total consolidado del gasto gubernamental como porcentaje del</w:t>
            </w:r>
            <w:r w:rsidR="008F3AA3">
              <w:rPr>
                <w:i/>
                <w:iCs/>
                <w:sz w:val="16"/>
                <w:lang w:val="es-ES_tradnl"/>
              </w:rPr>
              <w:t> </w:t>
            </w:r>
            <w:r w:rsidRPr="00120B8B">
              <w:rPr>
                <w:i/>
                <w:iCs/>
                <w:sz w:val="16"/>
                <w:lang w:val="es-ES_tradnl"/>
              </w:rPr>
              <w:t>PIB</w:t>
            </w:r>
          </w:p>
        </w:tc>
        <w:tc>
          <w:tcPr>
            <w:tcW w:w="2173" w:type="dxa"/>
            <w:tcBorders>
              <w:top w:val="single" w:sz="4" w:space="0" w:color="auto"/>
              <w:bottom w:val="single" w:sz="12" w:space="0" w:color="auto"/>
            </w:tcBorders>
            <w:shd w:val="clear" w:color="auto" w:fill="auto"/>
            <w:vAlign w:val="bottom"/>
            <w:hideMark/>
          </w:tcPr>
          <w:p w14:paraId="4A1BE627" w14:textId="77777777" w:rsidR="000C2F85" w:rsidRPr="00120B8B" w:rsidRDefault="000C2F85" w:rsidP="00120B8B">
            <w:pPr>
              <w:pStyle w:val="SingleTxtG"/>
              <w:tabs>
                <w:tab w:val="clear" w:pos="1701"/>
                <w:tab w:val="clear" w:pos="2268"/>
                <w:tab w:val="clear" w:pos="2835"/>
              </w:tabs>
              <w:spacing w:before="80" w:after="80" w:line="200" w:lineRule="exact"/>
              <w:ind w:left="57" w:right="28"/>
              <w:jc w:val="right"/>
              <w:rPr>
                <w:i/>
                <w:sz w:val="16"/>
                <w:lang w:val="es-ES_tradnl"/>
              </w:rPr>
            </w:pPr>
            <w:r w:rsidRPr="00120B8B">
              <w:rPr>
                <w:i/>
                <w:iCs/>
                <w:sz w:val="16"/>
                <w:lang w:val="es-ES_tradnl"/>
              </w:rPr>
              <w:t>Prioridades sociales como porcentaje del PIB</w:t>
            </w:r>
          </w:p>
        </w:tc>
      </w:tr>
      <w:tr w:rsidR="000C2F85" w:rsidRPr="00120B8B" w14:paraId="06A09BA7" w14:textId="77777777" w:rsidTr="00120B8B">
        <w:trPr>
          <w:trHeight w:val="240"/>
        </w:trPr>
        <w:tc>
          <w:tcPr>
            <w:tcW w:w="2835" w:type="dxa"/>
            <w:tcBorders>
              <w:top w:val="single" w:sz="12" w:space="0" w:color="auto"/>
            </w:tcBorders>
            <w:shd w:val="clear" w:color="auto" w:fill="auto"/>
            <w:noWrap/>
            <w:hideMark/>
          </w:tcPr>
          <w:p w14:paraId="1B04B260"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2007/08</w:t>
            </w:r>
          </w:p>
        </w:tc>
        <w:tc>
          <w:tcPr>
            <w:tcW w:w="2694" w:type="dxa"/>
            <w:tcBorders>
              <w:top w:val="single" w:sz="12" w:space="0" w:color="auto"/>
            </w:tcBorders>
            <w:shd w:val="clear" w:color="auto" w:fill="auto"/>
            <w:noWrap/>
            <w:vAlign w:val="bottom"/>
            <w:hideMark/>
          </w:tcPr>
          <w:p w14:paraId="1E3BC047" w14:textId="77777777" w:rsidR="000C2F85" w:rsidRPr="00120B8B" w:rsidRDefault="000C2F85" w:rsidP="00120B8B">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27,2</w:t>
            </w:r>
          </w:p>
        </w:tc>
        <w:tc>
          <w:tcPr>
            <w:tcW w:w="2173" w:type="dxa"/>
            <w:tcBorders>
              <w:top w:val="single" w:sz="12" w:space="0" w:color="auto"/>
            </w:tcBorders>
            <w:shd w:val="clear" w:color="auto" w:fill="auto"/>
            <w:noWrap/>
            <w:vAlign w:val="bottom"/>
            <w:hideMark/>
          </w:tcPr>
          <w:p w14:paraId="754C2E7E" w14:textId="77777777" w:rsidR="000C2F85" w:rsidRPr="00120B8B" w:rsidRDefault="000C2F85" w:rsidP="00120B8B">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14,9</w:t>
            </w:r>
          </w:p>
        </w:tc>
      </w:tr>
      <w:tr w:rsidR="000C2F85" w:rsidRPr="00120B8B" w14:paraId="579F30F4" w14:textId="77777777" w:rsidTr="00120B8B">
        <w:trPr>
          <w:trHeight w:val="240"/>
        </w:trPr>
        <w:tc>
          <w:tcPr>
            <w:tcW w:w="2835" w:type="dxa"/>
            <w:shd w:val="clear" w:color="auto" w:fill="auto"/>
            <w:noWrap/>
            <w:hideMark/>
          </w:tcPr>
          <w:p w14:paraId="5A7FFD27"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2008/09</w:t>
            </w:r>
          </w:p>
        </w:tc>
        <w:tc>
          <w:tcPr>
            <w:tcW w:w="2694" w:type="dxa"/>
            <w:shd w:val="clear" w:color="auto" w:fill="auto"/>
            <w:noWrap/>
            <w:vAlign w:val="bottom"/>
            <w:hideMark/>
          </w:tcPr>
          <w:p w14:paraId="7B1FB6CD" w14:textId="77777777" w:rsidR="000C2F85" w:rsidRPr="00120B8B" w:rsidRDefault="000C2F85" w:rsidP="00120B8B">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29,4</w:t>
            </w:r>
          </w:p>
        </w:tc>
        <w:tc>
          <w:tcPr>
            <w:tcW w:w="2173" w:type="dxa"/>
            <w:shd w:val="clear" w:color="auto" w:fill="auto"/>
            <w:noWrap/>
            <w:vAlign w:val="bottom"/>
            <w:hideMark/>
          </w:tcPr>
          <w:p w14:paraId="0AB4DD6C" w14:textId="77777777" w:rsidR="000C2F85" w:rsidRPr="00120B8B" w:rsidRDefault="000C2F85" w:rsidP="00120B8B">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16,1</w:t>
            </w:r>
          </w:p>
        </w:tc>
      </w:tr>
      <w:tr w:rsidR="000C2F85" w:rsidRPr="00120B8B" w14:paraId="65981C43" w14:textId="77777777" w:rsidTr="00120B8B">
        <w:trPr>
          <w:trHeight w:val="240"/>
        </w:trPr>
        <w:tc>
          <w:tcPr>
            <w:tcW w:w="2835" w:type="dxa"/>
            <w:shd w:val="clear" w:color="auto" w:fill="auto"/>
            <w:noWrap/>
            <w:hideMark/>
          </w:tcPr>
          <w:p w14:paraId="1125EDBD"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2009/10</w:t>
            </w:r>
          </w:p>
        </w:tc>
        <w:tc>
          <w:tcPr>
            <w:tcW w:w="2694" w:type="dxa"/>
            <w:shd w:val="clear" w:color="auto" w:fill="auto"/>
            <w:noWrap/>
            <w:vAlign w:val="bottom"/>
            <w:hideMark/>
          </w:tcPr>
          <w:p w14:paraId="771E311E" w14:textId="77777777" w:rsidR="000C2F85" w:rsidRPr="00120B8B" w:rsidRDefault="000C2F85" w:rsidP="00120B8B">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32,3</w:t>
            </w:r>
          </w:p>
        </w:tc>
        <w:tc>
          <w:tcPr>
            <w:tcW w:w="2173" w:type="dxa"/>
            <w:shd w:val="clear" w:color="auto" w:fill="auto"/>
            <w:noWrap/>
            <w:vAlign w:val="bottom"/>
            <w:hideMark/>
          </w:tcPr>
          <w:p w14:paraId="5C4F3459" w14:textId="77777777" w:rsidR="000C2F85" w:rsidRPr="00120B8B" w:rsidRDefault="000C2F85" w:rsidP="00120B8B">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17,5</w:t>
            </w:r>
          </w:p>
        </w:tc>
      </w:tr>
      <w:tr w:rsidR="000C2F85" w:rsidRPr="00120B8B" w14:paraId="48F55679" w14:textId="77777777" w:rsidTr="00120B8B">
        <w:trPr>
          <w:trHeight w:val="240"/>
        </w:trPr>
        <w:tc>
          <w:tcPr>
            <w:tcW w:w="2835" w:type="dxa"/>
            <w:shd w:val="clear" w:color="auto" w:fill="auto"/>
            <w:noWrap/>
            <w:hideMark/>
          </w:tcPr>
          <w:p w14:paraId="17811FB1"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2010/11</w:t>
            </w:r>
          </w:p>
        </w:tc>
        <w:tc>
          <w:tcPr>
            <w:tcW w:w="2694" w:type="dxa"/>
            <w:shd w:val="clear" w:color="auto" w:fill="auto"/>
            <w:noWrap/>
            <w:vAlign w:val="bottom"/>
            <w:hideMark/>
          </w:tcPr>
          <w:p w14:paraId="4FA98B9D" w14:textId="77777777" w:rsidR="000C2F85" w:rsidRPr="00120B8B" w:rsidRDefault="000C2F85" w:rsidP="00120B8B">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31,1</w:t>
            </w:r>
          </w:p>
        </w:tc>
        <w:tc>
          <w:tcPr>
            <w:tcW w:w="2173" w:type="dxa"/>
            <w:shd w:val="clear" w:color="auto" w:fill="auto"/>
            <w:noWrap/>
            <w:vAlign w:val="bottom"/>
            <w:hideMark/>
          </w:tcPr>
          <w:p w14:paraId="365DD65C" w14:textId="77777777" w:rsidR="000C2F85" w:rsidRPr="00120B8B" w:rsidRDefault="000C2F85" w:rsidP="00120B8B">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17,7</w:t>
            </w:r>
          </w:p>
        </w:tc>
      </w:tr>
      <w:tr w:rsidR="000C2F85" w:rsidRPr="00120B8B" w14:paraId="42318643" w14:textId="77777777" w:rsidTr="00120B8B">
        <w:trPr>
          <w:trHeight w:val="240"/>
        </w:trPr>
        <w:tc>
          <w:tcPr>
            <w:tcW w:w="2835" w:type="dxa"/>
            <w:shd w:val="clear" w:color="auto" w:fill="auto"/>
            <w:noWrap/>
            <w:hideMark/>
          </w:tcPr>
          <w:p w14:paraId="07032BA3"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2011/12</w:t>
            </w:r>
          </w:p>
        </w:tc>
        <w:tc>
          <w:tcPr>
            <w:tcW w:w="2694" w:type="dxa"/>
            <w:shd w:val="clear" w:color="auto" w:fill="auto"/>
            <w:noWrap/>
            <w:vAlign w:val="bottom"/>
            <w:hideMark/>
          </w:tcPr>
          <w:p w14:paraId="1FADD13A" w14:textId="77777777" w:rsidR="000C2F85" w:rsidRPr="00120B8B" w:rsidRDefault="000C2F85" w:rsidP="00120B8B">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30,9</w:t>
            </w:r>
          </w:p>
        </w:tc>
        <w:tc>
          <w:tcPr>
            <w:tcW w:w="2173" w:type="dxa"/>
            <w:shd w:val="clear" w:color="auto" w:fill="auto"/>
            <w:noWrap/>
            <w:vAlign w:val="bottom"/>
            <w:hideMark/>
          </w:tcPr>
          <w:p w14:paraId="6A405CB5" w14:textId="77777777" w:rsidR="000C2F85" w:rsidRPr="00120B8B" w:rsidRDefault="000C2F85" w:rsidP="00120B8B">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18,1</w:t>
            </w:r>
          </w:p>
        </w:tc>
      </w:tr>
      <w:tr w:rsidR="000C2F85" w:rsidRPr="00120B8B" w14:paraId="13774024" w14:textId="77777777" w:rsidTr="00120B8B">
        <w:trPr>
          <w:trHeight w:val="240"/>
        </w:trPr>
        <w:tc>
          <w:tcPr>
            <w:tcW w:w="2835" w:type="dxa"/>
            <w:shd w:val="clear" w:color="auto" w:fill="auto"/>
            <w:noWrap/>
            <w:hideMark/>
          </w:tcPr>
          <w:p w14:paraId="00F89182"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2012/13</w:t>
            </w:r>
          </w:p>
        </w:tc>
        <w:tc>
          <w:tcPr>
            <w:tcW w:w="2694" w:type="dxa"/>
            <w:shd w:val="clear" w:color="auto" w:fill="auto"/>
            <w:noWrap/>
            <w:vAlign w:val="bottom"/>
            <w:hideMark/>
          </w:tcPr>
          <w:p w14:paraId="5AF2E18C" w14:textId="77777777" w:rsidR="000C2F85" w:rsidRPr="00120B8B" w:rsidRDefault="000C2F85" w:rsidP="00120B8B">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31,4</w:t>
            </w:r>
          </w:p>
        </w:tc>
        <w:tc>
          <w:tcPr>
            <w:tcW w:w="2173" w:type="dxa"/>
            <w:shd w:val="clear" w:color="auto" w:fill="auto"/>
            <w:noWrap/>
            <w:vAlign w:val="bottom"/>
            <w:hideMark/>
          </w:tcPr>
          <w:p w14:paraId="32C38FFA" w14:textId="77777777" w:rsidR="000C2F85" w:rsidRPr="00120B8B" w:rsidRDefault="000C2F85" w:rsidP="00120B8B">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18,3</w:t>
            </w:r>
          </w:p>
        </w:tc>
      </w:tr>
      <w:tr w:rsidR="000C2F85" w:rsidRPr="00120B8B" w14:paraId="6B040053" w14:textId="77777777" w:rsidTr="00120B8B">
        <w:trPr>
          <w:trHeight w:val="240"/>
        </w:trPr>
        <w:tc>
          <w:tcPr>
            <w:tcW w:w="2835" w:type="dxa"/>
            <w:shd w:val="clear" w:color="auto" w:fill="auto"/>
            <w:noWrap/>
            <w:hideMark/>
          </w:tcPr>
          <w:p w14:paraId="60E46225"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2013/14</w:t>
            </w:r>
          </w:p>
        </w:tc>
        <w:tc>
          <w:tcPr>
            <w:tcW w:w="2694" w:type="dxa"/>
            <w:shd w:val="clear" w:color="auto" w:fill="auto"/>
            <w:noWrap/>
            <w:vAlign w:val="bottom"/>
            <w:hideMark/>
          </w:tcPr>
          <w:p w14:paraId="349600B5" w14:textId="77777777" w:rsidR="000C2F85" w:rsidRPr="00120B8B" w:rsidRDefault="000C2F85" w:rsidP="00120B8B">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31,6</w:t>
            </w:r>
          </w:p>
        </w:tc>
        <w:tc>
          <w:tcPr>
            <w:tcW w:w="2173" w:type="dxa"/>
            <w:shd w:val="clear" w:color="auto" w:fill="auto"/>
            <w:noWrap/>
            <w:vAlign w:val="bottom"/>
            <w:hideMark/>
          </w:tcPr>
          <w:p w14:paraId="79A5DC5E" w14:textId="77777777" w:rsidR="000C2F85" w:rsidRPr="00120B8B" w:rsidRDefault="000C2F85" w:rsidP="00120B8B">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18,4</w:t>
            </w:r>
          </w:p>
        </w:tc>
      </w:tr>
      <w:tr w:rsidR="000C2F85" w:rsidRPr="00120B8B" w14:paraId="3F1C231A" w14:textId="77777777" w:rsidTr="00120B8B">
        <w:trPr>
          <w:trHeight w:val="240"/>
        </w:trPr>
        <w:tc>
          <w:tcPr>
            <w:tcW w:w="2835" w:type="dxa"/>
            <w:shd w:val="clear" w:color="auto" w:fill="auto"/>
            <w:noWrap/>
            <w:hideMark/>
          </w:tcPr>
          <w:p w14:paraId="138D6BDD"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2014/15</w:t>
            </w:r>
          </w:p>
        </w:tc>
        <w:tc>
          <w:tcPr>
            <w:tcW w:w="2694" w:type="dxa"/>
            <w:shd w:val="clear" w:color="auto" w:fill="auto"/>
            <w:noWrap/>
            <w:vAlign w:val="bottom"/>
            <w:hideMark/>
          </w:tcPr>
          <w:p w14:paraId="336FAC91" w14:textId="77777777" w:rsidR="000C2F85" w:rsidRPr="00120B8B" w:rsidRDefault="000C2F85" w:rsidP="00120B8B">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31,9</w:t>
            </w:r>
          </w:p>
        </w:tc>
        <w:tc>
          <w:tcPr>
            <w:tcW w:w="2173" w:type="dxa"/>
            <w:shd w:val="clear" w:color="auto" w:fill="auto"/>
            <w:noWrap/>
            <w:vAlign w:val="bottom"/>
            <w:hideMark/>
          </w:tcPr>
          <w:p w14:paraId="5E3C01C1" w14:textId="77777777" w:rsidR="000C2F85" w:rsidRPr="00120B8B" w:rsidRDefault="000C2F85" w:rsidP="00120B8B">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18,2</w:t>
            </w:r>
          </w:p>
        </w:tc>
      </w:tr>
      <w:tr w:rsidR="000C2F85" w:rsidRPr="00120B8B" w14:paraId="3E1EB2A4" w14:textId="77777777" w:rsidTr="00120B8B">
        <w:trPr>
          <w:trHeight w:val="240"/>
        </w:trPr>
        <w:tc>
          <w:tcPr>
            <w:tcW w:w="2835" w:type="dxa"/>
            <w:shd w:val="clear" w:color="auto" w:fill="auto"/>
            <w:noWrap/>
            <w:hideMark/>
          </w:tcPr>
          <w:p w14:paraId="357B7C0E"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2015/16</w:t>
            </w:r>
          </w:p>
        </w:tc>
        <w:tc>
          <w:tcPr>
            <w:tcW w:w="2694" w:type="dxa"/>
            <w:shd w:val="clear" w:color="auto" w:fill="auto"/>
            <w:noWrap/>
            <w:vAlign w:val="bottom"/>
            <w:hideMark/>
          </w:tcPr>
          <w:p w14:paraId="5D52F63B" w14:textId="77777777" w:rsidR="000C2F85" w:rsidRPr="00120B8B" w:rsidRDefault="000C2F85" w:rsidP="00120B8B">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33,1</w:t>
            </w:r>
          </w:p>
        </w:tc>
        <w:tc>
          <w:tcPr>
            <w:tcW w:w="2173" w:type="dxa"/>
            <w:shd w:val="clear" w:color="auto" w:fill="auto"/>
            <w:noWrap/>
            <w:vAlign w:val="bottom"/>
            <w:hideMark/>
          </w:tcPr>
          <w:p w14:paraId="52BD2AC5" w14:textId="77777777" w:rsidR="000C2F85" w:rsidRPr="00120B8B" w:rsidRDefault="000C2F85" w:rsidP="00120B8B">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18,7</w:t>
            </w:r>
          </w:p>
        </w:tc>
      </w:tr>
      <w:tr w:rsidR="000C2F85" w:rsidRPr="00120B8B" w14:paraId="3FC86B79" w14:textId="77777777" w:rsidTr="00120B8B">
        <w:trPr>
          <w:trHeight w:val="240"/>
        </w:trPr>
        <w:tc>
          <w:tcPr>
            <w:tcW w:w="2835" w:type="dxa"/>
            <w:shd w:val="clear" w:color="auto" w:fill="auto"/>
            <w:noWrap/>
            <w:hideMark/>
          </w:tcPr>
          <w:p w14:paraId="3AB806B5"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2016/17</w:t>
            </w:r>
          </w:p>
        </w:tc>
        <w:tc>
          <w:tcPr>
            <w:tcW w:w="2694" w:type="dxa"/>
            <w:shd w:val="clear" w:color="auto" w:fill="auto"/>
            <w:noWrap/>
            <w:vAlign w:val="bottom"/>
            <w:hideMark/>
          </w:tcPr>
          <w:p w14:paraId="40E63262" w14:textId="77777777" w:rsidR="000C2F85" w:rsidRPr="00120B8B" w:rsidRDefault="000C2F85" w:rsidP="00120B8B">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32,7</w:t>
            </w:r>
          </w:p>
        </w:tc>
        <w:tc>
          <w:tcPr>
            <w:tcW w:w="2173" w:type="dxa"/>
            <w:shd w:val="clear" w:color="auto" w:fill="auto"/>
            <w:noWrap/>
            <w:vAlign w:val="bottom"/>
            <w:hideMark/>
          </w:tcPr>
          <w:p w14:paraId="5A27B144" w14:textId="77777777" w:rsidR="000C2F85" w:rsidRPr="00120B8B" w:rsidRDefault="000C2F85" w:rsidP="00120B8B">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18,8</w:t>
            </w:r>
          </w:p>
        </w:tc>
      </w:tr>
      <w:tr w:rsidR="000C2F85" w:rsidRPr="00120B8B" w14:paraId="701C7C7A" w14:textId="77777777" w:rsidTr="00120B8B">
        <w:trPr>
          <w:trHeight w:val="240"/>
        </w:trPr>
        <w:tc>
          <w:tcPr>
            <w:tcW w:w="2835" w:type="dxa"/>
            <w:tcBorders>
              <w:bottom w:val="single" w:sz="12" w:space="0" w:color="auto"/>
            </w:tcBorders>
            <w:shd w:val="clear" w:color="auto" w:fill="auto"/>
            <w:noWrap/>
            <w:hideMark/>
          </w:tcPr>
          <w:p w14:paraId="06CFDEC5"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2017/18*</w:t>
            </w:r>
          </w:p>
        </w:tc>
        <w:tc>
          <w:tcPr>
            <w:tcW w:w="2694" w:type="dxa"/>
            <w:tcBorders>
              <w:bottom w:val="single" w:sz="12" w:space="0" w:color="auto"/>
            </w:tcBorders>
            <w:shd w:val="clear" w:color="auto" w:fill="auto"/>
            <w:noWrap/>
            <w:vAlign w:val="bottom"/>
            <w:hideMark/>
          </w:tcPr>
          <w:p w14:paraId="6FA1EEED" w14:textId="77777777" w:rsidR="000C2F85" w:rsidRPr="00120B8B" w:rsidRDefault="000C2F85" w:rsidP="00120B8B">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33,2</w:t>
            </w:r>
          </w:p>
        </w:tc>
        <w:tc>
          <w:tcPr>
            <w:tcW w:w="2173" w:type="dxa"/>
            <w:tcBorders>
              <w:bottom w:val="single" w:sz="12" w:space="0" w:color="auto"/>
            </w:tcBorders>
            <w:shd w:val="clear" w:color="auto" w:fill="auto"/>
            <w:noWrap/>
            <w:vAlign w:val="bottom"/>
            <w:hideMark/>
          </w:tcPr>
          <w:p w14:paraId="3257DF41" w14:textId="77777777" w:rsidR="000C2F85" w:rsidRPr="00120B8B" w:rsidRDefault="000C2F85" w:rsidP="00120B8B">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19,2</w:t>
            </w:r>
          </w:p>
        </w:tc>
      </w:tr>
    </w:tbl>
    <w:p w14:paraId="0FE0598C" w14:textId="77777777" w:rsidR="000C2F85" w:rsidRPr="000C2F85" w:rsidRDefault="000C2F85" w:rsidP="00120B8B">
      <w:pPr>
        <w:pStyle w:val="SingleTxtG"/>
        <w:spacing w:before="240"/>
        <w:rPr>
          <w:b/>
          <w:lang w:val="es-ES_tradnl"/>
        </w:rPr>
      </w:pPr>
      <w:r w:rsidRPr="000C2F85">
        <w:rPr>
          <w:lang w:val="es-ES_tradnl"/>
        </w:rPr>
        <w:t>24.</w:t>
      </w:r>
      <w:r w:rsidRPr="000C2F85">
        <w:rPr>
          <w:lang w:val="es-ES_tradnl"/>
        </w:rPr>
        <w:tab/>
        <w:t>Los niveles absolutos de gasto en esas prioridades sociales ajustados a la inflación se indican en el cuadro que figura a continuación.</w:t>
      </w:r>
    </w:p>
    <w:p w14:paraId="2CD801D7" w14:textId="08742A1D" w:rsidR="000C2F85" w:rsidRPr="000C2F85" w:rsidRDefault="000C2F85" w:rsidP="00120B8B">
      <w:pPr>
        <w:pStyle w:val="H23G"/>
        <w:rPr>
          <w:lang w:val="es-ES_tradnl"/>
        </w:rPr>
      </w:pPr>
      <w:r w:rsidRPr="00120B8B">
        <w:rPr>
          <w:b w:val="0"/>
          <w:bCs/>
          <w:lang w:val="es-ES_tradnl"/>
        </w:rPr>
        <w:tab/>
      </w:r>
      <w:r w:rsidRPr="00120B8B">
        <w:rPr>
          <w:b w:val="0"/>
          <w:bCs/>
          <w:lang w:val="es-ES_tradnl"/>
        </w:rPr>
        <w:tab/>
        <w:t xml:space="preserve">Cuadro 12 </w:t>
      </w:r>
      <w:r w:rsidRPr="00120B8B">
        <w:rPr>
          <w:b w:val="0"/>
          <w:bCs/>
          <w:lang w:val="es-ES_tradnl"/>
        </w:rPr>
        <w:br/>
      </w:r>
      <w:r w:rsidRPr="000C2F85">
        <w:rPr>
          <w:lang w:val="es-ES_tradnl"/>
        </w:rPr>
        <w:t>Niveles absolutos de gasto en esas prioridades sociales ajustados a la inflación (2007</w:t>
      </w:r>
      <w:r w:rsidR="008F3AA3">
        <w:rPr>
          <w:lang w:val="es-ES_tradnl"/>
        </w:rPr>
        <w:noBreakHyphen/>
      </w:r>
      <w:r w:rsidRPr="000C2F85">
        <w:rPr>
          <w:lang w:val="es-ES_tradnl"/>
        </w:rPr>
        <w:t>2018)</w:t>
      </w:r>
    </w:p>
    <w:tbl>
      <w:tblPr>
        <w:tblW w:w="7371"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694"/>
        <w:gridCol w:w="2551"/>
        <w:gridCol w:w="2126"/>
      </w:tblGrid>
      <w:tr w:rsidR="00120B8B" w:rsidRPr="00120B8B" w14:paraId="4738AE66" w14:textId="77777777" w:rsidTr="00120B8B">
        <w:trPr>
          <w:trHeight w:val="240"/>
          <w:tblHeader/>
        </w:trPr>
        <w:tc>
          <w:tcPr>
            <w:tcW w:w="2694" w:type="dxa"/>
            <w:tcBorders>
              <w:top w:val="single" w:sz="4" w:space="0" w:color="auto"/>
              <w:bottom w:val="single" w:sz="12" w:space="0" w:color="auto"/>
            </w:tcBorders>
            <w:shd w:val="clear" w:color="auto" w:fill="auto"/>
            <w:vAlign w:val="bottom"/>
            <w:hideMark/>
          </w:tcPr>
          <w:p w14:paraId="75CB4E7F" w14:textId="77777777" w:rsidR="000C2F85" w:rsidRPr="00120B8B" w:rsidRDefault="000C2F85" w:rsidP="00120B8B">
            <w:pPr>
              <w:pStyle w:val="SingleTxtG"/>
              <w:tabs>
                <w:tab w:val="clear" w:pos="1701"/>
                <w:tab w:val="clear" w:pos="2268"/>
                <w:tab w:val="clear" w:pos="2835"/>
              </w:tabs>
              <w:spacing w:before="80" w:after="80" w:line="200" w:lineRule="exact"/>
              <w:ind w:left="0" w:right="0"/>
              <w:jc w:val="left"/>
              <w:rPr>
                <w:i/>
                <w:sz w:val="16"/>
                <w:lang w:val="es-ES_tradnl"/>
              </w:rPr>
            </w:pPr>
            <w:r w:rsidRPr="00120B8B">
              <w:rPr>
                <w:i/>
                <w:iCs/>
                <w:sz w:val="16"/>
                <w:lang w:val="es-ES_tradnl"/>
              </w:rPr>
              <w:t>Prioridades sociales (protección social, educación, salud, vivienda y servicios comunitarios)</w:t>
            </w:r>
          </w:p>
        </w:tc>
        <w:tc>
          <w:tcPr>
            <w:tcW w:w="2551" w:type="dxa"/>
            <w:tcBorders>
              <w:top w:val="single" w:sz="4" w:space="0" w:color="auto"/>
              <w:bottom w:val="single" w:sz="12" w:space="0" w:color="auto"/>
            </w:tcBorders>
            <w:shd w:val="clear" w:color="auto" w:fill="auto"/>
            <w:vAlign w:val="bottom"/>
            <w:hideMark/>
          </w:tcPr>
          <w:p w14:paraId="138F6396" w14:textId="77777777" w:rsidR="000C2F85" w:rsidRPr="00120B8B" w:rsidRDefault="000C2F85" w:rsidP="00120B8B">
            <w:pPr>
              <w:pStyle w:val="SingleTxtG"/>
              <w:tabs>
                <w:tab w:val="clear" w:pos="1701"/>
                <w:tab w:val="clear" w:pos="2268"/>
                <w:tab w:val="clear" w:pos="2835"/>
              </w:tabs>
              <w:spacing w:before="80" w:after="80" w:line="200" w:lineRule="exact"/>
              <w:ind w:left="113" w:right="0"/>
              <w:jc w:val="right"/>
              <w:rPr>
                <w:i/>
                <w:sz w:val="16"/>
                <w:lang w:val="es-ES_tradnl"/>
              </w:rPr>
            </w:pPr>
            <w:r w:rsidRPr="00120B8B">
              <w:rPr>
                <w:i/>
                <w:iCs/>
                <w:sz w:val="16"/>
                <w:lang w:val="es-ES_tradnl"/>
              </w:rPr>
              <w:t>Total de gastos consolidados (reales)</w:t>
            </w:r>
          </w:p>
        </w:tc>
        <w:tc>
          <w:tcPr>
            <w:tcW w:w="2126" w:type="dxa"/>
            <w:tcBorders>
              <w:top w:val="single" w:sz="4" w:space="0" w:color="auto"/>
              <w:bottom w:val="single" w:sz="12" w:space="0" w:color="auto"/>
            </w:tcBorders>
            <w:shd w:val="clear" w:color="auto" w:fill="auto"/>
            <w:vAlign w:val="bottom"/>
            <w:hideMark/>
          </w:tcPr>
          <w:p w14:paraId="7EEC384C" w14:textId="77777777" w:rsidR="000C2F85" w:rsidRPr="00120B8B" w:rsidRDefault="000C2F85" w:rsidP="00120B8B">
            <w:pPr>
              <w:pStyle w:val="SingleTxtG"/>
              <w:tabs>
                <w:tab w:val="clear" w:pos="1701"/>
                <w:tab w:val="clear" w:pos="2268"/>
                <w:tab w:val="clear" w:pos="2835"/>
              </w:tabs>
              <w:spacing w:before="80" w:after="80" w:line="200" w:lineRule="exact"/>
              <w:ind w:left="113" w:right="0"/>
              <w:jc w:val="right"/>
              <w:rPr>
                <w:i/>
                <w:sz w:val="16"/>
                <w:lang w:val="es-ES_tradnl"/>
              </w:rPr>
            </w:pPr>
            <w:r w:rsidRPr="00120B8B">
              <w:rPr>
                <w:i/>
                <w:iCs/>
                <w:sz w:val="16"/>
                <w:lang w:val="es-ES_tradnl"/>
              </w:rPr>
              <w:t>Total de las prioridades sociales (reales)</w:t>
            </w:r>
          </w:p>
        </w:tc>
      </w:tr>
      <w:tr w:rsidR="00120B8B" w:rsidRPr="00120B8B" w14:paraId="58BFBC75" w14:textId="77777777" w:rsidTr="00120B8B">
        <w:trPr>
          <w:trHeight w:val="240"/>
        </w:trPr>
        <w:tc>
          <w:tcPr>
            <w:tcW w:w="2694" w:type="dxa"/>
            <w:tcBorders>
              <w:top w:val="single" w:sz="12" w:space="0" w:color="auto"/>
            </w:tcBorders>
            <w:shd w:val="clear" w:color="auto" w:fill="auto"/>
            <w:noWrap/>
            <w:hideMark/>
          </w:tcPr>
          <w:p w14:paraId="64876362"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2007/08</w:t>
            </w:r>
          </w:p>
        </w:tc>
        <w:tc>
          <w:tcPr>
            <w:tcW w:w="2551" w:type="dxa"/>
            <w:tcBorders>
              <w:top w:val="single" w:sz="12" w:space="0" w:color="auto"/>
            </w:tcBorders>
            <w:shd w:val="clear" w:color="auto" w:fill="auto"/>
            <w:noWrap/>
            <w:vAlign w:val="bottom"/>
            <w:hideMark/>
          </w:tcPr>
          <w:p w14:paraId="38FC88C2" w14:textId="77777777" w:rsidR="000C2F85" w:rsidRPr="00120B8B" w:rsidRDefault="000C2F85" w:rsidP="00120B8B">
            <w:pPr>
              <w:pStyle w:val="SingleTxtG"/>
              <w:tabs>
                <w:tab w:val="clear" w:pos="1701"/>
                <w:tab w:val="clear" w:pos="2268"/>
                <w:tab w:val="clear" w:pos="2835"/>
              </w:tabs>
              <w:spacing w:before="40" w:after="40" w:line="220" w:lineRule="exact"/>
              <w:ind w:left="113" w:right="0"/>
              <w:jc w:val="right"/>
              <w:rPr>
                <w:sz w:val="18"/>
                <w:lang w:val="es-ES_tradnl"/>
              </w:rPr>
            </w:pPr>
            <w:r w:rsidRPr="00120B8B">
              <w:rPr>
                <w:sz w:val="18"/>
                <w:lang w:val="es-ES_tradnl"/>
              </w:rPr>
              <w:t>1 006 360</w:t>
            </w:r>
          </w:p>
        </w:tc>
        <w:tc>
          <w:tcPr>
            <w:tcW w:w="2126" w:type="dxa"/>
            <w:tcBorders>
              <w:top w:val="single" w:sz="12" w:space="0" w:color="auto"/>
            </w:tcBorders>
            <w:shd w:val="clear" w:color="auto" w:fill="auto"/>
            <w:noWrap/>
            <w:vAlign w:val="bottom"/>
            <w:hideMark/>
          </w:tcPr>
          <w:p w14:paraId="4B17525E" w14:textId="77777777" w:rsidR="000C2F85" w:rsidRPr="00120B8B" w:rsidRDefault="000C2F85" w:rsidP="00120B8B">
            <w:pPr>
              <w:pStyle w:val="SingleTxtG"/>
              <w:tabs>
                <w:tab w:val="clear" w:pos="1701"/>
                <w:tab w:val="clear" w:pos="2268"/>
                <w:tab w:val="clear" w:pos="2835"/>
              </w:tabs>
              <w:spacing w:before="40" w:after="40" w:line="220" w:lineRule="exact"/>
              <w:ind w:left="113" w:right="0"/>
              <w:jc w:val="right"/>
              <w:rPr>
                <w:sz w:val="18"/>
                <w:lang w:val="es-ES_tradnl"/>
              </w:rPr>
            </w:pPr>
            <w:r w:rsidRPr="00120B8B">
              <w:rPr>
                <w:sz w:val="18"/>
                <w:lang w:val="es-ES_tradnl"/>
              </w:rPr>
              <w:t>551 858</w:t>
            </w:r>
          </w:p>
        </w:tc>
      </w:tr>
      <w:tr w:rsidR="000C2F85" w:rsidRPr="00120B8B" w14:paraId="098BB481" w14:textId="77777777" w:rsidTr="00120B8B">
        <w:trPr>
          <w:trHeight w:val="240"/>
        </w:trPr>
        <w:tc>
          <w:tcPr>
            <w:tcW w:w="2694" w:type="dxa"/>
            <w:shd w:val="clear" w:color="auto" w:fill="auto"/>
            <w:noWrap/>
            <w:hideMark/>
          </w:tcPr>
          <w:p w14:paraId="4EADCC50"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2008/09</w:t>
            </w:r>
          </w:p>
        </w:tc>
        <w:tc>
          <w:tcPr>
            <w:tcW w:w="2551" w:type="dxa"/>
            <w:shd w:val="clear" w:color="auto" w:fill="auto"/>
            <w:noWrap/>
            <w:vAlign w:val="bottom"/>
            <w:hideMark/>
          </w:tcPr>
          <w:p w14:paraId="7C8403E8" w14:textId="77777777" w:rsidR="000C2F85" w:rsidRPr="00120B8B" w:rsidRDefault="000C2F85" w:rsidP="00120B8B">
            <w:pPr>
              <w:pStyle w:val="SingleTxtG"/>
              <w:tabs>
                <w:tab w:val="clear" w:pos="1701"/>
                <w:tab w:val="clear" w:pos="2268"/>
                <w:tab w:val="clear" w:pos="2835"/>
              </w:tabs>
              <w:spacing w:before="40" w:after="40" w:line="220" w:lineRule="exact"/>
              <w:ind w:left="113" w:right="0"/>
              <w:jc w:val="right"/>
              <w:rPr>
                <w:sz w:val="18"/>
                <w:lang w:val="es-ES_tradnl"/>
              </w:rPr>
            </w:pPr>
            <w:r w:rsidRPr="00120B8B">
              <w:rPr>
                <w:sz w:val="18"/>
                <w:lang w:val="es-ES_tradnl"/>
              </w:rPr>
              <w:t>1 097 015</w:t>
            </w:r>
          </w:p>
        </w:tc>
        <w:tc>
          <w:tcPr>
            <w:tcW w:w="2126" w:type="dxa"/>
            <w:shd w:val="clear" w:color="auto" w:fill="auto"/>
            <w:noWrap/>
            <w:vAlign w:val="bottom"/>
            <w:hideMark/>
          </w:tcPr>
          <w:p w14:paraId="6F96DC3B" w14:textId="77777777" w:rsidR="000C2F85" w:rsidRPr="00120B8B" w:rsidRDefault="000C2F85" w:rsidP="00120B8B">
            <w:pPr>
              <w:pStyle w:val="SingleTxtG"/>
              <w:tabs>
                <w:tab w:val="clear" w:pos="1701"/>
                <w:tab w:val="clear" w:pos="2268"/>
                <w:tab w:val="clear" w:pos="2835"/>
              </w:tabs>
              <w:spacing w:before="40" w:after="40" w:line="220" w:lineRule="exact"/>
              <w:ind w:left="113" w:right="0"/>
              <w:jc w:val="right"/>
              <w:rPr>
                <w:sz w:val="18"/>
                <w:lang w:val="es-ES_tradnl"/>
              </w:rPr>
            </w:pPr>
            <w:r w:rsidRPr="00120B8B">
              <w:rPr>
                <w:sz w:val="18"/>
                <w:lang w:val="es-ES_tradnl"/>
              </w:rPr>
              <w:t>599 165</w:t>
            </w:r>
          </w:p>
        </w:tc>
      </w:tr>
      <w:tr w:rsidR="000C2F85" w:rsidRPr="00120B8B" w14:paraId="7D67FB6F" w14:textId="77777777" w:rsidTr="00120B8B">
        <w:trPr>
          <w:trHeight w:val="240"/>
        </w:trPr>
        <w:tc>
          <w:tcPr>
            <w:tcW w:w="2694" w:type="dxa"/>
            <w:shd w:val="clear" w:color="auto" w:fill="auto"/>
            <w:noWrap/>
            <w:hideMark/>
          </w:tcPr>
          <w:p w14:paraId="4F987016"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2009/10</w:t>
            </w:r>
          </w:p>
        </w:tc>
        <w:tc>
          <w:tcPr>
            <w:tcW w:w="2551" w:type="dxa"/>
            <w:shd w:val="clear" w:color="auto" w:fill="auto"/>
            <w:noWrap/>
            <w:vAlign w:val="bottom"/>
            <w:hideMark/>
          </w:tcPr>
          <w:p w14:paraId="2610D0D0" w14:textId="77777777" w:rsidR="000C2F85" w:rsidRPr="00120B8B" w:rsidRDefault="000C2F85" w:rsidP="00120B8B">
            <w:pPr>
              <w:pStyle w:val="SingleTxtG"/>
              <w:tabs>
                <w:tab w:val="clear" w:pos="1701"/>
                <w:tab w:val="clear" w:pos="2268"/>
                <w:tab w:val="clear" w:pos="2835"/>
              </w:tabs>
              <w:spacing w:before="40" w:after="40" w:line="220" w:lineRule="exact"/>
              <w:ind w:left="113" w:right="0"/>
              <w:jc w:val="right"/>
              <w:rPr>
                <w:sz w:val="18"/>
                <w:lang w:val="es-ES_tradnl"/>
              </w:rPr>
            </w:pPr>
            <w:r w:rsidRPr="00120B8B">
              <w:rPr>
                <w:sz w:val="18"/>
                <w:lang w:val="es-ES_tradnl"/>
              </w:rPr>
              <w:t>1 198 630</w:t>
            </w:r>
          </w:p>
        </w:tc>
        <w:tc>
          <w:tcPr>
            <w:tcW w:w="2126" w:type="dxa"/>
            <w:shd w:val="clear" w:color="auto" w:fill="auto"/>
            <w:noWrap/>
            <w:vAlign w:val="bottom"/>
            <w:hideMark/>
          </w:tcPr>
          <w:p w14:paraId="6E2786B7" w14:textId="77777777" w:rsidR="000C2F85" w:rsidRPr="00120B8B" w:rsidRDefault="000C2F85" w:rsidP="00120B8B">
            <w:pPr>
              <w:pStyle w:val="SingleTxtG"/>
              <w:tabs>
                <w:tab w:val="clear" w:pos="1701"/>
                <w:tab w:val="clear" w:pos="2268"/>
                <w:tab w:val="clear" w:pos="2835"/>
              </w:tabs>
              <w:spacing w:before="40" w:after="40" w:line="220" w:lineRule="exact"/>
              <w:ind w:left="113" w:right="0"/>
              <w:jc w:val="right"/>
              <w:rPr>
                <w:sz w:val="18"/>
                <w:lang w:val="es-ES_tradnl"/>
              </w:rPr>
            </w:pPr>
            <w:r w:rsidRPr="00120B8B">
              <w:rPr>
                <w:sz w:val="18"/>
                <w:lang w:val="es-ES_tradnl"/>
              </w:rPr>
              <w:t>648 060</w:t>
            </w:r>
          </w:p>
        </w:tc>
      </w:tr>
      <w:tr w:rsidR="000C2F85" w:rsidRPr="00120B8B" w14:paraId="234EB9FF" w14:textId="77777777" w:rsidTr="00120B8B">
        <w:trPr>
          <w:trHeight w:val="240"/>
        </w:trPr>
        <w:tc>
          <w:tcPr>
            <w:tcW w:w="2694" w:type="dxa"/>
            <w:shd w:val="clear" w:color="auto" w:fill="auto"/>
            <w:noWrap/>
            <w:hideMark/>
          </w:tcPr>
          <w:p w14:paraId="1925D354"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2010/11</w:t>
            </w:r>
          </w:p>
        </w:tc>
        <w:tc>
          <w:tcPr>
            <w:tcW w:w="2551" w:type="dxa"/>
            <w:shd w:val="clear" w:color="auto" w:fill="auto"/>
            <w:noWrap/>
            <w:vAlign w:val="bottom"/>
            <w:hideMark/>
          </w:tcPr>
          <w:p w14:paraId="5B28F6AF" w14:textId="77777777" w:rsidR="000C2F85" w:rsidRPr="00120B8B" w:rsidRDefault="000C2F85" w:rsidP="00120B8B">
            <w:pPr>
              <w:pStyle w:val="SingleTxtG"/>
              <w:tabs>
                <w:tab w:val="clear" w:pos="1701"/>
                <w:tab w:val="clear" w:pos="2268"/>
                <w:tab w:val="clear" w:pos="2835"/>
              </w:tabs>
              <w:spacing w:before="40" w:after="40" w:line="220" w:lineRule="exact"/>
              <w:ind w:left="113" w:right="0"/>
              <w:jc w:val="right"/>
              <w:rPr>
                <w:sz w:val="18"/>
                <w:lang w:val="es-ES_tradnl"/>
              </w:rPr>
            </w:pPr>
            <w:r w:rsidRPr="00120B8B">
              <w:rPr>
                <w:sz w:val="18"/>
                <w:lang w:val="es-ES_tradnl"/>
              </w:rPr>
              <w:t>1 232 851</w:t>
            </w:r>
          </w:p>
        </w:tc>
        <w:tc>
          <w:tcPr>
            <w:tcW w:w="2126" w:type="dxa"/>
            <w:shd w:val="clear" w:color="auto" w:fill="auto"/>
            <w:noWrap/>
            <w:vAlign w:val="bottom"/>
            <w:hideMark/>
          </w:tcPr>
          <w:p w14:paraId="4D8C881E" w14:textId="77777777" w:rsidR="000C2F85" w:rsidRPr="00120B8B" w:rsidRDefault="000C2F85" w:rsidP="00120B8B">
            <w:pPr>
              <w:pStyle w:val="SingleTxtG"/>
              <w:tabs>
                <w:tab w:val="clear" w:pos="1701"/>
                <w:tab w:val="clear" w:pos="2268"/>
                <w:tab w:val="clear" w:pos="2835"/>
              </w:tabs>
              <w:spacing w:before="40" w:after="40" w:line="220" w:lineRule="exact"/>
              <w:ind w:left="113" w:right="0"/>
              <w:jc w:val="right"/>
              <w:rPr>
                <w:sz w:val="18"/>
                <w:lang w:val="es-ES_tradnl"/>
              </w:rPr>
            </w:pPr>
            <w:r w:rsidRPr="00120B8B">
              <w:rPr>
                <w:sz w:val="18"/>
                <w:lang w:val="es-ES_tradnl"/>
              </w:rPr>
              <w:t>701 112</w:t>
            </w:r>
          </w:p>
        </w:tc>
      </w:tr>
      <w:tr w:rsidR="000C2F85" w:rsidRPr="00120B8B" w14:paraId="7CBFFCEF" w14:textId="77777777" w:rsidTr="00120B8B">
        <w:trPr>
          <w:trHeight w:val="240"/>
        </w:trPr>
        <w:tc>
          <w:tcPr>
            <w:tcW w:w="2694" w:type="dxa"/>
            <w:shd w:val="clear" w:color="auto" w:fill="auto"/>
            <w:noWrap/>
            <w:hideMark/>
          </w:tcPr>
          <w:p w14:paraId="1E422FF9"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2011/12</w:t>
            </w:r>
          </w:p>
        </w:tc>
        <w:tc>
          <w:tcPr>
            <w:tcW w:w="2551" w:type="dxa"/>
            <w:shd w:val="clear" w:color="auto" w:fill="auto"/>
            <w:noWrap/>
            <w:vAlign w:val="bottom"/>
            <w:hideMark/>
          </w:tcPr>
          <w:p w14:paraId="6C37301B" w14:textId="77777777" w:rsidR="000C2F85" w:rsidRPr="00120B8B" w:rsidRDefault="000C2F85" w:rsidP="00120B8B">
            <w:pPr>
              <w:pStyle w:val="SingleTxtG"/>
              <w:tabs>
                <w:tab w:val="clear" w:pos="1701"/>
                <w:tab w:val="clear" w:pos="2268"/>
                <w:tab w:val="clear" w:pos="2835"/>
              </w:tabs>
              <w:spacing w:before="40" w:after="40" w:line="220" w:lineRule="exact"/>
              <w:ind w:left="113" w:right="0"/>
              <w:jc w:val="right"/>
              <w:rPr>
                <w:sz w:val="18"/>
                <w:lang w:val="es-ES_tradnl"/>
              </w:rPr>
            </w:pPr>
            <w:r w:rsidRPr="00120B8B">
              <w:rPr>
                <w:sz w:val="18"/>
                <w:lang w:val="es-ES_tradnl"/>
              </w:rPr>
              <w:t>1 264 127</w:t>
            </w:r>
          </w:p>
        </w:tc>
        <w:tc>
          <w:tcPr>
            <w:tcW w:w="2126" w:type="dxa"/>
            <w:shd w:val="clear" w:color="auto" w:fill="auto"/>
            <w:noWrap/>
            <w:vAlign w:val="bottom"/>
            <w:hideMark/>
          </w:tcPr>
          <w:p w14:paraId="1C3D750C" w14:textId="77777777" w:rsidR="000C2F85" w:rsidRPr="00120B8B" w:rsidRDefault="000C2F85" w:rsidP="00120B8B">
            <w:pPr>
              <w:pStyle w:val="SingleTxtG"/>
              <w:tabs>
                <w:tab w:val="clear" w:pos="1701"/>
                <w:tab w:val="clear" w:pos="2268"/>
                <w:tab w:val="clear" w:pos="2835"/>
              </w:tabs>
              <w:spacing w:before="40" w:after="40" w:line="220" w:lineRule="exact"/>
              <w:ind w:left="113" w:right="0"/>
              <w:jc w:val="right"/>
              <w:rPr>
                <w:sz w:val="18"/>
                <w:lang w:val="es-ES_tradnl"/>
              </w:rPr>
            </w:pPr>
            <w:r w:rsidRPr="00120B8B">
              <w:rPr>
                <w:sz w:val="18"/>
                <w:lang w:val="es-ES_tradnl"/>
              </w:rPr>
              <w:t>739 361</w:t>
            </w:r>
          </w:p>
        </w:tc>
      </w:tr>
      <w:tr w:rsidR="000C2F85" w:rsidRPr="00120B8B" w14:paraId="530F0BF2" w14:textId="77777777" w:rsidTr="00120B8B">
        <w:trPr>
          <w:trHeight w:val="240"/>
        </w:trPr>
        <w:tc>
          <w:tcPr>
            <w:tcW w:w="2694" w:type="dxa"/>
            <w:shd w:val="clear" w:color="auto" w:fill="auto"/>
            <w:noWrap/>
            <w:hideMark/>
          </w:tcPr>
          <w:p w14:paraId="6C576A23"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2012/13</w:t>
            </w:r>
          </w:p>
        </w:tc>
        <w:tc>
          <w:tcPr>
            <w:tcW w:w="2551" w:type="dxa"/>
            <w:shd w:val="clear" w:color="auto" w:fill="auto"/>
            <w:noWrap/>
            <w:vAlign w:val="bottom"/>
            <w:hideMark/>
          </w:tcPr>
          <w:p w14:paraId="708FB0BB" w14:textId="77777777" w:rsidR="000C2F85" w:rsidRPr="00120B8B" w:rsidRDefault="000C2F85" w:rsidP="00120B8B">
            <w:pPr>
              <w:pStyle w:val="SingleTxtG"/>
              <w:tabs>
                <w:tab w:val="clear" w:pos="1701"/>
                <w:tab w:val="clear" w:pos="2268"/>
                <w:tab w:val="clear" w:pos="2835"/>
              </w:tabs>
              <w:spacing w:before="40" w:after="40" w:line="220" w:lineRule="exact"/>
              <w:ind w:left="113" w:right="0"/>
              <w:jc w:val="right"/>
              <w:rPr>
                <w:sz w:val="18"/>
                <w:lang w:val="es-ES_tradnl"/>
              </w:rPr>
            </w:pPr>
            <w:r w:rsidRPr="00120B8B">
              <w:rPr>
                <w:sz w:val="18"/>
                <w:lang w:val="es-ES_tradnl"/>
              </w:rPr>
              <w:t>1 312 357</w:t>
            </w:r>
          </w:p>
        </w:tc>
        <w:tc>
          <w:tcPr>
            <w:tcW w:w="2126" w:type="dxa"/>
            <w:shd w:val="clear" w:color="auto" w:fill="auto"/>
            <w:noWrap/>
            <w:vAlign w:val="bottom"/>
            <w:hideMark/>
          </w:tcPr>
          <w:p w14:paraId="537BE50D" w14:textId="77777777" w:rsidR="000C2F85" w:rsidRPr="00120B8B" w:rsidRDefault="000C2F85" w:rsidP="00120B8B">
            <w:pPr>
              <w:pStyle w:val="SingleTxtG"/>
              <w:tabs>
                <w:tab w:val="clear" w:pos="1701"/>
                <w:tab w:val="clear" w:pos="2268"/>
                <w:tab w:val="clear" w:pos="2835"/>
              </w:tabs>
              <w:spacing w:before="40" w:after="40" w:line="220" w:lineRule="exact"/>
              <w:ind w:left="113" w:right="0"/>
              <w:jc w:val="right"/>
              <w:rPr>
                <w:sz w:val="18"/>
                <w:lang w:val="es-ES_tradnl"/>
              </w:rPr>
            </w:pPr>
            <w:r w:rsidRPr="00120B8B">
              <w:rPr>
                <w:sz w:val="18"/>
                <w:lang w:val="es-ES_tradnl"/>
              </w:rPr>
              <w:t>764 349</w:t>
            </w:r>
          </w:p>
        </w:tc>
      </w:tr>
      <w:tr w:rsidR="000C2F85" w:rsidRPr="00120B8B" w14:paraId="6A37DF1C" w14:textId="77777777" w:rsidTr="00120B8B">
        <w:trPr>
          <w:trHeight w:val="240"/>
        </w:trPr>
        <w:tc>
          <w:tcPr>
            <w:tcW w:w="2694" w:type="dxa"/>
            <w:shd w:val="clear" w:color="auto" w:fill="auto"/>
            <w:noWrap/>
            <w:hideMark/>
          </w:tcPr>
          <w:p w14:paraId="034A3628"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lastRenderedPageBreak/>
              <w:t>2013/14</w:t>
            </w:r>
          </w:p>
        </w:tc>
        <w:tc>
          <w:tcPr>
            <w:tcW w:w="2551" w:type="dxa"/>
            <w:shd w:val="clear" w:color="auto" w:fill="auto"/>
            <w:noWrap/>
            <w:vAlign w:val="bottom"/>
            <w:hideMark/>
          </w:tcPr>
          <w:p w14:paraId="510C5DF1" w14:textId="77777777" w:rsidR="000C2F85" w:rsidRPr="00120B8B" w:rsidRDefault="000C2F85" w:rsidP="00120B8B">
            <w:pPr>
              <w:pStyle w:val="SingleTxtG"/>
              <w:tabs>
                <w:tab w:val="clear" w:pos="1701"/>
                <w:tab w:val="clear" w:pos="2268"/>
                <w:tab w:val="clear" w:pos="2835"/>
              </w:tabs>
              <w:spacing w:before="40" w:after="40" w:line="220" w:lineRule="exact"/>
              <w:ind w:left="113" w:right="0"/>
              <w:jc w:val="right"/>
              <w:rPr>
                <w:sz w:val="18"/>
                <w:lang w:val="es-ES_tradnl"/>
              </w:rPr>
            </w:pPr>
            <w:r w:rsidRPr="00120B8B">
              <w:rPr>
                <w:sz w:val="18"/>
                <w:lang w:val="es-ES_tradnl"/>
              </w:rPr>
              <w:t>1 359 059</w:t>
            </w:r>
          </w:p>
        </w:tc>
        <w:tc>
          <w:tcPr>
            <w:tcW w:w="2126" w:type="dxa"/>
            <w:shd w:val="clear" w:color="auto" w:fill="auto"/>
            <w:noWrap/>
            <w:vAlign w:val="bottom"/>
            <w:hideMark/>
          </w:tcPr>
          <w:p w14:paraId="627CD658" w14:textId="77777777" w:rsidR="000C2F85" w:rsidRPr="00120B8B" w:rsidRDefault="000C2F85" w:rsidP="00120B8B">
            <w:pPr>
              <w:pStyle w:val="SingleTxtG"/>
              <w:tabs>
                <w:tab w:val="clear" w:pos="1701"/>
                <w:tab w:val="clear" w:pos="2268"/>
                <w:tab w:val="clear" w:pos="2835"/>
              </w:tabs>
              <w:spacing w:before="40" w:after="40" w:line="220" w:lineRule="exact"/>
              <w:ind w:left="113" w:right="0"/>
              <w:jc w:val="right"/>
              <w:rPr>
                <w:sz w:val="18"/>
                <w:lang w:val="es-ES_tradnl"/>
              </w:rPr>
            </w:pPr>
            <w:r w:rsidRPr="00120B8B">
              <w:rPr>
                <w:sz w:val="18"/>
                <w:lang w:val="es-ES_tradnl"/>
              </w:rPr>
              <w:t>788 628</w:t>
            </w:r>
          </w:p>
        </w:tc>
      </w:tr>
      <w:tr w:rsidR="000C2F85" w:rsidRPr="00120B8B" w14:paraId="20085B75" w14:textId="77777777" w:rsidTr="00120B8B">
        <w:trPr>
          <w:trHeight w:val="240"/>
        </w:trPr>
        <w:tc>
          <w:tcPr>
            <w:tcW w:w="2694" w:type="dxa"/>
            <w:shd w:val="clear" w:color="auto" w:fill="auto"/>
            <w:noWrap/>
            <w:hideMark/>
          </w:tcPr>
          <w:p w14:paraId="7C7719A6"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2014/15</w:t>
            </w:r>
          </w:p>
        </w:tc>
        <w:tc>
          <w:tcPr>
            <w:tcW w:w="2551" w:type="dxa"/>
            <w:shd w:val="clear" w:color="auto" w:fill="auto"/>
            <w:noWrap/>
            <w:vAlign w:val="bottom"/>
            <w:hideMark/>
          </w:tcPr>
          <w:p w14:paraId="001FE567" w14:textId="77777777" w:rsidR="000C2F85" w:rsidRPr="00120B8B" w:rsidRDefault="000C2F85" w:rsidP="00120B8B">
            <w:pPr>
              <w:pStyle w:val="SingleTxtG"/>
              <w:tabs>
                <w:tab w:val="clear" w:pos="1701"/>
                <w:tab w:val="clear" w:pos="2268"/>
                <w:tab w:val="clear" w:pos="2835"/>
              </w:tabs>
              <w:spacing w:before="40" w:after="40" w:line="220" w:lineRule="exact"/>
              <w:ind w:left="113" w:right="0"/>
              <w:jc w:val="right"/>
              <w:rPr>
                <w:sz w:val="18"/>
                <w:lang w:val="es-ES_tradnl"/>
              </w:rPr>
            </w:pPr>
            <w:r w:rsidRPr="00120B8B">
              <w:rPr>
                <w:sz w:val="18"/>
                <w:lang w:val="es-ES_tradnl"/>
              </w:rPr>
              <w:t>1 389 707</w:t>
            </w:r>
          </w:p>
        </w:tc>
        <w:tc>
          <w:tcPr>
            <w:tcW w:w="2126" w:type="dxa"/>
            <w:shd w:val="clear" w:color="auto" w:fill="auto"/>
            <w:noWrap/>
            <w:vAlign w:val="bottom"/>
            <w:hideMark/>
          </w:tcPr>
          <w:p w14:paraId="62B049B4" w14:textId="77777777" w:rsidR="000C2F85" w:rsidRPr="00120B8B" w:rsidRDefault="000C2F85" w:rsidP="00120B8B">
            <w:pPr>
              <w:pStyle w:val="SingleTxtG"/>
              <w:tabs>
                <w:tab w:val="clear" w:pos="1701"/>
                <w:tab w:val="clear" w:pos="2268"/>
                <w:tab w:val="clear" w:pos="2835"/>
              </w:tabs>
              <w:spacing w:before="40" w:after="40" w:line="220" w:lineRule="exact"/>
              <w:ind w:left="113" w:right="0"/>
              <w:jc w:val="right"/>
              <w:rPr>
                <w:sz w:val="18"/>
                <w:lang w:val="es-ES_tradnl"/>
              </w:rPr>
            </w:pPr>
            <w:r w:rsidRPr="00120B8B">
              <w:rPr>
                <w:sz w:val="18"/>
                <w:lang w:val="es-ES_tradnl"/>
              </w:rPr>
              <w:t>792 592</w:t>
            </w:r>
          </w:p>
        </w:tc>
      </w:tr>
      <w:tr w:rsidR="000C2F85" w:rsidRPr="00120B8B" w14:paraId="65C467A9" w14:textId="77777777" w:rsidTr="00120B8B">
        <w:trPr>
          <w:trHeight w:val="240"/>
        </w:trPr>
        <w:tc>
          <w:tcPr>
            <w:tcW w:w="2694" w:type="dxa"/>
            <w:shd w:val="clear" w:color="auto" w:fill="auto"/>
            <w:noWrap/>
            <w:hideMark/>
          </w:tcPr>
          <w:p w14:paraId="7BA949ED"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2015/16</w:t>
            </w:r>
          </w:p>
        </w:tc>
        <w:tc>
          <w:tcPr>
            <w:tcW w:w="2551" w:type="dxa"/>
            <w:shd w:val="clear" w:color="auto" w:fill="auto"/>
            <w:noWrap/>
            <w:vAlign w:val="bottom"/>
            <w:hideMark/>
          </w:tcPr>
          <w:p w14:paraId="288612AB" w14:textId="77777777" w:rsidR="000C2F85" w:rsidRPr="00120B8B" w:rsidRDefault="000C2F85" w:rsidP="00120B8B">
            <w:pPr>
              <w:pStyle w:val="SingleTxtG"/>
              <w:tabs>
                <w:tab w:val="clear" w:pos="1701"/>
                <w:tab w:val="clear" w:pos="2268"/>
                <w:tab w:val="clear" w:pos="2835"/>
              </w:tabs>
              <w:spacing w:before="40" w:after="40" w:line="220" w:lineRule="exact"/>
              <w:ind w:left="113" w:right="0"/>
              <w:jc w:val="right"/>
              <w:rPr>
                <w:sz w:val="18"/>
                <w:lang w:val="es-ES_tradnl"/>
              </w:rPr>
            </w:pPr>
            <w:r w:rsidRPr="00120B8B">
              <w:rPr>
                <w:sz w:val="18"/>
                <w:lang w:val="es-ES_tradnl"/>
              </w:rPr>
              <w:t>1 461 881</w:t>
            </w:r>
          </w:p>
        </w:tc>
        <w:tc>
          <w:tcPr>
            <w:tcW w:w="2126" w:type="dxa"/>
            <w:shd w:val="clear" w:color="auto" w:fill="auto"/>
            <w:noWrap/>
            <w:vAlign w:val="bottom"/>
            <w:hideMark/>
          </w:tcPr>
          <w:p w14:paraId="3A86F07B" w14:textId="77777777" w:rsidR="000C2F85" w:rsidRPr="00120B8B" w:rsidRDefault="000C2F85" w:rsidP="00120B8B">
            <w:pPr>
              <w:pStyle w:val="SingleTxtG"/>
              <w:tabs>
                <w:tab w:val="clear" w:pos="1701"/>
                <w:tab w:val="clear" w:pos="2268"/>
                <w:tab w:val="clear" w:pos="2835"/>
              </w:tabs>
              <w:spacing w:before="40" w:after="40" w:line="220" w:lineRule="exact"/>
              <w:ind w:left="113" w:right="0"/>
              <w:jc w:val="right"/>
              <w:rPr>
                <w:sz w:val="18"/>
                <w:lang w:val="es-ES_tradnl"/>
              </w:rPr>
            </w:pPr>
            <w:r w:rsidRPr="00120B8B">
              <w:rPr>
                <w:sz w:val="18"/>
                <w:lang w:val="es-ES_tradnl"/>
              </w:rPr>
              <w:t>827 057</w:t>
            </w:r>
          </w:p>
        </w:tc>
      </w:tr>
      <w:tr w:rsidR="000C2F85" w:rsidRPr="00120B8B" w14:paraId="529B5412" w14:textId="77777777" w:rsidTr="00120B8B">
        <w:trPr>
          <w:trHeight w:val="240"/>
        </w:trPr>
        <w:tc>
          <w:tcPr>
            <w:tcW w:w="2694" w:type="dxa"/>
            <w:shd w:val="clear" w:color="auto" w:fill="auto"/>
            <w:noWrap/>
            <w:hideMark/>
          </w:tcPr>
          <w:p w14:paraId="3AC9BB73"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2016/17</w:t>
            </w:r>
          </w:p>
        </w:tc>
        <w:tc>
          <w:tcPr>
            <w:tcW w:w="2551" w:type="dxa"/>
            <w:shd w:val="clear" w:color="auto" w:fill="auto"/>
            <w:noWrap/>
            <w:vAlign w:val="bottom"/>
            <w:hideMark/>
          </w:tcPr>
          <w:p w14:paraId="68290AAF" w14:textId="77777777" w:rsidR="000C2F85" w:rsidRPr="00120B8B" w:rsidRDefault="000C2F85" w:rsidP="00120B8B">
            <w:pPr>
              <w:pStyle w:val="SingleTxtG"/>
              <w:tabs>
                <w:tab w:val="clear" w:pos="1701"/>
                <w:tab w:val="clear" w:pos="2268"/>
                <w:tab w:val="clear" w:pos="2835"/>
              </w:tabs>
              <w:spacing w:before="40" w:after="40" w:line="220" w:lineRule="exact"/>
              <w:ind w:left="113" w:right="0"/>
              <w:jc w:val="right"/>
              <w:rPr>
                <w:sz w:val="18"/>
                <w:lang w:val="es-ES_tradnl"/>
              </w:rPr>
            </w:pPr>
            <w:r w:rsidRPr="00120B8B">
              <w:rPr>
                <w:sz w:val="18"/>
                <w:lang w:val="es-ES_tradnl"/>
              </w:rPr>
              <w:t>1 451 332</w:t>
            </w:r>
          </w:p>
        </w:tc>
        <w:tc>
          <w:tcPr>
            <w:tcW w:w="2126" w:type="dxa"/>
            <w:shd w:val="clear" w:color="auto" w:fill="auto"/>
            <w:noWrap/>
            <w:vAlign w:val="bottom"/>
            <w:hideMark/>
          </w:tcPr>
          <w:p w14:paraId="098BC899" w14:textId="77777777" w:rsidR="000C2F85" w:rsidRPr="00120B8B" w:rsidRDefault="000C2F85" w:rsidP="00120B8B">
            <w:pPr>
              <w:pStyle w:val="SingleTxtG"/>
              <w:tabs>
                <w:tab w:val="clear" w:pos="1701"/>
                <w:tab w:val="clear" w:pos="2268"/>
                <w:tab w:val="clear" w:pos="2835"/>
              </w:tabs>
              <w:spacing w:before="40" w:after="40" w:line="220" w:lineRule="exact"/>
              <w:ind w:left="113" w:right="0"/>
              <w:jc w:val="right"/>
              <w:rPr>
                <w:sz w:val="18"/>
                <w:lang w:val="es-ES_tradnl"/>
              </w:rPr>
            </w:pPr>
            <w:r w:rsidRPr="00120B8B">
              <w:rPr>
                <w:sz w:val="18"/>
                <w:lang w:val="es-ES_tradnl"/>
              </w:rPr>
              <w:t>835 410</w:t>
            </w:r>
          </w:p>
        </w:tc>
      </w:tr>
      <w:tr w:rsidR="00120B8B" w:rsidRPr="00120B8B" w14:paraId="6B3BA842" w14:textId="77777777" w:rsidTr="00120B8B">
        <w:trPr>
          <w:trHeight w:val="240"/>
        </w:trPr>
        <w:tc>
          <w:tcPr>
            <w:tcW w:w="2694" w:type="dxa"/>
            <w:tcBorders>
              <w:bottom w:val="single" w:sz="12" w:space="0" w:color="auto"/>
            </w:tcBorders>
            <w:shd w:val="clear" w:color="auto" w:fill="auto"/>
            <w:noWrap/>
            <w:hideMark/>
          </w:tcPr>
          <w:p w14:paraId="2BF5231D"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2017/18*</w:t>
            </w:r>
          </w:p>
        </w:tc>
        <w:tc>
          <w:tcPr>
            <w:tcW w:w="2551" w:type="dxa"/>
            <w:tcBorders>
              <w:bottom w:val="single" w:sz="12" w:space="0" w:color="auto"/>
            </w:tcBorders>
            <w:shd w:val="clear" w:color="auto" w:fill="auto"/>
            <w:noWrap/>
            <w:vAlign w:val="bottom"/>
            <w:hideMark/>
          </w:tcPr>
          <w:p w14:paraId="7650CA93" w14:textId="77777777" w:rsidR="000C2F85" w:rsidRPr="00120B8B" w:rsidRDefault="000C2F85" w:rsidP="00120B8B">
            <w:pPr>
              <w:pStyle w:val="SingleTxtG"/>
              <w:tabs>
                <w:tab w:val="clear" w:pos="1701"/>
                <w:tab w:val="clear" w:pos="2268"/>
                <w:tab w:val="clear" w:pos="2835"/>
              </w:tabs>
              <w:spacing w:before="40" w:after="40" w:line="220" w:lineRule="exact"/>
              <w:ind w:left="113" w:right="0"/>
              <w:jc w:val="right"/>
              <w:rPr>
                <w:sz w:val="18"/>
                <w:lang w:val="es-ES_tradnl"/>
              </w:rPr>
            </w:pPr>
            <w:r w:rsidRPr="00120B8B">
              <w:rPr>
                <w:sz w:val="18"/>
                <w:lang w:val="es-ES_tradnl"/>
              </w:rPr>
              <w:t>1 495 201</w:t>
            </w:r>
          </w:p>
        </w:tc>
        <w:tc>
          <w:tcPr>
            <w:tcW w:w="2126" w:type="dxa"/>
            <w:tcBorders>
              <w:bottom w:val="single" w:sz="12" w:space="0" w:color="auto"/>
            </w:tcBorders>
            <w:shd w:val="clear" w:color="auto" w:fill="auto"/>
            <w:noWrap/>
            <w:vAlign w:val="bottom"/>
            <w:hideMark/>
          </w:tcPr>
          <w:p w14:paraId="14786EB4" w14:textId="77777777" w:rsidR="000C2F85" w:rsidRPr="00120B8B" w:rsidRDefault="000C2F85" w:rsidP="00120B8B">
            <w:pPr>
              <w:pStyle w:val="SingleTxtG"/>
              <w:tabs>
                <w:tab w:val="clear" w:pos="1701"/>
                <w:tab w:val="clear" w:pos="2268"/>
                <w:tab w:val="clear" w:pos="2835"/>
              </w:tabs>
              <w:spacing w:before="40" w:after="40" w:line="220" w:lineRule="exact"/>
              <w:ind w:left="113" w:right="0"/>
              <w:jc w:val="right"/>
              <w:rPr>
                <w:sz w:val="18"/>
                <w:lang w:val="es-ES_tradnl"/>
              </w:rPr>
            </w:pPr>
            <w:r w:rsidRPr="00120B8B">
              <w:rPr>
                <w:sz w:val="18"/>
                <w:lang w:val="es-ES_tradnl"/>
              </w:rPr>
              <w:t>864 845</w:t>
            </w:r>
          </w:p>
        </w:tc>
      </w:tr>
    </w:tbl>
    <w:p w14:paraId="6AB2E702" w14:textId="77777777" w:rsidR="000C2F85" w:rsidRPr="000C2F85" w:rsidRDefault="000C2F85" w:rsidP="00120B8B">
      <w:pPr>
        <w:pStyle w:val="SingleTxtG"/>
        <w:spacing w:before="240"/>
        <w:rPr>
          <w:lang w:val="es-ES_tradnl"/>
        </w:rPr>
      </w:pPr>
      <w:r w:rsidRPr="000C2F85">
        <w:rPr>
          <w:lang w:val="es-ES_tradnl"/>
        </w:rPr>
        <w:t>25.</w:t>
      </w:r>
      <w:r w:rsidRPr="000C2F85">
        <w:rPr>
          <w:lang w:val="es-ES_tradnl"/>
        </w:rPr>
        <w:tab/>
        <w:t>Se prevé que el déficit presupuestario baje del 4,3 % del PIB en el ejercicio 2017/18 al 3,5 % en 2020/21. Se estima que entre 2017/18 y 2020/21 el gasto menos los intereses pagados del presupuesto principal se mantendrá estable en el 26,6 % del PIB. Se prevé que en el ejercicio 2023/24 la deuda neta se estabilizará en el 53,2 % del PIB. Las medidas fiscales propuestas permitirán recaudar otros 36.000 millones de rand en el ejercicio 2018/19. El marco fiscal refleja dos cambios importantes: recortes de gastos a medio plazo determinados por un subcomité ministerial que ascienden a 85.000 millones de rand, y una asignación adicional de 57.000 millones de rand para formación y educación superior gratuita. Las reservas para imprevistos se han revisado al alza hasta situarse en 26.000 millones de rand para los próximos tres años. El crecimiento real del gasto menos los intereses representará en promedio el 1,8 % durante los próximos tres años. La formación y la educación no obligatoria es la categoría que crece más rápidamente.</w:t>
      </w:r>
    </w:p>
    <w:p w14:paraId="6C551B74" w14:textId="77777777" w:rsidR="000C2F85" w:rsidRPr="000C2F85" w:rsidRDefault="000C2F85" w:rsidP="000C2F85">
      <w:pPr>
        <w:pStyle w:val="SingleTxtG"/>
        <w:rPr>
          <w:lang w:val="es-ES_tradnl"/>
        </w:rPr>
      </w:pPr>
      <w:r w:rsidRPr="000C2F85">
        <w:rPr>
          <w:lang w:val="es-ES_tradnl"/>
        </w:rPr>
        <w:t>26.</w:t>
      </w:r>
      <w:r w:rsidRPr="000C2F85">
        <w:rPr>
          <w:lang w:val="es-ES_tradnl"/>
        </w:rPr>
        <w:tab/>
        <w:t>El gasto público consolidado por función figura en el siguiente cuadro.</w:t>
      </w:r>
    </w:p>
    <w:p w14:paraId="180B2848" w14:textId="77777777" w:rsidR="000C2F85" w:rsidRPr="000C2F85" w:rsidRDefault="000C2F85" w:rsidP="00120B8B">
      <w:pPr>
        <w:pStyle w:val="H23G"/>
        <w:rPr>
          <w:lang w:val="es-ES_tradnl"/>
        </w:rPr>
      </w:pPr>
      <w:r w:rsidRPr="00120B8B">
        <w:rPr>
          <w:b w:val="0"/>
          <w:bCs/>
          <w:lang w:val="es-ES_tradnl"/>
        </w:rPr>
        <w:tab/>
      </w:r>
      <w:r w:rsidRPr="00120B8B">
        <w:rPr>
          <w:b w:val="0"/>
          <w:bCs/>
          <w:lang w:val="es-ES_tradnl"/>
        </w:rPr>
        <w:tab/>
        <w:t>Cuadro 13</w:t>
      </w:r>
      <w:r w:rsidRPr="00120B8B">
        <w:rPr>
          <w:b w:val="0"/>
          <w:bCs/>
          <w:lang w:val="es-ES_tradnl"/>
        </w:rPr>
        <w:br/>
      </w:r>
      <w:r w:rsidRPr="000C2F85">
        <w:rPr>
          <w:lang w:val="es-ES_tradnl"/>
        </w:rPr>
        <w:t>Gasto público consolidado por función (2017-2020)</w:t>
      </w:r>
    </w:p>
    <w:p w14:paraId="7F14FE6F" w14:textId="77777777" w:rsidR="000C2F85" w:rsidRPr="000C2F85" w:rsidRDefault="000C2F85" w:rsidP="000C2F85">
      <w:pPr>
        <w:pStyle w:val="SingleTxtG"/>
        <w:rPr>
          <w:bCs/>
          <w:lang w:val="es-ES_tradnl"/>
        </w:rPr>
      </w:pPr>
      <w:r w:rsidRPr="000C2F85">
        <w:rPr>
          <w:bCs/>
          <w:noProof/>
          <w:lang w:val="es-ES_tradnl"/>
        </w:rPr>
        <w:drawing>
          <wp:inline distT="0" distB="0" distL="0" distR="0" wp14:anchorId="438D16E5" wp14:editId="5C198D0C">
            <wp:extent cx="4696496" cy="467550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3864" cy="4762482"/>
                    </a:xfrm>
                    <a:prstGeom prst="rect">
                      <a:avLst/>
                    </a:prstGeom>
                    <a:noFill/>
                    <a:ln>
                      <a:noFill/>
                    </a:ln>
                  </pic:spPr>
                </pic:pic>
              </a:graphicData>
            </a:graphic>
          </wp:inline>
        </w:drawing>
      </w:r>
    </w:p>
    <w:p w14:paraId="6371F5F0" w14:textId="77777777" w:rsidR="000C2F85" w:rsidRPr="000C2F85" w:rsidRDefault="000C2F85" w:rsidP="00120B8B">
      <w:pPr>
        <w:pStyle w:val="SingleTxtG"/>
        <w:spacing w:before="240"/>
        <w:rPr>
          <w:lang w:val="es-ES_tradnl"/>
        </w:rPr>
      </w:pPr>
      <w:r w:rsidRPr="000C2F85">
        <w:rPr>
          <w:lang w:val="es-ES_tradnl"/>
        </w:rPr>
        <w:lastRenderedPageBreak/>
        <w:t>27.</w:t>
      </w:r>
      <w:r w:rsidRPr="000C2F85">
        <w:rPr>
          <w:lang w:val="es-ES_tradnl"/>
        </w:rPr>
        <w:tab/>
        <w:t>Durante los próximos tres años, los gastos del Gobierno consistirán en lo siguiente:</w:t>
      </w:r>
    </w:p>
    <w:p w14:paraId="25F4DDB8" w14:textId="69EF5A7E" w:rsidR="000C2F85" w:rsidRPr="000C2F85" w:rsidRDefault="000C2F85" w:rsidP="00120B8B">
      <w:pPr>
        <w:pStyle w:val="Bullet1G"/>
        <w:rPr>
          <w:lang w:val="es-ES_tradnl"/>
        </w:rPr>
      </w:pPr>
      <w:r w:rsidRPr="000C2F85">
        <w:rPr>
          <w:lang w:val="es-ES_tradnl"/>
        </w:rPr>
        <w:t>528.400 millones de rand en subsidios sociales</w:t>
      </w:r>
      <w:r w:rsidR="00120B8B">
        <w:rPr>
          <w:lang w:val="es-ES_tradnl"/>
        </w:rPr>
        <w:t>.</w:t>
      </w:r>
    </w:p>
    <w:p w14:paraId="3DEA940A" w14:textId="1E6F83A5" w:rsidR="000C2F85" w:rsidRPr="000C2F85" w:rsidRDefault="000C2F85" w:rsidP="00120B8B">
      <w:pPr>
        <w:pStyle w:val="Bullet1G"/>
        <w:rPr>
          <w:lang w:val="es-ES_tradnl"/>
        </w:rPr>
      </w:pPr>
      <w:r w:rsidRPr="000C2F85">
        <w:rPr>
          <w:lang w:val="es-ES_tradnl"/>
        </w:rPr>
        <w:t>En total, se asignan 324.000 millones de rand a formación y educación superior, incluidos 57.000 millones de rand de nuevas asignaciones para la formación y la educación superior gratuitas</w:t>
      </w:r>
      <w:r w:rsidR="00120B8B">
        <w:rPr>
          <w:lang w:val="es-ES_tradnl"/>
        </w:rPr>
        <w:t>.</w:t>
      </w:r>
    </w:p>
    <w:p w14:paraId="6B3E2650" w14:textId="371A0BB0" w:rsidR="000C2F85" w:rsidRPr="000C2F85" w:rsidRDefault="000C2F85" w:rsidP="00120B8B">
      <w:pPr>
        <w:pStyle w:val="Bullet1G"/>
        <w:rPr>
          <w:lang w:val="es-ES_tradnl"/>
        </w:rPr>
      </w:pPr>
      <w:r w:rsidRPr="000C2F85">
        <w:rPr>
          <w:lang w:val="es-ES_tradnl"/>
        </w:rPr>
        <w:t>792.000 millones de rand para educación básica, incluidos 35.000 millones de rand para infraestructura y 15.300 millones de rand para material de apoyo a alumnos y docentes, incluidas las tecnologías de la información y las comunicaciones (TIC)</w:t>
      </w:r>
      <w:r w:rsidR="00120B8B">
        <w:rPr>
          <w:lang w:val="es-ES_tradnl"/>
        </w:rPr>
        <w:t>.</w:t>
      </w:r>
    </w:p>
    <w:p w14:paraId="4A50AD5E" w14:textId="7D3F21FF" w:rsidR="000C2F85" w:rsidRPr="000C2F85" w:rsidRDefault="000C2F85" w:rsidP="00120B8B">
      <w:pPr>
        <w:pStyle w:val="Bullet1G"/>
        <w:rPr>
          <w:lang w:val="es-ES_tradnl"/>
        </w:rPr>
      </w:pPr>
      <w:r w:rsidRPr="000C2F85">
        <w:rPr>
          <w:lang w:val="es-ES_tradnl"/>
        </w:rPr>
        <w:t>667.800 millones de rand para atención de la salud, incluida una subvención condicional de 66.400 millones de rand para el VIH, el sida y la tuberculosis</w:t>
      </w:r>
      <w:r w:rsidR="00120B8B">
        <w:rPr>
          <w:lang w:val="es-ES_tradnl"/>
        </w:rPr>
        <w:t>.</w:t>
      </w:r>
    </w:p>
    <w:p w14:paraId="1417D4FB" w14:textId="7A082347" w:rsidR="000C2F85" w:rsidRPr="000C2F85" w:rsidRDefault="000C2F85" w:rsidP="00120B8B">
      <w:pPr>
        <w:pStyle w:val="Bullet1G"/>
        <w:rPr>
          <w:lang w:val="es-ES_tradnl"/>
        </w:rPr>
      </w:pPr>
      <w:r w:rsidRPr="000C2F85">
        <w:rPr>
          <w:lang w:val="es-ES_tradnl"/>
        </w:rPr>
        <w:t>123.300 millones de rand para viviendas públicas subsidiadas</w:t>
      </w:r>
      <w:r w:rsidR="00120B8B">
        <w:rPr>
          <w:lang w:val="es-ES_tradnl"/>
        </w:rPr>
        <w:t>.</w:t>
      </w:r>
    </w:p>
    <w:p w14:paraId="71524EE3" w14:textId="253E4D83" w:rsidR="000C2F85" w:rsidRPr="000C2F85" w:rsidRDefault="000C2F85" w:rsidP="00120B8B">
      <w:pPr>
        <w:pStyle w:val="Bullet1G"/>
        <w:rPr>
          <w:lang w:val="es-ES_tradnl"/>
        </w:rPr>
      </w:pPr>
      <w:r w:rsidRPr="000C2F85">
        <w:rPr>
          <w:lang w:val="es-ES_tradnl"/>
        </w:rPr>
        <w:t>125.800 millones de rand en infraestructura y servicios de abastecimiento de agua</w:t>
      </w:r>
      <w:r w:rsidR="00120B8B">
        <w:rPr>
          <w:lang w:val="es-ES_tradnl"/>
        </w:rPr>
        <w:t>.</w:t>
      </w:r>
    </w:p>
    <w:p w14:paraId="7DA95305" w14:textId="623051A9" w:rsidR="000C2F85" w:rsidRPr="000C2F85" w:rsidRDefault="000C2F85" w:rsidP="00120B8B">
      <w:pPr>
        <w:pStyle w:val="Bullet1G"/>
        <w:rPr>
          <w:lang w:val="es-ES_tradnl"/>
        </w:rPr>
      </w:pPr>
      <w:r w:rsidRPr="000C2F85">
        <w:rPr>
          <w:lang w:val="es-ES_tradnl"/>
        </w:rPr>
        <w:t>207.400 millones de rand en transferencias de la participación equitativa del gobierno local para la prestación de servicios básicos a los hogares pobres</w:t>
      </w:r>
      <w:r w:rsidR="00120B8B">
        <w:rPr>
          <w:lang w:val="es-ES_tradnl"/>
        </w:rPr>
        <w:t>.</w:t>
      </w:r>
    </w:p>
    <w:p w14:paraId="63E2F10F" w14:textId="72B9ADA3" w:rsidR="000C2F85" w:rsidRPr="000C2F85" w:rsidRDefault="000C2F85" w:rsidP="00120B8B">
      <w:pPr>
        <w:pStyle w:val="Bullet1G"/>
        <w:rPr>
          <w:lang w:val="es-ES_tradnl"/>
        </w:rPr>
      </w:pPr>
      <w:r w:rsidRPr="000C2F85">
        <w:rPr>
          <w:lang w:val="es-ES_tradnl"/>
        </w:rPr>
        <w:t>129.200 millones de rand para apoyar un transporte público asequible</w:t>
      </w:r>
      <w:r w:rsidR="00120B8B">
        <w:rPr>
          <w:lang w:val="es-ES_tradnl"/>
        </w:rPr>
        <w:t>.</w:t>
      </w:r>
    </w:p>
    <w:p w14:paraId="1446AB3D" w14:textId="5B44DB4D" w:rsidR="000C2F85" w:rsidRPr="000C2F85" w:rsidRDefault="000C2F85" w:rsidP="000C2F85">
      <w:pPr>
        <w:pStyle w:val="SingleTxtG"/>
        <w:rPr>
          <w:lang w:val="es-ES_tradnl"/>
        </w:rPr>
      </w:pPr>
      <w:r w:rsidRPr="000C2F85">
        <w:rPr>
          <w:lang w:val="es-ES_tradnl"/>
        </w:rPr>
        <w:t>28.</w:t>
      </w:r>
      <w:r w:rsidRPr="000C2F85">
        <w:rPr>
          <w:lang w:val="es-ES_tradnl"/>
        </w:rPr>
        <w:tab/>
        <w:t xml:space="preserve">En relación con las características económicas y sociales, más de tres decenios de colonialismo y </w:t>
      </w:r>
      <w:r w:rsidRPr="000C2F85">
        <w:rPr>
          <w:i/>
          <w:iCs/>
          <w:lang w:val="es-ES_tradnl"/>
        </w:rPr>
        <w:t>apartheid</w:t>
      </w:r>
      <w:r w:rsidRPr="000C2F85">
        <w:rPr>
          <w:lang w:val="es-ES_tradnl"/>
        </w:rPr>
        <w:t xml:space="preserve"> han dejado en Sudáfrica huellas que aún no han desaparecido. A pesar de que muchas leyes del </w:t>
      </w:r>
      <w:r w:rsidRPr="000C2F85">
        <w:rPr>
          <w:i/>
          <w:iCs/>
          <w:lang w:val="es-ES_tradnl"/>
        </w:rPr>
        <w:t>apartheid</w:t>
      </w:r>
      <w:r w:rsidRPr="000C2F85">
        <w:rPr>
          <w:lang w:val="es-ES_tradnl"/>
        </w:rPr>
        <w:t xml:space="preserve"> fueron suprimidas de los códigos legislativos, sus consecuencias sociales y económicas siguen definiendo el panorama de Sudáfrica. Las desigualdades económicas y sociales por motivos raciales siguen formando parte de la vida sudafricana. Con el legado del </w:t>
      </w:r>
      <w:r w:rsidRPr="000C2F85">
        <w:rPr>
          <w:i/>
          <w:iCs/>
          <w:lang w:val="es-ES_tradnl"/>
        </w:rPr>
        <w:t>apartheid</w:t>
      </w:r>
      <w:r w:rsidRPr="000C2F85">
        <w:rPr>
          <w:lang w:val="es-ES_tradnl"/>
        </w:rPr>
        <w:t xml:space="preserve"> se han afianzado enormes disparidades económicas, de modo que Sudáfrica se ha convertido uno de los países del mundo en que la desigualdad es mayor</w:t>
      </w:r>
      <w:r w:rsidRPr="00605B48">
        <w:rPr>
          <w:sz w:val="18"/>
          <w:szCs w:val="18"/>
          <w:vertAlign w:val="superscript"/>
          <w:lang w:val="es-ES_tradnl"/>
        </w:rPr>
        <w:footnoteReference w:id="22"/>
      </w:r>
      <w:r w:rsidRPr="000C2F85">
        <w:rPr>
          <w:lang w:val="es-ES_tradnl"/>
        </w:rPr>
        <w:t>. El Plan Nacional de Desarrollo tiene por objeto reducir la desigualdad, que se mide mediante el coeficiente de Gini sobre la base de los ingresos per cápita (incluidos los sueldos, los salarios y los subsidios sociales) de 0,7 en 2010 a 0,6 antes de 2030.</w:t>
      </w:r>
    </w:p>
    <w:p w14:paraId="7623EE04" w14:textId="48932D18" w:rsidR="000C2F85" w:rsidRPr="000C2F85" w:rsidRDefault="000C2F85" w:rsidP="000C2F85">
      <w:pPr>
        <w:pStyle w:val="SingleTxtG"/>
        <w:rPr>
          <w:lang w:val="es-ES_tradnl"/>
        </w:rPr>
      </w:pPr>
      <w:r w:rsidRPr="000C2F85">
        <w:rPr>
          <w:lang w:val="es-ES_tradnl"/>
        </w:rPr>
        <w:t>29.</w:t>
      </w:r>
      <w:r w:rsidRPr="000C2F85">
        <w:rPr>
          <w:lang w:val="es-ES_tradnl"/>
        </w:rPr>
        <w:tab/>
        <w:t>La proporción de la población que vive en la pobreza se redujo del 66,6 % (31,6</w:t>
      </w:r>
      <w:r w:rsidR="008F3AA3">
        <w:rPr>
          <w:lang w:val="es-ES_tradnl"/>
        </w:rPr>
        <w:t> </w:t>
      </w:r>
      <w:r w:rsidRPr="000C2F85">
        <w:rPr>
          <w:lang w:val="es-ES_tradnl"/>
        </w:rPr>
        <w:t>millones de personas) en 2006 al 53,2 % (27,3 millones) en 2011, pero aumentó hasta el 55,5 % (30,4 millones de personas) en 2015. El número de personas que vivían en la pobreza extrema en Sudáfrica (es decir, que vivían por debajo del umbral de pobreza alimentaria de 2015, que era de 441 rand por persona al mes) aumentó en 2,8 millones, de 11</w:t>
      </w:r>
      <w:r w:rsidR="008F3AA3">
        <w:rPr>
          <w:lang w:val="es-ES_tradnl"/>
        </w:rPr>
        <w:t> </w:t>
      </w:r>
      <w:r w:rsidRPr="000C2F85">
        <w:rPr>
          <w:lang w:val="es-ES_tradnl"/>
        </w:rPr>
        <w:t>millones de personas en 2011 a 13,8 millones en 2015. No obstante, la cifra es menor que en 2009, año en que 16,7 millones personas vivían en situación de pobreza extrema</w:t>
      </w:r>
      <w:r w:rsidRPr="00605B48">
        <w:rPr>
          <w:sz w:val="18"/>
          <w:szCs w:val="18"/>
          <w:vertAlign w:val="superscript"/>
          <w:lang w:val="es-ES_tradnl"/>
        </w:rPr>
        <w:footnoteReference w:id="23"/>
      </w:r>
      <w:r w:rsidRPr="000C2F85">
        <w:rPr>
          <w:lang w:val="es-ES_tradnl"/>
        </w:rPr>
        <w:t>. Los grupos más vulnerables a la pobreza en nuestra sociedad son los niños (de 17 años o menos), las mujeres, las personas africanas negras, los habitantes de las zonas rurales, los residentes en el Cabo Oriental y Limpopo, y las personas sin estudios o con un nivel bajo de educación.</w:t>
      </w:r>
    </w:p>
    <w:p w14:paraId="5B6F0BC2" w14:textId="77777777" w:rsidR="000C2F85" w:rsidRPr="000C2F85" w:rsidRDefault="000C2F85" w:rsidP="000C2F85">
      <w:pPr>
        <w:pStyle w:val="SingleTxtG"/>
        <w:rPr>
          <w:lang w:val="es-ES_tradnl"/>
        </w:rPr>
      </w:pPr>
      <w:r w:rsidRPr="000C2F85">
        <w:rPr>
          <w:lang w:val="es-ES_tradnl"/>
        </w:rPr>
        <w:t>30.</w:t>
      </w:r>
      <w:r w:rsidRPr="000C2F85">
        <w:rPr>
          <w:lang w:val="es-ES_tradnl"/>
        </w:rPr>
        <w:tab/>
        <w:t>La desigualdad de los ingresos per cápita medida por el coeficiente de Gini se redujo del 0,72 % en 2006 al 0,68 % en 2015. Sin embargo, existen notables variaciones entre los distintos grupos de población. Las personas africanas negras registraban la mayor desigualdad en los ingresos, con un coeficiente de Gini de 0,65 en 2015, que suponía un aumento respecto de 2006, en que fue de 0,64. La desigualdad en los ingresos entre personas blancas disminuyó de 0,56 en 2006 a 0,51 en 2015. El coeficiente de Gini entre personas mestizas disminuyó de 0,60 en 2006 a 0,58 en 2015. Pese a que experimentó una reducción de la desigualdad en los ingresos en 2009 (0,53) y 2011 (0,50), en 2016 y 2015 el coeficiente de Gini para la población india y asiática fue de 0,56.</w:t>
      </w:r>
    </w:p>
    <w:p w14:paraId="4E22F881" w14:textId="77777777" w:rsidR="000C2F85" w:rsidRPr="000C2F85" w:rsidRDefault="000C2F85" w:rsidP="000C2F85">
      <w:pPr>
        <w:pStyle w:val="SingleTxtG"/>
        <w:rPr>
          <w:lang w:val="es-ES_tradnl"/>
        </w:rPr>
      </w:pPr>
      <w:r w:rsidRPr="000C2F85">
        <w:rPr>
          <w:lang w:val="es-ES_tradnl"/>
        </w:rPr>
        <w:lastRenderedPageBreak/>
        <w:t>31.</w:t>
      </w:r>
      <w:r w:rsidRPr="000C2F85">
        <w:rPr>
          <w:lang w:val="es-ES_tradnl"/>
        </w:rPr>
        <w:tab/>
        <w:t>El desempleo sigue siendo uno de los mayores problemas de Sudáfrica y, por ello, es un elemento esencial de nuestro Plan Nacional de Desarrollo. En el cuadro que figura a continuación se muestra un análisis comparativo de las encuestas de población activa.</w:t>
      </w:r>
    </w:p>
    <w:p w14:paraId="2EA43D56" w14:textId="406E13BD" w:rsidR="000C2F85" w:rsidRPr="00120B8B" w:rsidRDefault="000C2F85" w:rsidP="00120B8B">
      <w:pPr>
        <w:pStyle w:val="H23G"/>
        <w:ind w:left="0" w:firstLine="0"/>
        <w:rPr>
          <w:b w:val="0"/>
          <w:bCs/>
          <w:sz w:val="16"/>
          <w:szCs w:val="16"/>
          <w:lang w:val="es-ES_tradnl"/>
        </w:rPr>
      </w:pPr>
      <w:r w:rsidRPr="00120B8B">
        <w:rPr>
          <w:b w:val="0"/>
          <w:bCs/>
          <w:lang w:val="es-ES_tradnl"/>
        </w:rPr>
        <w:t xml:space="preserve">Cuadro 14 </w:t>
      </w:r>
      <w:r w:rsidRPr="00120B8B">
        <w:rPr>
          <w:b w:val="0"/>
          <w:bCs/>
          <w:lang w:val="es-ES_tradnl"/>
        </w:rPr>
        <w:br/>
      </w:r>
      <w:r w:rsidRPr="000C2F85">
        <w:rPr>
          <w:lang w:val="es-ES_tradnl"/>
        </w:rPr>
        <w:t>Análisis comparativo de las encuestas trimestrales sobre la fuerza de trabajo (2013-2017)</w:t>
      </w:r>
      <w:r w:rsidRPr="00605B48">
        <w:rPr>
          <w:b w:val="0"/>
          <w:sz w:val="18"/>
          <w:szCs w:val="18"/>
          <w:vertAlign w:val="superscript"/>
          <w:lang w:val="es-ES_tradnl"/>
        </w:rPr>
        <w:footnoteReference w:id="24"/>
      </w:r>
      <w:r w:rsidRPr="000C2F85">
        <w:rPr>
          <w:lang w:val="es-ES_tradnl"/>
        </w:rPr>
        <w:t xml:space="preserve"> </w:t>
      </w:r>
      <w:r w:rsidRPr="000C2F85">
        <w:rPr>
          <w:lang w:val="es-ES_tradnl"/>
        </w:rPr>
        <w:br/>
      </w:r>
      <w:r w:rsidRPr="00120B8B">
        <w:rPr>
          <w:b w:val="0"/>
          <w:bCs/>
          <w:sz w:val="16"/>
          <w:szCs w:val="16"/>
          <w:lang w:val="es-ES_tradnl"/>
        </w:rPr>
        <w:t>(En miles)</w:t>
      </w:r>
    </w:p>
    <w:tbl>
      <w:tblPr>
        <w:tblW w:w="9639" w:type="dxa"/>
        <w:tblBorders>
          <w:top w:val="single" w:sz="4" w:space="0" w:color="auto"/>
        </w:tblBorders>
        <w:tblLayout w:type="fixed"/>
        <w:tblCellMar>
          <w:left w:w="0" w:type="dxa"/>
          <w:right w:w="0" w:type="dxa"/>
        </w:tblCellMar>
        <w:tblLook w:val="04A0" w:firstRow="1" w:lastRow="0" w:firstColumn="1" w:lastColumn="0" w:noHBand="0" w:noVBand="1"/>
      </w:tblPr>
      <w:tblGrid>
        <w:gridCol w:w="3686"/>
        <w:gridCol w:w="1293"/>
        <w:gridCol w:w="1171"/>
        <w:gridCol w:w="1163"/>
        <w:gridCol w:w="1163"/>
        <w:gridCol w:w="1163"/>
      </w:tblGrid>
      <w:tr w:rsidR="000C2F85" w:rsidRPr="00120B8B" w14:paraId="5A3AE6E6" w14:textId="77777777" w:rsidTr="00120B8B">
        <w:trPr>
          <w:trHeight w:val="240"/>
          <w:tblHeader/>
        </w:trPr>
        <w:tc>
          <w:tcPr>
            <w:tcW w:w="3686" w:type="dxa"/>
            <w:tcBorders>
              <w:top w:val="single" w:sz="4" w:space="0" w:color="auto"/>
              <w:bottom w:val="single" w:sz="12" w:space="0" w:color="auto"/>
            </w:tcBorders>
            <w:shd w:val="clear" w:color="auto" w:fill="auto"/>
            <w:noWrap/>
            <w:vAlign w:val="bottom"/>
            <w:hideMark/>
          </w:tcPr>
          <w:p w14:paraId="28ED3FDF" w14:textId="77777777" w:rsidR="000C2F85" w:rsidRPr="00120B8B" w:rsidRDefault="000C2F85" w:rsidP="00120B8B">
            <w:pPr>
              <w:pStyle w:val="SingleTxtG"/>
              <w:tabs>
                <w:tab w:val="clear" w:pos="1701"/>
                <w:tab w:val="clear" w:pos="2268"/>
                <w:tab w:val="clear" w:pos="2835"/>
              </w:tabs>
              <w:spacing w:before="80" w:after="80" w:line="200" w:lineRule="exact"/>
              <w:ind w:left="0" w:right="0"/>
              <w:jc w:val="left"/>
              <w:rPr>
                <w:bCs/>
                <w:i/>
                <w:sz w:val="16"/>
                <w:lang w:val="es-ES_tradnl"/>
              </w:rPr>
            </w:pPr>
            <w:r w:rsidRPr="00120B8B">
              <w:rPr>
                <w:i/>
                <w:iCs/>
                <w:sz w:val="16"/>
                <w:lang w:val="es-ES_tradnl"/>
              </w:rPr>
              <w:t>Ambos sexos</w:t>
            </w:r>
          </w:p>
        </w:tc>
        <w:tc>
          <w:tcPr>
            <w:tcW w:w="1293" w:type="dxa"/>
            <w:tcBorders>
              <w:top w:val="single" w:sz="4" w:space="0" w:color="auto"/>
              <w:bottom w:val="single" w:sz="12" w:space="0" w:color="auto"/>
            </w:tcBorders>
            <w:shd w:val="clear" w:color="auto" w:fill="auto"/>
            <w:vAlign w:val="bottom"/>
            <w:hideMark/>
          </w:tcPr>
          <w:p w14:paraId="30B813C5" w14:textId="539C1747" w:rsidR="000C2F85" w:rsidRPr="00120B8B" w:rsidRDefault="000C2F85" w:rsidP="00120B8B">
            <w:pPr>
              <w:pStyle w:val="SingleTxtG"/>
              <w:tabs>
                <w:tab w:val="clear" w:pos="1701"/>
                <w:tab w:val="clear" w:pos="2268"/>
                <w:tab w:val="clear" w:pos="2835"/>
              </w:tabs>
              <w:spacing w:before="80" w:after="80" w:line="200" w:lineRule="exact"/>
              <w:ind w:left="28" w:right="28"/>
              <w:jc w:val="right"/>
              <w:rPr>
                <w:bCs/>
                <w:i/>
                <w:sz w:val="16"/>
                <w:lang w:val="es-ES_tradnl"/>
              </w:rPr>
            </w:pPr>
            <w:r w:rsidRPr="00120B8B">
              <w:rPr>
                <w:i/>
                <w:iCs/>
                <w:sz w:val="16"/>
                <w:lang w:val="es-ES_tradnl"/>
              </w:rPr>
              <w:t>Encuesta trimestral de población activa</w:t>
            </w:r>
            <w:r w:rsidR="00120B8B">
              <w:rPr>
                <w:i/>
                <w:iCs/>
                <w:sz w:val="16"/>
                <w:lang w:val="es-ES_tradnl"/>
              </w:rPr>
              <w:t> </w:t>
            </w:r>
            <w:r w:rsidRPr="00120B8B">
              <w:rPr>
                <w:i/>
                <w:iCs/>
                <w:sz w:val="16"/>
                <w:lang w:val="es-ES_tradnl"/>
              </w:rPr>
              <w:t>2013</w:t>
            </w:r>
          </w:p>
        </w:tc>
        <w:tc>
          <w:tcPr>
            <w:tcW w:w="1171" w:type="dxa"/>
            <w:tcBorders>
              <w:top w:val="single" w:sz="4" w:space="0" w:color="auto"/>
              <w:bottom w:val="single" w:sz="12" w:space="0" w:color="auto"/>
            </w:tcBorders>
            <w:shd w:val="clear" w:color="auto" w:fill="auto"/>
            <w:vAlign w:val="bottom"/>
            <w:hideMark/>
          </w:tcPr>
          <w:p w14:paraId="20DB4A87" w14:textId="7CD578B9" w:rsidR="000C2F85" w:rsidRPr="00120B8B" w:rsidRDefault="000C2F85" w:rsidP="00120B8B">
            <w:pPr>
              <w:pStyle w:val="SingleTxtG"/>
              <w:tabs>
                <w:tab w:val="clear" w:pos="1701"/>
                <w:tab w:val="clear" w:pos="2268"/>
                <w:tab w:val="clear" w:pos="2835"/>
              </w:tabs>
              <w:spacing w:before="80" w:after="80" w:line="200" w:lineRule="exact"/>
              <w:ind w:left="28" w:right="28"/>
              <w:jc w:val="right"/>
              <w:rPr>
                <w:bCs/>
                <w:i/>
                <w:sz w:val="16"/>
                <w:lang w:val="es-ES_tradnl"/>
              </w:rPr>
            </w:pPr>
            <w:r w:rsidRPr="00120B8B">
              <w:rPr>
                <w:i/>
                <w:iCs/>
                <w:sz w:val="16"/>
                <w:lang w:val="es-ES_tradnl"/>
              </w:rPr>
              <w:t>Encuesta trimestral de población activa</w:t>
            </w:r>
            <w:r w:rsidR="00120B8B">
              <w:rPr>
                <w:i/>
                <w:iCs/>
                <w:sz w:val="16"/>
                <w:lang w:val="es-ES_tradnl"/>
              </w:rPr>
              <w:t> </w:t>
            </w:r>
            <w:r w:rsidRPr="00120B8B">
              <w:rPr>
                <w:i/>
                <w:iCs/>
                <w:sz w:val="16"/>
                <w:lang w:val="es-ES_tradnl"/>
              </w:rPr>
              <w:t>2014</w:t>
            </w:r>
          </w:p>
        </w:tc>
        <w:tc>
          <w:tcPr>
            <w:tcW w:w="1163" w:type="dxa"/>
            <w:tcBorders>
              <w:top w:val="single" w:sz="4" w:space="0" w:color="auto"/>
              <w:bottom w:val="single" w:sz="12" w:space="0" w:color="auto"/>
            </w:tcBorders>
            <w:shd w:val="clear" w:color="auto" w:fill="auto"/>
            <w:vAlign w:val="bottom"/>
            <w:hideMark/>
          </w:tcPr>
          <w:p w14:paraId="17C6EE58" w14:textId="2AD8AC26" w:rsidR="000C2F85" w:rsidRPr="00120B8B" w:rsidRDefault="000C2F85" w:rsidP="00120B8B">
            <w:pPr>
              <w:pStyle w:val="SingleTxtG"/>
              <w:tabs>
                <w:tab w:val="clear" w:pos="1701"/>
                <w:tab w:val="clear" w:pos="2268"/>
                <w:tab w:val="clear" w:pos="2835"/>
              </w:tabs>
              <w:spacing w:before="80" w:after="80" w:line="200" w:lineRule="exact"/>
              <w:ind w:left="28" w:right="28"/>
              <w:jc w:val="right"/>
              <w:rPr>
                <w:bCs/>
                <w:i/>
                <w:sz w:val="16"/>
                <w:lang w:val="es-ES_tradnl"/>
              </w:rPr>
            </w:pPr>
            <w:r w:rsidRPr="00120B8B">
              <w:rPr>
                <w:i/>
                <w:iCs/>
                <w:sz w:val="16"/>
                <w:lang w:val="es-ES_tradnl"/>
              </w:rPr>
              <w:t>Encuesta trimestral de población activa</w:t>
            </w:r>
            <w:r w:rsidR="00120B8B">
              <w:rPr>
                <w:i/>
                <w:iCs/>
                <w:sz w:val="16"/>
                <w:lang w:val="es-ES_tradnl"/>
              </w:rPr>
              <w:t> </w:t>
            </w:r>
            <w:r w:rsidRPr="00120B8B">
              <w:rPr>
                <w:i/>
                <w:iCs/>
                <w:sz w:val="16"/>
                <w:lang w:val="es-ES_tradnl"/>
              </w:rPr>
              <w:t>2015</w:t>
            </w:r>
          </w:p>
        </w:tc>
        <w:tc>
          <w:tcPr>
            <w:tcW w:w="1163" w:type="dxa"/>
            <w:tcBorders>
              <w:top w:val="single" w:sz="4" w:space="0" w:color="auto"/>
              <w:bottom w:val="single" w:sz="12" w:space="0" w:color="auto"/>
            </w:tcBorders>
            <w:shd w:val="clear" w:color="auto" w:fill="auto"/>
            <w:vAlign w:val="bottom"/>
            <w:hideMark/>
          </w:tcPr>
          <w:p w14:paraId="45B25C84" w14:textId="202EFBA9" w:rsidR="000C2F85" w:rsidRPr="00120B8B" w:rsidRDefault="000C2F85" w:rsidP="00120B8B">
            <w:pPr>
              <w:pStyle w:val="SingleTxtG"/>
              <w:tabs>
                <w:tab w:val="clear" w:pos="1701"/>
                <w:tab w:val="clear" w:pos="2268"/>
                <w:tab w:val="clear" w:pos="2835"/>
              </w:tabs>
              <w:spacing w:before="80" w:after="80" w:line="200" w:lineRule="exact"/>
              <w:ind w:left="28" w:right="28"/>
              <w:jc w:val="right"/>
              <w:rPr>
                <w:bCs/>
                <w:i/>
                <w:sz w:val="16"/>
                <w:lang w:val="es-ES_tradnl"/>
              </w:rPr>
            </w:pPr>
            <w:r w:rsidRPr="00120B8B">
              <w:rPr>
                <w:i/>
                <w:iCs/>
                <w:sz w:val="16"/>
                <w:lang w:val="es-ES_tradnl"/>
              </w:rPr>
              <w:t>Encuesta trimestral de población activa</w:t>
            </w:r>
            <w:r w:rsidR="00120B8B">
              <w:rPr>
                <w:i/>
                <w:iCs/>
                <w:sz w:val="16"/>
                <w:lang w:val="es-ES_tradnl"/>
              </w:rPr>
              <w:t> </w:t>
            </w:r>
            <w:r w:rsidRPr="00120B8B">
              <w:rPr>
                <w:i/>
                <w:iCs/>
                <w:sz w:val="16"/>
                <w:lang w:val="es-ES_tradnl"/>
              </w:rPr>
              <w:t>2016</w:t>
            </w:r>
          </w:p>
        </w:tc>
        <w:tc>
          <w:tcPr>
            <w:tcW w:w="1163" w:type="dxa"/>
            <w:tcBorders>
              <w:top w:val="single" w:sz="4" w:space="0" w:color="auto"/>
              <w:bottom w:val="single" w:sz="12" w:space="0" w:color="auto"/>
            </w:tcBorders>
            <w:shd w:val="clear" w:color="auto" w:fill="auto"/>
            <w:vAlign w:val="bottom"/>
            <w:hideMark/>
          </w:tcPr>
          <w:p w14:paraId="669416C8" w14:textId="571A11EA" w:rsidR="000C2F85" w:rsidRPr="00120B8B" w:rsidRDefault="000C2F85" w:rsidP="00120B8B">
            <w:pPr>
              <w:pStyle w:val="SingleTxtG"/>
              <w:tabs>
                <w:tab w:val="clear" w:pos="1701"/>
                <w:tab w:val="clear" w:pos="2268"/>
                <w:tab w:val="clear" w:pos="2835"/>
              </w:tabs>
              <w:spacing w:before="80" w:after="80" w:line="200" w:lineRule="exact"/>
              <w:ind w:left="28" w:right="28"/>
              <w:jc w:val="right"/>
              <w:rPr>
                <w:bCs/>
                <w:i/>
                <w:sz w:val="16"/>
                <w:lang w:val="es-ES_tradnl"/>
              </w:rPr>
            </w:pPr>
            <w:r w:rsidRPr="00120B8B">
              <w:rPr>
                <w:i/>
                <w:iCs/>
                <w:sz w:val="16"/>
                <w:lang w:val="es-ES_tradnl"/>
              </w:rPr>
              <w:t>Encuesta trimestral de población activa</w:t>
            </w:r>
            <w:r w:rsidR="00120B8B">
              <w:rPr>
                <w:i/>
                <w:iCs/>
                <w:sz w:val="16"/>
                <w:lang w:val="es-ES_tradnl"/>
              </w:rPr>
              <w:t> </w:t>
            </w:r>
            <w:r w:rsidRPr="00120B8B">
              <w:rPr>
                <w:i/>
                <w:iCs/>
                <w:sz w:val="16"/>
                <w:lang w:val="es-ES_tradnl"/>
              </w:rPr>
              <w:t>2017</w:t>
            </w:r>
          </w:p>
        </w:tc>
      </w:tr>
      <w:tr w:rsidR="000C2F85" w:rsidRPr="00B41291" w14:paraId="2C35C109" w14:textId="77777777" w:rsidTr="00120B8B">
        <w:trPr>
          <w:trHeight w:val="240"/>
        </w:trPr>
        <w:tc>
          <w:tcPr>
            <w:tcW w:w="3686" w:type="dxa"/>
            <w:tcBorders>
              <w:top w:val="single" w:sz="12" w:space="0" w:color="auto"/>
            </w:tcBorders>
            <w:shd w:val="clear" w:color="auto" w:fill="auto"/>
            <w:noWrap/>
            <w:hideMark/>
          </w:tcPr>
          <w:p w14:paraId="20B8E324" w14:textId="77777777" w:rsidR="000C2F85" w:rsidRPr="00B41291" w:rsidRDefault="000C2F85" w:rsidP="00120B8B">
            <w:pPr>
              <w:pStyle w:val="SingleTxtG"/>
              <w:tabs>
                <w:tab w:val="clear" w:pos="1701"/>
                <w:tab w:val="clear" w:pos="2268"/>
                <w:tab w:val="clear" w:pos="2835"/>
              </w:tabs>
              <w:spacing w:before="40" w:after="40" w:line="220" w:lineRule="exact"/>
              <w:ind w:left="0" w:right="0"/>
              <w:jc w:val="left"/>
              <w:rPr>
                <w:b/>
                <w:sz w:val="18"/>
                <w:lang w:val="es-ES_tradnl"/>
              </w:rPr>
            </w:pPr>
            <w:r w:rsidRPr="00B41291">
              <w:rPr>
                <w:b/>
                <w:sz w:val="18"/>
                <w:lang w:val="es-ES_tradnl"/>
              </w:rPr>
              <w:t>Personas de 15 a 64 años</w:t>
            </w:r>
          </w:p>
        </w:tc>
        <w:tc>
          <w:tcPr>
            <w:tcW w:w="1293" w:type="dxa"/>
            <w:tcBorders>
              <w:top w:val="single" w:sz="12" w:space="0" w:color="auto"/>
            </w:tcBorders>
            <w:shd w:val="clear" w:color="auto" w:fill="auto"/>
            <w:noWrap/>
            <w:vAlign w:val="bottom"/>
            <w:hideMark/>
          </w:tcPr>
          <w:p w14:paraId="6FEEB0E5" w14:textId="77777777" w:rsidR="000C2F85" w:rsidRPr="00B41291" w:rsidRDefault="000C2F85" w:rsidP="00120B8B">
            <w:pPr>
              <w:pStyle w:val="SingleTxtG"/>
              <w:tabs>
                <w:tab w:val="clear" w:pos="1701"/>
                <w:tab w:val="clear" w:pos="2268"/>
                <w:tab w:val="clear" w:pos="2835"/>
              </w:tabs>
              <w:spacing w:before="40" w:after="40" w:line="220" w:lineRule="exact"/>
              <w:ind w:left="28" w:right="28"/>
              <w:jc w:val="right"/>
              <w:rPr>
                <w:b/>
                <w:sz w:val="18"/>
                <w:lang w:val="es-ES_tradnl"/>
              </w:rPr>
            </w:pPr>
            <w:r w:rsidRPr="00B41291">
              <w:rPr>
                <w:b/>
                <w:sz w:val="18"/>
                <w:lang w:val="es-ES_tradnl"/>
              </w:rPr>
              <w:t>34 790</w:t>
            </w:r>
          </w:p>
        </w:tc>
        <w:tc>
          <w:tcPr>
            <w:tcW w:w="1171" w:type="dxa"/>
            <w:tcBorders>
              <w:top w:val="single" w:sz="12" w:space="0" w:color="auto"/>
            </w:tcBorders>
            <w:shd w:val="clear" w:color="auto" w:fill="auto"/>
            <w:noWrap/>
            <w:vAlign w:val="bottom"/>
            <w:hideMark/>
          </w:tcPr>
          <w:p w14:paraId="330532B5" w14:textId="77777777" w:rsidR="000C2F85" w:rsidRPr="00B41291" w:rsidRDefault="000C2F85" w:rsidP="00120B8B">
            <w:pPr>
              <w:pStyle w:val="SingleTxtG"/>
              <w:tabs>
                <w:tab w:val="clear" w:pos="1701"/>
                <w:tab w:val="clear" w:pos="2268"/>
                <w:tab w:val="clear" w:pos="2835"/>
              </w:tabs>
              <w:spacing w:before="40" w:after="40" w:line="220" w:lineRule="exact"/>
              <w:ind w:left="28" w:right="28"/>
              <w:jc w:val="right"/>
              <w:rPr>
                <w:b/>
                <w:sz w:val="18"/>
                <w:lang w:val="es-ES_tradnl"/>
              </w:rPr>
            </w:pPr>
            <w:r w:rsidRPr="00B41291">
              <w:rPr>
                <w:b/>
                <w:sz w:val="18"/>
                <w:lang w:val="es-ES_tradnl"/>
              </w:rPr>
              <w:t>35 410</w:t>
            </w:r>
          </w:p>
        </w:tc>
        <w:tc>
          <w:tcPr>
            <w:tcW w:w="1163" w:type="dxa"/>
            <w:tcBorders>
              <w:top w:val="single" w:sz="12" w:space="0" w:color="auto"/>
            </w:tcBorders>
            <w:shd w:val="clear" w:color="auto" w:fill="auto"/>
            <w:noWrap/>
            <w:vAlign w:val="bottom"/>
            <w:hideMark/>
          </w:tcPr>
          <w:p w14:paraId="69772AC9" w14:textId="77777777" w:rsidR="000C2F85" w:rsidRPr="00B41291" w:rsidRDefault="000C2F85" w:rsidP="00120B8B">
            <w:pPr>
              <w:pStyle w:val="SingleTxtG"/>
              <w:tabs>
                <w:tab w:val="clear" w:pos="1701"/>
                <w:tab w:val="clear" w:pos="2268"/>
                <w:tab w:val="clear" w:pos="2835"/>
              </w:tabs>
              <w:spacing w:before="40" w:after="40" w:line="220" w:lineRule="exact"/>
              <w:ind w:left="28" w:right="28"/>
              <w:jc w:val="right"/>
              <w:rPr>
                <w:b/>
                <w:sz w:val="18"/>
                <w:lang w:val="es-ES_tradnl"/>
              </w:rPr>
            </w:pPr>
            <w:r w:rsidRPr="00B41291">
              <w:rPr>
                <w:b/>
                <w:sz w:val="18"/>
                <w:lang w:val="es-ES_tradnl"/>
              </w:rPr>
              <w:t>36 035</w:t>
            </w:r>
          </w:p>
        </w:tc>
        <w:tc>
          <w:tcPr>
            <w:tcW w:w="1163" w:type="dxa"/>
            <w:tcBorders>
              <w:top w:val="single" w:sz="12" w:space="0" w:color="auto"/>
            </w:tcBorders>
            <w:shd w:val="clear" w:color="auto" w:fill="auto"/>
            <w:noWrap/>
            <w:vAlign w:val="bottom"/>
            <w:hideMark/>
          </w:tcPr>
          <w:p w14:paraId="1BB1437A" w14:textId="77777777" w:rsidR="000C2F85" w:rsidRPr="00B41291" w:rsidRDefault="000C2F85" w:rsidP="00120B8B">
            <w:pPr>
              <w:pStyle w:val="SingleTxtG"/>
              <w:tabs>
                <w:tab w:val="clear" w:pos="1701"/>
                <w:tab w:val="clear" w:pos="2268"/>
                <w:tab w:val="clear" w:pos="2835"/>
              </w:tabs>
              <w:spacing w:before="40" w:after="40" w:line="220" w:lineRule="exact"/>
              <w:ind w:left="28" w:right="28"/>
              <w:jc w:val="right"/>
              <w:rPr>
                <w:b/>
                <w:sz w:val="18"/>
                <w:lang w:val="es-ES_tradnl"/>
              </w:rPr>
            </w:pPr>
            <w:r w:rsidRPr="00B41291">
              <w:rPr>
                <w:b/>
                <w:sz w:val="18"/>
                <w:lang w:val="es-ES_tradnl"/>
              </w:rPr>
              <w:t>36 669</w:t>
            </w:r>
          </w:p>
        </w:tc>
        <w:tc>
          <w:tcPr>
            <w:tcW w:w="1163" w:type="dxa"/>
            <w:tcBorders>
              <w:top w:val="single" w:sz="12" w:space="0" w:color="auto"/>
            </w:tcBorders>
            <w:shd w:val="clear" w:color="auto" w:fill="auto"/>
            <w:noWrap/>
            <w:vAlign w:val="bottom"/>
            <w:hideMark/>
          </w:tcPr>
          <w:p w14:paraId="7A766CB8" w14:textId="77777777" w:rsidR="000C2F85" w:rsidRPr="00B41291" w:rsidRDefault="000C2F85" w:rsidP="00120B8B">
            <w:pPr>
              <w:pStyle w:val="SingleTxtG"/>
              <w:tabs>
                <w:tab w:val="clear" w:pos="1701"/>
                <w:tab w:val="clear" w:pos="2268"/>
                <w:tab w:val="clear" w:pos="2835"/>
              </w:tabs>
              <w:spacing w:before="40" w:after="40" w:line="220" w:lineRule="exact"/>
              <w:ind w:left="28" w:right="28"/>
              <w:jc w:val="right"/>
              <w:rPr>
                <w:b/>
                <w:sz w:val="18"/>
                <w:lang w:val="es-ES_tradnl"/>
              </w:rPr>
            </w:pPr>
            <w:r w:rsidRPr="00B41291">
              <w:rPr>
                <w:b/>
                <w:sz w:val="18"/>
                <w:lang w:val="es-ES_tradnl"/>
              </w:rPr>
              <w:t>37 294</w:t>
            </w:r>
          </w:p>
        </w:tc>
      </w:tr>
      <w:tr w:rsidR="000C2F85" w:rsidRPr="00B41291" w14:paraId="3617DCF9" w14:textId="77777777" w:rsidTr="00120B8B">
        <w:trPr>
          <w:trHeight w:val="240"/>
        </w:trPr>
        <w:tc>
          <w:tcPr>
            <w:tcW w:w="3686" w:type="dxa"/>
            <w:shd w:val="clear" w:color="auto" w:fill="auto"/>
            <w:noWrap/>
            <w:hideMark/>
          </w:tcPr>
          <w:p w14:paraId="253B4938" w14:textId="77777777" w:rsidR="000C2F85" w:rsidRPr="00B41291" w:rsidRDefault="000C2F85" w:rsidP="00120B8B">
            <w:pPr>
              <w:pStyle w:val="SingleTxtG"/>
              <w:tabs>
                <w:tab w:val="clear" w:pos="1701"/>
                <w:tab w:val="clear" w:pos="2268"/>
                <w:tab w:val="clear" w:pos="2835"/>
              </w:tabs>
              <w:spacing w:before="40" w:after="40" w:line="220" w:lineRule="exact"/>
              <w:ind w:left="0" w:right="0"/>
              <w:jc w:val="left"/>
              <w:rPr>
                <w:b/>
                <w:sz w:val="18"/>
                <w:lang w:val="es-ES_tradnl"/>
              </w:rPr>
            </w:pPr>
            <w:r w:rsidRPr="00B41291">
              <w:rPr>
                <w:b/>
                <w:sz w:val="18"/>
                <w:lang w:val="es-ES_tradnl"/>
              </w:rPr>
              <w:t>Fuerza de trabajo</w:t>
            </w:r>
          </w:p>
        </w:tc>
        <w:tc>
          <w:tcPr>
            <w:tcW w:w="1293" w:type="dxa"/>
            <w:shd w:val="clear" w:color="auto" w:fill="auto"/>
            <w:noWrap/>
            <w:vAlign w:val="bottom"/>
            <w:hideMark/>
          </w:tcPr>
          <w:p w14:paraId="6E749FBD" w14:textId="77777777" w:rsidR="000C2F85" w:rsidRPr="00B41291" w:rsidRDefault="000C2F85" w:rsidP="00120B8B">
            <w:pPr>
              <w:pStyle w:val="SingleTxtG"/>
              <w:tabs>
                <w:tab w:val="clear" w:pos="1701"/>
                <w:tab w:val="clear" w:pos="2268"/>
                <w:tab w:val="clear" w:pos="2835"/>
              </w:tabs>
              <w:spacing w:before="40" w:after="40" w:line="220" w:lineRule="exact"/>
              <w:ind w:left="28" w:right="28"/>
              <w:jc w:val="right"/>
              <w:rPr>
                <w:b/>
                <w:sz w:val="18"/>
                <w:lang w:val="es-ES_tradnl"/>
              </w:rPr>
            </w:pPr>
            <w:r w:rsidRPr="00B41291">
              <w:rPr>
                <w:b/>
                <w:sz w:val="18"/>
                <w:lang w:val="es-ES_tradnl"/>
              </w:rPr>
              <w:t>19 752</w:t>
            </w:r>
          </w:p>
        </w:tc>
        <w:tc>
          <w:tcPr>
            <w:tcW w:w="1171" w:type="dxa"/>
            <w:shd w:val="clear" w:color="auto" w:fill="auto"/>
            <w:noWrap/>
            <w:vAlign w:val="bottom"/>
            <w:hideMark/>
          </w:tcPr>
          <w:p w14:paraId="0B2110EC" w14:textId="77777777" w:rsidR="000C2F85" w:rsidRPr="00B41291" w:rsidRDefault="000C2F85" w:rsidP="00120B8B">
            <w:pPr>
              <w:pStyle w:val="SingleTxtG"/>
              <w:tabs>
                <w:tab w:val="clear" w:pos="1701"/>
                <w:tab w:val="clear" w:pos="2268"/>
                <w:tab w:val="clear" w:pos="2835"/>
              </w:tabs>
              <w:spacing w:before="40" w:after="40" w:line="220" w:lineRule="exact"/>
              <w:ind w:left="28" w:right="28"/>
              <w:jc w:val="right"/>
              <w:rPr>
                <w:b/>
                <w:sz w:val="18"/>
                <w:lang w:val="es-ES_tradnl"/>
              </w:rPr>
            </w:pPr>
            <w:r w:rsidRPr="00B41291">
              <w:rPr>
                <w:b/>
                <w:sz w:val="18"/>
                <w:lang w:val="es-ES_tradnl"/>
              </w:rPr>
              <w:t>20 216</w:t>
            </w:r>
          </w:p>
        </w:tc>
        <w:tc>
          <w:tcPr>
            <w:tcW w:w="1163" w:type="dxa"/>
            <w:shd w:val="clear" w:color="auto" w:fill="auto"/>
            <w:noWrap/>
            <w:vAlign w:val="bottom"/>
            <w:hideMark/>
          </w:tcPr>
          <w:p w14:paraId="0E92D992" w14:textId="77777777" w:rsidR="000C2F85" w:rsidRPr="00B41291" w:rsidRDefault="000C2F85" w:rsidP="00120B8B">
            <w:pPr>
              <w:pStyle w:val="SingleTxtG"/>
              <w:tabs>
                <w:tab w:val="clear" w:pos="1701"/>
                <w:tab w:val="clear" w:pos="2268"/>
                <w:tab w:val="clear" w:pos="2835"/>
              </w:tabs>
              <w:spacing w:before="40" w:after="40" w:line="220" w:lineRule="exact"/>
              <w:ind w:left="28" w:right="28"/>
              <w:jc w:val="right"/>
              <w:rPr>
                <w:b/>
                <w:sz w:val="18"/>
                <w:lang w:val="es-ES_tradnl"/>
              </w:rPr>
            </w:pPr>
            <w:r w:rsidRPr="00B41291">
              <w:rPr>
                <w:b/>
                <w:sz w:val="18"/>
                <w:lang w:val="es-ES_tradnl"/>
              </w:rPr>
              <w:t>21 085</w:t>
            </w:r>
          </w:p>
        </w:tc>
        <w:tc>
          <w:tcPr>
            <w:tcW w:w="1163" w:type="dxa"/>
            <w:shd w:val="clear" w:color="auto" w:fill="auto"/>
            <w:noWrap/>
            <w:vAlign w:val="bottom"/>
            <w:hideMark/>
          </w:tcPr>
          <w:p w14:paraId="32B1737B" w14:textId="77777777" w:rsidR="000C2F85" w:rsidRPr="00B41291" w:rsidRDefault="000C2F85" w:rsidP="00120B8B">
            <w:pPr>
              <w:pStyle w:val="SingleTxtG"/>
              <w:tabs>
                <w:tab w:val="clear" w:pos="1701"/>
                <w:tab w:val="clear" w:pos="2268"/>
                <w:tab w:val="clear" w:pos="2835"/>
              </w:tabs>
              <w:spacing w:before="40" w:after="40" w:line="220" w:lineRule="exact"/>
              <w:ind w:left="28" w:right="28"/>
              <w:jc w:val="right"/>
              <w:rPr>
                <w:b/>
                <w:sz w:val="18"/>
                <w:lang w:val="es-ES_tradnl"/>
              </w:rPr>
            </w:pPr>
            <w:r w:rsidRPr="00B41291">
              <w:rPr>
                <w:b/>
                <w:sz w:val="18"/>
                <w:lang w:val="es-ES_tradnl"/>
              </w:rPr>
              <w:t>21 533</w:t>
            </w:r>
          </w:p>
        </w:tc>
        <w:tc>
          <w:tcPr>
            <w:tcW w:w="1163" w:type="dxa"/>
            <w:shd w:val="clear" w:color="auto" w:fill="auto"/>
            <w:noWrap/>
            <w:vAlign w:val="bottom"/>
            <w:hideMark/>
          </w:tcPr>
          <w:p w14:paraId="5CA80D6C" w14:textId="77777777" w:rsidR="000C2F85" w:rsidRPr="00B41291" w:rsidRDefault="000C2F85" w:rsidP="00120B8B">
            <w:pPr>
              <w:pStyle w:val="SingleTxtG"/>
              <w:tabs>
                <w:tab w:val="clear" w:pos="1701"/>
                <w:tab w:val="clear" w:pos="2268"/>
                <w:tab w:val="clear" w:pos="2835"/>
              </w:tabs>
              <w:spacing w:before="40" w:after="40" w:line="220" w:lineRule="exact"/>
              <w:ind w:left="28" w:right="28"/>
              <w:jc w:val="right"/>
              <w:rPr>
                <w:b/>
                <w:sz w:val="18"/>
                <w:lang w:val="es-ES_tradnl"/>
              </w:rPr>
            </w:pPr>
            <w:r w:rsidRPr="00B41291">
              <w:rPr>
                <w:b/>
                <w:sz w:val="18"/>
                <w:lang w:val="es-ES_tradnl"/>
              </w:rPr>
              <w:t>22 289</w:t>
            </w:r>
          </w:p>
        </w:tc>
      </w:tr>
      <w:tr w:rsidR="000C2F85" w:rsidRPr="00120B8B" w14:paraId="52CF4924" w14:textId="77777777" w:rsidTr="00120B8B">
        <w:trPr>
          <w:trHeight w:val="240"/>
        </w:trPr>
        <w:tc>
          <w:tcPr>
            <w:tcW w:w="3686" w:type="dxa"/>
            <w:shd w:val="clear" w:color="auto" w:fill="auto"/>
            <w:noWrap/>
            <w:hideMark/>
          </w:tcPr>
          <w:p w14:paraId="4C851625"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Personas empleadas</w:t>
            </w:r>
          </w:p>
        </w:tc>
        <w:tc>
          <w:tcPr>
            <w:tcW w:w="1293" w:type="dxa"/>
            <w:shd w:val="clear" w:color="auto" w:fill="auto"/>
            <w:noWrap/>
            <w:vAlign w:val="bottom"/>
            <w:hideMark/>
          </w:tcPr>
          <w:p w14:paraId="28AF738B"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14 866</w:t>
            </w:r>
          </w:p>
        </w:tc>
        <w:tc>
          <w:tcPr>
            <w:tcW w:w="1171" w:type="dxa"/>
            <w:shd w:val="clear" w:color="auto" w:fill="auto"/>
            <w:noWrap/>
            <w:vAlign w:val="bottom"/>
            <w:hideMark/>
          </w:tcPr>
          <w:p w14:paraId="6DF056C3"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15 146</w:t>
            </w:r>
          </w:p>
        </w:tc>
        <w:tc>
          <w:tcPr>
            <w:tcW w:w="1163" w:type="dxa"/>
            <w:shd w:val="clear" w:color="auto" w:fill="auto"/>
            <w:noWrap/>
            <w:vAlign w:val="bottom"/>
            <w:hideMark/>
          </w:tcPr>
          <w:p w14:paraId="383D6AAE"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15 741</w:t>
            </w:r>
          </w:p>
        </w:tc>
        <w:tc>
          <w:tcPr>
            <w:tcW w:w="1163" w:type="dxa"/>
            <w:shd w:val="clear" w:color="auto" w:fill="auto"/>
            <w:noWrap/>
            <w:vAlign w:val="bottom"/>
            <w:hideMark/>
          </w:tcPr>
          <w:p w14:paraId="27326829"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15 780</w:t>
            </w:r>
          </w:p>
        </w:tc>
        <w:tc>
          <w:tcPr>
            <w:tcW w:w="1163" w:type="dxa"/>
            <w:shd w:val="clear" w:color="auto" w:fill="auto"/>
            <w:noWrap/>
            <w:vAlign w:val="bottom"/>
            <w:hideMark/>
          </w:tcPr>
          <w:p w14:paraId="53D2A34B"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16 169</w:t>
            </w:r>
          </w:p>
        </w:tc>
      </w:tr>
      <w:tr w:rsidR="000C2F85" w:rsidRPr="00120B8B" w14:paraId="382D7570" w14:textId="77777777" w:rsidTr="00120B8B">
        <w:trPr>
          <w:trHeight w:val="240"/>
        </w:trPr>
        <w:tc>
          <w:tcPr>
            <w:tcW w:w="3686" w:type="dxa"/>
            <w:shd w:val="clear" w:color="auto" w:fill="auto"/>
            <w:noWrap/>
            <w:hideMark/>
          </w:tcPr>
          <w:p w14:paraId="7535BC32"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Sector formal (no agrícola)</w:t>
            </w:r>
          </w:p>
        </w:tc>
        <w:tc>
          <w:tcPr>
            <w:tcW w:w="1293" w:type="dxa"/>
            <w:shd w:val="clear" w:color="auto" w:fill="auto"/>
            <w:noWrap/>
            <w:vAlign w:val="bottom"/>
            <w:hideMark/>
          </w:tcPr>
          <w:p w14:paraId="2981CD5D"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10 524</w:t>
            </w:r>
          </w:p>
        </w:tc>
        <w:tc>
          <w:tcPr>
            <w:tcW w:w="1171" w:type="dxa"/>
            <w:shd w:val="clear" w:color="auto" w:fill="auto"/>
            <w:noWrap/>
            <w:vAlign w:val="bottom"/>
            <w:hideMark/>
          </w:tcPr>
          <w:p w14:paraId="73B044B8"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10 822</w:t>
            </w:r>
          </w:p>
        </w:tc>
        <w:tc>
          <w:tcPr>
            <w:tcW w:w="1163" w:type="dxa"/>
            <w:shd w:val="clear" w:color="auto" w:fill="auto"/>
            <w:noWrap/>
            <w:vAlign w:val="bottom"/>
            <w:hideMark/>
          </w:tcPr>
          <w:p w14:paraId="4C49422D"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10 935</w:t>
            </w:r>
          </w:p>
        </w:tc>
        <w:tc>
          <w:tcPr>
            <w:tcW w:w="1163" w:type="dxa"/>
            <w:shd w:val="clear" w:color="auto" w:fill="auto"/>
            <w:noWrap/>
            <w:vAlign w:val="bottom"/>
            <w:hideMark/>
          </w:tcPr>
          <w:p w14:paraId="317C9197"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11 021</w:t>
            </w:r>
          </w:p>
        </w:tc>
        <w:tc>
          <w:tcPr>
            <w:tcW w:w="1163" w:type="dxa"/>
            <w:shd w:val="clear" w:color="auto" w:fill="auto"/>
            <w:noWrap/>
            <w:vAlign w:val="bottom"/>
            <w:hideMark/>
          </w:tcPr>
          <w:p w14:paraId="12EA0E26"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11 288</w:t>
            </w:r>
          </w:p>
        </w:tc>
      </w:tr>
      <w:tr w:rsidR="000C2F85" w:rsidRPr="00120B8B" w14:paraId="3A363C34" w14:textId="77777777" w:rsidTr="00120B8B">
        <w:trPr>
          <w:trHeight w:val="240"/>
        </w:trPr>
        <w:tc>
          <w:tcPr>
            <w:tcW w:w="3686" w:type="dxa"/>
            <w:shd w:val="clear" w:color="auto" w:fill="auto"/>
            <w:noWrap/>
            <w:hideMark/>
          </w:tcPr>
          <w:p w14:paraId="42FF14EA"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Sector informal (no agrícola)</w:t>
            </w:r>
          </w:p>
        </w:tc>
        <w:tc>
          <w:tcPr>
            <w:tcW w:w="1293" w:type="dxa"/>
            <w:shd w:val="clear" w:color="auto" w:fill="auto"/>
            <w:noWrap/>
            <w:vAlign w:val="bottom"/>
            <w:hideMark/>
          </w:tcPr>
          <w:p w14:paraId="4ED23CEF"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2 366</w:t>
            </w:r>
          </w:p>
        </w:tc>
        <w:tc>
          <w:tcPr>
            <w:tcW w:w="1171" w:type="dxa"/>
            <w:shd w:val="clear" w:color="auto" w:fill="auto"/>
            <w:noWrap/>
            <w:vAlign w:val="bottom"/>
            <w:hideMark/>
          </w:tcPr>
          <w:p w14:paraId="72787430"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2 393</w:t>
            </w:r>
          </w:p>
        </w:tc>
        <w:tc>
          <w:tcPr>
            <w:tcW w:w="1163" w:type="dxa"/>
            <w:shd w:val="clear" w:color="auto" w:fill="auto"/>
            <w:noWrap/>
            <w:vAlign w:val="bottom"/>
            <w:hideMark/>
          </w:tcPr>
          <w:p w14:paraId="120E4DB3"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2 637</w:t>
            </w:r>
          </w:p>
        </w:tc>
        <w:tc>
          <w:tcPr>
            <w:tcW w:w="1163" w:type="dxa"/>
            <w:shd w:val="clear" w:color="auto" w:fill="auto"/>
            <w:noWrap/>
            <w:vAlign w:val="bottom"/>
            <w:hideMark/>
          </w:tcPr>
          <w:p w14:paraId="49C79408"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2 602</w:t>
            </w:r>
          </w:p>
        </w:tc>
        <w:tc>
          <w:tcPr>
            <w:tcW w:w="1163" w:type="dxa"/>
            <w:shd w:val="clear" w:color="auto" w:fill="auto"/>
            <w:noWrap/>
            <w:vAlign w:val="bottom"/>
            <w:hideMark/>
          </w:tcPr>
          <w:p w14:paraId="0886E61B"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2 735</w:t>
            </w:r>
          </w:p>
        </w:tc>
      </w:tr>
      <w:tr w:rsidR="000C2F85" w:rsidRPr="00120B8B" w14:paraId="7CFF1734" w14:textId="77777777" w:rsidTr="00120B8B">
        <w:trPr>
          <w:trHeight w:val="240"/>
        </w:trPr>
        <w:tc>
          <w:tcPr>
            <w:tcW w:w="3686" w:type="dxa"/>
            <w:shd w:val="clear" w:color="auto" w:fill="auto"/>
            <w:noWrap/>
            <w:hideMark/>
          </w:tcPr>
          <w:p w14:paraId="4DB058AD"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Agricultura</w:t>
            </w:r>
          </w:p>
        </w:tc>
        <w:tc>
          <w:tcPr>
            <w:tcW w:w="1293" w:type="dxa"/>
            <w:shd w:val="clear" w:color="auto" w:fill="auto"/>
            <w:noWrap/>
            <w:vAlign w:val="bottom"/>
            <w:hideMark/>
          </w:tcPr>
          <w:p w14:paraId="0146D120"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740</w:t>
            </w:r>
          </w:p>
        </w:tc>
        <w:tc>
          <w:tcPr>
            <w:tcW w:w="1171" w:type="dxa"/>
            <w:shd w:val="clear" w:color="auto" w:fill="auto"/>
            <w:noWrap/>
            <w:vAlign w:val="bottom"/>
            <w:hideMark/>
          </w:tcPr>
          <w:p w14:paraId="14D157CC"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702</w:t>
            </w:r>
          </w:p>
        </w:tc>
        <w:tc>
          <w:tcPr>
            <w:tcW w:w="1163" w:type="dxa"/>
            <w:shd w:val="clear" w:color="auto" w:fill="auto"/>
            <w:noWrap/>
            <w:vAlign w:val="bottom"/>
            <w:hideMark/>
          </w:tcPr>
          <w:p w14:paraId="3E21F62B"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880</w:t>
            </w:r>
          </w:p>
        </w:tc>
        <w:tc>
          <w:tcPr>
            <w:tcW w:w="1163" w:type="dxa"/>
            <w:shd w:val="clear" w:color="auto" w:fill="auto"/>
            <w:noWrap/>
            <w:vAlign w:val="bottom"/>
            <w:hideMark/>
          </w:tcPr>
          <w:p w14:paraId="37ED926C"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874</w:t>
            </w:r>
          </w:p>
        </w:tc>
        <w:tc>
          <w:tcPr>
            <w:tcW w:w="1163" w:type="dxa"/>
            <w:shd w:val="clear" w:color="auto" w:fill="auto"/>
            <w:noWrap/>
            <w:vAlign w:val="bottom"/>
            <w:hideMark/>
          </w:tcPr>
          <w:p w14:paraId="3016FD45"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843</w:t>
            </w:r>
          </w:p>
        </w:tc>
      </w:tr>
      <w:tr w:rsidR="000C2F85" w:rsidRPr="00120B8B" w14:paraId="72741A04" w14:textId="77777777" w:rsidTr="00120B8B">
        <w:trPr>
          <w:trHeight w:val="240"/>
        </w:trPr>
        <w:tc>
          <w:tcPr>
            <w:tcW w:w="3686" w:type="dxa"/>
            <w:shd w:val="clear" w:color="auto" w:fill="auto"/>
            <w:noWrap/>
            <w:hideMark/>
          </w:tcPr>
          <w:p w14:paraId="612A2F9B"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Hogares</w:t>
            </w:r>
          </w:p>
        </w:tc>
        <w:tc>
          <w:tcPr>
            <w:tcW w:w="1293" w:type="dxa"/>
            <w:shd w:val="clear" w:color="auto" w:fill="auto"/>
            <w:noWrap/>
            <w:vAlign w:val="bottom"/>
            <w:hideMark/>
          </w:tcPr>
          <w:p w14:paraId="2A71481E"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1 236</w:t>
            </w:r>
          </w:p>
        </w:tc>
        <w:tc>
          <w:tcPr>
            <w:tcW w:w="1171" w:type="dxa"/>
            <w:shd w:val="clear" w:color="auto" w:fill="auto"/>
            <w:noWrap/>
            <w:vAlign w:val="bottom"/>
            <w:hideMark/>
          </w:tcPr>
          <w:p w14:paraId="56E87592"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1 230</w:t>
            </w:r>
          </w:p>
        </w:tc>
        <w:tc>
          <w:tcPr>
            <w:tcW w:w="1163" w:type="dxa"/>
            <w:shd w:val="clear" w:color="auto" w:fill="auto"/>
            <w:noWrap/>
            <w:vAlign w:val="bottom"/>
            <w:hideMark/>
          </w:tcPr>
          <w:p w14:paraId="2EF3579A"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1 288</w:t>
            </w:r>
          </w:p>
        </w:tc>
        <w:tc>
          <w:tcPr>
            <w:tcW w:w="1163" w:type="dxa"/>
            <w:shd w:val="clear" w:color="auto" w:fill="auto"/>
            <w:noWrap/>
            <w:vAlign w:val="bottom"/>
            <w:hideMark/>
          </w:tcPr>
          <w:p w14:paraId="4874888F"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1 283</w:t>
            </w:r>
          </w:p>
        </w:tc>
        <w:tc>
          <w:tcPr>
            <w:tcW w:w="1163" w:type="dxa"/>
            <w:shd w:val="clear" w:color="auto" w:fill="auto"/>
            <w:noWrap/>
            <w:vAlign w:val="bottom"/>
            <w:hideMark/>
          </w:tcPr>
          <w:p w14:paraId="39A7B914"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1 303</w:t>
            </w:r>
          </w:p>
        </w:tc>
      </w:tr>
      <w:tr w:rsidR="000C2F85" w:rsidRPr="00120B8B" w14:paraId="5F5F7BDF" w14:textId="77777777" w:rsidTr="00120B8B">
        <w:trPr>
          <w:trHeight w:val="240"/>
        </w:trPr>
        <w:tc>
          <w:tcPr>
            <w:tcW w:w="3686" w:type="dxa"/>
            <w:shd w:val="clear" w:color="auto" w:fill="auto"/>
            <w:noWrap/>
            <w:hideMark/>
          </w:tcPr>
          <w:p w14:paraId="6B16FEEA"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Personas desempleadas</w:t>
            </w:r>
          </w:p>
        </w:tc>
        <w:tc>
          <w:tcPr>
            <w:tcW w:w="1293" w:type="dxa"/>
            <w:shd w:val="clear" w:color="auto" w:fill="auto"/>
            <w:noWrap/>
            <w:vAlign w:val="bottom"/>
            <w:hideMark/>
          </w:tcPr>
          <w:p w14:paraId="6C3E53C3"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4 886</w:t>
            </w:r>
          </w:p>
        </w:tc>
        <w:tc>
          <w:tcPr>
            <w:tcW w:w="1171" w:type="dxa"/>
            <w:shd w:val="clear" w:color="auto" w:fill="auto"/>
            <w:noWrap/>
            <w:vAlign w:val="bottom"/>
            <w:hideMark/>
          </w:tcPr>
          <w:p w14:paraId="2E204A50"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5 070</w:t>
            </w:r>
          </w:p>
        </w:tc>
        <w:tc>
          <w:tcPr>
            <w:tcW w:w="1163" w:type="dxa"/>
            <w:shd w:val="clear" w:color="auto" w:fill="auto"/>
            <w:noWrap/>
            <w:vAlign w:val="bottom"/>
            <w:hideMark/>
          </w:tcPr>
          <w:p w14:paraId="27CFBD40"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5 344</w:t>
            </w:r>
          </w:p>
        </w:tc>
        <w:tc>
          <w:tcPr>
            <w:tcW w:w="1163" w:type="dxa"/>
            <w:shd w:val="clear" w:color="auto" w:fill="auto"/>
            <w:noWrap/>
            <w:vAlign w:val="bottom"/>
            <w:hideMark/>
          </w:tcPr>
          <w:p w14:paraId="679C0016"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5 753</w:t>
            </w:r>
          </w:p>
        </w:tc>
        <w:tc>
          <w:tcPr>
            <w:tcW w:w="1163" w:type="dxa"/>
            <w:shd w:val="clear" w:color="auto" w:fill="auto"/>
            <w:noWrap/>
            <w:vAlign w:val="bottom"/>
            <w:hideMark/>
          </w:tcPr>
          <w:p w14:paraId="66BC42E7"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6 120</w:t>
            </w:r>
          </w:p>
        </w:tc>
      </w:tr>
      <w:tr w:rsidR="000C2F85" w:rsidRPr="00120B8B" w14:paraId="2C6FE125" w14:textId="77777777" w:rsidTr="00120B8B">
        <w:trPr>
          <w:trHeight w:val="240"/>
        </w:trPr>
        <w:tc>
          <w:tcPr>
            <w:tcW w:w="3686" w:type="dxa"/>
            <w:shd w:val="clear" w:color="auto" w:fill="auto"/>
            <w:noWrap/>
            <w:hideMark/>
          </w:tcPr>
          <w:p w14:paraId="6D1FFFB0"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Población no activa</w:t>
            </w:r>
          </w:p>
        </w:tc>
        <w:tc>
          <w:tcPr>
            <w:tcW w:w="1293" w:type="dxa"/>
            <w:shd w:val="clear" w:color="auto" w:fill="auto"/>
            <w:noWrap/>
            <w:vAlign w:val="bottom"/>
            <w:hideMark/>
          </w:tcPr>
          <w:p w14:paraId="7FA0EF6E"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15 038</w:t>
            </w:r>
          </w:p>
        </w:tc>
        <w:tc>
          <w:tcPr>
            <w:tcW w:w="1171" w:type="dxa"/>
            <w:shd w:val="clear" w:color="auto" w:fill="auto"/>
            <w:noWrap/>
            <w:vAlign w:val="bottom"/>
            <w:hideMark/>
          </w:tcPr>
          <w:p w14:paraId="5C0E4FC3"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15 194</w:t>
            </w:r>
          </w:p>
        </w:tc>
        <w:tc>
          <w:tcPr>
            <w:tcW w:w="1163" w:type="dxa"/>
            <w:shd w:val="clear" w:color="auto" w:fill="auto"/>
            <w:noWrap/>
            <w:vAlign w:val="bottom"/>
            <w:hideMark/>
          </w:tcPr>
          <w:p w14:paraId="2C16CEF9"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14 950</w:t>
            </w:r>
          </w:p>
        </w:tc>
        <w:tc>
          <w:tcPr>
            <w:tcW w:w="1163" w:type="dxa"/>
            <w:shd w:val="clear" w:color="auto" w:fill="auto"/>
            <w:noWrap/>
            <w:vAlign w:val="bottom"/>
            <w:hideMark/>
          </w:tcPr>
          <w:p w14:paraId="020EE5DA"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15 136</w:t>
            </w:r>
          </w:p>
        </w:tc>
        <w:tc>
          <w:tcPr>
            <w:tcW w:w="1163" w:type="dxa"/>
            <w:shd w:val="clear" w:color="auto" w:fill="auto"/>
            <w:noWrap/>
            <w:vAlign w:val="bottom"/>
            <w:hideMark/>
          </w:tcPr>
          <w:p w14:paraId="109482F0"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15 005</w:t>
            </w:r>
          </w:p>
        </w:tc>
      </w:tr>
      <w:tr w:rsidR="000C2F85" w:rsidRPr="00120B8B" w14:paraId="67B01562" w14:textId="77777777" w:rsidTr="00120B8B">
        <w:trPr>
          <w:trHeight w:val="240"/>
        </w:trPr>
        <w:tc>
          <w:tcPr>
            <w:tcW w:w="3686" w:type="dxa"/>
            <w:shd w:val="clear" w:color="auto" w:fill="auto"/>
            <w:noWrap/>
            <w:hideMark/>
          </w:tcPr>
          <w:p w14:paraId="5B1D1C82"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Solicitantes de empleo desanimados</w:t>
            </w:r>
          </w:p>
        </w:tc>
        <w:tc>
          <w:tcPr>
            <w:tcW w:w="1293" w:type="dxa"/>
            <w:shd w:val="clear" w:color="auto" w:fill="auto"/>
            <w:noWrap/>
            <w:vAlign w:val="bottom"/>
            <w:hideMark/>
          </w:tcPr>
          <w:p w14:paraId="06DB9FCA"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2 331</w:t>
            </w:r>
          </w:p>
        </w:tc>
        <w:tc>
          <w:tcPr>
            <w:tcW w:w="1171" w:type="dxa"/>
            <w:shd w:val="clear" w:color="auto" w:fill="auto"/>
            <w:noWrap/>
            <w:vAlign w:val="bottom"/>
            <w:hideMark/>
          </w:tcPr>
          <w:p w14:paraId="328DC5D3"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2 422</w:t>
            </w:r>
          </w:p>
        </w:tc>
        <w:tc>
          <w:tcPr>
            <w:tcW w:w="1163" w:type="dxa"/>
            <w:shd w:val="clear" w:color="auto" w:fill="auto"/>
            <w:noWrap/>
            <w:vAlign w:val="bottom"/>
            <w:hideMark/>
          </w:tcPr>
          <w:p w14:paraId="03EB0766"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2 334</w:t>
            </w:r>
          </w:p>
        </w:tc>
        <w:tc>
          <w:tcPr>
            <w:tcW w:w="1163" w:type="dxa"/>
            <w:shd w:val="clear" w:color="auto" w:fill="auto"/>
            <w:noWrap/>
            <w:vAlign w:val="bottom"/>
            <w:hideMark/>
          </w:tcPr>
          <w:p w14:paraId="6A877C10"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2 386</w:t>
            </w:r>
          </w:p>
        </w:tc>
        <w:tc>
          <w:tcPr>
            <w:tcW w:w="1163" w:type="dxa"/>
            <w:shd w:val="clear" w:color="auto" w:fill="auto"/>
            <w:noWrap/>
            <w:vAlign w:val="bottom"/>
            <w:hideMark/>
          </w:tcPr>
          <w:p w14:paraId="6AAF71DD"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2 403</w:t>
            </w:r>
          </w:p>
        </w:tc>
      </w:tr>
      <w:tr w:rsidR="000C2F85" w:rsidRPr="00120B8B" w14:paraId="7D41ED36" w14:textId="77777777" w:rsidTr="00120B8B">
        <w:trPr>
          <w:trHeight w:val="240"/>
        </w:trPr>
        <w:tc>
          <w:tcPr>
            <w:tcW w:w="3686" w:type="dxa"/>
            <w:shd w:val="clear" w:color="auto" w:fill="auto"/>
            <w:noWrap/>
            <w:hideMark/>
          </w:tcPr>
          <w:p w14:paraId="6931323B"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Otros (población no activa)</w:t>
            </w:r>
          </w:p>
        </w:tc>
        <w:tc>
          <w:tcPr>
            <w:tcW w:w="1293" w:type="dxa"/>
            <w:shd w:val="clear" w:color="auto" w:fill="auto"/>
            <w:noWrap/>
            <w:vAlign w:val="bottom"/>
            <w:hideMark/>
          </w:tcPr>
          <w:p w14:paraId="1F60F546"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12 708</w:t>
            </w:r>
          </w:p>
        </w:tc>
        <w:tc>
          <w:tcPr>
            <w:tcW w:w="1171" w:type="dxa"/>
            <w:shd w:val="clear" w:color="auto" w:fill="auto"/>
            <w:noWrap/>
            <w:vAlign w:val="bottom"/>
            <w:hideMark/>
          </w:tcPr>
          <w:p w14:paraId="65AE5139"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12 771</w:t>
            </w:r>
          </w:p>
        </w:tc>
        <w:tc>
          <w:tcPr>
            <w:tcW w:w="1163" w:type="dxa"/>
            <w:shd w:val="clear" w:color="auto" w:fill="auto"/>
            <w:noWrap/>
            <w:vAlign w:val="bottom"/>
            <w:hideMark/>
          </w:tcPr>
          <w:p w14:paraId="6B6EECE4"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12 616</w:t>
            </w:r>
          </w:p>
        </w:tc>
        <w:tc>
          <w:tcPr>
            <w:tcW w:w="1163" w:type="dxa"/>
            <w:shd w:val="clear" w:color="auto" w:fill="auto"/>
            <w:noWrap/>
            <w:vAlign w:val="bottom"/>
            <w:hideMark/>
          </w:tcPr>
          <w:p w14:paraId="1982EA54"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12 750</w:t>
            </w:r>
          </w:p>
        </w:tc>
        <w:tc>
          <w:tcPr>
            <w:tcW w:w="1163" w:type="dxa"/>
            <w:shd w:val="clear" w:color="auto" w:fill="auto"/>
            <w:noWrap/>
            <w:vAlign w:val="bottom"/>
            <w:hideMark/>
          </w:tcPr>
          <w:p w14:paraId="4E6469F6"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12 602</w:t>
            </w:r>
          </w:p>
        </w:tc>
      </w:tr>
      <w:tr w:rsidR="000C2F85" w:rsidRPr="00120B8B" w14:paraId="62183134" w14:textId="77777777" w:rsidTr="00120B8B">
        <w:trPr>
          <w:trHeight w:val="240"/>
        </w:trPr>
        <w:tc>
          <w:tcPr>
            <w:tcW w:w="3686" w:type="dxa"/>
            <w:shd w:val="clear" w:color="auto" w:fill="auto"/>
            <w:noWrap/>
            <w:hideMark/>
          </w:tcPr>
          <w:p w14:paraId="65363191"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b/>
                <w:sz w:val="18"/>
                <w:lang w:val="es-ES_tradnl"/>
              </w:rPr>
            </w:pPr>
            <w:r w:rsidRPr="00120B8B">
              <w:rPr>
                <w:b/>
                <w:sz w:val="18"/>
                <w:lang w:val="es-ES_tradnl"/>
              </w:rPr>
              <w:t>Tasas (porcentaje)</w:t>
            </w:r>
          </w:p>
        </w:tc>
        <w:tc>
          <w:tcPr>
            <w:tcW w:w="1293" w:type="dxa"/>
            <w:shd w:val="clear" w:color="auto" w:fill="auto"/>
            <w:noWrap/>
            <w:vAlign w:val="bottom"/>
            <w:hideMark/>
          </w:tcPr>
          <w:p w14:paraId="6B1878BE"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 xml:space="preserve"> </w:t>
            </w:r>
          </w:p>
        </w:tc>
        <w:tc>
          <w:tcPr>
            <w:tcW w:w="1171" w:type="dxa"/>
            <w:shd w:val="clear" w:color="auto" w:fill="auto"/>
            <w:noWrap/>
            <w:vAlign w:val="bottom"/>
            <w:hideMark/>
          </w:tcPr>
          <w:p w14:paraId="24DCEE89"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 xml:space="preserve"> </w:t>
            </w:r>
          </w:p>
        </w:tc>
        <w:tc>
          <w:tcPr>
            <w:tcW w:w="1163" w:type="dxa"/>
            <w:shd w:val="clear" w:color="auto" w:fill="auto"/>
            <w:noWrap/>
            <w:vAlign w:val="bottom"/>
            <w:hideMark/>
          </w:tcPr>
          <w:p w14:paraId="4AB7CB9F"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 xml:space="preserve"> </w:t>
            </w:r>
          </w:p>
        </w:tc>
        <w:tc>
          <w:tcPr>
            <w:tcW w:w="1163" w:type="dxa"/>
            <w:shd w:val="clear" w:color="auto" w:fill="auto"/>
            <w:noWrap/>
            <w:vAlign w:val="bottom"/>
            <w:hideMark/>
          </w:tcPr>
          <w:p w14:paraId="080B620A"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 xml:space="preserve"> </w:t>
            </w:r>
          </w:p>
        </w:tc>
        <w:tc>
          <w:tcPr>
            <w:tcW w:w="1163" w:type="dxa"/>
            <w:shd w:val="clear" w:color="auto" w:fill="auto"/>
            <w:noWrap/>
            <w:vAlign w:val="bottom"/>
            <w:hideMark/>
          </w:tcPr>
          <w:p w14:paraId="37BCD3DA"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 xml:space="preserve"> </w:t>
            </w:r>
          </w:p>
        </w:tc>
      </w:tr>
      <w:tr w:rsidR="000C2F85" w:rsidRPr="00120B8B" w14:paraId="0F887D0B" w14:textId="77777777" w:rsidTr="00120B8B">
        <w:trPr>
          <w:trHeight w:val="240"/>
        </w:trPr>
        <w:tc>
          <w:tcPr>
            <w:tcW w:w="3686" w:type="dxa"/>
            <w:shd w:val="clear" w:color="auto" w:fill="auto"/>
            <w:noWrap/>
            <w:hideMark/>
          </w:tcPr>
          <w:p w14:paraId="55247E04"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Tasa de desempleo</w:t>
            </w:r>
          </w:p>
        </w:tc>
        <w:tc>
          <w:tcPr>
            <w:tcW w:w="1293" w:type="dxa"/>
            <w:shd w:val="clear" w:color="auto" w:fill="auto"/>
            <w:noWrap/>
            <w:vAlign w:val="bottom"/>
            <w:hideMark/>
          </w:tcPr>
          <w:p w14:paraId="74034F65"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24,7</w:t>
            </w:r>
          </w:p>
        </w:tc>
        <w:tc>
          <w:tcPr>
            <w:tcW w:w="1171" w:type="dxa"/>
            <w:shd w:val="clear" w:color="auto" w:fill="auto"/>
            <w:noWrap/>
            <w:vAlign w:val="bottom"/>
            <w:hideMark/>
          </w:tcPr>
          <w:p w14:paraId="3E09BDC4"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25,1</w:t>
            </w:r>
          </w:p>
        </w:tc>
        <w:tc>
          <w:tcPr>
            <w:tcW w:w="1163" w:type="dxa"/>
            <w:shd w:val="clear" w:color="auto" w:fill="auto"/>
            <w:noWrap/>
            <w:vAlign w:val="bottom"/>
            <w:hideMark/>
          </w:tcPr>
          <w:p w14:paraId="16C1ED95"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25,3</w:t>
            </w:r>
          </w:p>
        </w:tc>
        <w:tc>
          <w:tcPr>
            <w:tcW w:w="1163" w:type="dxa"/>
            <w:shd w:val="clear" w:color="auto" w:fill="auto"/>
            <w:noWrap/>
            <w:vAlign w:val="bottom"/>
            <w:hideMark/>
          </w:tcPr>
          <w:p w14:paraId="28C43DC1"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26,7</w:t>
            </w:r>
          </w:p>
        </w:tc>
        <w:tc>
          <w:tcPr>
            <w:tcW w:w="1163" w:type="dxa"/>
            <w:shd w:val="clear" w:color="auto" w:fill="auto"/>
            <w:noWrap/>
            <w:vAlign w:val="bottom"/>
            <w:hideMark/>
          </w:tcPr>
          <w:p w14:paraId="0B81D9AD"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27,5</w:t>
            </w:r>
          </w:p>
        </w:tc>
      </w:tr>
      <w:tr w:rsidR="000C2F85" w:rsidRPr="00120B8B" w14:paraId="58A92B9E" w14:textId="77777777" w:rsidTr="00120B8B">
        <w:trPr>
          <w:trHeight w:val="240"/>
        </w:trPr>
        <w:tc>
          <w:tcPr>
            <w:tcW w:w="3686" w:type="dxa"/>
            <w:shd w:val="clear" w:color="auto" w:fill="auto"/>
            <w:noWrap/>
            <w:hideMark/>
          </w:tcPr>
          <w:p w14:paraId="0231D582"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Relación empleo/población (absorción)</w:t>
            </w:r>
          </w:p>
        </w:tc>
        <w:tc>
          <w:tcPr>
            <w:tcW w:w="1293" w:type="dxa"/>
            <w:shd w:val="clear" w:color="auto" w:fill="auto"/>
            <w:noWrap/>
            <w:vAlign w:val="bottom"/>
            <w:hideMark/>
          </w:tcPr>
          <w:p w14:paraId="4CD88CC8"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42,7</w:t>
            </w:r>
          </w:p>
        </w:tc>
        <w:tc>
          <w:tcPr>
            <w:tcW w:w="1171" w:type="dxa"/>
            <w:shd w:val="clear" w:color="auto" w:fill="auto"/>
            <w:noWrap/>
            <w:vAlign w:val="bottom"/>
            <w:hideMark/>
          </w:tcPr>
          <w:p w14:paraId="2A9DA31C"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42,8</w:t>
            </w:r>
          </w:p>
        </w:tc>
        <w:tc>
          <w:tcPr>
            <w:tcW w:w="1163" w:type="dxa"/>
            <w:shd w:val="clear" w:color="auto" w:fill="auto"/>
            <w:noWrap/>
            <w:vAlign w:val="bottom"/>
            <w:hideMark/>
          </w:tcPr>
          <w:p w14:paraId="7C873A77"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43,7</w:t>
            </w:r>
          </w:p>
        </w:tc>
        <w:tc>
          <w:tcPr>
            <w:tcW w:w="1163" w:type="dxa"/>
            <w:shd w:val="clear" w:color="auto" w:fill="auto"/>
            <w:noWrap/>
            <w:vAlign w:val="bottom"/>
            <w:hideMark/>
          </w:tcPr>
          <w:p w14:paraId="6ADAEA81"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43,0</w:t>
            </w:r>
          </w:p>
        </w:tc>
        <w:tc>
          <w:tcPr>
            <w:tcW w:w="1163" w:type="dxa"/>
            <w:shd w:val="clear" w:color="auto" w:fill="auto"/>
            <w:noWrap/>
            <w:vAlign w:val="bottom"/>
            <w:hideMark/>
          </w:tcPr>
          <w:p w14:paraId="6B6339B1"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43,4</w:t>
            </w:r>
          </w:p>
        </w:tc>
      </w:tr>
      <w:tr w:rsidR="000C2F85" w:rsidRPr="00120B8B" w14:paraId="25566963" w14:textId="77777777" w:rsidTr="00120B8B">
        <w:trPr>
          <w:trHeight w:val="240"/>
        </w:trPr>
        <w:tc>
          <w:tcPr>
            <w:tcW w:w="3686" w:type="dxa"/>
            <w:shd w:val="clear" w:color="auto" w:fill="auto"/>
            <w:noWrap/>
            <w:hideMark/>
          </w:tcPr>
          <w:p w14:paraId="6CFB3106"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Tasa de participación en la fuerza de trabajo</w:t>
            </w:r>
          </w:p>
        </w:tc>
        <w:tc>
          <w:tcPr>
            <w:tcW w:w="1293" w:type="dxa"/>
            <w:shd w:val="clear" w:color="auto" w:fill="auto"/>
            <w:noWrap/>
            <w:vAlign w:val="bottom"/>
            <w:hideMark/>
          </w:tcPr>
          <w:p w14:paraId="7B94B135"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56,8</w:t>
            </w:r>
          </w:p>
        </w:tc>
        <w:tc>
          <w:tcPr>
            <w:tcW w:w="1171" w:type="dxa"/>
            <w:shd w:val="clear" w:color="auto" w:fill="auto"/>
            <w:noWrap/>
            <w:vAlign w:val="bottom"/>
            <w:hideMark/>
          </w:tcPr>
          <w:p w14:paraId="125F2C2D"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57,1</w:t>
            </w:r>
          </w:p>
        </w:tc>
        <w:tc>
          <w:tcPr>
            <w:tcW w:w="1163" w:type="dxa"/>
            <w:shd w:val="clear" w:color="auto" w:fill="auto"/>
            <w:noWrap/>
            <w:vAlign w:val="bottom"/>
            <w:hideMark/>
          </w:tcPr>
          <w:p w14:paraId="682E7FCE"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58,5</w:t>
            </w:r>
          </w:p>
        </w:tc>
        <w:tc>
          <w:tcPr>
            <w:tcW w:w="1163" w:type="dxa"/>
            <w:shd w:val="clear" w:color="auto" w:fill="auto"/>
            <w:noWrap/>
            <w:vAlign w:val="bottom"/>
            <w:hideMark/>
          </w:tcPr>
          <w:p w14:paraId="5AE9EA49"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58,7</w:t>
            </w:r>
          </w:p>
        </w:tc>
        <w:tc>
          <w:tcPr>
            <w:tcW w:w="1163" w:type="dxa"/>
            <w:shd w:val="clear" w:color="auto" w:fill="auto"/>
            <w:noWrap/>
            <w:vAlign w:val="bottom"/>
            <w:hideMark/>
          </w:tcPr>
          <w:p w14:paraId="5ACDD44D"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59,8</w:t>
            </w:r>
          </w:p>
        </w:tc>
      </w:tr>
      <w:tr w:rsidR="000C2F85" w:rsidRPr="00120B8B" w14:paraId="20D4ADBF" w14:textId="77777777" w:rsidTr="00120B8B">
        <w:trPr>
          <w:trHeight w:val="240"/>
        </w:trPr>
        <w:tc>
          <w:tcPr>
            <w:tcW w:w="3686" w:type="dxa"/>
            <w:shd w:val="clear" w:color="auto" w:fill="auto"/>
            <w:noWrap/>
            <w:hideMark/>
          </w:tcPr>
          <w:p w14:paraId="7F15C584"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b/>
                <w:sz w:val="18"/>
                <w:lang w:val="es-ES_tradnl"/>
              </w:rPr>
            </w:pPr>
            <w:r w:rsidRPr="00120B8B">
              <w:rPr>
                <w:b/>
                <w:sz w:val="18"/>
                <w:lang w:val="es-ES_tradnl"/>
              </w:rPr>
              <w:t>Mujeres</w:t>
            </w:r>
          </w:p>
        </w:tc>
        <w:tc>
          <w:tcPr>
            <w:tcW w:w="1293" w:type="dxa"/>
            <w:shd w:val="clear" w:color="auto" w:fill="auto"/>
            <w:noWrap/>
            <w:vAlign w:val="bottom"/>
            <w:hideMark/>
          </w:tcPr>
          <w:p w14:paraId="01474EE5"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bCs/>
                <w:sz w:val="18"/>
                <w:lang w:val="es-ES_tradnl"/>
              </w:rPr>
            </w:pPr>
            <w:r w:rsidRPr="00120B8B">
              <w:rPr>
                <w:bCs/>
                <w:sz w:val="18"/>
                <w:lang w:val="es-ES_tradnl"/>
              </w:rPr>
              <w:t xml:space="preserve"> </w:t>
            </w:r>
          </w:p>
        </w:tc>
        <w:tc>
          <w:tcPr>
            <w:tcW w:w="1171" w:type="dxa"/>
            <w:shd w:val="clear" w:color="auto" w:fill="auto"/>
            <w:noWrap/>
            <w:vAlign w:val="bottom"/>
            <w:hideMark/>
          </w:tcPr>
          <w:p w14:paraId="27AA5713"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bCs/>
                <w:sz w:val="18"/>
                <w:lang w:val="es-ES_tradnl"/>
              </w:rPr>
            </w:pPr>
            <w:r w:rsidRPr="00120B8B">
              <w:rPr>
                <w:bCs/>
                <w:sz w:val="18"/>
                <w:lang w:val="es-ES_tradnl"/>
              </w:rPr>
              <w:t xml:space="preserve"> </w:t>
            </w:r>
          </w:p>
        </w:tc>
        <w:tc>
          <w:tcPr>
            <w:tcW w:w="1163" w:type="dxa"/>
            <w:shd w:val="clear" w:color="auto" w:fill="auto"/>
            <w:noWrap/>
            <w:vAlign w:val="bottom"/>
            <w:hideMark/>
          </w:tcPr>
          <w:p w14:paraId="4CDB2A00"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bCs/>
                <w:sz w:val="18"/>
                <w:lang w:val="es-ES_tradnl"/>
              </w:rPr>
            </w:pPr>
            <w:r w:rsidRPr="00120B8B">
              <w:rPr>
                <w:bCs/>
                <w:sz w:val="18"/>
                <w:lang w:val="es-ES_tradnl"/>
              </w:rPr>
              <w:t xml:space="preserve"> </w:t>
            </w:r>
          </w:p>
        </w:tc>
        <w:tc>
          <w:tcPr>
            <w:tcW w:w="1163" w:type="dxa"/>
            <w:shd w:val="clear" w:color="auto" w:fill="auto"/>
            <w:noWrap/>
            <w:vAlign w:val="bottom"/>
            <w:hideMark/>
          </w:tcPr>
          <w:p w14:paraId="0EE72CE3"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bCs/>
                <w:sz w:val="18"/>
                <w:lang w:val="es-ES_tradnl"/>
              </w:rPr>
            </w:pPr>
            <w:r w:rsidRPr="00120B8B">
              <w:rPr>
                <w:bCs/>
                <w:sz w:val="18"/>
                <w:lang w:val="es-ES_tradnl"/>
              </w:rPr>
              <w:t xml:space="preserve"> </w:t>
            </w:r>
          </w:p>
        </w:tc>
        <w:tc>
          <w:tcPr>
            <w:tcW w:w="1163" w:type="dxa"/>
            <w:shd w:val="clear" w:color="auto" w:fill="auto"/>
            <w:noWrap/>
            <w:vAlign w:val="bottom"/>
            <w:hideMark/>
          </w:tcPr>
          <w:p w14:paraId="55B1CB64"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bCs/>
                <w:sz w:val="18"/>
                <w:lang w:val="es-ES_tradnl"/>
              </w:rPr>
            </w:pPr>
            <w:r w:rsidRPr="00120B8B">
              <w:rPr>
                <w:bCs/>
                <w:sz w:val="18"/>
                <w:lang w:val="es-ES_tradnl"/>
              </w:rPr>
              <w:t xml:space="preserve"> </w:t>
            </w:r>
          </w:p>
        </w:tc>
      </w:tr>
      <w:tr w:rsidR="000C2F85" w:rsidRPr="00120B8B" w14:paraId="49FE3DC9" w14:textId="77777777" w:rsidTr="00120B8B">
        <w:trPr>
          <w:trHeight w:val="240"/>
        </w:trPr>
        <w:tc>
          <w:tcPr>
            <w:tcW w:w="3686" w:type="dxa"/>
            <w:shd w:val="clear" w:color="auto" w:fill="auto"/>
            <w:noWrap/>
            <w:hideMark/>
          </w:tcPr>
          <w:p w14:paraId="1A1A39E0"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bCs/>
                <w:sz w:val="18"/>
                <w:lang w:val="es-ES_tradnl"/>
              </w:rPr>
            </w:pPr>
            <w:r w:rsidRPr="00120B8B">
              <w:rPr>
                <w:bCs/>
                <w:sz w:val="18"/>
                <w:lang w:val="es-ES_tradnl"/>
              </w:rPr>
              <w:t>Personas de 15 a 64 años</w:t>
            </w:r>
          </w:p>
        </w:tc>
        <w:tc>
          <w:tcPr>
            <w:tcW w:w="1293" w:type="dxa"/>
            <w:shd w:val="clear" w:color="auto" w:fill="auto"/>
            <w:noWrap/>
            <w:vAlign w:val="bottom"/>
            <w:hideMark/>
          </w:tcPr>
          <w:p w14:paraId="7B2B16C5"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bCs/>
                <w:sz w:val="18"/>
                <w:lang w:val="es-ES_tradnl"/>
              </w:rPr>
            </w:pPr>
            <w:r w:rsidRPr="00120B8B">
              <w:rPr>
                <w:sz w:val="18"/>
                <w:lang w:val="es-ES_tradnl"/>
              </w:rPr>
              <w:t>17 702</w:t>
            </w:r>
          </w:p>
        </w:tc>
        <w:tc>
          <w:tcPr>
            <w:tcW w:w="1171" w:type="dxa"/>
            <w:shd w:val="clear" w:color="auto" w:fill="auto"/>
            <w:noWrap/>
            <w:vAlign w:val="bottom"/>
            <w:hideMark/>
          </w:tcPr>
          <w:p w14:paraId="3F157FF3"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bCs/>
                <w:sz w:val="18"/>
                <w:lang w:val="es-ES_tradnl"/>
              </w:rPr>
            </w:pPr>
            <w:r w:rsidRPr="00120B8B">
              <w:rPr>
                <w:sz w:val="18"/>
                <w:lang w:val="es-ES_tradnl"/>
              </w:rPr>
              <w:t>17 986</w:t>
            </w:r>
          </w:p>
        </w:tc>
        <w:tc>
          <w:tcPr>
            <w:tcW w:w="1163" w:type="dxa"/>
            <w:shd w:val="clear" w:color="auto" w:fill="auto"/>
            <w:noWrap/>
            <w:vAlign w:val="bottom"/>
            <w:hideMark/>
          </w:tcPr>
          <w:p w14:paraId="36DA54D6"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bCs/>
                <w:sz w:val="18"/>
                <w:lang w:val="es-ES_tradnl"/>
              </w:rPr>
            </w:pPr>
            <w:r w:rsidRPr="00120B8B">
              <w:rPr>
                <w:sz w:val="18"/>
                <w:lang w:val="es-ES_tradnl"/>
              </w:rPr>
              <w:t>18 273</w:t>
            </w:r>
          </w:p>
        </w:tc>
        <w:tc>
          <w:tcPr>
            <w:tcW w:w="1163" w:type="dxa"/>
            <w:shd w:val="clear" w:color="auto" w:fill="auto"/>
            <w:noWrap/>
            <w:vAlign w:val="bottom"/>
            <w:hideMark/>
          </w:tcPr>
          <w:p w14:paraId="70F55B20"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bCs/>
                <w:sz w:val="18"/>
                <w:lang w:val="es-ES_tradnl"/>
              </w:rPr>
            </w:pPr>
            <w:r w:rsidRPr="00120B8B">
              <w:rPr>
                <w:sz w:val="18"/>
                <w:lang w:val="es-ES_tradnl"/>
              </w:rPr>
              <w:t>18 567</w:t>
            </w:r>
          </w:p>
        </w:tc>
        <w:tc>
          <w:tcPr>
            <w:tcW w:w="1163" w:type="dxa"/>
            <w:shd w:val="clear" w:color="auto" w:fill="auto"/>
            <w:noWrap/>
            <w:vAlign w:val="bottom"/>
            <w:hideMark/>
          </w:tcPr>
          <w:p w14:paraId="0FB5BC1C"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bCs/>
                <w:sz w:val="18"/>
                <w:lang w:val="es-ES_tradnl"/>
              </w:rPr>
            </w:pPr>
            <w:r w:rsidRPr="00120B8B">
              <w:rPr>
                <w:sz w:val="18"/>
                <w:lang w:val="es-ES_tradnl"/>
              </w:rPr>
              <w:t>18 865</w:t>
            </w:r>
          </w:p>
        </w:tc>
      </w:tr>
      <w:tr w:rsidR="000C2F85" w:rsidRPr="00120B8B" w14:paraId="4607E791" w14:textId="77777777" w:rsidTr="00120B8B">
        <w:trPr>
          <w:trHeight w:val="240"/>
        </w:trPr>
        <w:tc>
          <w:tcPr>
            <w:tcW w:w="3686" w:type="dxa"/>
            <w:shd w:val="clear" w:color="auto" w:fill="auto"/>
            <w:noWrap/>
            <w:hideMark/>
          </w:tcPr>
          <w:p w14:paraId="39952A07"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bCs/>
                <w:sz w:val="18"/>
                <w:lang w:val="es-ES_tradnl"/>
              </w:rPr>
            </w:pPr>
            <w:r w:rsidRPr="00120B8B">
              <w:rPr>
                <w:sz w:val="18"/>
                <w:lang w:val="es-ES_tradnl"/>
              </w:rPr>
              <w:t>Fuerza de trabajo</w:t>
            </w:r>
          </w:p>
        </w:tc>
        <w:tc>
          <w:tcPr>
            <w:tcW w:w="1293" w:type="dxa"/>
            <w:shd w:val="clear" w:color="auto" w:fill="auto"/>
            <w:noWrap/>
            <w:vAlign w:val="bottom"/>
            <w:hideMark/>
          </w:tcPr>
          <w:p w14:paraId="2A7A1880"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bCs/>
                <w:sz w:val="18"/>
                <w:lang w:val="es-ES_tradnl"/>
              </w:rPr>
            </w:pPr>
            <w:r w:rsidRPr="00120B8B">
              <w:rPr>
                <w:sz w:val="18"/>
                <w:lang w:val="es-ES_tradnl"/>
              </w:rPr>
              <w:t>8 920</w:t>
            </w:r>
          </w:p>
        </w:tc>
        <w:tc>
          <w:tcPr>
            <w:tcW w:w="1171" w:type="dxa"/>
            <w:shd w:val="clear" w:color="auto" w:fill="auto"/>
            <w:noWrap/>
            <w:vAlign w:val="bottom"/>
            <w:hideMark/>
          </w:tcPr>
          <w:p w14:paraId="290AA4B1"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bCs/>
                <w:sz w:val="18"/>
                <w:lang w:val="es-ES_tradnl"/>
              </w:rPr>
            </w:pPr>
            <w:r w:rsidRPr="00120B8B">
              <w:rPr>
                <w:sz w:val="18"/>
                <w:lang w:val="es-ES_tradnl"/>
              </w:rPr>
              <w:t>9 115</w:t>
            </w:r>
          </w:p>
        </w:tc>
        <w:tc>
          <w:tcPr>
            <w:tcW w:w="1163" w:type="dxa"/>
            <w:shd w:val="clear" w:color="auto" w:fill="auto"/>
            <w:noWrap/>
            <w:vAlign w:val="bottom"/>
            <w:hideMark/>
          </w:tcPr>
          <w:p w14:paraId="185CEB00"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bCs/>
                <w:sz w:val="18"/>
                <w:lang w:val="es-ES_tradnl"/>
              </w:rPr>
            </w:pPr>
            <w:r w:rsidRPr="00120B8B">
              <w:rPr>
                <w:sz w:val="18"/>
                <w:lang w:val="es-ES_tradnl"/>
              </w:rPr>
              <w:t>9 522</w:t>
            </w:r>
          </w:p>
        </w:tc>
        <w:tc>
          <w:tcPr>
            <w:tcW w:w="1163" w:type="dxa"/>
            <w:shd w:val="clear" w:color="auto" w:fill="auto"/>
            <w:noWrap/>
            <w:vAlign w:val="bottom"/>
            <w:hideMark/>
          </w:tcPr>
          <w:p w14:paraId="3FB02A87"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bCs/>
                <w:sz w:val="18"/>
                <w:lang w:val="es-ES_tradnl"/>
              </w:rPr>
            </w:pPr>
            <w:r w:rsidRPr="00120B8B">
              <w:rPr>
                <w:sz w:val="18"/>
                <w:lang w:val="es-ES_tradnl"/>
              </w:rPr>
              <w:t>9 701</w:t>
            </w:r>
          </w:p>
        </w:tc>
        <w:tc>
          <w:tcPr>
            <w:tcW w:w="1163" w:type="dxa"/>
            <w:shd w:val="clear" w:color="auto" w:fill="auto"/>
            <w:noWrap/>
            <w:vAlign w:val="bottom"/>
            <w:hideMark/>
          </w:tcPr>
          <w:p w14:paraId="645C5A7A"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bCs/>
                <w:sz w:val="18"/>
                <w:lang w:val="es-ES_tradnl"/>
              </w:rPr>
            </w:pPr>
            <w:r w:rsidRPr="00120B8B">
              <w:rPr>
                <w:sz w:val="18"/>
                <w:lang w:val="es-ES_tradnl"/>
              </w:rPr>
              <w:t>10 104</w:t>
            </w:r>
          </w:p>
        </w:tc>
      </w:tr>
      <w:tr w:rsidR="000C2F85" w:rsidRPr="00120B8B" w14:paraId="75F602A2" w14:textId="77777777" w:rsidTr="00120B8B">
        <w:trPr>
          <w:trHeight w:val="240"/>
        </w:trPr>
        <w:tc>
          <w:tcPr>
            <w:tcW w:w="3686" w:type="dxa"/>
            <w:shd w:val="clear" w:color="auto" w:fill="auto"/>
            <w:noWrap/>
            <w:hideMark/>
          </w:tcPr>
          <w:p w14:paraId="384B7912"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Personas empleadas</w:t>
            </w:r>
          </w:p>
        </w:tc>
        <w:tc>
          <w:tcPr>
            <w:tcW w:w="1293" w:type="dxa"/>
            <w:shd w:val="clear" w:color="auto" w:fill="auto"/>
            <w:noWrap/>
            <w:vAlign w:val="bottom"/>
            <w:hideMark/>
          </w:tcPr>
          <w:p w14:paraId="427087BF"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6 539</w:t>
            </w:r>
          </w:p>
        </w:tc>
        <w:tc>
          <w:tcPr>
            <w:tcW w:w="1171" w:type="dxa"/>
            <w:shd w:val="clear" w:color="auto" w:fill="auto"/>
            <w:noWrap/>
            <w:vAlign w:val="bottom"/>
            <w:hideMark/>
          </w:tcPr>
          <w:p w14:paraId="72148CEA"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6 634</w:t>
            </w:r>
          </w:p>
        </w:tc>
        <w:tc>
          <w:tcPr>
            <w:tcW w:w="1163" w:type="dxa"/>
            <w:shd w:val="clear" w:color="auto" w:fill="auto"/>
            <w:noWrap/>
            <w:vAlign w:val="bottom"/>
            <w:hideMark/>
          </w:tcPr>
          <w:p w14:paraId="196EE7BE"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6 882</w:t>
            </w:r>
          </w:p>
        </w:tc>
        <w:tc>
          <w:tcPr>
            <w:tcW w:w="1163" w:type="dxa"/>
            <w:shd w:val="clear" w:color="auto" w:fill="auto"/>
            <w:noWrap/>
            <w:vAlign w:val="bottom"/>
            <w:hideMark/>
          </w:tcPr>
          <w:p w14:paraId="4EBD2BE1"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6 874</w:t>
            </w:r>
          </w:p>
        </w:tc>
        <w:tc>
          <w:tcPr>
            <w:tcW w:w="1163" w:type="dxa"/>
            <w:shd w:val="clear" w:color="auto" w:fill="auto"/>
            <w:noWrap/>
            <w:vAlign w:val="bottom"/>
            <w:hideMark/>
          </w:tcPr>
          <w:p w14:paraId="4A4937FF"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7 114</w:t>
            </w:r>
          </w:p>
        </w:tc>
      </w:tr>
      <w:tr w:rsidR="000C2F85" w:rsidRPr="00120B8B" w14:paraId="2913C6BB" w14:textId="77777777" w:rsidTr="00120B8B">
        <w:trPr>
          <w:trHeight w:val="240"/>
        </w:trPr>
        <w:tc>
          <w:tcPr>
            <w:tcW w:w="3686" w:type="dxa"/>
            <w:shd w:val="clear" w:color="auto" w:fill="auto"/>
            <w:noWrap/>
            <w:hideMark/>
          </w:tcPr>
          <w:p w14:paraId="79CFE840"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Sector formal (no agrícola)</w:t>
            </w:r>
          </w:p>
        </w:tc>
        <w:tc>
          <w:tcPr>
            <w:tcW w:w="1293" w:type="dxa"/>
            <w:shd w:val="clear" w:color="auto" w:fill="auto"/>
            <w:noWrap/>
            <w:vAlign w:val="bottom"/>
            <w:hideMark/>
          </w:tcPr>
          <w:p w14:paraId="380DD291"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4 369</w:t>
            </w:r>
          </w:p>
        </w:tc>
        <w:tc>
          <w:tcPr>
            <w:tcW w:w="1171" w:type="dxa"/>
            <w:shd w:val="clear" w:color="auto" w:fill="auto"/>
            <w:noWrap/>
            <w:vAlign w:val="bottom"/>
            <w:hideMark/>
          </w:tcPr>
          <w:p w14:paraId="0553CD23"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4 514</w:t>
            </w:r>
          </w:p>
        </w:tc>
        <w:tc>
          <w:tcPr>
            <w:tcW w:w="1163" w:type="dxa"/>
            <w:shd w:val="clear" w:color="auto" w:fill="auto"/>
            <w:noWrap/>
            <w:vAlign w:val="bottom"/>
            <w:hideMark/>
          </w:tcPr>
          <w:p w14:paraId="7AF15DA0"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4 577</w:t>
            </w:r>
          </w:p>
        </w:tc>
        <w:tc>
          <w:tcPr>
            <w:tcW w:w="1163" w:type="dxa"/>
            <w:shd w:val="clear" w:color="auto" w:fill="auto"/>
            <w:noWrap/>
            <w:vAlign w:val="bottom"/>
            <w:hideMark/>
          </w:tcPr>
          <w:p w14:paraId="18A1BFE2"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4 657</w:t>
            </w:r>
          </w:p>
        </w:tc>
        <w:tc>
          <w:tcPr>
            <w:tcW w:w="1163" w:type="dxa"/>
            <w:shd w:val="clear" w:color="auto" w:fill="auto"/>
            <w:noWrap/>
            <w:vAlign w:val="bottom"/>
            <w:hideMark/>
          </w:tcPr>
          <w:p w14:paraId="104B0537"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4 797</w:t>
            </w:r>
          </w:p>
        </w:tc>
      </w:tr>
      <w:tr w:rsidR="000C2F85" w:rsidRPr="00120B8B" w14:paraId="0CD06B5D" w14:textId="77777777" w:rsidTr="00120B8B">
        <w:trPr>
          <w:trHeight w:val="240"/>
        </w:trPr>
        <w:tc>
          <w:tcPr>
            <w:tcW w:w="3686" w:type="dxa"/>
            <w:shd w:val="clear" w:color="auto" w:fill="auto"/>
            <w:noWrap/>
            <w:hideMark/>
          </w:tcPr>
          <w:p w14:paraId="76BBACCD"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Sector informal (no agrícola)</w:t>
            </w:r>
          </w:p>
        </w:tc>
        <w:tc>
          <w:tcPr>
            <w:tcW w:w="1293" w:type="dxa"/>
            <w:shd w:val="clear" w:color="auto" w:fill="auto"/>
            <w:noWrap/>
            <w:vAlign w:val="bottom"/>
            <w:hideMark/>
          </w:tcPr>
          <w:p w14:paraId="18E12F82"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954</w:t>
            </w:r>
          </w:p>
        </w:tc>
        <w:tc>
          <w:tcPr>
            <w:tcW w:w="1171" w:type="dxa"/>
            <w:shd w:val="clear" w:color="auto" w:fill="auto"/>
            <w:noWrap/>
            <w:vAlign w:val="bottom"/>
            <w:hideMark/>
          </w:tcPr>
          <w:p w14:paraId="11E84B99"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937</w:t>
            </w:r>
          </w:p>
        </w:tc>
        <w:tc>
          <w:tcPr>
            <w:tcW w:w="1163" w:type="dxa"/>
            <w:shd w:val="clear" w:color="auto" w:fill="auto"/>
            <w:noWrap/>
            <w:vAlign w:val="bottom"/>
            <w:hideMark/>
          </w:tcPr>
          <w:p w14:paraId="17A8D6FF"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1 007</w:t>
            </w:r>
          </w:p>
        </w:tc>
        <w:tc>
          <w:tcPr>
            <w:tcW w:w="1163" w:type="dxa"/>
            <w:shd w:val="clear" w:color="auto" w:fill="auto"/>
            <w:noWrap/>
            <w:vAlign w:val="bottom"/>
            <w:hideMark/>
          </w:tcPr>
          <w:p w14:paraId="434CA0C5"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968</w:t>
            </w:r>
          </w:p>
        </w:tc>
        <w:tc>
          <w:tcPr>
            <w:tcW w:w="1163" w:type="dxa"/>
            <w:shd w:val="clear" w:color="auto" w:fill="auto"/>
            <w:noWrap/>
            <w:vAlign w:val="bottom"/>
            <w:hideMark/>
          </w:tcPr>
          <w:p w14:paraId="6DC07EE1"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1 047</w:t>
            </w:r>
          </w:p>
        </w:tc>
      </w:tr>
      <w:tr w:rsidR="000C2F85" w:rsidRPr="00120B8B" w14:paraId="134D1C67" w14:textId="77777777" w:rsidTr="00120B8B">
        <w:trPr>
          <w:trHeight w:val="240"/>
        </w:trPr>
        <w:tc>
          <w:tcPr>
            <w:tcW w:w="3686" w:type="dxa"/>
            <w:shd w:val="clear" w:color="auto" w:fill="auto"/>
            <w:noWrap/>
            <w:hideMark/>
          </w:tcPr>
          <w:p w14:paraId="32B3785F"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Agricultura</w:t>
            </w:r>
          </w:p>
        </w:tc>
        <w:tc>
          <w:tcPr>
            <w:tcW w:w="1293" w:type="dxa"/>
            <w:shd w:val="clear" w:color="auto" w:fill="auto"/>
            <w:noWrap/>
            <w:vAlign w:val="bottom"/>
            <w:hideMark/>
          </w:tcPr>
          <w:p w14:paraId="2A1DA716"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230</w:t>
            </w:r>
          </w:p>
        </w:tc>
        <w:tc>
          <w:tcPr>
            <w:tcW w:w="1171" w:type="dxa"/>
            <w:shd w:val="clear" w:color="auto" w:fill="auto"/>
            <w:noWrap/>
            <w:vAlign w:val="bottom"/>
            <w:hideMark/>
          </w:tcPr>
          <w:p w14:paraId="4E9FB0E9"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213</w:t>
            </w:r>
          </w:p>
        </w:tc>
        <w:tc>
          <w:tcPr>
            <w:tcW w:w="1163" w:type="dxa"/>
            <w:shd w:val="clear" w:color="auto" w:fill="auto"/>
            <w:noWrap/>
            <w:vAlign w:val="bottom"/>
            <w:hideMark/>
          </w:tcPr>
          <w:p w14:paraId="5F52C424"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293</w:t>
            </w:r>
          </w:p>
        </w:tc>
        <w:tc>
          <w:tcPr>
            <w:tcW w:w="1163" w:type="dxa"/>
            <w:shd w:val="clear" w:color="auto" w:fill="auto"/>
            <w:noWrap/>
            <w:vAlign w:val="bottom"/>
            <w:hideMark/>
          </w:tcPr>
          <w:p w14:paraId="053B8FB2"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267</w:t>
            </w:r>
          </w:p>
        </w:tc>
        <w:tc>
          <w:tcPr>
            <w:tcW w:w="1163" w:type="dxa"/>
            <w:shd w:val="clear" w:color="auto" w:fill="auto"/>
            <w:noWrap/>
            <w:vAlign w:val="bottom"/>
            <w:hideMark/>
          </w:tcPr>
          <w:p w14:paraId="59044161"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265</w:t>
            </w:r>
          </w:p>
        </w:tc>
      </w:tr>
      <w:tr w:rsidR="000C2F85" w:rsidRPr="00120B8B" w14:paraId="456CAFFB" w14:textId="77777777" w:rsidTr="00120B8B">
        <w:trPr>
          <w:trHeight w:val="240"/>
        </w:trPr>
        <w:tc>
          <w:tcPr>
            <w:tcW w:w="3686" w:type="dxa"/>
            <w:shd w:val="clear" w:color="auto" w:fill="auto"/>
            <w:noWrap/>
            <w:hideMark/>
          </w:tcPr>
          <w:p w14:paraId="1047600E"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Hogares</w:t>
            </w:r>
          </w:p>
        </w:tc>
        <w:tc>
          <w:tcPr>
            <w:tcW w:w="1293" w:type="dxa"/>
            <w:shd w:val="clear" w:color="auto" w:fill="auto"/>
            <w:noWrap/>
            <w:vAlign w:val="bottom"/>
            <w:hideMark/>
          </w:tcPr>
          <w:p w14:paraId="1D3CBB40"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987</w:t>
            </w:r>
          </w:p>
        </w:tc>
        <w:tc>
          <w:tcPr>
            <w:tcW w:w="1171" w:type="dxa"/>
            <w:shd w:val="clear" w:color="auto" w:fill="auto"/>
            <w:noWrap/>
            <w:vAlign w:val="bottom"/>
            <w:hideMark/>
          </w:tcPr>
          <w:p w14:paraId="3DE848A3"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969</w:t>
            </w:r>
          </w:p>
        </w:tc>
        <w:tc>
          <w:tcPr>
            <w:tcW w:w="1163" w:type="dxa"/>
            <w:shd w:val="clear" w:color="auto" w:fill="auto"/>
            <w:noWrap/>
            <w:vAlign w:val="bottom"/>
            <w:hideMark/>
          </w:tcPr>
          <w:p w14:paraId="13376C82"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1 006</w:t>
            </w:r>
          </w:p>
        </w:tc>
        <w:tc>
          <w:tcPr>
            <w:tcW w:w="1163" w:type="dxa"/>
            <w:shd w:val="clear" w:color="auto" w:fill="auto"/>
            <w:noWrap/>
            <w:vAlign w:val="bottom"/>
            <w:hideMark/>
          </w:tcPr>
          <w:p w14:paraId="504A8227"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982</w:t>
            </w:r>
          </w:p>
        </w:tc>
        <w:tc>
          <w:tcPr>
            <w:tcW w:w="1163" w:type="dxa"/>
            <w:shd w:val="clear" w:color="auto" w:fill="auto"/>
            <w:noWrap/>
            <w:vAlign w:val="bottom"/>
            <w:hideMark/>
          </w:tcPr>
          <w:p w14:paraId="55700495"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1 004</w:t>
            </w:r>
          </w:p>
        </w:tc>
      </w:tr>
      <w:tr w:rsidR="000C2F85" w:rsidRPr="00120B8B" w14:paraId="1A484F5F" w14:textId="77777777" w:rsidTr="00120B8B">
        <w:trPr>
          <w:trHeight w:val="240"/>
        </w:trPr>
        <w:tc>
          <w:tcPr>
            <w:tcW w:w="3686" w:type="dxa"/>
            <w:shd w:val="clear" w:color="auto" w:fill="auto"/>
            <w:noWrap/>
            <w:hideMark/>
          </w:tcPr>
          <w:p w14:paraId="75A80094"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Personas desempleadas</w:t>
            </w:r>
          </w:p>
        </w:tc>
        <w:tc>
          <w:tcPr>
            <w:tcW w:w="1293" w:type="dxa"/>
            <w:shd w:val="clear" w:color="auto" w:fill="auto"/>
            <w:noWrap/>
            <w:vAlign w:val="bottom"/>
            <w:hideMark/>
          </w:tcPr>
          <w:p w14:paraId="492B2A25"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2 381</w:t>
            </w:r>
          </w:p>
        </w:tc>
        <w:tc>
          <w:tcPr>
            <w:tcW w:w="1171" w:type="dxa"/>
            <w:shd w:val="clear" w:color="auto" w:fill="auto"/>
            <w:noWrap/>
            <w:vAlign w:val="bottom"/>
            <w:hideMark/>
          </w:tcPr>
          <w:p w14:paraId="17FCBB5D"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2 482</w:t>
            </w:r>
          </w:p>
        </w:tc>
        <w:tc>
          <w:tcPr>
            <w:tcW w:w="1163" w:type="dxa"/>
            <w:shd w:val="clear" w:color="auto" w:fill="auto"/>
            <w:noWrap/>
            <w:vAlign w:val="bottom"/>
            <w:hideMark/>
          </w:tcPr>
          <w:p w14:paraId="55ACA42B"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2 640</w:t>
            </w:r>
          </w:p>
        </w:tc>
        <w:tc>
          <w:tcPr>
            <w:tcW w:w="1163" w:type="dxa"/>
            <w:shd w:val="clear" w:color="auto" w:fill="auto"/>
            <w:noWrap/>
            <w:vAlign w:val="bottom"/>
            <w:hideMark/>
          </w:tcPr>
          <w:p w14:paraId="5B22E71A"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2 827</w:t>
            </w:r>
          </w:p>
        </w:tc>
        <w:tc>
          <w:tcPr>
            <w:tcW w:w="1163" w:type="dxa"/>
            <w:shd w:val="clear" w:color="auto" w:fill="auto"/>
            <w:noWrap/>
            <w:vAlign w:val="bottom"/>
            <w:hideMark/>
          </w:tcPr>
          <w:p w14:paraId="6508B659"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2 990</w:t>
            </w:r>
          </w:p>
        </w:tc>
      </w:tr>
      <w:tr w:rsidR="000C2F85" w:rsidRPr="00120B8B" w14:paraId="24F8F9C9" w14:textId="77777777" w:rsidTr="00120B8B">
        <w:trPr>
          <w:trHeight w:val="240"/>
        </w:trPr>
        <w:tc>
          <w:tcPr>
            <w:tcW w:w="3686" w:type="dxa"/>
            <w:shd w:val="clear" w:color="auto" w:fill="auto"/>
            <w:noWrap/>
            <w:hideMark/>
          </w:tcPr>
          <w:p w14:paraId="6319BD96"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Población no activa</w:t>
            </w:r>
          </w:p>
        </w:tc>
        <w:tc>
          <w:tcPr>
            <w:tcW w:w="1293" w:type="dxa"/>
            <w:shd w:val="clear" w:color="auto" w:fill="auto"/>
            <w:noWrap/>
            <w:vAlign w:val="bottom"/>
            <w:hideMark/>
          </w:tcPr>
          <w:p w14:paraId="6D8B07AB"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8 782</w:t>
            </w:r>
          </w:p>
        </w:tc>
        <w:tc>
          <w:tcPr>
            <w:tcW w:w="1171" w:type="dxa"/>
            <w:shd w:val="clear" w:color="auto" w:fill="auto"/>
            <w:noWrap/>
            <w:vAlign w:val="bottom"/>
            <w:hideMark/>
          </w:tcPr>
          <w:p w14:paraId="09B225B5"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8 871</w:t>
            </w:r>
          </w:p>
        </w:tc>
        <w:tc>
          <w:tcPr>
            <w:tcW w:w="1163" w:type="dxa"/>
            <w:shd w:val="clear" w:color="auto" w:fill="auto"/>
            <w:noWrap/>
            <w:vAlign w:val="bottom"/>
            <w:hideMark/>
          </w:tcPr>
          <w:p w14:paraId="125D4A87"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8 751</w:t>
            </w:r>
          </w:p>
        </w:tc>
        <w:tc>
          <w:tcPr>
            <w:tcW w:w="1163" w:type="dxa"/>
            <w:shd w:val="clear" w:color="auto" w:fill="auto"/>
            <w:noWrap/>
            <w:vAlign w:val="bottom"/>
            <w:hideMark/>
          </w:tcPr>
          <w:p w14:paraId="2000D23F"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8 866</w:t>
            </w:r>
          </w:p>
        </w:tc>
        <w:tc>
          <w:tcPr>
            <w:tcW w:w="1163" w:type="dxa"/>
            <w:shd w:val="clear" w:color="auto" w:fill="auto"/>
            <w:noWrap/>
            <w:vAlign w:val="bottom"/>
            <w:hideMark/>
          </w:tcPr>
          <w:p w14:paraId="5A8E6D03"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8 761</w:t>
            </w:r>
          </w:p>
        </w:tc>
      </w:tr>
      <w:tr w:rsidR="000C2F85" w:rsidRPr="00120B8B" w14:paraId="0A177B7F" w14:textId="77777777" w:rsidTr="00120B8B">
        <w:trPr>
          <w:trHeight w:val="240"/>
        </w:trPr>
        <w:tc>
          <w:tcPr>
            <w:tcW w:w="3686" w:type="dxa"/>
            <w:shd w:val="clear" w:color="auto" w:fill="auto"/>
            <w:noWrap/>
            <w:hideMark/>
          </w:tcPr>
          <w:p w14:paraId="7E936ADC"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Solicitantes de empleo desanimados</w:t>
            </w:r>
          </w:p>
        </w:tc>
        <w:tc>
          <w:tcPr>
            <w:tcW w:w="1293" w:type="dxa"/>
            <w:shd w:val="clear" w:color="auto" w:fill="auto"/>
            <w:noWrap/>
            <w:vAlign w:val="bottom"/>
            <w:hideMark/>
          </w:tcPr>
          <w:p w14:paraId="787767C3"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1 270</w:t>
            </w:r>
          </w:p>
        </w:tc>
        <w:tc>
          <w:tcPr>
            <w:tcW w:w="1171" w:type="dxa"/>
            <w:shd w:val="clear" w:color="auto" w:fill="auto"/>
            <w:noWrap/>
            <w:vAlign w:val="bottom"/>
            <w:hideMark/>
          </w:tcPr>
          <w:p w14:paraId="17D4AF22"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1 285</w:t>
            </w:r>
          </w:p>
        </w:tc>
        <w:tc>
          <w:tcPr>
            <w:tcW w:w="1163" w:type="dxa"/>
            <w:shd w:val="clear" w:color="auto" w:fill="auto"/>
            <w:noWrap/>
            <w:vAlign w:val="bottom"/>
            <w:hideMark/>
          </w:tcPr>
          <w:p w14:paraId="554F789A"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1 309</w:t>
            </w:r>
          </w:p>
        </w:tc>
        <w:tc>
          <w:tcPr>
            <w:tcW w:w="1163" w:type="dxa"/>
            <w:shd w:val="clear" w:color="auto" w:fill="auto"/>
            <w:noWrap/>
            <w:vAlign w:val="bottom"/>
            <w:hideMark/>
          </w:tcPr>
          <w:p w14:paraId="64D29033"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1 316</w:t>
            </w:r>
          </w:p>
        </w:tc>
        <w:tc>
          <w:tcPr>
            <w:tcW w:w="1163" w:type="dxa"/>
            <w:shd w:val="clear" w:color="auto" w:fill="auto"/>
            <w:noWrap/>
            <w:vAlign w:val="bottom"/>
            <w:hideMark/>
          </w:tcPr>
          <w:p w14:paraId="7CF2CFB6"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1 323</w:t>
            </w:r>
          </w:p>
        </w:tc>
      </w:tr>
      <w:tr w:rsidR="000C2F85" w:rsidRPr="00120B8B" w14:paraId="3814060E" w14:textId="77777777" w:rsidTr="00120B8B">
        <w:trPr>
          <w:trHeight w:val="240"/>
        </w:trPr>
        <w:tc>
          <w:tcPr>
            <w:tcW w:w="3686" w:type="dxa"/>
            <w:shd w:val="clear" w:color="auto" w:fill="auto"/>
            <w:noWrap/>
            <w:hideMark/>
          </w:tcPr>
          <w:p w14:paraId="41E96CB6"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Otros (población no activa)</w:t>
            </w:r>
          </w:p>
        </w:tc>
        <w:tc>
          <w:tcPr>
            <w:tcW w:w="1293" w:type="dxa"/>
            <w:shd w:val="clear" w:color="auto" w:fill="auto"/>
            <w:noWrap/>
            <w:vAlign w:val="bottom"/>
            <w:hideMark/>
          </w:tcPr>
          <w:p w14:paraId="32FC5716"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7 512</w:t>
            </w:r>
          </w:p>
        </w:tc>
        <w:tc>
          <w:tcPr>
            <w:tcW w:w="1171" w:type="dxa"/>
            <w:shd w:val="clear" w:color="auto" w:fill="auto"/>
            <w:noWrap/>
            <w:vAlign w:val="bottom"/>
            <w:hideMark/>
          </w:tcPr>
          <w:p w14:paraId="15A5C016"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7 586</w:t>
            </w:r>
          </w:p>
        </w:tc>
        <w:tc>
          <w:tcPr>
            <w:tcW w:w="1163" w:type="dxa"/>
            <w:shd w:val="clear" w:color="auto" w:fill="auto"/>
            <w:noWrap/>
            <w:vAlign w:val="bottom"/>
            <w:hideMark/>
          </w:tcPr>
          <w:p w14:paraId="12C6BE59"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7 443</w:t>
            </w:r>
          </w:p>
        </w:tc>
        <w:tc>
          <w:tcPr>
            <w:tcW w:w="1163" w:type="dxa"/>
            <w:shd w:val="clear" w:color="auto" w:fill="auto"/>
            <w:noWrap/>
            <w:vAlign w:val="bottom"/>
            <w:hideMark/>
          </w:tcPr>
          <w:p w14:paraId="6D811234"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7 550</w:t>
            </w:r>
          </w:p>
        </w:tc>
        <w:tc>
          <w:tcPr>
            <w:tcW w:w="1163" w:type="dxa"/>
            <w:shd w:val="clear" w:color="auto" w:fill="auto"/>
            <w:noWrap/>
            <w:vAlign w:val="bottom"/>
            <w:hideMark/>
          </w:tcPr>
          <w:p w14:paraId="0BA445BC"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7 438</w:t>
            </w:r>
          </w:p>
        </w:tc>
      </w:tr>
      <w:tr w:rsidR="000C2F85" w:rsidRPr="00120B8B" w14:paraId="03310563" w14:textId="77777777" w:rsidTr="00120B8B">
        <w:trPr>
          <w:trHeight w:val="240"/>
        </w:trPr>
        <w:tc>
          <w:tcPr>
            <w:tcW w:w="3686" w:type="dxa"/>
            <w:shd w:val="clear" w:color="auto" w:fill="auto"/>
            <w:noWrap/>
            <w:hideMark/>
          </w:tcPr>
          <w:p w14:paraId="733908DF"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b/>
                <w:sz w:val="18"/>
                <w:lang w:val="es-ES_tradnl"/>
              </w:rPr>
            </w:pPr>
            <w:r w:rsidRPr="00120B8B">
              <w:rPr>
                <w:b/>
                <w:sz w:val="18"/>
                <w:lang w:val="es-ES_tradnl"/>
              </w:rPr>
              <w:t>Tasas (porcentaje)</w:t>
            </w:r>
          </w:p>
        </w:tc>
        <w:tc>
          <w:tcPr>
            <w:tcW w:w="1293" w:type="dxa"/>
            <w:shd w:val="clear" w:color="auto" w:fill="auto"/>
            <w:noWrap/>
            <w:vAlign w:val="bottom"/>
            <w:hideMark/>
          </w:tcPr>
          <w:p w14:paraId="6E163F48"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 xml:space="preserve"> </w:t>
            </w:r>
          </w:p>
        </w:tc>
        <w:tc>
          <w:tcPr>
            <w:tcW w:w="1171" w:type="dxa"/>
            <w:shd w:val="clear" w:color="auto" w:fill="auto"/>
            <w:noWrap/>
            <w:vAlign w:val="bottom"/>
            <w:hideMark/>
          </w:tcPr>
          <w:p w14:paraId="66869920"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 xml:space="preserve"> </w:t>
            </w:r>
          </w:p>
        </w:tc>
        <w:tc>
          <w:tcPr>
            <w:tcW w:w="1163" w:type="dxa"/>
            <w:shd w:val="clear" w:color="auto" w:fill="auto"/>
            <w:noWrap/>
            <w:vAlign w:val="bottom"/>
            <w:hideMark/>
          </w:tcPr>
          <w:p w14:paraId="54AD5716"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 xml:space="preserve"> </w:t>
            </w:r>
          </w:p>
        </w:tc>
        <w:tc>
          <w:tcPr>
            <w:tcW w:w="1163" w:type="dxa"/>
            <w:shd w:val="clear" w:color="auto" w:fill="auto"/>
            <w:noWrap/>
            <w:vAlign w:val="bottom"/>
            <w:hideMark/>
          </w:tcPr>
          <w:p w14:paraId="18F2C781"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 xml:space="preserve"> </w:t>
            </w:r>
          </w:p>
        </w:tc>
        <w:tc>
          <w:tcPr>
            <w:tcW w:w="1163" w:type="dxa"/>
            <w:shd w:val="clear" w:color="auto" w:fill="auto"/>
            <w:noWrap/>
            <w:vAlign w:val="bottom"/>
            <w:hideMark/>
          </w:tcPr>
          <w:p w14:paraId="34DC518B"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 xml:space="preserve"> </w:t>
            </w:r>
          </w:p>
        </w:tc>
      </w:tr>
      <w:tr w:rsidR="000C2F85" w:rsidRPr="00120B8B" w14:paraId="73E038AE" w14:textId="77777777" w:rsidTr="00120B8B">
        <w:trPr>
          <w:trHeight w:val="240"/>
        </w:trPr>
        <w:tc>
          <w:tcPr>
            <w:tcW w:w="3686" w:type="dxa"/>
            <w:shd w:val="clear" w:color="auto" w:fill="auto"/>
            <w:noWrap/>
            <w:hideMark/>
          </w:tcPr>
          <w:p w14:paraId="0AA849CF"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Tasa de desempleo</w:t>
            </w:r>
          </w:p>
        </w:tc>
        <w:tc>
          <w:tcPr>
            <w:tcW w:w="1293" w:type="dxa"/>
            <w:shd w:val="clear" w:color="auto" w:fill="auto"/>
            <w:noWrap/>
            <w:vAlign w:val="bottom"/>
            <w:hideMark/>
          </w:tcPr>
          <w:p w14:paraId="75244F6F"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26,7</w:t>
            </w:r>
          </w:p>
        </w:tc>
        <w:tc>
          <w:tcPr>
            <w:tcW w:w="1171" w:type="dxa"/>
            <w:shd w:val="clear" w:color="auto" w:fill="auto"/>
            <w:noWrap/>
            <w:vAlign w:val="bottom"/>
            <w:hideMark/>
          </w:tcPr>
          <w:p w14:paraId="0D083FDE"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27,2</w:t>
            </w:r>
          </w:p>
        </w:tc>
        <w:tc>
          <w:tcPr>
            <w:tcW w:w="1163" w:type="dxa"/>
            <w:shd w:val="clear" w:color="auto" w:fill="auto"/>
            <w:noWrap/>
            <w:vAlign w:val="bottom"/>
            <w:hideMark/>
          </w:tcPr>
          <w:p w14:paraId="1086D73B"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27,7</w:t>
            </w:r>
          </w:p>
        </w:tc>
        <w:tc>
          <w:tcPr>
            <w:tcW w:w="1163" w:type="dxa"/>
            <w:shd w:val="clear" w:color="auto" w:fill="auto"/>
            <w:noWrap/>
            <w:vAlign w:val="bottom"/>
            <w:hideMark/>
          </w:tcPr>
          <w:p w14:paraId="1FFBB306"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29,1</w:t>
            </w:r>
          </w:p>
        </w:tc>
        <w:tc>
          <w:tcPr>
            <w:tcW w:w="1163" w:type="dxa"/>
            <w:shd w:val="clear" w:color="auto" w:fill="auto"/>
            <w:noWrap/>
            <w:vAlign w:val="bottom"/>
            <w:hideMark/>
          </w:tcPr>
          <w:p w14:paraId="160FB6B0"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29,6</w:t>
            </w:r>
          </w:p>
        </w:tc>
      </w:tr>
      <w:tr w:rsidR="000C2F85" w:rsidRPr="00120B8B" w14:paraId="798B90EA" w14:textId="77777777" w:rsidTr="00120B8B">
        <w:trPr>
          <w:trHeight w:val="240"/>
        </w:trPr>
        <w:tc>
          <w:tcPr>
            <w:tcW w:w="3686" w:type="dxa"/>
            <w:shd w:val="clear" w:color="auto" w:fill="auto"/>
            <w:noWrap/>
            <w:hideMark/>
          </w:tcPr>
          <w:p w14:paraId="7BEB54A2"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Relación empleo/población (absorción)</w:t>
            </w:r>
          </w:p>
        </w:tc>
        <w:tc>
          <w:tcPr>
            <w:tcW w:w="1293" w:type="dxa"/>
            <w:shd w:val="clear" w:color="auto" w:fill="auto"/>
            <w:noWrap/>
            <w:vAlign w:val="bottom"/>
            <w:hideMark/>
          </w:tcPr>
          <w:p w14:paraId="0E1ABA93"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36,9</w:t>
            </w:r>
          </w:p>
        </w:tc>
        <w:tc>
          <w:tcPr>
            <w:tcW w:w="1171" w:type="dxa"/>
            <w:shd w:val="clear" w:color="auto" w:fill="auto"/>
            <w:noWrap/>
            <w:vAlign w:val="bottom"/>
            <w:hideMark/>
          </w:tcPr>
          <w:p w14:paraId="32744649"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36,9</w:t>
            </w:r>
          </w:p>
        </w:tc>
        <w:tc>
          <w:tcPr>
            <w:tcW w:w="1163" w:type="dxa"/>
            <w:shd w:val="clear" w:color="auto" w:fill="auto"/>
            <w:noWrap/>
            <w:vAlign w:val="bottom"/>
            <w:hideMark/>
          </w:tcPr>
          <w:p w14:paraId="31B930CB"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37,7</w:t>
            </w:r>
          </w:p>
        </w:tc>
        <w:tc>
          <w:tcPr>
            <w:tcW w:w="1163" w:type="dxa"/>
            <w:shd w:val="clear" w:color="auto" w:fill="auto"/>
            <w:noWrap/>
            <w:vAlign w:val="bottom"/>
            <w:hideMark/>
          </w:tcPr>
          <w:p w14:paraId="2891A028"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37,0</w:t>
            </w:r>
          </w:p>
        </w:tc>
        <w:tc>
          <w:tcPr>
            <w:tcW w:w="1163" w:type="dxa"/>
            <w:shd w:val="clear" w:color="auto" w:fill="auto"/>
            <w:noWrap/>
            <w:vAlign w:val="bottom"/>
            <w:hideMark/>
          </w:tcPr>
          <w:p w14:paraId="75B9F226"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37,7</w:t>
            </w:r>
          </w:p>
        </w:tc>
      </w:tr>
      <w:tr w:rsidR="000C2F85" w:rsidRPr="00120B8B" w14:paraId="7C214D29" w14:textId="77777777" w:rsidTr="00120B8B">
        <w:trPr>
          <w:trHeight w:val="240"/>
        </w:trPr>
        <w:tc>
          <w:tcPr>
            <w:tcW w:w="3686" w:type="dxa"/>
            <w:shd w:val="clear" w:color="auto" w:fill="auto"/>
            <w:noWrap/>
            <w:hideMark/>
          </w:tcPr>
          <w:p w14:paraId="7A435D9C"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Tasa de participación en la fuerza de trabajo</w:t>
            </w:r>
          </w:p>
        </w:tc>
        <w:tc>
          <w:tcPr>
            <w:tcW w:w="1293" w:type="dxa"/>
            <w:shd w:val="clear" w:color="auto" w:fill="auto"/>
            <w:noWrap/>
            <w:vAlign w:val="bottom"/>
            <w:hideMark/>
          </w:tcPr>
          <w:p w14:paraId="056B2C93"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50,4</w:t>
            </w:r>
          </w:p>
        </w:tc>
        <w:tc>
          <w:tcPr>
            <w:tcW w:w="1171" w:type="dxa"/>
            <w:shd w:val="clear" w:color="auto" w:fill="auto"/>
            <w:noWrap/>
            <w:vAlign w:val="bottom"/>
            <w:hideMark/>
          </w:tcPr>
          <w:p w14:paraId="7B99C376"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50,7</w:t>
            </w:r>
          </w:p>
        </w:tc>
        <w:tc>
          <w:tcPr>
            <w:tcW w:w="1163" w:type="dxa"/>
            <w:shd w:val="clear" w:color="auto" w:fill="auto"/>
            <w:noWrap/>
            <w:vAlign w:val="bottom"/>
            <w:hideMark/>
          </w:tcPr>
          <w:p w14:paraId="54EC91AF"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52,1</w:t>
            </w:r>
          </w:p>
        </w:tc>
        <w:tc>
          <w:tcPr>
            <w:tcW w:w="1163" w:type="dxa"/>
            <w:shd w:val="clear" w:color="auto" w:fill="auto"/>
            <w:noWrap/>
            <w:vAlign w:val="bottom"/>
            <w:hideMark/>
          </w:tcPr>
          <w:p w14:paraId="129DBE51"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52,3</w:t>
            </w:r>
          </w:p>
        </w:tc>
        <w:tc>
          <w:tcPr>
            <w:tcW w:w="1163" w:type="dxa"/>
            <w:shd w:val="clear" w:color="auto" w:fill="auto"/>
            <w:noWrap/>
            <w:vAlign w:val="bottom"/>
            <w:hideMark/>
          </w:tcPr>
          <w:p w14:paraId="489AF7CD"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53,6</w:t>
            </w:r>
          </w:p>
        </w:tc>
      </w:tr>
      <w:tr w:rsidR="000C2F85" w:rsidRPr="00120B8B" w14:paraId="3167DB20" w14:textId="77777777" w:rsidTr="00120B8B">
        <w:trPr>
          <w:trHeight w:val="240"/>
        </w:trPr>
        <w:tc>
          <w:tcPr>
            <w:tcW w:w="3686" w:type="dxa"/>
            <w:shd w:val="clear" w:color="auto" w:fill="auto"/>
            <w:noWrap/>
            <w:hideMark/>
          </w:tcPr>
          <w:p w14:paraId="249A07FF"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b/>
                <w:sz w:val="18"/>
                <w:lang w:val="es-ES_tradnl"/>
              </w:rPr>
            </w:pPr>
            <w:r w:rsidRPr="00120B8B">
              <w:rPr>
                <w:b/>
                <w:sz w:val="18"/>
                <w:lang w:val="es-ES_tradnl"/>
              </w:rPr>
              <w:t>Hombres</w:t>
            </w:r>
          </w:p>
        </w:tc>
        <w:tc>
          <w:tcPr>
            <w:tcW w:w="1293" w:type="dxa"/>
            <w:shd w:val="clear" w:color="auto" w:fill="auto"/>
            <w:noWrap/>
            <w:vAlign w:val="bottom"/>
            <w:hideMark/>
          </w:tcPr>
          <w:p w14:paraId="44317CE8"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 xml:space="preserve"> </w:t>
            </w:r>
          </w:p>
        </w:tc>
        <w:tc>
          <w:tcPr>
            <w:tcW w:w="1171" w:type="dxa"/>
            <w:shd w:val="clear" w:color="auto" w:fill="auto"/>
            <w:noWrap/>
            <w:vAlign w:val="bottom"/>
            <w:hideMark/>
          </w:tcPr>
          <w:p w14:paraId="39919DC2"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 xml:space="preserve"> </w:t>
            </w:r>
          </w:p>
        </w:tc>
        <w:tc>
          <w:tcPr>
            <w:tcW w:w="1163" w:type="dxa"/>
            <w:shd w:val="clear" w:color="auto" w:fill="auto"/>
            <w:noWrap/>
            <w:vAlign w:val="bottom"/>
            <w:hideMark/>
          </w:tcPr>
          <w:p w14:paraId="225DEE46"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 xml:space="preserve"> </w:t>
            </w:r>
          </w:p>
        </w:tc>
        <w:tc>
          <w:tcPr>
            <w:tcW w:w="1163" w:type="dxa"/>
            <w:shd w:val="clear" w:color="auto" w:fill="auto"/>
            <w:noWrap/>
            <w:vAlign w:val="bottom"/>
            <w:hideMark/>
          </w:tcPr>
          <w:p w14:paraId="088AC242"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 xml:space="preserve"> </w:t>
            </w:r>
          </w:p>
        </w:tc>
        <w:tc>
          <w:tcPr>
            <w:tcW w:w="1163" w:type="dxa"/>
            <w:shd w:val="clear" w:color="auto" w:fill="auto"/>
            <w:noWrap/>
            <w:vAlign w:val="bottom"/>
            <w:hideMark/>
          </w:tcPr>
          <w:p w14:paraId="4E4B14C0"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 xml:space="preserve"> </w:t>
            </w:r>
          </w:p>
        </w:tc>
      </w:tr>
      <w:tr w:rsidR="000C2F85" w:rsidRPr="00120B8B" w14:paraId="4F461D7B" w14:textId="77777777" w:rsidTr="00120B8B">
        <w:trPr>
          <w:trHeight w:val="240"/>
        </w:trPr>
        <w:tc>
          <w:tcPr>
            <w:tcW w:w="3686" w:type="dxa"/>
            <w:shd w:val="clear" w:color="auto" w:fill="auto"/>
            <w:noWrap/>
            <w:hideMark/>
          </w:tcPr>
          <w:p w14:paraId="784E1823"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bCs/>
                <w:sz w:val="18"/>
                <w:lang w:val="es-ES_tradnl"/>
              </w:rPr>
              <w:t>Personas de 15 a 64 años</w:t>
            </w:r>
          </w:p>
        </w:tc>
        <w:tc>
          <w:tcPr>
            <w:tcW w:w="1293" w:type="dxa"/>
            <w:shd w:val="clear" w:color="auto" w:fill="auto"/>
            <w:noWrap/>
            <w:vAlign w:val="bottom"/>
            <w:hideMark/>
          </w:tcPr>
          <w:p w14:paraId="6700FBC9"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17 088</w:t>
            </w:r>
          </w:p>
        </w:tc>
        <w:tc>
          <w:tcPr>
            <w:tcW w:w="1171" w:type="dxa"/>
            <w:shd w:val="clear" w:color="auto" w:fill="auto"/>
            <w:noWrap/>
            <w:vAlign w:val="bottom"/>
            <w:hideMark/>
          </w:tcPr>
          <w:p w14:paraId="2BC83EA3"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17 424</w:t>
            </w:r>
          </w:p>
        </w:tc>
        <w:tc>
          <w:tcPr>
            <w:tcW w:w="1163" w:type="dxa"/>
            <w:shd w:val="clear" w:color="auto" w:fill="auto"/>
            <w:noWrap/>
            <w:vAlign w:val="bottom"/>
            <w:hideMark/>
          </w:tcPr>
          <w:p w14:paraId="3C17CD47"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17 762</w:t>
            </w:r>
          </w:p>
        </w:tc>
        <w:tc>
          <w:tcPr>
            <w:tcW w:w="1163" w:type="dxa"/>
            <w:shd w:val="clear" w:color="auto" w:fill="auto"/>
            <w:noWrap/>
            <w:vAlign w:val="bottom"/>
            <w:hideMark/>
          </w:tcPr>
          <w:p w14:paraId="782B035E"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18 102</w:t>
            </w:r>
          </w:p>
        </w:tc>
        <w:tc>
          <w:tcPr>
            <w:tcW w:w="1163" w:type="dxa"/>
            <w:shd w:val="clear" w:color="auto" w:fill="auto"/>
            <w:noWrap/>
            <w:vAlign w:val="bottom"/>
            <w:hideMark/>
          </w:tcPr>
          <w:p w14:paraId="252D208A"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18 429</w:t>
            </w:r>
          </w:p>
        </w:tc>
      </w:tr>
      <w:tr w:rsidR="000C2F85" w:rsidRPr="00120B8B" w14:paraId="556732E5" w14:textId="77777777" w:rsidTr="00120B8B">
        <w:trPr>
          <w:trHeight w:val="240"/>
        </w:trPr>
        <w:tc>
          <w:tcPr>
            <w:tcW w:w="3686" w:type="dxa"/>
            <w:shd w:val="clear" w:color="auto" w:fill="auto"/>
            <w:noWrap/>
            <w:hideMark/>
          </w:tcPr>
          <w:p w14:paraId="4FE5DF3C"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Fuerza de trabajo</w:t>
            </w:r>
          </w:p>
        </w:tc>
        <w:tc>
          <w:tcPr>
            <w:tcW w:w="1293" w:type="dxa"/>
            <w:shd w:val="clear" w:color="auto" w:fill="auto"/>
            <w:noWrap/>
            <w:vAlign w:val="bottom"/>
            <w:hideMark/>
          </w:tcPr>
          <w:p w14:paraId="40B1DBAF"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10 832</w:t>
            </w:r>
          </w:p>
        </w:tc>
        <w:tc>
          <w:tcPr>
            <w:tcW w:w="1171" w:type="dxa"/>
            <w:shd w:val="clear" w:color="auto" w:fill="auto"/>
            <w:noWrap/>
            <w:vAlign w:val="bottom"/>
            <w:hideMark/>
          </w:tcPr>
          <w:p w14:paraId="0245AF15"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11 101</w:t>
            </w:r>
          </w:p>
        </w:tc>
        <w:tc>
          <w:tcPr>
            <w:tcW w:w="1163" w:type="dxa"/>
            <w:shd w:val="clear" w:color="auto" w:fill="auto"/>
            <w:noWrap/>
            <w:vAlign w:val="bottom"/>
            <w:hideMark/>
          </w:tcPr>
          <w:p w14:paraId="465A5853"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11 563</w:t>
            </w:r>
          </w:p>
        </w:tc>
        <w:tc>
          <w:tcPr>
            <w:tcW w:w="1163" w:type="dxa"/>
            <w:shd w:val="clear" w:color="auto" w:fill="auto"/>
            <w:noWrap/>
            <w:vAlign w:val="bottom"/>
            <w:hideMark/>
          </w:tcPr>
          <w:p w14:paraId="12FB3BA1"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11 832</w:t>
            </w:r>
          </w:p>
        </w:tc>
        <w:tc>
          <w:tcPr>
            <w:tcW w:w="1163" w:type="dxa"/>
            <w:shd w:val="clear" w:color="auto" w:fill="auto"/>
            <w:noWrap/>
            <w:vAlign w:val="bottom"/>
            <w:hideMark/>
          </w:tcPr>
          <w:p w14:paraId="4B2B40F1"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12 185</w:t>
            </w:r>
          </w:p>
        </w:tc>
      </w:tr>
      <w:tr w:rsidR="000C2F85" w:rsidRPr="00120B8B" w14:paraId="5A73E497" w14:textId="77777777" w:rsidTr="00120B8B">
        <w:trPr>
          <w:trHeight w:val="240"/>
        </w:trPr>
        <w:tc>
          <w:tcPr>
            <w:tcW w:w="3686" w:type="dxa"/>
            <w:shd w:val="clear" w:color="auto" w:fill="auto"/>
            <w:noWrap/>
            <w:hideMark/>
          </w:tcPr>
          <w:p w14:paraId="731850C2"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Personas empleadas</w:t>
            </w:r>
          </w:p>
        </w:tc>
        <w:tc>
          <w:tcPr>
            <w:tcW w:w="1293" w:type="dxa"/>
            <w:shd w:val="clear" w:color="auto" w:fill="auto"/>
            <w:noWrap/>
            <w:vAlign w:val="bottom"/>
            <w:hideMark/>
          </w:tcPr>
          <w:p w14:paraId="06DF0CF4"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8 327</w:t>
            </w:r>
          </w:p>
        </w:tc>
        <w:tc>
          <w:tcPr>
            <w:tcW w:w="1171" w:type="dxa"/>
            <w:shd w:val="clear" w:color="auto" w:fill="auto"/>
            <w:noWrap/>
            <w:vAlign w:val="bottom"/>
            <w:hideMark/>
          </w:tcPr>
          <w:p w14:paraId="3600A477"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8 513</w:t>
            </w:r>
          </w:p>
        </w:tc>
        <w:tc>
          <w:tcPr>
            <w:tcW w:w="1163" w:type="dxa"/>
            <w:shd w:val="clear" w:color="auto" w:fill="auto"/>
            <w:noWrap/>
            <w:vAlign w:val="bottom"/>
            <w:hideMark/>
          </w:tcPr>
          <w:p w14:paraId="51B22912"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8 859</w:t>
            </w:r>
          </w:p>
        </w:tc>
        <w:tc>
          <w:tcPr>
            <w:tcW w:w="1163" w:type="dxa"/>
            <w:shd w:val="clear" w:color="auto" w:fill="auto"/>
            <w:noWrap/>
            <w:vAlign w:val="bottom"/>
            <w:hideMark/>
          </w:tcPr>
          <w:p w14:paraId="3ADE6816"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8 906</w:t>
            </w:r>
          </w:p>
        </w:tc>
        <w:tc>
          <w:tcPr>
            <w:tcW w:w="1163" w:type="dxa"/>
            <w:shd w:val="clear" w:color="auto" w:fill="auto"/>
            <w:noWrap/>
            <w:vAlign w:val="bottom"/>
            <w:hideMark/>
          </w:tcPr>
          <w:p w14:paraId="014BF7F3"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9 055</w:t>
            </w:r>
          </w:p>
        </w:tc>
      </w:tr>
      <w:tr w:rsidR="000C2F85" w:rsidRPr="00120B8B" w14:paraId="6AEB8AF9" w14:textId="77777777" w:rsidTr="00120B8B">
        <w:trPr>
          <w:trHeight w:val="240"/>
        </w:trPr>
        <w:tc>
          <w:tcPr>
            <w:tcW w:w="3686" w:type="dxa"/>
            <w:shd w:val="clear" w:color="auto" w:fill="auto"/>
            <w:noWrap/>
            <w:hideMark/>
          </w:tcPr>
          <w:p w14:paraId="2B15615B"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Sector informal (no agrícola)</w:t>
            </w:r>
          </w:p>
        </w:tc>
        <w:tc>
          <w:tcPr>
            <w:tcW w:w="1293" w:type="dxa"/>
            <w:shd w:val="clear" w:color="auto" w:fill="auto"/>
            <w:noWrap/>
            <w:vAlign w:val="bottom"/>
            <w:hideMark/>
          </w:tcPr>
          <w:p w14:paraId="6E449F98"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1 412</w:t>
            </w:r>
          </w:p>
        </w:tc>
        <w:tc>
          <w:tcPr>
            <w:tcW w:w="1171" w:type="dxa"/>
            <w:shd w:val="clear" w:color="auto" w:fill="auto"/>
            <w:noWrap/>
            <w:vAlign w:val="bottom"/>
            <w:hideMark/>
          </w:tcPr>
          <w:p w14:paraId="59AB8B9E"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1 455</w:t>
            </w:r>
          </w:p>
        </w:tc>
        <w:tc>
          <w:tcPr>
            <w:tcW w:w="1163" w:type="dxa"/>
            <w:shd w:val="clear" w:color="auto" w:fill="auto"/>
            <w:noWrap/>
            <w:vAlign w:val="bottom"/>
            <w:hideMark/>
          </w:tcPr>
          <w:p w14:paraId="251820EA"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1 630</w:t>
            </w:r>
          </w:p>
        </w:tc>
        <w:tc>
          <w:tcPr>
            <w:tcW w:w="1163" w:type="dxa"/>
            <w:shd w:val="clear" w:color="auto" w:fill="auto"/>
            <w:noWrap/>
            <w:vAlign w:val="bottom"/>
            <w:hideMark/>
          </w:tcPr>
          <w:p w14:paraId="29B375CB"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1 634</w:t>
            </w:r>
          </w:p>
        </w:tc>
        <w:tc>
          <w:tcPr>
            <w:tcW w:w="1163" w:type="dxa"/>
            <w:shd w:val="clear" w:color="auto" w:fill="auto"/>
            <w:noWrap/>
            <w:vAlign w:val="bottom"/>
            <w:hideMark/>
          </w:tcPr>
          <w:p w14:paraId="64BABCD8"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1 688</w:t>
            </w:r>
          </w:p>
        </w:tc>
      </w:tr>
      <w:tr w:rsidR="000C2F85" w:rsidRPr="00120B8B" w14:paraId="7C6FE0F3" w14:textId="77777777" w:rsidTr="00120B8B">
        <w:trPr>
          <w:trHeight w:val="240"/>
        </w:trPr>
        <w:tc>
          <w:tcPr>
            <w:tcW w:w="3686" w:type="dxa"/>
            <w:shd w:val="clear" w:color="auto" w:fill="auto"/>
            <w:noWrap/>
            <w:hideMark/>
          </w:tcPr>
          <w:p w14:paraId="693F70DC"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lastRenderedPageBreak/>
              <w:t>Agricultura</w:t>
            </w:r>
          </w:p>
        </w:tc>
        <w:tc>
          <w:tcPr>
            <w:tcW w:w="1293" w:type="dxa"/>
            <w:shd w:val="clear" w:color="auto" w:fill="auto"/>
            <w:noWrap/>
            <w:vAlign w:val="bottom"/>
            <w:hideMark/>
          </w:tcPr>
          <w:p w14:paraId="41D9923F"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510</w:t>
            </w:r>
          </w:p>
        </w:tc>
        <w:tc>
          <w:tcPr>
            <w:tcW w:w="1171" w:type="dxa"/>
            <w:shd w:val="clear" w:color="auto" w:fill="auto"/>
            <w:noWrap/>
            <w:vAlign w:val="bottom"/>
            <w:hideMark/>
          </w:tcPr>
          <w:p w14:paraId="52CC4B0F"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488</w:t>
            </w:r>
          </w:p>
        </w:tc>
        <w:tc>
          <w:tcPr>
            <w:tcW w:w="1163" w:type="dxa"/>
            <w:shd w:val="clear" w:color="auto" w:fill="auto"/>
            <w:noWrap/>
            <w:vAlign w:val="bottom"/>
            <w:hideMark/>
          </w:tcPr>
          <w:p w14:paraId="026865EE"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587</w:t>
            </w:r>
          </w:p>
        </w:tc>
        <w:tc>
          <w:tcPr>
            <w:tcW w:w="1163" w:type="dxa"/>
            <w:shd w:val="clear" w:color="auto" w:fill="auto"/>
            <w:noWrap/>
            <w:vAlign w:val="bottom"/>
            <w:hideMark/>
          </w:tcPr>
          <w:p w14:paraId="7A1B0904"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607</w:t>
            </w:r>
          </w:p>
        </w:tc>
        <w:tc>
          <w:tcPr>
            <w:tcW w:w="1163" w:type="dxa"/>
            <w:shd w:val="clear" w:color="auto" w:fill="auto"/>
            <w:noWrap/>
            <w:vAlign w:val="bottom"/>
            <w:hideMark/>
          </w:tcPr>
          <w:p w14:paraId="7A35C913"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577</w:t>
            </w:r>
          </w:p>
        </w:tc>
      </w:tr>
      <w:tr w:rsidR="000C2F85" w:rsidRPr="00120B8B" w14:paraId="63974E83" w14:textId="77777777" w:rsidTr="00120B8B">
        <w:trPr>
          <w:trHeight w:val="240"/>
        </w:trPr>
        <w:tc>
          <w:tcPr>
            <w:tcW w:w="3686" w:type="dxa"/>
            <w:shd w:val="clear" w:color="auto" w:fill="auto"/>
            <w:noWrap/>
            <w:hideMark/>
          </w:tcPr>
          <w:p w14:paraId="6B15BEA4"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Hogares</w:t>
            </w:r>
          </w:p>
        </w:tc>
        <w:tc>
          <w:tcPr>
            <w:tcW w:w="1293" w:type="dxa"/>
            <w:shd w:val="clear" w:color="auto" w:fill="auto"/>
            <w:noWrap/>
            <w:vAlign w:val="bottom"/>
            <w:hideMark/>
          </w:tcPr>
          <w:p w14:paraId="3C3F76DD"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249</w:t>
            </w:r>
          </w:p>
        </w:tc>
        <w:tc>
          <w:tcPr>
            <w:tcW w:w="1171" w:type="dxa"/>
            <w:shd w:val="clear" w:color="auto" w:fill="auto"/>
            <w:noWrap/>
            <w:vAlign w:val="bottom"/>
            <w:hideMark/>
          </w:tcPr>
          <w:p w14:paraId="69BFDBAB"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261</w:t>
            </w:r>
          </w:p>
        </w:tc>
        <w:tc>
          <w:tcPr>
            <w:tcW w:w="1163" w:type="dxa"/>
            <w:shd w:val="clear" w:color="auto" w:fill="auto"/>
            <w:noWrap/>
            <w:vAlign w:val="bottom"/>
            <w:hideMark/>
          </w:tcPr>
          <w:p w14:paraId="005B11BB"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283</w:t>
            </w:r>
          </w:p>
        </w:tc>
        <w:tc>
          <w:tcPr>
            <w:tcW w:w="1163" w:type="dxa"/>
            <w:shd w:val="clear" w:color="auto" w:fill="auto"/>
            <w:noWrap/>
            <w:vAlign w:val="bottom"/>
            <w:hideMark/>
          </w:tcPr>
          <w:p w14:paraId="40C3E7E8"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301</w:t>
            </w:r>
          </w:p>
        </w:tc>
        <w:tc>
          <w:tcPr>
            <w:tcW w:w="1163" w:type="dxa"/>
            <w:shd w:val="clear" w:color="auto" w:fill="auto"/>
            <w:noWrap/>
            <w:vAlign w:val="bottom"/>
            <w:hideMark/>
          </w:tcPr>
          <w:p w14:paraId="36A4993B"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299</w:t>
            </w:r>
          </w:p>
        </w:tc>
      </w:tr>
      <w:tr w:rsidR="000C2F85" w:rsidRPr="00120B8B" w14:paraId="4DC4D8B0" w14:textId="77777777" w:rsidTr="00120B8B">
        <w:trPr>
          <w:trHeight w:val="240"/>
        </w:trPr>
        <w:tc>
          <w:tcPr>
            <w:tcW w:w="3686" w:type="dxa"/>
            <w:shd w:val="clear" w:color="auto" w:fill="auto"/>
            <w:noWrap/>
            <w:hideMark/>
          </w:tcPr>
          <w:p w14:paraId="3EABEEE0"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Personas desempleadas</w:t>
            </w:r>
          </w:p>
        </w:tc>
        <w:tc>
          <w:tcPr>
            <w:tcW w:w="1293" w:type="dxa"/>
            <w:shd w:val="clear" w:color="auto" w:fill="auto"/>
            <w:noWrap/>
            <w:vAlign w:val="bottom"/>
            <w:hideMark/>
          </w:tcPr>
          <w:p w14:paraId="64F7E7CE"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2 505</w:t>
            </w:r>
          </w:p>
        </w:tc>
        <w:tc>
          <w:tcPr>
            <w:tcW w:w="1171" w:type="dxa"/>
            <w:shd w:val="clear" w:color="auto" w:fill="auto"/>
            <w:noWrap/>
            <w:vAlign w:val="bottom"/>
            <w:hideMark/>
          </w:tcPr>
          <w:p w14:paraId="1584C146"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2 589</w:t>
            </w:r>
          </w:p>
        </w:tc>
        <w:tc>
          <w:tcPr>
            <w:tcW w:w="1163" w:type="dxa"/>
            <w:shd w:val="clear" w:color="auto" w:fill="auto"/>
            <w:noWrap/>
            <w:vAlign w:val="bottom"/>
            <w:hideMark/>
          </w:tcPr>
          <w:p w14:paraId="20F76270"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2 704</w:t>
            </w:r>
          </w:p>
        </w:tc>
        <w:tc>
          <w:tcPr>
            <w:tcW w:w="1163" w:type="dxa"/>
            <w:shd w:val="clear" w:color="auto" w:fill="auto"/>
            <w:noWrap/>
            <w:vAlign w:val="bottom"/>
            <w:hideMark/>
          </w:tcPr>
          <w:p w14:paraId="4D882B84"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2 926</w:t>
            </w:r>
          </w:p>
        </w:tc>
        <w:tc>
          <w:tcPr>
            <w:tcW w:w="1163" w:type="dxa"/>
            <w:shd w:val="clear" w:color="auto" w:fill="auto"/>
            <w:noWrap/>
            <w:vAlign w:val="bottom"/>
            <w:hideMark/>
          </w:tcPr>
          <w:p w14:paraId="7BFA5612"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3 130</w:t>
            </w:r>
          </w:p>
        </w:tc>
      </w:tr>
      <w:tr w:rsidR="000C2F85" w:rsidRPr="00120B8B" w14:paraId="25E43AFD" w14:textId="77777777" w:rsidTr="00120B8B">
        <w:trPr>
          <w:trHeight w:val="240"/>
        </w:trPr>
        <w:tc>
          <w:tcPr>
            <w:tcW w:w="3686" w:type="dxa"/>
            <w:shd w:val="clear" w:color="auto" w:fill="auto"/>
            <w:noWrap/>
            <w:hideMark/>
          </w:tcPr>
          <w:p w14:paraId="13B9C45D"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Población no activa</w:t>
            </w:r>
          </w:p>
        </w:tc>
        <w:tc>
          <w:tcPr>
            <w:tcW w:w="1293" w:type="dxa"/>
            <w:shd w:val="clear" w:color="auto" w:fill="auto"/>
            <w:noWrap/>
            <w:vAlign w:val="bottom"/>
            <w:hideMark/>
          </w:tcPr>
          <w:p w14:paraId="58AED0E4"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6 256</w:t>
            </w:r>
          </w:p>
        </w:tc>
        <w:tc>
          <w:tcPr>
            <w:tcW w:w="1171" w:type="dxa"/>
            <w:shd w:val="clear" w:color="auto" w:fill="auto"/>
            <w:noWrap/>
            <w:vAlign w:val="bottom"/>
            <w:hideMark/>
          </w:tcPr>
          <w:p w14:paraId="4590A201"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6 323</w:t>
            </w:r>
          </w:p>
        </w:tc>
        <w:tc>
          <w:tcPr>
            <w:tcW w:w="1163" w:type="dxa"/>
            <w:shd w:val="clear" w:color="auto" w:fill="auto"/>
            <w:noWrap/>
            <w:vAlign w:val="bottom"/>
            <w:hideMark/>
          </w:tcPr>
          <w:p w14:paraId="58A3DEC6"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6 199</w:t>
            </w:r>
          </w:p>
        </w:tc>
        <w:tc>
          <w:tcPr>
            <w:tcW w:w="1163" w:type="dxa"/>
            <w:shd w:val="clear" w:color="auto" w:fill="auto"/>
            <w:noWrap/>
            <w:vAlign w:val="bottom"/>
            <w:hideMark/>
          </w:tcPr>
          <w:p w14:paraId="21A626AD"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6 270</w:t>
            </w:r>
          </w:p>
        </w:tc>
        <w:tc>
          <w:tcPr>
            <w:tcW w:w="1163" w:type="dxa"/>
            <w:shd w:val="clear" w:color="auto" w:fill="auto"/>
            <w:noWrap/>
            <w:vAlign w:val="bottom"/>
            <w:hideMark/>
          </w:tcPr>
          <w:p w14:paraId="7E267F07"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6 245</w:t>
            </w:r>
          </w:p>
        </w:tc>
      </w:tr>
      <w:tr w:rsidR="000C2F85" w:rsidRPr="00120B8B" w14:paraId="4D281BB1" w14:textId="77777777" w:rsidTr="00120B8B">
        <w:trPr>
          <w:trHeight w:val="240"/>
        </w:trPr>
        <w:tc>
          <w:tcPr>
            <w:tcW w:w="3686" w:type="dxa"/>
            <w:shd w:val="clear" w:color="auto" w:fill="auto"/>
            <w:noWrap/>
            <w:hideMark/>
          </w:tcPr>
          <w:p w14:paraId="3FB7B0BC"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Solicitantes de empleo desanimados</w:t>
            </w:r>
          </w:p>
        </w:tc>
        <w:tc>
          <w:tcPr>
            <w:tcW w:w="1293" w:type="dxa"/>
            <w:shd w:val="clear" w:color="auto" w:fill="auto"/>
            <w:noWrap/>
            <w:vAlign w:val="bottom"/>
            <w:hideMark/>
          </w:tcPr>
          <w:p w14:paraId="0503F850"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1 061</w:t>
            </w:r>
          </w:p>
        </w:tc>
        <w:tc>
          <w:tcPr>
            <w:tcW w:w="1171" w:type="dxa"/>
            <w:shd w:val="clear" w:color="auto" w:fill="auto"/>
            <w:noWrap/>
            <w:vAlign w:val="bottom"/>
            <w:hideMark/>
          </w:tcPr>
          <w:p w14:paraId="0459CAA4"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1 137</w:t>
            </w:r>
          </w:p>
        </w:tc>
        <w:tc>
          <w:tcPr>
            <w:tcW w:w="1163" w:type="dxa"/>
            <w:shd w:val="clear" w:color="auto" w:fill="auto"/>
            <w:noWrap/>
            <w:vAlign w:val="bottom"/>
            <w:hideMark/>
          </w:tcPr>
          <w:p w14:paraId="03BFA430"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1 025</w:t>
            </w:r>
          </w:p>
        </w:tc>
        <w:tc>
          <w:tcPr>
            <w:tcW w:w="1163" w:type="dxa"/>
            <w:shd w:val="clear" w:color="auto" w:fill="auto"/>
            <w:noWrap/>
            <w:vAlign w:val="bottom"/>
            <w:hideMark/>
          </w:tcPr>
          <w:p w14:paraId="6A0A7829"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1 069</w:t>
            </w:r>
          </w:p>
        </w:tc>
        <w:tc>
          <w:tcPr>
            <w:tcW w:w="1163" w:type="dxa"/>
            <w:shd w:val="clear" w:color="auto" w:fill="auto"/>
            <w:noWrap/>
            <w:vAlign w:val="bottom"/>
            <w:hideMark/>
          </w:tcPr>
          <w:p w14:paraId="2EB0BBF9"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1 080</w:t>
            </w:r>
          </w:p>
        </w:tc>
      </w:tr>
      <w:tr w:rsidR="000C2F85" w:rsidRPr="00120B8B" w14:paraId="3044BC12" w14:textId="77777777" w:rsidTr="00120B8B">
        <w:trPr>
          <w:trHeight w:val="240"/>
        </w:trPr>
        <w:tc>
          <w:tcPr>
            <w:tcW w:w="3686" w:type="dxa"/>
            <w:shd w:val="clear" w:color="auto" w:fill="auto"/>
            <w:noWrap/>
            <w:hideMark/>
          </w:tcPr>
          <w:p w14:paraId="16BB4625"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Otros (población no activa)</w:t>
            </w:r>
          </w:p>
        </w:tc>
        <w:tc>
          <w:tcPr>
            <w:tcW w:w="1293" w:type="dxa"/>
            <w:shd w:val="clear" w:color="auto" w:fill="auto"/>
            <w:noWrap/>
            <w:vAlign w:val="bottom"/>
            <w:hideMark/>
          </w:tcPr>
          <w:p w14:paraId="297EC20C"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5 195</w:t>
            </w:r>
          </w:p>
        </w:tc>
        <w:tc>
          <w:tcPr>
            <w:tcW w:w="1171" w:type="dxa"/>
            <w:shd w:val="clear" w:color="auto" w:fill="auto"/>
            <w:noWrap/>
            <w:vAlign w:val="bottom"/>
            <w:hideMark/>
          </w:tcPr>
          <w:p w14:paraId="7EE72092"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5 186</w:t>
            </w:r>
          </w:p>
        </w:tc>
        <w:tc>
          <w:tcPr>
            <w:tcW w:w="1163" w:type="dxa"/>
            <w:shd w:val="clear" w:color="auto" w:fill="auto"/>
            <w:noWrap/>
            <w:vAlign w:val="bottom"/>
            <w:hideMark/>
          </w:tcPr>
          <w:p w14:paraId="03D9758E"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5 174</w:t>
            </w:r>
          </w:p>
        </w:tc>
        <w:tc>
          <w:tcPr>
            <w:tcW w:w="1163" w:type="dxa"/>
            <w:shd w:val="clear" w:color="auto" w:fill="auto"/>
            <w:noWrap/>
            <w:vAlign w:val="bottom"/>
            <w:hideMark/>
          </w:tcPr>
          <w:p w14:paraId="487F8D72"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5 201</w:t>
            </w:r>
          </w:p>
        </w:tc>
        <w:tc>
          <w:tcPr>
            <w:tcW w:w="1163" w:type="dxa"/>
            <w:shd w:val="clear" w:color="auto" w:fill="auto"/>
            <w:noWrap/>
            <w:vAlign w:val="bottom"/>
            <w:hideMark/>
          </w:tcPr>
          <w:p w14:paraId="6062257B"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5 165</w:t>
            </w:r>
          </w:p>
        </w:tc>
      </w:tr>
      <w:tr w:rsidR="000C2F85" w:rsidRPr="00120B8B" w14:paraId="35E8B6C9" w14:textId="77777777" w:rsidTr="00120B8B">
        <w:trPr>
          <w:trHeight w:val="240"/>
        </w:trPr>
        <w:tc>
          <w:tcPr>
            <w:tcW w:w="3686" w:type="dxa"/>
            <w:shd w:val="clear" w:color="auto" w:fill="auto"/>
            <w:noWrap/>
            <w:hideMark/>
          </w:tcPr>
          <w:p w14:paraId="57EFD6F4" w14:textId="23794428" w:rsidR="000C2F85" w:rsidRPr="00120B8B" w:rsidRDefault="000C2F85" w:rsidP="00120B8B">
            <w:pPr>
              <w:pStyle w:val="SingleTxtG"/>
              <w:tabs>
                <w:tab w:val="clear" w:pos="1701"/>
                <w:tab w:val="clear" w:pos="2268"/>
                <w:tab w:val="clear" w:pos="2835"/>
              </w:tabs>
              <w:spacing w:before="40" w:after="40" w:line="220" w:lineRule="exact"/>
              <w:ind w:left="0" w:right="0"/>
              <w:jc w:val="left"/>
              <w:rPr>
                <w:b/>
                <w:sz w:val="18"/>
                <w:lang w:val="es-ES_tradnl"/>
              </w:rPr>
            </w:pPr>
            <w:r w:rsidRPr="00120B8B">
              <w:rPr>
                <w:b/>
                <w:sz w:val="18"/>
                <w:lang w:val="es-ES_tradnl"/>
              </w:rPr>
              <w:t>Tasas (porcentaje)</w:t>
            </w:r>
          </w:p>
        </w:tc>
        <w:tc>
          <w:tcPr>
            <w:tcW w:w="1293" w:type="dxa"/>
            <w:shd w:val="clear" w:color="auto" w:fill="auto"/>
            <w:noWrap/>
            <w:vAlign w:val="bottom"/>
            <w:hideMark/>
          </w:tcPr>
          <w:p w14:paraId="2716355F"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 xml:space="preserve"> </w:t>
            </w:r>
          </w:p>
        </w:tc>
        <w:tc>
          <w:tcPr>
            <w:tcW w:w="1171" w:type="dxa"/>
            <w:shd w:val="clear" w:color="auto" w:fill="auto"/>
            <w:noWrap/>
            <w:vAlign w:val="bottom"/>
            <w:hideMark/>
          </w:tcPr>
          <w:p w14:paraId="1A0A321D"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 xml:space="preserve"> </w:t>
            </w:r>
          </w:p>
        </w:tc>
        <w:tc>
          <w:tcPr>
            <w:tcW w:w="1163" w:type="dxa"/>
            <w:shd w:val="clear" w:color="auto" w:fill="auto"/>
            <w:noWrap/>
            <w:vAlign w:val="bottom"/>
            <w:hideMark/>
          </w:tcPr>
          <w:p w14:paraId="143149A5"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 xml:space="preserve"> </w:t>
            </w:r>
          </w:p>
        </w:tc>
        <w:tc>
          <w:tcPr>
            <w:tcW w:w="1163" w:type="dxa"/>
            <w:shd w:val="clear" w:color="auto" w:fill="auto"/>
            <w:noWrap/>
            <w:vAlign w:val="bottom"/>
            <w:hideMark/>
          </w:tcPr>
          <w:p w14:paraId="41E300E1"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 xml:space="preserve"> </w:t>
            </w:r>
          </w:p>
        </w:tc>
        <w:tc>
          <w:tcPr>
            <w:tcW w:w="1163" w:type="dxa"/>
            <w:shd w:val="clear" w:color="auto" w:fill="auto"/>
            <w:noWrap/>
            <w:vAlign w:val="bottom"/>
            <w:hideMark/>
          </w:tcPr>
          <w:p w14:paraId="3CA58B95"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 xml:space="preserve"> </w:t>
            </w:r>
          </w:p>
        </w:tc>
      </w:tr>
      <w:tr w:rsidR="000C2F85" w:rsidRPr="00120B8B" w14:paraId="306C7110" w14:textId="77777777" w:rsidTr="00120B8B">
        <w:trPr>
          <w:trHeight w:val="240"/>
        </w:trPr>
        <w:tc>
          <w:tcPr>
            <w:tcW w:w="3686" w:type="dxa"/>
            <w:shd w:val="clear" w:color="auto" w:fill="auto"/>
            <w:noWrap/>
            <w:hideMark/>
          </w:tcPr>
          <w:p w14:paraId="3BB906D3"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Tasa de desempleo</w:t>
            </w:r>
          </w:p>
        </w:tc>
        <w:tc>
          <w:tcPr>
            <w:tcW w:w="1293" w:type="dxa"/>
            <w:shd w:val="clear" w:color="auto" w:fill="auto"/>
            <w:noWrap/>
            <w:vAlign w:val="bottom"/>
            <w:hideMark/>
          </w:tcPr>
          <w:p w14:paraId="4447A345"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23,1</w:t>
            </w:r>
          </w:p>
        </w:tc>
        <w:tc>
          <w:tcPr>
            <w:tcW w:w="1171" w:type="dxa"/>
            <w:shd w:val="clear" w:color="auto" w:fill="auto"/>
            <w:noWrap/>
            <w:vAlign w:val="bottom"/>
            <w:hideMark/>
          </w:tcPr>
          <w:p w14:paraId="0B4F6703"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23,3</w:t>
            </w:r>
          </w:p>
        </w:tc>
        <w:tc>
          <w:tcPr>
            <w:tcW w:w="1163" w:type="dxa"/>
            <w:shd w:val="clear" w:color="auto" w:fill="auto"/>
            <w:noWrap/>
            <w:vAlign w:val="bottom"/>
            <w:hideMark/>
          </w:tcPr>
          <w:p w14:paraId="002F8282"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23,4</w:t>
            </w:r>
          </w:p>
        </w:tc>
        <w:tc>
          <w:tcPr>
            <w:tcW w:w="1163" w:type="dxa"/>
            <w:shd w:val="clear" w:color="auto" w:fill="auto"/>
            <w:noWrap/>
            <w:vAlign w:val="bottom"/>
            <w:hideMark/>
          </w:tcPr>
          <w:p w14:paraId="39AE7358"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24,7</w:t>
            </w:r>
          </w:p>
        </w:tc>
        <w:tc>
          <w:tcPr>
            <w:tcW w:w="1163" w:type="dxa"/>
            <w:shd w:val="clear" w:color="auto" w:fill="auto"/>
            <w:noWrap/>
            <w:vAlign w:val="bottom"/>
            <w:hideMark/>
          </w:tcPr>
          <w:p w14:paraId="748BC0B2"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25,7</w:t>
            </w:r>
          </w:p>
        </w:tc>
      </w:tr>
      <w:tr w:rsidR="000C2F85" w:rsidRPr="00120B8B" w14:paraId="2BF03177" w14:textId="77777777" w:rsidTr="00120B8B">
        <w:trPr>
          <w:trHeight w:val="240"/>
        </w:trPr>
        <w:tc>
          <w:tcPr>
            <w:tcW w:w="3686" w:type="dxa"/>
            <w:shd w:val="clear" w:color="auto" w:fill="auto"/>
            <w:noWrap/>
            <w:hideMark/>
          </w:tcPr>
          <w:p w14:paraId="4B3A4B27"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Relación empleo/población (absorción)</w:t>
            </w:r>
          </w:p>
        </w:tc>
        <w:tc>
          <w:tcPr>
            <w:tcW w:w="1293" w:type="dxa"/>
            <w:shd w:val="clear" w:color="auto" w:fill="auto"/>
            <w:noWrap/>
            <w:vAlign w:val="bottom"/>
            <w:hideMark/>
          </w:tcPr>
          <w:p w14:paraId="1661F6EE"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48,7</w:t>
            </w:r>
          </w:p>
        </w:tc>
        <w:tc>
          <w:tcPr>
            <w:tcW w:w="1171" w:type="dxa"/>
            <w:shd w:val="clear" w:color="auto" w:fill="auto"/>
            <w:noWrap/>
            <w:vAlign w:val="bottom"/>
            <w:hideMark/>
          </w:tcPr>
          <w:p w14:paraId="474AC12E"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48,9</w:t>
            </w:r>
          </w:p>
        </w:tc>
        <w:tc>
          <w:tcPr>
            <w:tcW w:w="1163" w:type="dxa"/>
            <w:shd w:val="clear" w:color="auto" w:fill="auto"/>
            <w:noWrap/>
            <w:vAlign w:val="bottom"/>
            <w:hideMark/>
          </w:tcPr>
          <w:p w14:paraId="19E1EECF"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49,9</w:t>
            </w:r>
          </w:p>
        </w:tc>
        <w:tc>
          <w:tcPr>
            <w:tcW w:w="1163" w:type="dxa"/>
            <w:shd w:val="clear" w:color="auto" w:fill="auto"/>
            <w:noWrap/>
            <w:vAlign w:val="bottom"/>
            <w:hideMark/>
          </w:tcPr>
          <w:p w14:paraId="0B9340A9"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49,2</w:t>
            </w:r>
          </w:p>
        </w:tc>
        <w:tc>
          <w:tcPr>
            <w:tcW w:w="1163" w:type="dxa"/>
            <w:shd w:val="clear" w:color="auto" w:fill="auto"/>
            <w:noWrap/>
            <w:vAlign w:val="bottom"/>
            <w:hideMark/>
          </w:tcPr>
          <w:p w14:paraId="2B24557C"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49,1</w:t>
            </w:r>
          </w:p>
        </w:tc>
      </w:tr>
      <w:tr w:rsidR="000C2F85" w:rsidRPr="00120B8B" w14:paraId="5EF1893F" w14:textId="77777777" w:rsidTr="00120B8B">
        <w:trPr>
          <w:trHeight w:val="240"/>
        </w:trPr>
        <w:tc>
          <w:tcPr>
            <w:tcW w:w="3686" w:type="dxa"/>
            <w:tcBorders>
              <w:bottom w:val="single" w:sz="12" w:space="0" w:color="auto"/>
            </w:tcBorders>
            <w:shd w:val="clear" w:color="auto" w:fill="auto"/>
            <w:noWrap/>
            <w:hideMark/>
          </w:tcPr>
          <w:p w14:paraId="38A67DA5"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Tasa de participación en la fuerza de trabajo</w:t>
            </w:r>
          </w:p>
        </w:tc>
        <w:tc>
          <w:tcPr>
            <w:tcW w:w="1293" w:type="dxa"/>
            <w:tcBorders>
              <w:bottom w:val="single" w:sz="12" w:space="0" w:color="auto"/>
            </w:tcBorders>
            <w:shd w:val="clear" w:color="auto" w:fill="auto"/>
            <w:noWrap/>
            <w:vAlign w:val="bottom"/>
            <w:hideMark/>
          </w:tcPr>
          <w:p w14:paraId="662EED7E"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63,4</w:t>
            </w:r>
          </w:p>
        </w:tc>
        <w:tc>
          <w:tcPr>
            <w:tcW w:w="1171" w:type="dxa"/>
            <w:tcBorders>
              <w:bottom w:val="single" w:sz="12" w:space="0" w:color="auto"/>
            </w:tcBorders>
            <w:shd w:val="clear" w:color="auto" w:fill="auto"/>
            <w:noWrap/>
            <w:vAlign w:val="bottom"/>
            <w:hideMark/>
          </w:tcPr>
          <w:p w14:paraId="3159F0B6"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63,7</w:t>
            </w:r>
          </w:p>
        </w:tc>
        <w:tc>
          <w:tcPr>
            <w:tcW w:w="1163" w:type="dxa"/>
            <w:tcBorders>
              <w:bottom w:val="single" w:sz="12" w:space="0" w:color="auto"/>
            </w:tcBorders>
            <w:shd w:val="clear" w:color="auto" w:fill="auto"/>
            <w:noWrap/>
            <w:vAlign w:val="bottom"/>
            <w:hideMark/>
          </w:tcPr>
          <w:p w14:paraId="62744C35"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65,1</w:t>
            </w:r>
          </w:p>
        </w:tc>
        <w:tc>
          <w:tcPr>
            <w:tcW w:w="1163" w:type="dxa"/>
            <w:tcBorders>
              <w:bottom w:val="single" w:sz="12" w:space="0" w:color="auto"/>
            </w:tcBorders>
            <w:shd w:val="clear" w:color="auto" w:fill="auto"/>
            <w:noWrap/>
            <w:vAlign w:val="bottom"/>
            <w:hideMark/>
          </w:tcPr>
          <w:p w14:paraId="229C8225"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65,4</w:t>
            </w:r>
          </w:p>
        </w:tc>
        <w:tc>
          <w:tcPr>
            <w:tcW w:w="1163" w:type="dxa"/>
            <w:tcBorders>
              <w:bottom w:val="single" w:sz="12" w:space="0" w:color="auto"/>
            </w:tcBorders>
            <w:shd w:val="clear" w:color="auto" w:fill="auto"/>
            <w:noWrap/>
            <w:vAlign w:val="bottom"/>
            <w:hideMark/>
          </w:tcPr>
          <w:p w14:paraId="693986B4" w14:textId="77777777" w:rsidR="000C2F85" w:rsidRPr="00120B8B" w:rsidRDefault="000C2F85" w:rsidP="00120B8B">
            <w:pPr>
              <w:pStyle w:val="SingleTxtG"/>
              <w:tabs>
                <w:tab w:val="clear" w:pos="1701"/>
                <w:tab w:val="clear" w:pos="2268"/>
                <w:tab w:val="clear" w:pos="2835"/>
              </w:tabs>
              <w:spacing w:before="40" w:after="40" w:line="220" w:lineRule="exact"/>
              <w:ind w:left="28" w:right="28"/>
              <w:jc w:val="right"/>
              <w:rPr>
                <w:sz w:val="18"/>
                <w:lang w:val="es-ES_tradnl"/>
              </w:rPr>
            </w:pPr>
            <w:r w:rsidRPr="00120B8B">
              <w:rPr>
                <w:sz w:val="18"/>
                <w:lang w:val="es-ES_tradnl"/>
              </w:rPr>
              <w:t>66,1</w:t>
            </w:r>
          </w:p>
        </w:tc>
      </w:tr>
    </w:tbl>
    <w:p w14:paraId="732B1844" w14:textId="2443C0A9" w:rsidR="000C2F85" w:rsidRPr="000C2F85" w:rsidRDefault="000C2F85" w:rsidP="00120B8B">
      <w:pPr>
        <w:pStyle w:val="SingleTxtG"/>
        <w:spacing w:before="240"/>
        <w:rPr>
          <w:lang w:val="es-ES_tradnl"/>
        </w:rPr>
      </w:pPr>
      <w:r w:rsidRPr="000C2F85">
        <w:rPr>
          <w:lang w:val="es-ES_tradnl"/>
        </w:rPr>
        <w:t>32.</w:t>
      </w:r>
      <w:r w:rsidRPr="000C2F85">
        <w:rPr>
          <w:lang w:val="es-ES_tradnl"/>
        </w:rPr>
        <w:tab/>
        <w:t>La mayoría de los hogares en Sudáfrica seguían dependiendo de los ingresos procedentes de los sueldos. A nivel nacional, el mayor porcentaje de los hogares percibía sueldos (el 65,4 %) y subsidios (el 44,6 %). A nivel provincial, el mayor porcentaje de hogares que percibían sueldos se encontraba en las provincias del Cabo Occidental (el</w:t>
      </w:r>
      <w:r w:rsidR="004E419B">
        <w:rPr>
          <w:lang w:val="es-ES_tradnl"/>
        </w:rPr>
        <w:t> </w:t>
      </w:r>
      <w:r w:rsidRPr="000C2F85">
        <w:rPr>
          <w:lang w:val="es-ES_tradnl"/>
        </w:rPr>
        <w:t>79,0</w:t>
      </w:r>
      <w:r w:rsidR="004E419B">
        <w:rPr>
          <w:lang w:val="es-ES_tradnl"/>
        </w:rPr>
        <w:t> </w:t>
      </w:r>
      <w:r w:rsidRPr="000C2F85">
        <w:rPr>
          <w:lang w:val="es-ES_tradnl"/>
        </w:rPr>
        <w:t>%) y Gauteng (el 73,3 %). Los subsidios eran más frecuentes que los sueldos como fuente de ingresos en las provincias del Cabo Oriental (el 59,3 %) y Limpopo (el 57,4 %).</w:t>
      </w:r>
    </w:p>
    <w:p w14:paraId="574ED57F" w14:textId="77777777" w:rsidR="000C2F85" w:rsidRPr="000C2F85" w:rsidRDefault="000C2F85" w:rsidP="000C2F85">
      <w:pPr>
        <w:pStyle w:val="SingleTxtG"/>
        <w:rPr>
          <w:lang w:val="es-ES_tradnl"/>
        </w:rPr>
      </w:pPr>
      <w:r w:rsidRPr="000C2F85">
        <w:rPr>
          <w:lang w:val="es-ES_tradnl"/>
        </w:rPr>
        <w:t>33.</w:t>
      </w:r>
      <w:r w:rsidRPr="000C2F85">
        <w:rPr>
          <w:lang w:val="es-ES_tradnl"/>
        </w:rPr>
        <w:tab/>
        <w:t>El artículo 27 de la Constitución garantiza a todas las personas el derecho a acceder a la seguridad social y, si no pueden mantenerse a sí mismas y a sus familiares a cargo, asistencia social adecuada. El Estado tiene la obligación de adoptar medidas razonables, dentro de los límites de los recursos disponibles, para lograr de manera progresiva la realización de este derecho. La Ley de Asistencia Social de 2004</w:t>
      </w:r>
      <w:r w:rsidRPr="00605B48">
        <w:rPr>
          <w:sz w:val="18"/>
          <w:szCs w:val="18"/>
          <w:vertAlign w:val="superscript"/>
          <w:lang w:val="es-ES_tradnl"/>
        </w:rPr>
        <w:footnoteReference w:id="25"/>
      </w:r>
      <w:r w:rsidRPr="000C2F85">
        <w:rPr>
          <w:lang w:val="es-ES_tradnl"/>
        </w:rPr>
        <w:t xml:space="preserve"> establece un marco legislativo nacional para la concesión de distintos tipos de subsidios sociales, ayuda social en casos de desastre, el pago de subsidios de asistencia social por un organismo nacional y la creación de la Inspección de Asistencia Social. En la Ley del Organismo de Seguridad Social de Sudáfrica de 2004</w:t>
      </w:r>
      <w:r w:rsidRPr="00605B48">
        <w:rPr>
          <w:sz w:val="18"/>
          <w:szCs w:val="18"/>
          <w:vertAlign w:val="superscript"/>
          <w:lang w:val="es-ES_tradnl"/>
        </w:rPr>
        <w:footnoteReference w:id="26"/>
      </w:r>
      <w:r w:rsidRPr="000C2F85">
        <w:rPr>
          <w:lang w:val="es-ES_tradnl"/>
        </w:rPr>
        <w:t xml:space="preserve"> se prevé el establecimiento de una entidad pública</w:t>
      </w:r>
      <w:r w:rsidRPr="00605B48">
        <w:rPr>
          <w:sz w:val="18"/>
          <w:szCs w:val="18"/>
          <w:vertAlign w:val="superscript"/>
          <w:lang w:val="es-ES_tradnl"/>
        </w:rPr>
        <w:footnoteReference w:id="27"/>
      </w:r>
      <w:r w:rsidRPr="000C2F85">
        <w:rPr>
          <w:lang w:val="es-ES_tradnl"/>
        </w:rPr>
        <w:t>. Por lo general, los subsidios están condicionados al nivel de ingresos y en su concesión no se discrimina por motivos de raza o género. Esta situación no siempre ha sido así, ya que los subsidios para personas de edad solo se concedían a los hombres a partir de los 65 años de edad, no de los 60 años. Entre los distintos tipos de subsidios sociales cabe destacar las subvenciones, la pensión por alimentos, los subsidios por acogimiento familiar, las prestaciones por familiares a cargo, los subsidios para veteranos de guerra, los subsidios por discapacidad y los subsidios para personas de edad. La cobertura de la seguridad social en forma de prestaciones no contributivas (asistencia social) ha aumentado enormemente a lo largo de los años, lo que ha convertido este programa del Gobierno en el instrumento más eficaz para el alivio de la pobreza. El programa ofrece prestaciones no contributivas a grupos vulnerables en forma de subsidios para personas de edad, subsidio por discapacidad, pensión para alimentos, subsidio por acogimiento familiar, prestación por familiares a cargo, subsidio para veteranos de guerra, subvenciones y ayuda social en casos de desastre. Los montos de las prestaciones se ajustan anualmente en respuesta a los cambios económicos, y en el ejercicio económico en curso (2018/19) se tuvieron especialmente en cuenta el aumento de la inflación y del IVA. La cobertura y el porcentaje de beneficiarios de las distintas coberturas a marzo de 2018 se indican en el cuadro que figura a continuación.</w:t>
      </w:r>
    </w:p>
    <w:p w14:paraId="06615F74" w14:textId="77777777" w:rsidR="000C2F85" w:rsidRPr="004E419B" w:rsidRDefault="000C2F85" w:rsidP="00120B8B">
      <w:pPr>
        <w:pStyle w:val="H23G"/>
        <w:rPr>
          <w:b w:val="0"/>
          <w:bCs/>
          <w:lang w:val="es-ES_tradnl"/>
        </w:rPr>
      </w:pPr>
      <w:r w:rsidRPr="00120B8B">
        <w:rPr>
          <w:b w:val="0"/>
          <w:bCs/>
          <w:lang w:val="es-ES_tradnl"/>
        </w:rPr>
        <w:lastRenderedPageBreak/>
        <w:tab/>
      </w:r>
      <w:r w:rsidRPr="00120B8B">
        <w:rPr>
          <w:b w:val="0"/>
          <w:bCs/>
          <w:lang w:val="es-ES_tradnl"/>
        </w:rPr>
        <w:tab/>
        <w:t>Cuadro 15</w:t>
      </w:r>
      <w:r w:rsidRPr="00120B8B">
        <w:rPr>
          <w:b w:val="0"/>
          <w:bCs/>
          <w:lang w:val="es-ES_tradnl"/>
        </w:rPr>
        <w:br/>
      </w:r>
      <w:r w:rsidRPr="000C2F85">
        <w:rPr>
          <w:lang w:val="es-ES_tradnl"/>
        </w:rPr>
        <w:t>Tasa de beneficiarios de la seguridad social (marzo de 2018)</w:t>
      </w:r>
      <w:r w:rsidRPr="00605B48">
        <w:rPr>
          <w:b w:val="0"/>
          <w:sz w:val="18"/>
          <w:szCs w:val="18"/>
          <w:vertAlign w:val="superscript"/>
          <w:lang w:val="es-ES_tradnl"/>
        </w:rPr>
        <w:footnoteReference w:id="28"/>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01"/>
        <w:gridCol w:w="3169"/>
      </w:tblGrid>
      <w:tr w:rsidR="000C2F85" w:rsidRPr="00120B8B" w14:paraId="43BBE789" w14:textId="77777777" w:rsidTr="00120B8B">
        <w:trPr>
          <w:trHeight w:val="240"/>
          <w:tblHeader/>
        </w:trPr>
        <w:tc>
          <w:tcPr>
            <w:tcW w:w="4201" w:type="dxa"/>
            <w:tcBorders>
              <w:top w:val="single" w:sz="4" w:space="0" w:color="auto"/>
              <w:bottom w:val="nil"/>
            </w:tcBorders>
            <w:shd w:val="clear" w:color="auto" w:fill="auto"/>
            <w:vAlign w:val="bottom"/>
          </w:tcPr>
          <w:p w14:paraId="60979159"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i/>
                <w:sz w:val="16"/>
                <w:lang w:val="es-ES_tradnl"/>
              </w:rPr>
            </w:pPr>
            <w:r w:rsidRPr="00120B8B">
              <w:rPr>
                <w:sz w:val="18"/>
                <w:lang w:val="es-ES_tradnl"/>
              </w:rPr>
              <w:t>Subsidio para personas de edad</w:t>
            </w:r>
          </w:p>
        </w:tc>
        <w:tc>
          <w:tcPr>
            <w:tcW w:w="3169" w:type="dxa"/>
            <w:tcBorders>
              <w:top w:val="single" w:sz="4" w:space="0" w:color="auto"/>
              <w:bottom w:val="nil"/>
            </w:tcBorders>
            <w:shd w:val="clear" w:color="auto" w:fill="auto"/>
            <w:vAlign w:val="bottom"/>
          </w:tcPr>
          <w:p w14:paraId="31AFE39E" w14:textId="77777777" w:rsidR="000C2F85" w:rsidRPr="00120B8B" w:rsidRDefault="000C2F85" w:rsidP="00120B8B">
            <w:pPr>
              <w:pStyle w:val="SingleTxtG"/>
              <w:tabs>
                <w:tab w:val="clear" w:pos="1701"/>
                <w:tab w:val="clear" w:pos="2268"/>
                <w:tab w:val="clear" w:pos="2835"/>
              </w:tabs>
              <w:spacing w:before="40" w:after="40" w:line="220" w:lineRule="exact"/>
              <w:ind w:left="113" w:right="0"/>
              <w:jc w:val="right"/>
              <w:rPr>
                <w:sz w:val="18"/>
                <w:lang w:val="es-ES_tradnl"/>
              </w:rPr>
            </w:pPr>
            <w:r w:rsidRPr="00120B8B">
              <w:rPr>
                <w:sz w:val="18"/>
                <w:lang w:val="es-ES_tradnl"/>
              </w:rPr>
              <w:t>3 423 337</w:t>
            </w:r>
          </w:p>
        </w:tc>
      </w:tr>
      <w:tr w:rsidR="000C2F85" w:rsidRPr="00120B8B" w14:paraId="086CED5B" w14:textId="77777777" w:rsidTr="00120B8B">
        <w:trPr>
          <w:trHeight w:val="240"/>
        </w:trPr>
        <w:tc>
          <w:tcPr>
            <w:tcW w:w="4201" w:type="dxa"/>
            <w:tcBorders>
              <w:top w:val="nil"/>
            </w:tcBorders>
            <w:shd w:val="clear" w:color="auto" w:fill="auto"/>
          </w:tcPr>
          <w:p w14:paraId="1AAE4305"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 xml:space="preserve">Subsidio para veteranos de guerra </w:t>
            </w:r>
          </w:p>
        </w:tc>
        <w:tc>
          <w:tcPr>
            <w:tcW w:w="3169" w:type="dxa"/>
            <w:tcBorders>
              <w:top w:val="nil"/>
            </w:tcBorders>
            <w:shd w:val="clear" w:color="auto" w:fill="auto"/>
            <w:vAlign w:val="bottom"/>
          </w:tcPr>
          <w:p w14:paraId="2A4DDEE6" w14:textId="77777777" w:rsidR="000C2F85" w:rsidRPr="00120B8B" w:rsidRDefault="000C2F85" w:rsidP="00120B8B">
            <w:pPr>
              <w:pStyle w:val="SingleTxtG"/>
              <w:tabs>
                <w:tab w:val="clear" w:pos="1701"/>
                <w:tab w:val="clear" w:pos="2268"/>
                <w:tab w:val="clear" w:pos="2835"/>
              </w:tabs>
              <w:spacing w:before="40" w:after="40" w:line="220" w:lineRule="exact"/>
              <w:ind w:left="113" w:right="0"/>
              <w:jc w:val="right"/>
              <w:rPr>
                <w:sz w:val="18"/>
                <w:lang w:val="es-ES_tradnl"/>
              </w:rPr>
            </w:pPr>
            <w:r w:rsidRPr="00120B8B">
              <w:rPr>
                <w:sz w:val="18"/>
                <w:lang w:val="es-ES_tradnl"/>
              </w:rPr>
              <w:t>134</w:t>
            </w:r>
          </w:p>
        </w:tc>
      </w:tr>
      <w:tr w:rsidR="000C2F85" w:rsidRPr="00120B8B" w14:paraId="0BE1FD68" w14:textId="77777777" w:rsidTr="00120B8B">
        <w:trPr>
          <w:trHeight w:val="240"/>
        </w:trPr>
        <w:tc>
          <w:tcPr>
            <w:tcW w:w="4201" w:type="dxa"/>
            <w:shd w:val="clear" w:color="auto" w:fill="auto"/>
          </w:tcPr>
          <w:p w14:paraId="55DA80B1"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 xml:space="preserve">Subsidio de discapacidad </w:t>
            </w:r>
          </w:p>
        </w:tc>
        <w:tc>
          <w:tcPr>
            <w:tcW w:w="3169" w:type="dxa"/>
            <w:shd w:val="clear" w:color="auto" w:fill="auto"/>
            <w:vAlign w:val="bottom"/>
          </w:tcPr>
          <w:p w14:paraId="3A87EED4" w14:textId="77777777" w:rsidR="000C2F85" w:rsidRPr="00120B8B" w:rsidRDefault="000C2F85" w:rsidP="00120B8B">
            <w:pPr>
              <w:pStyle w:val="SingleTxtG"/>
              <w:tabs>
                <w:tab w:val="clear" w:pos="1701"/>
                <w:tab w:val="clear" w:pos="2268"/>
                <w:tab w:val="clear" w:pos="2835"/>
              </w:tabs>
              <w:spacing w:before="40" w:after="40" w:line="220" w:lineRule="exact"/>
              <w:ind w:left="113" w:right="0"/>
              <w:jc w:val="right"/>
              <w:rPr>
                <w:sz w:val="18"/>
                <w:lang w:val="es-ES_tradnl"/>
              </w:rPr>
            </w:pPr>
            <w:r w:rsidRPr="00120B8B">
              <w:rPr>
                <w:sz w:val="18"/>
                <w:lang w:val="es-ES_tradnl"/>
              </w:rPr>
              <w:t>1 061 866</w:t>
            </w:r>
          </w:p>
        </w:tc>
      </w:tr>
      <w:tr w:rsidR="000C2F85" w:rsidRPr="00120B8B" w14:paraId="1E15AC6A" w14:textId="77777777" w:rsidTr="00120B8B">
        <w:trPr>
          <w:trHeight w:val="240"/>
        </w:trPr>
        <w:tc>
          <w:tcPr>
            <w:tcW w:w="4201" w:type="dxa"/>
            <w:shd w:val="clear" w:color="auto" w:fill="auto"/>
          </w:tcPr>
          <w:p w14:paraId="77C32FB5"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 xml:space="preserve">Pensión por alimentos </w:t>
            </w:r>
          </w:p>
        </w:tc>
        <w:tc>
          <w:tcPr>
            <w:tcW w:w="3169" w:type="dxa"/>
            <w:shd w:val="clear" w:color="auto" w:fill="auto"/>
            <w:vAlign w:val="bottom"/>
          </w:tcPr>
          <w:p w14:paraId="160A240C" w14:textId="77777777" w:rsidR="000C2F85" w:rsidRPr="00120B8B" w:rsidRDefault="000C2F85" w:rsidP="00120B8B">
            <w:pPr>
              <w:pStyle w:val="SingleTxtG"/>
              <w:tabs>
                <w:tab w:val="clear" w:pos="1701"/>
                <w:tab w:val="clear" w:pos="2268"/>
                <w:tab w:val="clear" w:pos="2835"/>
              </w:tabs>
              <w:spacing w:before="40" w:after="40" w:line="220" w:lineRule="exact"/>
              <w:ind w:left="113" w:right="0"/>
              <w:jc w:val="right"/>
              <w:rPr>
                <w:sz w:val="18"/>
                <w:lang w:val="es-ES_tradnl"/>
              </w:rPr>
            </w:pPr>
            <w:r w:rsidRPr="00120B8B">
              <w:rPr>
                <w:sz w:val="18"/>
                <w:lang w:val="es-ES_tradnl"/>
              </w:rPr>
              <w:t>12 269 084</w:t>
            </w:r>
          </w:p>
        </w:tc>
      </w:tr>
      <w:tr w:rsidR="000C2F85" w:rsidRPr="00120B8B" w14:paraId="63411149" w14:textId="77777777" w:rsidTr="00120B8B">
        <w:trPr>
          <w:trHeight w:val="240"/>
        </w:trPr>
        <w:tc>
          <w:tcPr>
            <w:tcW w:w="4201" w:type="dxa"/>
            <w:shd w:val="clear" w:color="auto" w:fill="auto"/>
          </w:tcPr>
          <w:p w14:paraId="40841FFF"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 xml:space="preserve">Subsidio por acogimiento familiar </w:t>
            </w:r>
          </w:p>
        </w:tc>
        <w:tc>
          <w:tcPr>
            <w:tcW w:w="3169" w:type="dxa"/>
            <w:shd w:val="clear" w:color="auto" w:fill="auto"/>
            <w:vAlign w:val="bottom"/>
          </w:tcPr>
          <w:p w14:paraId="27CC4A09" w14:textId="77777777" w:rsidR="000C2F85" w:rsidRPr="00120B8B" w:rsidRDefault="000C2F85" w:rsidP="00120B8B">
            <w:pPr>
              <w:pStyle w:val="SingleTxtG"/>
              <w:tabs>
                <w:tab w:val="clear" w:pos="1701"/>
                <w:tab w:val="clear" w:pos="2268"/>
                <w:tab w:val="clear" w:pos="2835"/>
              </w:tabs>
              <w:spacing w:before="40" w:after="40" w:line="220" w:lineRule="exact"/>
              <w:ind w:left="113" w:right="0"/>
              <w:jc w:val="right"/>
              <w:rPr>
                <w:sz w:val="18"/>
                <w:lang w:val="es-ES_tradnl"/>
              </w:rPr>
            </w:pPr>
            <w:r w:rsidRPr="00120B8B">
              <w:rPr>
                <w:sz w:val="18"/>
                <w:lang w:val="es-ES_tradnl"/>
              </w:rPr>
              <w:t>416 016</w:t>
            </w:r>
          </w:p>
        </w:tc>
      </w:tr>
      <w:tr w:rsidR="000C2F85" w:rsidRPr="00120B8B" w14:paraId="2CD08ACF" w14:textId="77777777" w:rsidTr="00120B8B">
        <w:trPr>
          <w:trHeight w:val="240"/>
        </w:trPr>
        <w:tc>
          <w:tcPr>
            <w:tcW w:w="4201" w:type="dxa"/>
            <w:shd w:val="clear" w:color="auto" w:fill="auto"/>
          </w:tcPr>
          <w:p w14:paraId="52410B70"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Prestación por familiares a cargo</w:t>
            </w:r>
          </w:p>
        </w:tc>
        <w:tc>
          <w:tcPr>
            <w:tcW w:w="3169" w:type="dxa"/>
            <w:shd w:val="clear" w:color="auto" w:fill="auto"/>
            <w:vAlign w:val="bottom"/>
          </w:tcPr>
          <w:p w14:paraId="2460B370" w14:textId="77777777" w:rsidR="000C2F85" w:rsidRPr="00120B8B" w:rsidRDefault="000C2F85" w:rsidP="00120B8B">
            <w:pPr>
              <w:pStyle w:val="SingleTxtG"/>
              <w:tabs>
                <w:tab w:val="clear" w:pos="1701"/>
                <w:tab w:val="clear" w:pos="2268"/>
                <w:tab w:val="clear" w:pos="2835"/>
              </w:tabs>
              <w:spacing w:before="40" w:after="40" w:line="220" w:lineRule="exact"/>
              <w:ind w:left="113" w:right="0"/>
              <w:jc w:val="right"/>
              <w:rPr>
                <w:sz w:val="18"/>
                <w:lang w:val="es-ES_tradnl"/>
              </w:rPr>
            </w:pPr>
            <w:r w:rsidRPr="00120B8B">
              <w:rPr>
                <w:sz w:val="18"/>
                <w:lang w:val="es-ES_tradnl"/>
              </w:rPr>
              <w:t>147 467</w:t>
            </w:r>
          </w:p>
        </w:tc>
      </w:tr>
      <w:tr w:rsidR="000C2F85" w:rsidRPr="00120B8B" w14:paraId="00BE901B" w14:textId="77777777" w:rsidTr="00120B8B">
        <w:trPr>
          <w:trHeight w:val="240"/>
        </w:trPr>
        <w:tc>
          <w:tcPr>
            <w:tcW w:w="4201" w:type="dxa"/>
            <w:shd w:val="clear" w:color="auto" w:fill="auto"/>
          </w:tcPr>
          <w:p w14:paraId="5769E6BD"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 xml:space="preserve">Subvención </w:t>
            </w:r>
          </w:p>
        </w:tc>
        <w:tc>
          <w:tcPr>
            <w:tcW w:w="3169" w:type="dxa"/>
            <w:shd w:val="clear" w:color="auto" w:fill="auto"/>
            <w:vAlign w:val="bottom"/>
          </w:tcPr>
          <w:p w14:paraId="14C5BBB3" w14:textId="77777777" w:rsidR="000C2F85" w:rsidRPr="00120B8B" w:rsidRDefault="000C2F85" w:rsidP="00120B8B">
            <w:pPr>
              <w:pStyle w:val="SingleTxtG"/>
              <w:tabs>
                <w:tab w:val="clear" w:pos="1701"/>
                <w:tab w:val="clear" w:pos="2268"/>
                <w:tab w:val="clear" w:pos="2835"/>
              </w:tabs>
              <w:spacing w:before="40" w:after="40" w:line="220" w:lineRule="exact"/>
              <w:ind w:left="113" w:right="0"/>
              <w:jc w:val="right"/>
              <w:rPr>
                <w:sz w:val="18"/>
                <w:lang w:val="es-ES_tradnl"/>
              </w:rPr>
            </w:pPr>
            <w:r w:rsidRPr="00120B8B">
              <w:rPr>
                <w:sz w:val="18"/>
                <w:lang w:val="es-ES_tradnl"/>
              </w:rPr>
              <w:t>192 091</w:t>
            </w:r>
          </w:p>
        </w:tc>
      </w:tr>
      <w:tr w:rsidR="000C2F85" w:rsidRPr="00120B8B" w14:paraId="1DD8929B" w14:textId="77777777" w:rsidTr="00120B8B">
        <w:trPr>
          <w:trHeight w:val="240"/>
        </w:trPr>
        <w:tc>
          <w:tcPr>
            <w:tcW w:w="4201" w:type="dxa"/>
            <w:tcBorders>
              <w:bottom w:val="single" w:sz="12" w:space="0" w:color="auto"/>
            </w:tcBorders>
            <w:shd w:val="clear" w:color="auto" w:fill="auto"/>
          </w:tcPr>
          <w:p w14:paraId="29AB19A0"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 xml:space="preserve">Ayuda social en casos de desastre </w:t>
            </w:r>
          </w:p>
        </w:tc>
        <w:tc>
          <w:tcPr>
            <w:tcW w:w="3169" w:type="dxa"/>
            <w:tcBorders>
              <w:bottom w:val="single" w:sz="12" w:space="0" w:color="auto"/>
            </w:tcBorders>
            <w:shd w:val="clear" w:color="auto" w:fill="auto"/>
            <w:vAlign w:val="bottom"/>
          </w:tcPr>
          <w:p w14:paraId="2402E359" w14:textId="77777777" w:rsidR="000C2F85" w:rsidRPr="00120B8B" w:rsidRDefault="000C2F85" w:rsidP="00120B8B">
            <w:pPr>
              <w:pStyle w:val="SingleTxtG"/>
              <w:tabs>
                <w:tab w:val="clear" w:pos="1701"/>
                <w:tab w:val="clear" w:pos="2268"/>
                <w:tab w:val="clear" w:pos="2835"/>
              </w:tabs>
              <w:spacing w:before="40" w:after="40" w:line="220" w:lineRule="exact"/>
              <w:ind w:left="113" w:right="0"/>
              <w:jc w:val="right"/>
              <w:rPr>
                <w:sz w:val="18"/>
                <w:lang w:val="es-ES_tradnl"/>
              </w:rPr>
            </w:pPr>
            <w:r w:rsidRPr="00120B8B">
              <w:rPr>
                <w:sz w:val="18"/>
                <w:lang w:val="es-ES_tradnl"/>
              </w:rPr>
              <w:t>573 195</w:t>
            </w:r>
          </w:p>
        </w:tc>
      </w:tr>
    </w:tbl>
    <w:p w14:paraId="187D0829" w14:textId="77777777" w:rsidR="000C2F85" w:rsidRPr="004E419B" w:rsidRDefault="000C2F85" w:rsidP="00120B8B">
      <w:pPr>
        <w:pStyle w:val="SingleTxtG"/>
        <w:spacing w:before="240"/>
        <w:rPr>
          <w:lang w:val="es-ES_tradnl"/>
        </w:rPr>
      </w:pPr>
      <w:r w:rsidRPr="000C2F85">
        <w:rPr>
          <w:lang w:val="es-ES_tradnl"/>
        </w:rPr>
        <w:t>34.</w:t>
      </w:r>
      <w:r w:rsidRPr="000C2F85">
        <w:rPr>
          <w:lang w:val="es-ES_tradnl"/>
        </w:rPr>
        <w:tab/>
        <w:t>Según la última Encuesta sobre las Condiciones de Vida (2014/15) de la Dirección de Estadísticas de Sudáfrica, los gastos totales anuales de consumo de los hogares entre octubre de 2014 y octubre de 2015 se estimaron en 1,72 billones de rand. Durante el año de la encuesta el hogar sudafricano medio gastó unos 103.293 rand, que se destinaron principalmente a vivienda y servicios públicos, transporte, alimentos y bienes y servicios varios. Combinados, los gastos de consumo de los cuatro principales grupos (es decir, vivienda y servicios públicos, transporte, bienes y servicios varios, y alimentos y bebidas no alcohólicas) representan aproximadamente tres cuartas partes (el 76,4 %) de todos los gastos de consumo del país. En definitiva, 3 de cada 4 rand utilizados por los hogares sudafricanos se destinan a esas cuatro esferas principales, como se indica en el cuadro que figura a continuación</w:t>
      </w:r>
      <w:r w:rsidRPr="00605B48">
        <w:rPr>
          <w:sz w:val="18"/>
          <w:szCs w:val="18"/>
          <w:vertAlign w:val="superscript"/>
          <w:lang w:val="es-ES_tradnl"/>
        </w:rPr>
        <w:footnoteReference w:id="29"/>
      </w:r>
      <w:r w:rsidRPr="000C2F85">
        <w:rPr>
          <w:lang w:val="es-ES_tradnl"/>
        </w:rPr>
        <w:t>.</w:t>
      </w:r>
    </w:p>
    <w:p w14:paraId="0FAEBF70" w14:textId="5C413A42" w:rsidR="000C2F85" w:rsidRPr="000C2F85" w:rsidRDefault="000C2F85" w:rsidP="00120B8B">
      <w:pPr>
        <w:pStyle w:val="H23G"/>
        <w:rPr>
          <w:vertAlign w:val="superscript"/>
          <w:lang w:val="es-ES_tradnl"/>
        </w:rPr>
      </w:pPr>
      <w:r w:rsidRPr="00120B8B">
        <w:rPr>
          <w:b w:val="0"/>
          <w:bCs/>
          <w:lang w:val="es-ES_tradnl"/>
        </w:rPr>
        <w:tab/>
      </w:r>
      <w:r w:rsidRPr="00120B8B">
        <w:rPr>
          <w:b w:val="0"/>
          <w:bCs/>
          <w:lang w:val="es-ES_tradnl"/>
        </w:rPr>
        <w:tab/>
        <w:t>Cuadro 16</w:t>
      </w:r>
      <w:r w:rsidRPr="00120B8B">
        <w:rPr>
          <w:b w:val="0"/>
          <w:bCs/>
          <w:lang w:val="es-ES_tradnl"/>
        </w:rPr>
        <w:br/>
      </w:r>
      <w:r w:rsidRPr="000C2F85">
        <w:rPr>
          <w:lang w:val="es-ES_tradnl"/>
        </w:rPr>
        <w:t>Total y promedio de los gastos de consumo de los hogares, por grupo de gastos para</w:t>
      </w:r>
      <w:r w:rsidR="004E419B">
        <w:rPr>
          <w:lang w:val="es-ES_tradnl"/>
        </w:rPr>
        <w:t> </w:t>
      </w:r>
      <w:r w:rsidRPr="000C2F85">
        <w:rPr>
          <w:lang w:val="es-ES_tradnl"/>
        </w:rPr>
        <w:t>2015</w:t>
      </w:r>
      <w:r w:rsidRPr="00605B48">
        <w:rPr>
          <w:b w:val="0"/>
          <w:sz w:val="18"/>
          <w:szCs w:val="18"/>
          <w:vertAlign w:val="superscript"/>
          <w:lang w:val="es-ES_tradnl"/>
        </w:rPr>
        <w:footnoteReference w:id="30"/>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1418"/>
        <w:gridCol w:w="1276"/>
        <w:gridCol w:w="1274"/>
      </w:tblGrid>
      <w:tr w:rsidR="00F26A56" w:rsidRPr="00120B8B" w14:paraId="0DEC8115" w14:textId="77777777" w:rsidTr="005C0C6F">
        <w:trPr>
          <w:trHeight w:val="240"/>
          <w:tblHeader/>
        </w:trPr>
        <w:tc>
          <w:tcPr>
            <w:tcW w:w="3402" w:type="dxa"/>
            <w:vMerge w:val="restart"/>
            <w:tcBorders>
              <w:top w:val="single" w:sz="4" w:space="0" w:color="auto"/>
              <w:bottom w:val="single" w:sz="4" w:space="0" w:color="auto"/>
            </w:tcBorders>
            <w:shd w:val="clear" w:color="auto" w:fill="auto"/>
            <w:vAlign w:val="bottom"/>
          </w:tcPr>
          <w:p w14:paraId="3DF2DFCD" w14:textId="58912C67" w:rsidR="00F26A56" w:rsidRPr="00120B8B" w:rsidRDefault="00F26A56" w:rsidP="00120B8B">
            <w:pPr>
              <w:pStyle w:val="SingleTxtG"/>
              <w:spacing w:before="80" w:after="80" w:line="200" w:lineRule="exact"/>
              <w:ind w:left="0" w:right="0"/>
              <w:jc w:val="left"/>
              <w:rPr>
                <w:i/>
                <w:sz w:val="16"/>
                <w:lang w:val="es-ES_tradnl"/>
              </w:rPr>
            </w:pPr>
            <w:r w:rsidRPr="00120B8B">
              <w:rPr>
                <w:i/>
                <w:sz w:val="16"/>
                <w:lang w:val="es-ES_tradnl"/>
              </w:rPr>
              <w:t>Principal grupo de gastos</w:t>
            </w:r>
          </w:p>
        </w:tc>
        <w:tc>
          <w:tcPr>
            <w:tcW w:w="2694" w:type="dxa"/>
            <w:gridSpan w:val="2"/>
            <w:tcBorders>
              <w:top w:val="single" w:sz="4" w:space="0" w:color="auto"/>
              <w:bottom w:val="single" w:sz="4" w:space="0" w:color="auto"/>
            </w:tcBorders>
            <w:shd w:val="clear" w:color="auto" w:fill="auto"/>
            <w:vAlign w:val="bottom"/>
          </w:tcPr>
          <w:p w14:paraId="29808ED5" w14:textId="77777777" w:rsidR="00F26A56" w:rsidRPr="00120B8B" w:rsidRDefault="00F26A56" w:rsidP="00120B8B">
            <w:pPr>
              <w:pStyle w:val="SingleTxtG"/>
              <w:tabs>
                <w:tab w:val="clear" w:pos="1701"/>
                <w:tab w:val="clear" w:pos="2268"/>
                <w:tab w:val="clear" w:pos="2835"/>
              </w:tabs>
              <w:spacing w:before="80" w:after="80" w:line="200" w:lineRule="exact"/>
              <w:ind w:left="0" w:right="0"/>
              <w:jc w:val="center"/>
              <w:rPr>
                <w:i/>
                <w:sz w:val="16"/>
                <w:lang w:val="es-ES_tradnl"/>
              </w:rPr>
            </w:pPr>
            <w:r w:rsidRPr="00120B8B">
              <w:rPr>
                <w:i/>
                <w:iCs/>
                <w:sz w:val="16"/>
                <w:lang w:val="es-ES_tradnl"/>
              </w:rPr>
              <w:t>Rand</w:t>
            </w:r>
          </w:p>
        </w:tc>
        <w:tc>
          <w:tcPr>
            <w:tcW w:w="1274" w:type="dxa"/>
            <w:vMerge w:val="restart"/>
            <w:tcBorders>
              <w:top w:val="single" w:sz="4" w:space="0" w:color="auto"/>
            </w:tcBorders>
            <w:shd w:val="clear" w:color="auto" w:fill="auto"/>
            <w:vAlign w:val="bottom"/>
          </w:tcPr>
          <w:p w14:paraId="43F44AF5" w14:textId="1D329AEC" w:rsidR="00F26A56" w:rsidRPr="00120B8B" w:rsidRDefault="00F26A56" w:rsidP="00F26A56">
            <w:pPr>
              <w:pStyle w:val="SingleTxtG"/>
              <w:spacing w:before="80" w:after="80" w:line="200" w:lineRule="exact"/>
              <w:ind w:left="57" w:right="28"/>
              <w:jc w:val="right"/>
              <w:rPr>
                <w:i/>
                <w:sz w:val="16"/>
                <w:lang w:val="es-ES_tradnl"/>
              </w:rPr>
            </w:pPr>
            <w:r w:rsidRPr="00120B8B">
              <w:rPr>
                <w:i/>
                <w:iCs/>
                <w:sz w:val="16"/>
                <w:lang w:val="es-ES_tradnl"/>
              </w:rPr>
              <w:t>Contribución porcentual</w:t>
            </w:r>
          </w:p>
        </w:tc>
      </w:tr>
      <w:tr w:rsidR="00F26A56" w:rsidRPr="00120B8B" w14:paraId="084E8F33" w14:textId="77777777" w:rsidTr="005C0C6F">
        <w:trPr>
          <w:trHeight w:val="240"/>
          <w:tblHeader/>
        </w:trPr>
        <w:tc>
          <w:tcPr>
            <w:tcW w:w="3402" w:type="dxa"/>
            <w:vMerge/>
            <w:tcBorders>
              <w:top w:val="single" w:sz="4" w:space="0" w:color="auto"/>
              <w:bottom w:val="single" w:sz="12" w:space="0" w:color="auto"/>
            </w:tcBorders>
            <w:shd w:val="clear" w:color="auto" w:fill="auto"/>
          </w:tcPr>
          <w:p w14:paraId="4520C192" w14:textId="29EF3356" w:rsidR="00F26A56" w:rsidRPr="00120B8B" w:rsidRDefault="00F26A56" w:rsidP="00120B8B">
            <w:pPr>
              <w:pStyle w:val="SingleTxtG"/>
              <w:tabs>
                <w:tab w:val="clear" w:pos="1701"/>
                <w:tab w:val="clear" w:pos="2268"/>
                <w:tab w:val="clear" w:pos="2835"/>
              </w:tabs>
              <w:spacing w:before="80" w:after="80" w:line="200" w:lineRule="exact"/>
              <w:ind w:left="0" w:right="0"/>
              <w:jc w:val="left"/>
              <w:rPr>
                <w:i/>
                <w:sz w:val="16"/>
                <w:lang w:val="es-ES_tradnl"/>
              </w:rPr>
            </w:pPr>
          </w:p>
        </w:tc>
        <w:tc>
          <w:tcPr>
            <w:tcW w:w="1418" w:type="dxa"/>
            <w:tcBorders>
              <w:top w:val="single" w:sz="4" w:space="0" w:color="auto"/>
              <w:bottom w:val="single" w:sz="12" w:space="0" w:color="auto"/>
            </w:tcBorders>
            <w:shd w:val="clear" w:color="auto" w:fill="auto"/>
            <w:vAlign w:val="bottom"/>
          </w:tcPr>
          <w:p w14:paraId="14AEC7B2" w14:textId="77777777" w:rsidR="00F26A56" w:rsidRPr="00120B8B" w:rsidRDefault="00F26A56" w:rsidP="00F26A56">
            <w:pPr>
              <w:pStyle w:val="SingleTxtG"/>
              <w:tabs>
                <w:tab w:val="clear" w:pos="1701"/>
                <w:tab w:val="clear" w:pos="2268"/>
                <w:tab w:val="clear" w:pos="2835"/>
              </w:tabs>
              <w:spacing w:before="80" w:after="80" w:line="200" w:lineRule="exact"/>
              <w:ind w:left="57" w:right="28"/>
              <w:jc w:val="right"/>
              <w:rPr>
                <w:i/>
                <w:iCs/>
                <w:sz w:val="16"/>
                <w:lang w:val="es-ES_tradnl"/>
              </w:rPr>
            </w:pPr>
            <w:r w:rsidRPr="00120B8B">
              <w:rPr>
                <w:i/>
                <w:iCs/>
                <w:sz w:val="16"/>
                <w:lang w:val="es-ES_tradnl"/>
              </w:rPr>
              <w:t>Total (en millones)</w:t>
            </w:r>
          </w:p>
        </w:tc>
        <w:tc>
          <w:tcPr>
            <w:tcW w:w="1276" w:type="dxa"/>
            <w:tcBorders>
              <w:top w:val="single" w:sz="4" w:space="0" w:color="auto"/>
              <w:bottom w:val="single" w:sz="12" w:space="0" w:color="auto"/>
            </w:tcBorders>
            <w:shd w:val="clear" w:color="auto" w:fill="auto"/>
            <w:vAlign w:val="bottom"/>
          </w:tcPr>
          <w:p w14:paraId="102FC059" w14:textId="77777777" w:rsidR="00F26A56" w:rsidRPr="00120B8B" w:rsidRDefault="00F26A56" w:rsidP="00F26A56">
            <w:pPr>
              <w:pStyle w:val="SingleTxtG"/>
              <w:tabs>
                <w:tab w:val="clear" w:pos="1701"/>
                <w:tab w:val="clear" w:pos="2268"/>
                <w:tab w:val="clear" w:pos="2835"/>
              </w:tabs>
              <w:spacing w:before="80" w:after="80" w:line="200" w:lineRule="exact"/>
              <w:ind w:left="57" w:right="28"/>
              <w:jc w:val="right"/>
              <w:rPr>
                <w:i/>
                <w:iCs/>
                <w:sz w:val="16"/>
                <w:lang w:val="es-ES_tradnl"/>
              </w:rPr>
            </w:pPr>
            <w:r w:rsidRPr="00120B8B">
              <w:rPr>
                <w:i/>
                <w:iCs/>
                <w:sz w:val="16"/>
                <w:lang w:val="es-ES_tradnl"/>
              </w:rPr>
              <w:t>Promedio</w:t>
            </w:r>
          </w:p>
        </w:tc>
        <w:tc>
          <w:tcPr>
            <w:tcW w:w="1274" w:type="dxa"/>
            <w:vMerge/>
            <w:tcBorders>
              <w:bottom w:val="single" w:sz="12" w:space="0" w:color="auto"/>
            </w:tcBorders>
            <w:shd w:val="clear" w:color="auto" w:fill="auto"/>
            <w:vAlign w:val="bottom"/>
          </w:tcPr>
          <w:p w14:paraId="12F2D127" w14:textId="29FE55E9" w:rsidR="00F26A56" w:rsidRPr="00120B8B" w:rsidRDefault="00F26A56" w:rsidP="00120B8B">
            <w:pPr>
              <w:pStyle w:val="SingleTxtG"/>
              <w:tabs>
                <w:tab w:val="clear" w:pos="1701"/>
                <w:tab w:val="clear" w:pos="2268"/>
                <w:tab w:val="clear" w:pos="2835"/>
              </w:tabs>
              <w:spacing w:before="80" w:after="80" w:line="200" w:lineRule="exact"/>
              <w:ind w:left="113" w:right="0"/>
              <w:jc w:val="right"/>
              <w:rPr>
                <w:i/>
                <w:iCs/>
                <w:sz w:val="16"/>
                <w:lang w:val="es-ES_tradnl"/>
              </w:rPr>
            </w:pPr>
          </w:p>
        </w:tc>
      </w:tr>
      <w:tr w:rsidR="000C2F85" w:rsidRPr="00120B8B" w14:paraId="33FD7C99" w14:textId="77777777" w:rsidTr="00120B8B">
        <w:trPr>
          <w:trHeight w:val="240"/>
        </w:trPr>
        <w:tc>
          <w:tcPr>
            <w:tcW w:w="3402" w:type="dxa"/>
            <w:tcBorders>
              <w:top w:val="single" w:sz="12" w:space="0" w:color="auto"/>
            </w:tcBorders>
            <w:shd w:val="clear" w:color="auto" w:fill="auto"/>
          </w:tcPr>
          <w:p w14:paraId="48D85CB0"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Alimentos y bebidas no alcohólicas</w:t>
            </w:r>
          </w:p>
        </w:tc>
        <w:tc>
          <w:tcPr>
            <w:tcW w:w="1418" w:type="dxa"/>
            <w:tcBorders>
              <w:top w:val="single" w:sz="12" w:space="0" w:color="auto"/>
            </w:tcBorders>
            <w:shd w:val="clear" w:color="auto" w:fill="auto"/>
            <w:vAlign w:val="bottom"/>
          </w:tcPr>
          <w:p w14:paraId="2F689884"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220 891</w:t>
            </w:r>
          </w:p>
        </w:tc>
        <w:tc>
          <w:tcPr>
            <w:tcW w:w="1276" w:type="dxa"/>
            <w:tcBorders>
              <w:top w:val="single" w:sz="12" w:space="0" w:color="auto"/>
            </w:tcBorders>
            <w:shd w:val="clear" w:color="auto" w:fill="auto"/>
            <w:vAlign w:val="bottom"/>
          </w:tcPr>
          <w:p w14:paraId="5AAFCBDB"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13 292</w:t>
            </w:r>
          </w:p>
        </w:tc>
        <w:tc>
          <w:tcPr>
            <w:tcW w:w="1274" w:type="dxa"/>
            <w:tcBorders>
              <w:top w:val="single" w:sz="12" w:space="0" w:color="auto"/>
            </w:tcBorders>
            <w:shd w:val="clear" w:color="auto" w:fill="auto"/>
            <w:vAlign w:val="bottom"/>
          </w:tcPr>
          <w:p w14:paraId="252C6A79"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12,9</w:t>
            </w:r>
          </w:p>
        </w:tc>
      </w:tr>
      <w:tr w:rsidR="000C2F85" w:rsidRPr="00120B8B" w14:paraId="6DAF0C6F" w14:textId="77777777" w:rsidTr="00120B8B">
        <w:trPr>
          <w:trHeight w:val="240"/>
        </w:trPr>
        <w:tc>
          <w:tcPr>
            <w:tcW w:w="3402" w:type="dxa"/>
            <w:shd w:val="clear" w:color="auto" w:fill="auto"/>
          </w:tcPr>
          <w:p w14:paraId="1EA1CEDA"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Bebidas alcohólicas y tabaco</w:t>
            </w:r>
          </w:p>
        </w:tc>
        <w:tc>
          <w:tcPr>
            <w:tcW w:w="1418" w:type="dxa"/>
            <w:shd w:val="clear" w:color="auto" w:fill="auto"/>
            <w:vAlign w:val="bottom"/>
          </w:tcPr>
          <w:p w14:paraId="40894FCC"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15 132</w:t>
            </w:r>
          </w:p>
        </w:tc>
        <w:tc>
          <w:tcPr>
            <w:tcW w:w="1276" w:type="dxa"/>
            <w:shd w:val="clear" w:color="auto" w:fill="auto"/>
            <w:vAlign w:val="bottom"/>
          </w:tcPr>
          <w:p w14:paraId="6EC70D56"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911</w:t>
            </w:r>
          </w:p>
        </w:tc>
        <w:tc>
          <w:tcPr>
            <w:tcW w:w="1274" w:type="dxa"/>
            <w:shd w:val="clear" w:color="auto" w:fill="auto"/>
            <w:vAlign w:val="bottom"/>
          </w:tcPr>
          <w:p w14:paraId="6557A057"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0,9</w:t>
            </w:r>
          </w:p>
        </w:tc>
      </w:tr>
      <w:tr w:rsidR="000C2F85" w:rsidRPr="00120B8B" w14:paraId="1D3444C4" w14:textId="77777777" w:rsidTr="00120B8B">
        <w:trPr>
          <w:trHeight w:val="240"/>
        </w:trPr>
        <w:tc>
          <w:tcPr>
            <w:tcW w:w="3402" w:type="dxa"/>
            <w:shd w:val="clear" w:color="auto" w:fill="auto"/>
          </w:tcPr>
          <w:p w14:paraId="6F7CEE90"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Prendas de vestir y calzado</w:t>
            </w:r>
          </w:p>
        </w:tc>
        <w:tc>
          <w:tcPr>
            <w:tcW w:w="1418" w:type="dxa"/>
            <w:shd w:val="clear" w:color="auto" w:fill="auto"/>
            <w:vAlign w:val="bottom"/>
          </w:tcPr>
          <w:p w14:paraId="26D90E6A"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82 072</w:t>
            </w:r>
          </w:p>
        </w:tc>
        <w:tc>
          <w:tcPr>
            <w:tcW w:w="1276" w:type="dxa"/>
            <w:shd w:val="clear" w:color="auto" w:fill="auto"/>
            <w:vAlign w:val="bottom"/>
          </w:tcPr>
          <w:p w14:paraId="700AB4F9"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4 939</w:t>
            </w:r>
          </w:p>
        </w:tc>
        <w:tc>
          <w:tcPr>
            <w:tcW w:w="1274" w:type="dxa"/>
            <w:shd w:val="clear" w:color="auto" w:fill="auto"/>
            <w:vAlign w:val="bottom"/>
          </w:tcPr>
          <w:p w14:paraId="65CDA4B3"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4,8</w:t>
            </w:r>
          </w:p>
        </w:tc>
      </w:tr>
      <w:tr w:rsidR="000C2F85" w:rsidRPr="00120B8B" w14:paraId="5E51EB6C" w14:textId="77777777" w:rsidTr="00120B8B">
        <w:trPr>
          <w:trHeight w:val="240"/>
        </w:trPr>
        <w:tc>
          <w:tcPr>
            <w:tcW w:w="3402" w:type="dxa"/>
            <w:shd w:val="clear" w:color="auto" w:fill="auto"/>
          </w:tcPr>
          <w:p w14:paraId="793ECF98"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Alojamiento, agua, electricidad, gas y otros combustibles</w:t>
            </w:r>
          </w:p>
        </w:tc>
        <w:tc>
          <w:tcPr>
            <w:tcW w:w="1418" w:type="dxa"/>
            <w:shd w:val="clear" w:color="auto" w:fill="auto"/>
            <w:vAlign w:val="bottom"/>
          </w:tcPr>
          <w:p w14:paraId="79AEE37D"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558 799</w:t>
            </w:r>
          </w:p>
        </w:tc>
        <w:tc>
          <w:tcPr>
            <w:tcW w:w="1276" w:type="dxa"/>
            <w:shd w:val="clear" w:color="auto" w:fill="auto"/>
            <w:vAlign w:val="bottom"/>
          </w:tcPr>
          <w:p w14:paraId="455A3A8E"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33 625</w:t>
            </w:r>
          </w:p>
        </w:tc>
        <w:tc>
          <w:tcPr>
            <w:tcW w:w="1274" w:type="dxa"/>
            <w:shd w:val="clear" w:color="auto" w:fill="auto"/>
            <w:vAlign w:val="bottom"/>
          </w:tcPr>
          <w:p w14:paraId="31853513"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32,6</w:t>
            </w:r>
          </w:p>
        </w:tc>
      </w:tr>
      <w:tr w:rsidR="000C2F85" w:rsidRPr="00120B8B" w14:paraId="63072149" w14:textId="77777777" w:rsidTr="00120B8B">
        <w:trPr>
          <w:trHeight w:val="240"/>
        </w:trPr>
        <w:tc>
          <w:tcPr>
            <w:tcW w:w="3402" w:type="dxa"/>
            <w:shd w:val="clear" w:color="auto" w:fill="auto"/>
          </w:tcPr>
          <w:p w14:paraId="07C1800E"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Muebles, artículos para el hogar y para la conservación de la vivienda</w:t>
            </w:r>
          </w:p>
        </w:tc>
        <w:tc>
          <w:tcPr>
            <w:tcW w:w="1418" w:type="dxa"/>
            <w:shd w:val="clear" w:color="auto" w:fill="auto"/>
            <w:vAlign w:val="bottom"/>
          </w:tcPr>
          <w:p w14:paraId="255A4931"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89 599</w:t>
            </w:r>
          </w:p>
        </w:tc>
        <w:tc>
          <w:tcPr>
            <w:tcW w:w="1276" w:type="dxa"/>
            <w:shd w:val="clear" w:color="auto" w:fill="auto"/>
            <w:vAlign w:val="bottom"/>
          </w:tcPr>
          <w:p w14:paraId="13B6A7CF"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5 391</w:t>
            </w:r>
          </w:p>
        </w:tc>
        <w:tc>
          <w:tcPr>
            <w:tcW w:w="1274" w:type="dxa"/>
            <w:shd w:val="clear" w:color="auto" w:fill="auto"/>
            <w:vAlign w:val="bottom"/>
          </w:tcPr>
          <w:p w14:paraId="61505CDB"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5,2</w:t>
            </w:r>
          </w:p>
        </w:tc>
      </w:tr>
      <w:tr w:rsidR="000C2F85" w:rsidRPr="00120B8B" w14:paraId="622A0615" w14:textId="77777777" w:rsidTr="00120B8B">
        <w:trPr>
          <w:trHeight w:val="240"/>
        </w:trPr>
        <w:tc>
          <w:tcPr>
            <w:tcW w:w="3402" w:type="dxa"/>
            <w:shd w:val="clear" w:color="auto" w:fill="auto"/>
          </w:tcPr>
          <w:p w14:paraId="2394E4A8"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Salud</w:t>
            </w:r>
          </w:p>
        </w:tc>
        <w:tc>
          <w:tcPr>
            <w:tcW w:w="1418" w:type="dxa"/>
            <w:shd w:val="clear" w:color="auto" w:fill="auto"/>
            <w:vAlign w:val="bottom"/>
          </w:tcPr>
          <w:p w14:paraId="2214D388"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15 533</w:t>
            </w:r>
          </w:p>
        </w:tc>
        <w:tc>
          <w:tcPr>
            <w:tcW w:w="1276" w:type="dxa"/>
            <w:shd w:val="clear" w:color="auto" w:fill="auto"/>
            <w:vAlign w:val="bottom"/>
          </w:tcPr>
          <w:p w14:paraId="1403BB5C"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935</w:t>
            </w:r>
          </w:p>
        </w:tc>
        <w:tc>
          <w:tcPr>
            <w:tcW w:w="1274" w:type="dxa"/>
            <w:shd w:val="clear" w:color="auto" w:fill="auto"/>
            <w:vAlign w:val="bottom"/>
          </w:tcPr>
          <w:p w14:paraId="6E377FAD"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0,9</w:t>
            </w:r>
          </w:p>
        </w:tc>
      </w:tr>
      <w:tr w:rsidR="000C2F85" w:rsidRPr="00120B8B" w14:paraId="49C5156F" w14:textId="77777777" w:rsidTr="00120B8B">
        <w:trPr>
          <w:trHeight w:val="240"/>
        </w:trPr>
        <w:tc>
          <w:tcPr>
            <w:tcW w:w="3402" w:type="dxa"/>
            <w:shd w:val="clear" w:color="auto" w:fill="auto"/>
          </w:tcPr>
          <w:p w14:paraId="013845C0"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Transporte</w:t>
            </w:r>
          </w:p>
        </w:tc>
        <w:tc>
          <w:tcPr>
            <w:tcW w:w="1418" w:type="dxa"/>
            <w:shd w:val="clear" w:color="auto" w:fill="auto"/>
            <w:vAlign w:val="bottom"/>
          </w:tcPr>
          <w:p w14:paraId="66D87C5D"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279 623</w:t>
            </w:r>
          </w:p>
        </w:tc>
        <w:tc>
          <w:tcPr>
            <w:tcW w:w="1276" w:type="dxa"/>
            <w:shd w:val="clear" w:color="auto" w:fill="auto"/>
            <w:vAlign w:val="bottom"/>
          </w:tcPr>
          <w:p w14:paraId="1A27DCAC"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16 826</w:t>
            </w:r>
          </w:p>
        </w:tc>
        <w:tc>
          <w:tcPr>
            <w:tcW w:w="1274" w:type="dxa"/>
            <w:shd w:val="clear" w:color="auto" w:fill="auto"/>
            <w:vAlign w:val="bottom"/>
          </w:tcPr>
          <w:p w14:paraId="06496C1C"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16,3</w:t>
            </w:r>
          </w:p>
        </w:tc>
      </w:tr>
      <w:tr w:rsidR="000C2F85" w:rsidRPr="00120B8B" w14:paraId="594C49CE" w14:textId="77777777" w:rsidTr="00120B8B">
        <w:trPr>
          <w:trHeight w:val="240"/>
        </w:trPr>
        <w:tc>
          <w:tcPr>
            <w:tcW w:w="3402" w:type="dxa"/>
            <w:shd w:val="clear" w:color="auto" w:fill="auto"/>
          </w:tcPr>
          <w:p w14:paraId="28D4240F"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Comunicaciones</w:t>
            </w:r>
          </w:p>
        </w:tc>
        <w:tc>
          <w:tcPr>
            <w:tcW w:w="1418" w:type="dxa"/>
            <w:shd w:val="clear" w:color="auto" w:fill="auto"/>
            <w:vAlign w:val="bottom"/>
          </w:tcPr>
          <w:p w14:paraId="6D781A07"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58 322</w:t>
            </w:r>
          </w:p>
        </w:tc>
        <w:tc>
          <w:tcPr>
            <w:tcW w:w="1276" w:type="dxa"/>
            <w:shd w:val="clear" w:color="auto" w:fill="auto"/>
            <w:vAlign w:val="bottom"/>
          </w:tcPr>
          <w:p w14:paraId="338B82CB"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3 509</w:t>
            </w:r>
          </w:p>
        </w:tc>
        <w:tc>
          <w:tcPr>
            <w:tcW w:w="1274" w:type="dxa"/>
            <w:shd w:val="clear" w:color="auto" w:fill="auto"/>
            <w:vAlign w:val="bottom"/>
          </w:tcPr>
          <w:p w14:paraId="0A257027"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3,4</w:t>
            </w:r>
          </w:p>
        </w:tc>
      </w:tr>
      <w:tr w:rsidR="000C2F85" w:rsidRPr="00120B8B" w14:paraId="6761BE13" w14:textId="77777777" w:rsidTr="00120B8B">
        <w:trPr>
          <w:trHeight w:val="240"/>
        </w:trPr>
        <w:tc>
          <w:tcPr>
            <w:tcW w:w="3402" w:type="dxa"/>
            <w:shd w:val="clear" w:color="auto" w:fill="auto"/>
          </w:tcPr>
          <w:p w14:paraId="5EB8422B"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Ocio y cultura</w:t>
            </w:r>
          </w:p>
        </w:tc>
        <w:tc>
          <w:tcPr>
            <w:tcW w:w="1418" w:type="dxa"/>
            <w:shd w:val="clear" w:color="auto" w:fill="auto"/>
            <w:vAlign w:val="bottom"/>
          </w:tcPr>
          <w:p w14:paraId="5DCF5FC2"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65 361</w:t>
            </w:r>
          </w:p>
        </w:tc>
        <w:tc>
          <w:tcPr>
            <w:tcW w:w="1276" w:type="dxa"/>
            <w:shd w:val="clear" w:color="auto" w:fill="auto"/>
            <w:vAlign w:val="bottom"/>
          </w:tcPr>
          <w:p w14:paraId="77998425"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3 933</w:t>
            </w:r>
          </w:p>
        </w:tc>
        <w:tc>
          <w:tcPr>
            <w:tcW w:w="1274" w:type="dxa"/>
            <w:shd w:val="clear" w:color="auto" w:fill="auto"/>
            <w:vAlign w:val="bottom"/>
          </w:tcPr>
          <w:p w14:paraId="576F6425"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3,8</w:t>
            </w:r>
          </w:p>
        </w:tc>
      </w:tr>
      <w:tr w:rsidR="000C2F85" w:rsidRPr="00120B8B" w14:paraId="276616AD" w14:textId="77777777" w:rsidTr="00120B8B">
        <w:trPr>
          <w:trHeight w:val="240"/>
        </w:trPr>
        <w:tc>
          <w:tcPr>
            <w:tcW w:w="3402" w:type="dxa"/>
            <w:shd w:val="clear" w:color="auto" w:fill="auto"/>
          </w:tcPr>
          <w:p w14:paraId="2BC5C88E"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Educación</w:t>
            </w:r>
          </w:p>
        </w:tc>
        <w:tc>
          <w:tcPr>
            <w:tcW w:w="1418" w:type="dxa"/>
            <w:shd w:val="clear" w:color="auto" w:fill="auto"/>
            <w:vAlign w:val="bottom"/>
          </w:tcPr>
          <w:p w14:paraId="5DABA768"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42 070</w:t>
            </w:r>
          </w:p>
        </w:tc>
        <w:tc>
          <w:tcPr>
            <w:tcW w:w="1276" w:type="dxa"/>
            <w:shd w:val="clear" w:color="auto" w:fill="auto"/>
            <w:vAlign w:val="bottom"/>
          </w:tcPr>
          <w:p w14:paraId="1D4226FC"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2 531</w:t>
            </w:r>
          </w:p>
        </w:tc>
        <w:tc>
          <w:tcPr>
            <w:tcW w:w="1274" w:type="dxa"/>
            <w:shd w:val="clear" w:color="auto" w:fill="auto"/>
            <w:vAlign w:val="bottom"/>
          </w:tcPr>
          <w:p w14:paraId="0DDE6219"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2,5</w:t>
            </w:r>
          </w:p>
        </w:tc>
      </w:tr>
      <w:tr w:rsidR="000C2F85" w:rsidRPr="00120B8B" w14:paraId="4E30C1A2" w14:textId="77777777" w:rsidTr="00120B8B">
        <w:trPr>
          <w:trHeight w:val="240"/>
        </w:trPr>
        <w:tc>
          <w:tcPr>
            <w:tcW w:w="3402" w:type="dxa"/>
            <w:shd w:val="clear" w:color="auto" w:fill="auto"/>
          </w:tcPr>
          <w:p w14:paraId="1280AA2A"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Restaurantes y hoteles</w:t>
            </w:r>
          </w:p>
        </w:tc>
        <w:tc>
          <w:tcPr>
            <w:tcW w:w="1418" w:type="dxa"/>
            <w:shd w:val="clear" w:color="auto" w:fill="auto"/>
            <w:vAlign w:val="bottom"/>
          </w:tcPr>
          <w:p w14:paraId="6D0CD363"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36 238</w:t>
            </w:r>
          </w:p>
        </w:tc>
        <w:tc>
          <w:tcPr>
            <w:tcW w:w="1276" w:type="dxa"/>
            <w:shd w:val="clear" w:color="auto" w:fill="auto"/>
            <w:vAlign w:val="bottom"/>
          </w:tcPr>
          <w:p w14:paraId="20167DC5"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2 181</w:t>
            </w:r>
          </w:p>
        </w:tc>
        <w:tc>
          <w:tcPr>
            <w:tcW w:w="1274" w:type="dxa"/>
            <w:shd w:val="clear" w:color="auto" w:fill="auto"/>
            <w:vAlign w:val="bottom"/>
          </w:tcPr>
          <w:p w14:paraId="19E3AB56"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2,1</w:t>
            </w:r>
          </w:p>
        </w:tc>
      </w:tr>
      <w:tr w:rsidR="000C2F85" w:rsidRPr="00120B8B" w14:paraId="387ADE79" w14:textId="77777777" w:rsidTr="00120B8B">
        <w:trPr>
          <w:trHeight w:val="240"/>
        </w:trPr>
        <w:tc>
          <w:tcPr>
            <w:tcW w:w="3402" w:type="dxa"/>
            <w:shd w:val="clear" w:color="auto" w:fill="auto"/>
          </w:tcPr>
          <w:p w14:paraId="3F8130F4"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Bienes y servicios diversos</w:t>
            </w:r>
          </w:p>
        </w:tc>
        <w:tc>
          <w:tcPr>
            <w:tcW w:w="1418" w:type="dxa"/>
            <w:shd w:val="clear" w:color="auto" w:fill="auto"/>
            <w:vAlign w:val="bottom"/>
          </w:tcPr>
          <w:p w14:paraId="5A3FD6F5"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252 050</w:t>
            </w:r>
          </w:p>
        </w:tc>
        <w:tc>
          <w:tcPr>
            <w:tcW w:w="1276" w:type="dxa"/>
            <w:shd w:val="clear" w:color="auto" w:fill="auto"/>
            <w:vAlign w:val="bottom"/>
          </w:tcPr>
          <w:p w14:paraId="5E26586F"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15 167</w:t>
            </w:r>
          </w:p>
        </w:tc>
        <w:tc>
          <w:tcPr>
            <w:tcW w:w="1274" w:type="dxa"/>
            <w:shd w:val="clear" w:color="auto" w:fill="auto"/>
            <w:vAlign w:val="bottom"/>
          </w:tcPr>
          <w:p w14:paraId="001B7597"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14,7</w:t>
            </w:r>
          </w:p>
        </w:tc>
      </w:tr>
      <w:tr w:rsidR="000C2F85" w:rsidRPr="00120B8B" w14:paraId="6A7BEA36" w14:textId="77777777" w:rsidTr="00F26A56">
        <w:trPr>
          <w:trHeight w:val="240"/>
        </w:trPr>
        <w:tc>
          <w:tcPr>
            <w:tcW w:w="3402" w:type="dxa"/>
            <w:tcBorders>
              <w:bottom w:val="single" w:sz="4" w:space="0" w:color="auto"/>
            </w:tcBorders>
            <w:shd w:val="clear" w:color="auto" w:fill="auto"/>
          </w:tcPr>
          <w:p w14:paraId="5CB59FC6" w14:textId="77777777" w:rsidR="000C2F85" w:rsidRPr="00120B8B" w:rsidRDefault="000C2F85" w:rsidP="00120B8B">
            <w:pPr>
              <w:pStyle w:val="SingleTxtG"/>
              <w:tabs>
                <w:tab w:val="clear" w:pos="1701"/>
                <w:tab w:val="clear" w:pos="2268"/>
                <w:tab w:val="clear" w:pos="2835"/>
              </w:tabs>
              <w:spacing w:before="40" w:after="40" w:line="220" w:lineRule="exact"/>
              <w:ind w:left="0" w:right="0"/>
              <w:jc w:val="left"/>
              <w:rPr>
                <w:sz w:val="18"/>
                <w:lang w:val="es-ES_tradnl"/>
              </w:rPr>
            </w:pPr>
            <w:r w:rsidRPr="00120B8B">
              <w:rPr>
                <w:sz w:val="18"/>
                <w:lang w:val="es-ES_tradnl"/>
              </w:rPr>
              <w:t>Artículos no clasificados</w:t>
            </w:r>
          </w:p>
        </w:tc>
        <w:tc>
          <w:tcPr>
            <w:tcW w:w="1418" w:type="dxa"/>
            <w:tcBorders>
              <w:bottom w:val="single" w:sz="4" w:space="0" w:color="auto"/>
            </w:tcBorders>
            <w:shd w:val="clear" w:color="auto" w:fill="auto"/>
            <w:vAlign w:val="bottom"/>
          </w:tcPr>
          <w:p w14:paraId="3EBF52A9"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906</w:t>
            </w:r>
          </w:p>
        </w:tc>
        <w:tc>
          <w:tcPr>
            <w:tcW w:w="1276" w:type="dxa"/>
            <w:tcBorders>
              <w:bottom w:val="single" w:sz="4" w:space="0" w:color="auto"/>
            </w:tcBorders>
            <w:shd w:val="clear" w:color="auto" w:fill="auto"/>
            <w:vAlign w:val="bottom"/>
          </w:tcPr>
          <w:p w14:paraId="4CD2EE2B"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55</w:t>
            </w:r>
          </w:p>
        </w:tc>
        <w:tc>
          <w:tcPr>
            <w:tcW w:w="1274" w:type="dxa"/>
            <w:tcBorders>
              <w:bottom w:val="single" w:sz="4" w:space="0" w:color="auto"/>
            </w:tcBorders>
            <w:shd w:val="clear" w:color="auto" w:fill="auto"/>
            <w:vAlign w:val="bottom"/>
          </w:tcPr>
          <w:p w14:paraId="5307BA1E" w14:textId="77777777" w:rsidR="000C2F85" w:rsidRPr="00120B8B" w:rsidRDefault="000C2F85" w:rsidP="00F26A56">
            <w:pPr>
              <w:pStyle w:val="SingleTxtG"/>
              <w:tabs>
                <w:tab w:val="clear" w:pos="1701"/>
                <w:tab w:val="clear" w:pos="2268"/>
                <w:tab w:val="clear" w:pos="2835"/>
              </w:tabs>
              <w:spacing w:before="40" w:after="40" w:line="220" w:lineRule="exact"/>
              <w:ind w:left="57" w:right="28"/>
              <w:jc w:val="right"/>
              <w:rPr>
                <w:sz w:val="18"/>
                <w:lang w:val="es-ES_tradnl"/>
              </w:rPr>
            </w:pPr>
            <w:r w:rsidRPr="00120B8B">
              <w:rPr>
                <w:sz w:val="18"/>
                <w:lang w:val="es-ES_tradnl"/>
              </w:rPr>
              <w:t>0,1</w:t>
            </w:r>
          </w:p>
        </w:tc>
      </w:tr>
      <w:tr w:rsidR="000C2F85" w:rsidRPr="00F26A56" w14:paraId="01213DA3" w14:textId="77777777" w:rsidTr="00F26A56">
        <w:trPr>
          <w:trHeight w:val="240"/>
        </w:trPr>
        <w:tc>
          <w:tcPr>
            <w:tcW w:w="3402" w:type="dxa"/>
            <w:tcBorders>
              <w:top w:val="single" w:sz="4" w:space="0" w:color="auto"/>
              <w:bottom w:val="single" w:sz="12" w:space="0" w:color="auto"/>
            </w:tcBorders>
            <w:shd w:val="clear" w:color="auto" w:fill="auto"/>
          </w:tcPr>
          <w:p w14:paraId="2ED5073D" w14:textId="77777777" w:rsidR="000C2F85" w:rsidRPr="00F26A56" w:rsidRDefault="000C2F85" w:rsidP="00F26A56">
            <w:pPr>
              <w:pStyle w:val="SingleTxtG"/>
              <w:tabs>
                <w:tab w:val="clear" w:pos="1701"/>
                <w:tab w:val="clear" w:pos="2268"/>
                <w:tab w:val="clear" w:pos="2835"/>
              </w:tabs>
              <w:spacing w:before="80" w:after="80" w:line="220" w:lineRule="exact"/>
              <w:ind w:left="283" w:right="0"/>
              <w:jc w:val="left"/>
              <w:rPr>
                <w:b/>
                <w:sz w:val="18"/>
                <w:lang w:val="es-ES_tradnl"/>
              </w:rPr>
            </w:pPr>
            <w:r w:rsidRPr="00F26A56">
              <w:rPr>
                <w:b/>
                <w:bCs/>
                <w:sz w:val="18"/>
                <w:lang w:val="es-ES_tradnl"/>
              </w:rPr>
              <w:t>Total</w:t>
            </w:r>
          </w:p>
        </w:tc>
        <w:tc>
          <w:tcPr>
            <w:tcW w:w="1418" w:type="dxa"/>
            <w:tcBorders>
              <w:top w:val="single" w:sz="4" w:space="0" w:color="auto"/>
              <w:bottom w:val="single" w:sz="12" w:space="0" w:color="auto"/>
            </w:tcBorders>
            <w:shd w:val="clear" w:color="auto" w:fill="auto"/>
            <w:vAlign w:val="bottom"/>
          </w:tcPr>
          <w:p w14:paraId="3D837F09" w14:textId="77777777" w:rsidR="000C2F85" w:rsidRPr="00F26A56" w:rsidRDefault="000C2F85" w:rsidP="00F26A56">
            <w:pPr>
              <w:pStyle w:val="SingleTxtG"/>
              <w:tabs>
                <w:tab w:val="clear" w:pos="1701"/>
                <w:tab w:val="clear" w:pos="2268"/>
                <w:tab w:val="clear" w:pos="2835"/>
              </w:tabs>
              <w:spacing w:before="80" w:after="80" w:line="220" w:lineRule="exact"/>
              <w:ind w:left="57" w:right="28"/>
              <w:jc w:val="right"/>
              <w:rPr>
                <w:b/>
                <w:sz w:val="18"/>
                <w:lang w:val="es-ES_tradnl"/>
              </w:rPr>
            </w:pPr>
            <w:r w:rsidRPr="00F26A56">
              <w:rPr>
                <w:b/>
                <w:bCs/>
                <w:sz w:val="18"/>
                <w:lang w:val="es-ES_tradnl"/>
              </w:rPr>
              <w:t>1 716 595</w:t>
            </w:r>
          </w:p>
        </w:tc>
        <w:tc>
          <w:tcPr>
            <w:tcW w:w="1276" w:type="dxa"/>
            <w:tcBorders>
              <w:top w:val="single" w:sz="4" w:space="0" w:color="auto"/>
              <w:bottom w:val="single" w:sz="12" w:space="0" w:color="auto"/>
            </w:tcBorders>
            <w:shd w:val="clear" w:color="auto" w:fill="auto"/>
            <w:vAlign w:val="bottom"/>
          </w:tcPr>
          <w:p w14:paraId="78AD47DE" w14:textId="77777777" w:rsidR="000C2F85" w:rsidRPr="00F26A56" w:rsidRDefault="000C2F85" w:rsidP="00F26A56">
            <w:pPr>
              <w:pStyle w:val="SingleTxtG"/>
              <w:tabs>
                <w:tab w:val="clear" w:pos="1701"/>
                <w:tab w:val="clear" w:pos="2268"/>
                <w:tab w:val="clear" w:pos="2835"/>
              </w:tabs>
              <w:spacing w:before="80" w:after="80" w:line="220" w:lineRule="exact"/>
              <w:ind w:left="57" w:right="28"/>
              <w:jc w:val="right"/>
              <w:rPr>
                <w:b/>
                <w:sz w:val="18"/>
                <w:lang w:val="es-ES_tradnl"/>
              </w:rPr>
            </w:pPr>
            <w:r w:rsidRPr="00F26A56">
              <w:rPr>
                <w:b/>
                <w:bCs/>
                <w:sz w:val="18"/>
                <w:lang w:val="es-ES_tradnl"/>
              </w:rPr>
              <w:t>103 293</w:t>
            </w:r>
          </w:p>
        </w:tc>
        <w:tc>
          <w:tcPr>
            <w:tcW w:w="1274" w:type="dxa"/>
            <w:tcBorders>
              <w:top w:val="single" w:sz="4" w:space="0" w:color="auto"/>
              <w:bottom w:val="single" w:sz="12" w:space="0" w:color="auto"/>
            </w:tcBorders>
            <w:shd w:val="clear" w:color="auto" w:fill="auto"/>
            <w:vAlign w:val="bottom"/>
          </w:tcPr>
          <w:p w14:paraId="2AAB1A6B" w14:textId="77777777" w:rsidR="000C2F85" w:rsidRPr="00F26A56" w:rsidRDefault="000C2F85" w:rsidP="00F26A56">
            <w:pPr>
              <w:pStyle w:val="SingleTxtG"/>
              <w:tabs>
                <w:tab w:val="clear" w:pos="1701"/>
                <w:tab w:val="clear" w:pos="2268"/>
                <w:tab w:val="clear" w:pos="2835"/>
              </w:tabs>
              <w:spacing w:before="80" w:after="80" w:line="220" w:lineRule="exact"/>
              <w:ind w:left="57" w:right="28"/>
              <w:jc w:val="right"/>
              <w:rPr>
                <w:b/>
                <w:sz w:val="18"/>
                <w:lang w:val="es-ES_tradnl"/>
              </w:rPr>
            </w:pPr>
            <w:r w:rsidRPr="00F26A56">
              <w:rPr>
                <w:b/>
                <w:bCs/>
                <w:sz w:val="18"/>
                <w:lang w:val="es-ES_tradnl"/>
              </w:rPr>
              <w:t>100,0</w:t>
            </w:r>
          </w:p>
        </w:tc>
      </w:tr>
    </w:tbl>
    <w:p w14:paraId="7346439E" w14:textId="6C1017EE" w:rsidR="000C2F85" w:rsidRPr="00067886" w:rsidRDefault="000C2F85" w:rsidP="00F26A56">
      <w:pPr>
        <w:pStyle w:val="SingleTxtG"/>
        <w:spacing w:before="240"/>
        <w:rPr>
          <w:lang w:val="es-ES_tradnl"/>
        </w:rPr>
      </w:pPr>
      <w:r w:rsidRPr="000C2F85">
        <w:rPr>
          <w:lang w:val="es-ES_tradnl"/>
        </w:rPr>
        <w:lastRenderedPageBreak/>
        <w:t>35.</w:t>
      </w:r>
      <w:r w:rsidRPr="000C2F85">
        <w:rPr>
          <w:lang w:val="es-ES_tradnl"/>
        </w:rPr>
        <w:tab/>
        <w:t>Como se ha indicado, el promedio anual de los gastos de consumo de los hogares sudafricanos en 2015 fue de 103.293 rand. Sin embargo, la mediana de gastos para el país fue de solo 42.522 rand por año, lo que pone de relieve la persistencia de la desigualdad entre</w:t>
      </w:r>
      <w:r w:rsidR="00067886">
        <w:rPr>
          <w:lang w:val="es-ES_tradnl"/>
        </w:rPr>
        <w:t> </w:t>
      </w:r>
      <w:r w:rsidRPr="000C2F85">
        <w:rPr>
          <w:lang w:val="es-ES_tradnl"/>
        </w:rPr>
        <w:t>los hogares. El gasto de los hogares encabezados por hombres representó algo menos del 70 % del total y, en promedio, fue de unos 121.363 rand en 2015. Ese año, los hogares encabezados por mujeres gastaron solo dos terceras partes (unos 77.671 rand), y realizaron poco más del 30 % de todos los gastos de consumo de Sudáfrica</w:t>
      </w:r>
      <w:r w:rsidRPr="00605B48">
        <w:rPr>
          <w:sz w:val="18"/>
          <w:szCs w:val="18"/>
          <w:vertAlign w:val="superscript"/>
          <w:lang w:val="es-ES_tradnl"/>
        </w:rPr>
        <w:footnoteReference w:id="31"/>
      </w:r>
      <w:r w:rsidRPr="000C2F85">
        <w:rPr>
          <w:lang w:val="es-ES_tradnl"/>
        </w:rPr>
        <w:t>.</w:t>
      </w:r>
    </w:p>
    <w:p w14:paraId="699D0772" w14:textId="77777777" w:rsidR="000C2F85" w:rsidRPr="00067886" w:rsidRDefault="000C2F85" w:rsidP="000C2F85">
      <w:pPr>
        <w:pStyle w:val="SingleTxtG"/>
        <w:rPr>
          <w:lang w:val="es-ES_tradnl"/>
        </w:rPr>
      </w:pPr>
      <w:r w:rsidRPr="000C2F85">
        <w:rPr>
          <w:lang w:val="es-ES_tradnl"/>
        </w:rPr>
        <w:t>36.</w:t>
      </w:r>
      <w:r w:rsidRPr="000C2F85">
        <w:rPr>
          <w:lang w:val="es-ES_tradnl"/>
        </w:rPr>
        <w:tab/>
        <w:t>El gasto de los hogares encabezados por personas africanas negras representó más de la mitad (el 52,8 %) del gasto total de consumo de los hogares en 2015 y, en promedio, se situó en 67.828 rand durante el año en que se llevó a cabo la encuesta. A pesar de representar un mayor porcentaje demográfico, los hogares encabezados por personas mestizas solo realizaron el 8,7 % del total de gastos de los hogares, mientras que los encabezados por personas blancas registraron la segunda mayor proporción, con un 34,1 %. Al observar los gastos de consumo de los hogares por grupo de población, se observó que los hogares encabezados por personas blancas seguían apareciendo bien acomodados, con una mediana de 256.159 rand, que, a diferencia de otros grupos, no representaba la mitad de su promedio. Ello indica menores niveles de desigualdad entre los hogares encabezados por personas blancas, ya que la mediana y el promedio se acercaban más. Esta situación es similar a la de los hogares encabezados por personas indias y asiáticas. En los hogares encabezados por personas africanas negras y por personas mestizas, la mediana se acercaba a la mitad del promedio, lo que indicaba una mayor disparidad</w:t>
      </w:r>
      <w:r w:rsidRPr="00605B48">
        <w:rPr>
          <w:sz w:val="18"/>
          <w:szCs w:val="18"/>
          <w:vertAlign w:val="superscript"/>
          <w:lang w:val="es-ES_tradnl"/>
        </w:rPr>
        <w:footnoteReference w:id="32"/>
      </w:r>
      <w:r w:rsidRPr="000C2F85">
        <w:rPr>
          <w:lang w:val="es-ES_tradnl"/>
        </w:rPr>
        <w:t>.</w:t>
      </w:r>
    </w:p>
    <w:p w14:paraId="4833A051" w14:textId="77777777" w:rsidR="000C2F85" w:rsidRPr="000C2F85" w:rsidRDefault="000C2F85" w:rsidP="000C2F85">
      <w:pPr>
        <w:pStyle w:val="SingleTxtG"/>
        <w:rPr>
          <w:lang w:val="es-ES_tradnl"/>
        </w:rPr>
      </w:pPr>
      <w:r w:rsidRPr="000C2F85">
        <w:rPr>
          <w:lang w:val="es-ES_tradnl"/>
        </w:rPr>
        <w:t>37.</w:t>
      </w:r>
      <w:r w:rsidRPr="000C2F85">
        <w:rPr>
          <w:lang w:val="es-ES_tradnl"/>
        </w:rPr>
        <w:tab/>
        <w:t>En lo que respecta a la vivienda, el porcentaje de hogares que recibieron algún tipo de subsidio de vivienda del Gobierno aumentó, al pasar del 5,6 % en 2002 al 13,6 % en 2017. Un porcentaje ligeramente mayor de hogares encabezados por mujeres (el 17,3 %) que de hogares encabezados por hombres (el 11,0 %) recibieron subsidios. Este resultado está en consonancia con las políticas del Gobierno que dan preferencia a los hogares encabezados por personas de grupos vulnerables, incluidas mujeres, y personas con discapacidad. El porcentaje de hogares que durante el período 2002-2017 recibieron un subsidio de vivienda del Gobierno, por sexo del cabeza de familia, se indica en el gráfico que figura a continuación.</w:t>
      </w:r>
    </w:p>
    <w:p w14:paraId="7F9A1F96" w14:textId="77777777" w:rsidR="000C2F85" w:rsidRPr="000C2F85" w:rsidRDefault="000C2F85" w:rsidP="00F56401">
      <w:pPr>
        <w:pStyle w:val="H23G"/>
        <w:ind w:right="1133"/>
        <w:rPr>
          <w:lang w:val="es-ES_tradnl"/>
        </w:rPr>
      </w:pPr>
      <w:r w:rsidRPr="00F26A56">
        <w:rPr>
          <w:b w:val="0"/>
          <w:bCs/>
          <w:lang w:val="es-ES_tradnl"/>
        </w:rPr>
        <w:tab/>
      </w:r>
      <w:r w:rsidRPr="00F26A56">
        <w:rPr>
          <w:b w:val="0"/>
          <w:bCs/>
          <w:lang w:val="es-ES_tradnl"/>
        </w:rPr>
        <w:tab/>
        <w:t xml:space="preserve">Gráfico 17 </w:t>
      </w:r>
      <w:r w:rsidRPr="00F26A56">
        <w:rPr>
          <w:b w:val="0"/>
          <w:bCs/>
          <w:lang w:val="es-ES_tradnl"/>
        </w:rPr>
        <w:br/>
      </w:r>
      <w:r w:rsidRPr="000C2F85">
        <w:rPr>
          <w:lang w:val="es-ES_tradnl"/>
        </w:rPr>
        <w:t>Porcentaje de hogares que recibieron un subsidio de vivienda del Gobierno, por sexo del cabeza de familia, 2002-2017</w:t>
      </w:r>
    </w:p>
    <w:p w14:paraId="56BAA75D" w14:textId="77777777" w:rsidR="000C2F85" w:rsidRPr="000C2F85" w:rsidRDefault="000C2F85" w:rsidP="000C2F85">
      <w:pPr>
        <w:pStyle w:val="SingleTxtG"/>
        <w:rPr>
          <w:bCs/>
          <w:lang w:val="es-ES_tradnl"/>
        </w:rPr>
      </w:pPr>
      <w:r w:rsidRPr="000C2F85">
        <w:rPr>
          <w:bCs/>
          <w:noProof/>
          <w:lang w:val="es-ES_tradnl"/>
        </w:rPr>
        <w:drawing>
          <wp:inline distT="0" distB="0" distL="0" distR="0" wp14:anchorId="17075B8F" wp14:editId="16DB6518">
            <wp:extent cx="5367020" cy="2112136"/>
            <wp:effectExtent l="0" t="0" r="5080" b="254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3263" cy="2142141"/>
                    </a:xfrm>
                    <a:prstGeom prst="rect">
                      <a:avLst/>
                    </a:prstGeom>
                    <a:noFill/>
                    <a:ln>
                      <a:noFill/>
                    </a:ln>
                  </pic:spPr>
                </pic:pic>
              </a:graphicData>
            </a:graphic>
          </wp:inline>
        </w:drawing>
      </w:r>
    </w:p>
    <w:p w14:paraId="51B38DF3" w14:textId="60ECBDFC" w:rsidR="000C2F85" w:rsidRPr="000C2F85" w:rsidRDefault="000C2F85" w:rsidP="00F26A56">
      <w:pPr>
        <w:pStyle w:val="SingleTxtG"/>
        <w:spacing w:before="240"/>
        <w:rPr>
          <w:lang w:val="es-ES_tradnl"/>
        </w:rPr>
      </w:pPr>
      <w:r w:rsidRPr="000C2F85">
        <w:rPr>
          <w:lang w:val="es-ES_tradnl"/>
        </w:rPr>
        <w:t>38.</w:t>
      </w:r>
      <w:r w:rsidRPr="000C2F85">
        <w:rPr>
          <w:lang w:val="es-ES_tradnl"/>
        </w:rPr>
        <w:tab/>
        <w:t>Con respecto a las características culturales, la unidad en la diversidad es el lema del escudo nacional, inspirado en la expresión en lengua /xam</w:t>
      </w:r>
      <w:r w:rsidR="00F56401">
        <w:rPr>
          <w:lang w:val="es-ES_tradnl"/>
        </w:rPr>
        <w:t xml:space="preserve"> </w:t>
      </w:r>
      <w:r w:rsidR="00F56401" w:rsidRPr="000B4988">
        <w:rPr>
          <w:lang w:val="es-ES_tradnl"/>
        </w:rPr>
        <w:t>“</w:t>
      </w:r>
      <w:r w:rsidRPr="000B4988">
        <w:rPr>
          <w:lang w:val="es-ES_tradnl"/>
        </w:rPr>
        <w:t>!ke e: /xarra // ke</w:t>
      </w:r>
      <w:r w:rsidR="0091550D">
        <w:rPr>
          <w:lang w:val="es-ES_tradnl"/>
        </w:rPr>
        <w:t>”</w:t>
      </w:r>
      <w:r w:rsidRPr="000C2F85">
        <w:rPr>
          <w:lang w:val="es-ES_tradnl"/>
        </w:rPr>
        <w:t xml:space="preserve">, que literalmente invita a las personas a unirse en la diversidad. Es un llamamiento a que todos los ciudadanos se unan con un sentido de pertenencia y orgullo. En la medida en que el lema está expresado en una antigua lengua y cultura de Sudáfrica profundamente arraigada en la </w:t>
      </w:r>
      <w:r w:rsidRPr="000C2F85">
        <w:rPr>
          <w:lang w:val="es-ES_tradnl"/>
        </w:rPr>
        <w:lastRenderedPageBreak/>
        <w:t xml:space="preserve">estructura de muchas lenguas y culturas indígenas, resalta y celebra las interconexiones del pueblo, las lenguas, las culturas y las historias. </w:t>
      </w:r>
    </w:p>
    <w:p w14:paraId="70598415" w14:textId="77777777" w:rsidR="000C2F85" w:rsidRPr="00F56401" w:rsidRDefault="000C2F85" w:rsidP="000C2F85">
      <w:pPr>
        <w:pStyle w:val="SingleTxtG"/>
        <w:rPr>
          <w:lang w:val="es-ES_tradnl"/>
        </w:rPr>
      </w:pPr>
      <w:r w:rsidRPr="000C2F85">
        <w:rPr>
          <w:lang w:val="es-ES_tradnl"/>
        </w:rPr>
        <w:t>39.</w:t>
      </w:r>
      <w:r w:rsidRPr="000C2F85">
        <w:rPr>
          <w:lang w:val="es-ES_tradnl"/>
        </w:rPr>
        <w:tab/>
        <w:t>A nivel nacional, algo menos de una cuarta parte (el 24,7 %) de las familias hablaban zulú en el hogar, mientras que el 15,6 % de las familias hablaban xhosa y el 12,1 %, afrikáans. El 8,4 % de las personas hablaban inglés en el hogar, lo que convierte a este idioma en el sexto más hablado entre las familias de Sudáfrica. Sin embargo, el inglés es la segunda lengua más hablada fuera del hogar (el 17,6 %) después del zulú (el 24,7 %) y antes del xhosa (el 13,0 %). Cabe señalar que, salvo las notables excepciones del zulú y el tswana, fuera del hogar ha disminuido el uso de la mayoría de los idiomas. El grupo de población india y asiática era el de mayor homogeneidad lingüística: un 91,5 % de personas hablaban inglés en el hogar. Más de tres cuartas partes (el 76,3 %) de las personas mestizas hablaban afrikáans en el hogar, y el 21,8 % hablaban inglés, frente al 57,9 % y el 39,2 %, respectivamente, en el caso de los blancos. El grupo de población africana negra era mucho más multilingüe. Aunque el 30,5 % de las personas hablaban zulú y el 19,2 %, hablaban xhosa, aproximadamente había un 10 % o más de hablantes de otros cinco idiomas</w:t>
      </w:r>
      <w:r w:rsidRPr="00605B48">
        <w:rPr>
          <w:sz w:val="18"/>
          <w:szCs w:val="18"/>
          <w:vertAlign w:val="superscript"/>
          <w:lang w:val="es-ES_tradnl"/>
        </w:rPr>
        <w:footnoteReference w:id="33"/>
      </w:r>
      <w:r w:rsidRPr="000C2F85">
        <w:rPr>
          <w:lang w:val="es-ES_tradnl"/>
        </w:rPr>
        <w:t>.</w:t>
      </w:r>
    </w:p>
    <w:p w14:paraId="352D0D8B" w14:textId="056070D7" w:rsidR="000C2F85" w:rsidRPr="00F56401" w:rsidRDefault="000C2F85" w:rsidP="000C2F85">
      <w:pPr>
        <w:pStyle w:val="SingleTxtG"/>
        <w:rPr>
          <w:lang w:val="es-ES_tradnl"/>
        </w:rPr>
      </w:pPr>
      <w:r w:rsidRPr="000C2F85">
        <w:rPr>
          <w:lang w:val="es-ES_tradnl"/>
        </w:rPr>
        <w:t>40.</w:t>
      </w:r>
      <w:r w:rsidRPr="000C2F85">
        <w:rPr>
          <w:lang w:val="es-ES_tradnl"/>
        </w:rPr>
        <w:tab/>
        <w:t xml:space="preserve">En lo que respecta a la afiliación y observancia religiosas, la gran mayoría (el 86,0 %) de los sudafricanos describieron su afiliación religiosa como </w:t>
      </w:r>
      <w:r w:rsidR="0091550D">
        <w:rPr>
          <w:lang w:val="es-ES_tradnl"/>
        </w:rPr>
        <w:t>“</w:t>
      </w:r>
      <w:r w:rsidRPr="000C2F85">
        <w:rPr>
          <w:lang w:val="es-ES_tradnl"/>
        </w:rPr>
        <w:t>cristiana</w:t>
      </w:r>
      <w:r w:rsidR="0091550D">
        <w:rPr>
          <w:lang w:val="es-ES_tradnl"/>
        </w:rPr>
        <w:t>”</w:t>
      </w:r>
      <w:r w:rsidRPr="000C2F85">
        <w:rPr>
          <w:lang w:val="es-ES_tradnl"/>
        </w:rPr>
        <w:t>, mientras que el 5,2</w:t>
      </w:r>
      <w:r w:rsidR="00F56401">
        <w:rPr>
          <w:lang w:val="es-ES_tradnl"/>
        </w:rPr>
        <w:t>  </w:t>
      </w:r>
      <w:r w:rsidRPr="000C2F85">
        <w:rPr>
          <w:lang w:val="es-ES_tradnl"/>
        </w:rPr>
        <w:t xml:space="preserve">% dijeron que no profesaba ninguna religión en particular. Más del 5 % de los encuestados profesaban religiones descritas como </w:t>
      </w:r>
      <w:r w:rsidR="0091550D">
        <w:rPr>
          <w:lang w:val="es-ES_tradnl"/>
        </w:rPr>
        <w:t>“</w:t>
      </w:r>
      <w:r w:rsidRPr="000C2F85">
        <w:rPr>
          <w:lang w:val="es-ES_tradnl"/>
        </w:rPr>
        <w:t>ancestrales, tribales, animistas u otras religiones africanas tradicionales</w:t>
      </w:r>
      <w:r w:rsidR="0091550D">
        <w:rPr>
          <w:lang w:val="es-ES_tradnl"/>
        </w:rPr>
        <w:t>”</w:t>
      </w:r>
      <w:r w:rsidRPr="000C2F85">
        <w:rPr>
          <w:lang w:val="es-ES_tradnl"/>
        </w:rPr>
        <w:t>. Los musulmanes, que representaban el 1,9 % del total, se encontraban principalmente en el Cabo Occidental, Gauteng y KwaZulu-Natal. Los hindúes representaban aproximadamente el 0,9 % de la población de Sudáfrica, aunque el 3,3 % de la población de KwaZulu-Natal era hindú</w:t>
      </w:r>
      <w:r w:rsidRPr="00605B48">
        <w:rPr>
          <w:sz w:val="18"/>
          <w:szCs w:val="18"/>
          <w:vertAlign w:val="superscript"/>
          <w:lang w:val="es-ES_tradnl"/>
        </w:rPr>
        <w:footnoteReference w:id="34"/>
      </w:r>
      <w:r w:rsidRPr="000C2F85">
        <w:rPr>
          <w:lang w:val="es-ES_tradnl"/>
        </w:rPr>
        <w:t>.</w:t>
      </w:r>
    </w:p>
    <w:p w14:paraId="1C6D6756" w14:textId="77777777" w:rsidR="000C2F85" w:rsidRPr="000C2F85" w:rsidRDefault="000C2F85" w:rsidP="00F26A56">
      <w:pPr>
        <w:pStyle w:val="H1G"/>
        <w:rPr>
          <w:lang w:val="es-ES_tradnl"/>
        </w:rPr>
      </w:pPr>
      <w:r w:rsidRPr="000C2F85">
        <w:rPr>
          <w:lang w:val="es-ES_tradnl"/>
        </w:rPr>
        <w:tab/>
        <w:t>B.</w:t>
      </w:r>
      <w:r w:rsidRPr="000C2F85">
        <w:rPr>
          <w:lang w:val="es-ES_tradnl"/>
        </w:rPr>
        <w:tab/>
        <w:t>Estructura constitucional, política y jurídica</w:t>
      </w:r>
    </w:p>
    <w:p w14:paraId="2C221FEA" w14:textId="77777777" w:rsidR="000C2F85" w:rsidRPr="000C2F85" w:rsidRDefault="000C2F85" w:rsidP="00F26A56">
      <w:pPr>
        <w:pStyle w:val="H23G"/>
        <w:rPr>
          <w:lang w:val="es-ES_tradnl"/>
        </w:rPr>
      </w:pPr>
      <w:r w:rsidRPr="000C2F85">
        <w:rPr>
          <w:lang w:val="es-ES_tradnl"/>
        </w:rPr>
        <w:tab/>
      </w:r>
      <w:r w:rsidRPr="000C2F85">
        <w:rPr>
          <w:lang w:val="es-ES_tradnl"/>
        </w:rPr>
        <w:tab/>
        <w:t>La Constitución</w:t>
      </w:r>
    </w:p>
    <w:p w14:paraId="342F2D66" w14:textId="0F657977" w:rsidR="000C2F85" w:rsidRPr="000C2F85" w:rsidRDefault="000C2F85" w:rsidP="000C2F85">
      <w:pPr>
        <w:pStyle w:val="SingleTxtG"/>
        <w:rPr>
          <w:lang w:val="es-ES_tradnl"/>
        </w:rPr>
      </w:pPr>
      <w:r w:rsidRPr="000C2F85">
        <w:rPr>
          <w:lang w:val="es-ES_tradnl"/>
        </w:rPr>
        <w:t>41.</w:t>
      </w:r>
      <w:r w:rsidRPr="000C2F85">
        <w:rPr>
          <w:lang w:val="es-ES_tradnl"/>
        </w:rPr>
        <w:tab/>
        <w:t xml:space="preserve">Sudáfrica experimentó una transición radical del opresivo régimen de </w:t>
      </w:r>
      <w:r w:rsidRPr="000C2F85">
        <w:rPr>
          <w:i/>
          <w:iCs/>
          <w:lang w:val="es-ES_tradnl"/>
        </w:rPr>
        <w:t xml:space="preserve">apartheid </w:t>
      </w:r>
      <w:r w:rsidRPr="000C2F85">
        <w:rPr>
          <w:lang w:val="es-ES_tradnl"/>
        </w:rPr>
        <w:t xml:space="preserve">(un sistema fundado en la soberanía parlamentaria) a una democracia constitucional comprometida con la creación de una sociedad basada en los valores democráticos, la justicia social y los derechos humanos fundamentales. Nuestra Constitución refleja nuestra historia singular y nuestro anhelo de libertad y democracia. Teniendo en cuenta el pasado de Sudáfrica, no es sorprendente que nuestra Constitución destaque con frecuencia la necesidad de crear una sociedad </w:t>
      </w:r>
      <w:r w:rsidR="0091550D">
        <w:rPr>
          <w:lang w:val="es-ES_tradnl"/>
        </w:rPr>
        <w:t>“</w:t>
      </w:r>
      <w:r w:rsidRPr="000C2F85">
        <w:rPr>
          <w:lang w:val="es-ES_tradnl"/>
        </w:rPr>
        <w:t>abierta y democrática</w:t>
      </w:r>
      <w:r w:rsidR="0091550D">
        <w:rPr>
          <w:lang w:val="es-ES_tradnl"/>
        </w:rPr>
        <w:t>”</w:t>
      </w:r>
      <w:r w:rsidRPr="000C2F85">
        <w:rPr>
          <w:lang w:val="es-ES_tradnl"/>
        </w:rPr>
        <w:t>, y que haga hincapié en la dignidad, la justicia y la igualdad.</w:t>
      </w:r>
    </w:p>
    <w:p w14:paraId="10ED7048" w14:textId="77777777" w:rsidR="000C2F85" w:rsidRPr="000C2F85" w:rsidRDefault="000C2F85" w:rsidP="000C2F85">
      <w:pPr>
        <w:pStyle w:val="SingleTxtG"/>
        <w:rPr>
          <w:lang w:val="es-ES_tradnl"/>
        </w:rPr>
      </w:pPr>
      <w:r w:rsidRPr="000C2F85">
        <w:rPr>
          <w:lang w:val="es-ES_tradnl"/>
        </w:rPr>
        <w:t>42.</w:t>
      </w:r>
      <w:r w:rsidRPr="000C2F85">
        <w:rPr>
          <w:lang w:val="es-ES_tradnl"/>
        </w:rPr>
        <w:tab/>
        <w:t xml:space="preserve">En la Constitución se afirma con orgullo que Sudáfrica es un Estado soberano, democrático basado en los siguientes principios fundamentales: el constitucionalismo, el estado de derecho, la democracia y la rendición de cuentas; la separación de poderes y el sistema de equilibrio de poderes; la gobernanza cooperativa y la transferencia de competencias. Hace hincapié en la dignidad humana, el logro de la igualdad y la promoción de los derechos humanos y las libertades fundamentales, y la no discriminación por motivos de raza o sexo. La Constitución es la ley suprema de la República, a la que se ajustan todas las leyes redactadas e interpretadas por los tribunales. El </w:t>
      </w:r>
      <w:r w:rsidRPr="000C2F85">
        <w:rPr>
          <w:i/>
          <w:iCs/>
          <w:lang w:val="es-ES_tradnl"/>
        </w:rPr>
        <w:t>common law</w:t>
      </w:r>
      <w:r w:rsidRPr="000C2F85">
        <w:rPr>
          <w:lang w:val="es-ES_tradnl"/>
        </w:rPr>
        <w:t xml:space="preserve"> (derecho anglosajón) está en consonancia con la Constitución.</w:t>
      </w:r>
    </w:p>
    <w:p w14:paraId="7FF945E8" w14:textId="77777777" w:rsidR="000C2F85" w:rsidRPr="000C2F85" w:rsidRDefault="000C2F85" w:rsidP="000C2F85">
      <w:pPr>
        <w:pStyle w:val="SingleTxtG"/>
        <w:rPr>
          <w:lang w:val="es-ES_tradnl"/>
        </w:rPr>
      </w:pPr>
      <w:r w:rsidRPr="000C2F85">
        <w:rPr>
          <w:lang w:val="es-ES_tradnl"/>
        </w:rPr>
        <w:t>43.</w:t>
      </w:r>
      <w:r w:rsidRPr="000C2F85">
        <w:rPr>
          <w:lang w:val="es-ES_tradnl"/>
        </w:rPr>
        <w:tab/>
        <w:t xml:space="preserve">La Constitución se basa también en el sufragio universal de la población adulta, el registro nacional común de electores, la celebración de elecciones periódicas y un sistema de gobierno democrático pluripartidista, a fin de asegurar la rendición de cuentas, la capacidad de respuesta y la apertura. La Constitución otorga a todas las personas mayores de 18 años el derecho de voto y prevé un registro electoral para todos los ciudadanos adultos, la celebración de elecciones periódicas y un sistema de gobierno pluripartidista. En ella se indica cómo deben funcionar el Parlamento y otros órganos legislativos, cómo se eligen los órganos </w:t>
      </w:r>
      <w:r w:rsidRPr="000C2F85">
        <w:rPr>
          <w:lang w:val="es-ES_tradnl"/>
        </w:rPr>
        <w:lastRenderedPageBreak/>
        <w:t xml:space="preserve">ejecutivos nacionales y provinciales, así como la manera en que actúan los tribunales. La Constitución establece también varias instituciones estatales independientes para respaldar la democracia. </w:t>
      </w:r>
    </w:p>
    <w:p w14:paraId="18FBC7A0" w14:textId="77777777" w:rsidR="000C2F85" w:rsidRPr="000C2F85" w:rsidRDefault="000C2F85" w:rsidP="000C2F85">
      <w:pPr>
        <w:pStyle w:val="SingleTxtG"/>
        <w:rPr>
          <w:lang w:val="es-ES_tradnl"/>
        </w:rPr>
      </w:pPr>
      <w:r w:rsidRPr="000C2F85">
        <w:rPr>
          <w:lang w:val="es-ES_tradnl"/>
        </w:rPr>
        <w:t>44.</w:t>
      </w:r>
      <w:r w:rsidRPr="000C2F85">
        <w:rPr>
          <w:lang w:val="es-ES_tradnl"/>
        </w:rPr>
        <w:tab/>
        <w:t>El capítulo 2 de la Constitución contiene la Carta de Derechos de Sudáfrica. Estas disposiciones se refieren a los derechos a la igualdad, la dignidad humana, la vida y la privacidad, entre otros, así como a la libertad de religión y de expresión. La Carta de Derechos reconoce que los derechos humanos están vinculados entre sí y son indivisibles y por consiguiente garantiza los derechos civiles y políticos, así como los derechos socioeconómicos justiciables. Se han tomado diversas medidas legislativas, normativas y de otra índole para garantizar la realización plena de los derechos civiles y políticos, así como los derechos socioeconómicos y culturales. Además, nuestros tribunales siguen dictando sentencias y elaborando jurisprudencia para mejorar y proteger esos derechos y ofrecer orientación sobre su interpretación. En comparación con la modificación de las leyes ordinarias, la reforma de la Constitución queda deliberadamente sujeta a unos requisitos más exigentes. En el artículo 74, párrafo 2, se dispone que los proyectos de ley para reformar la Constitución requieren una mayoría de dos tercios en la Asamblea Nacional, así como el voto a favor de seis de las nueve provincias representadas en el Consejo Nacional de las Provincias.</w:t>
      </w:r>
    </w:p>
    <w:p w14:paraId="0E25FFCC" w14:textId="77777777" w:rsidR="000C2F85" w:rsidRPr="000C2F85" w:rsidRDefault="000C2F85" w:rsidP="000C2F85">
      <w:pPr>
        <w:pStyle w:val="SingleTxtG"/>
        <w:rPr>
          <w:lang w:val="es-ES_tradnl"/>
        </w:rPr>
      </w:pPr>
      <w:r w:rsidRPr="000C2F85">
        <w:rPr>
          <w:lang w:val="es-ES_tradnl"/>
        </w:rPr>
        <w:t>45.</w:t>
      </w:r>
      <w:r w:rsidRPr="000C2F85">
        <w:rPr>
          <w:lang w:val="es-ES_tradnl"/>
        </w:rPr>
        <w:tab/>
        <w:t>La Constitución garantiza la independencia del poder judicial y reconoce explícitamente la separación de los poderes ejecutivo, legislativo y judicial. Desde el punto de vista estructural, el gobierno se organiza en tres niveles: nacional, provincial y local. El país está dividido en nueve provincias y cada una de ellas cuenta con su propio órgano legislativo. Es importante destacar que la autoridad de todas las estructuras de gobierno proviene de la Constitución. Ninguna ley ni medida gubernamental puede reemplazar las disposiciones de la Constitución.</w:t>
      </w:r>
    </w:p>
    <w:p w14:paraId="62D2F133" w14:textId="77777777" w:rsidR="000C2F85" w:rsidRPr="000C2F85" w:rsidRDefault="000C2F85" w:rsidP="00F26A56">
      <w:pPr>
        <w:pStyle w:val="H23G"/>
        <w:rPr>
          <w:lang w:val="es-ES_tradnl"/>
        </w:rPr>
      </w:pPr>
      <w:r w:rsidRPr="000C2F85">
        <w:rPr>
          <w:lang w:val="es-ES_tradnl"/>
        </w:rPr>
        <w:tab/>
      </w:r>
      <w:r w:rsidRPr="000C2F85">
        <w:rPr>
          <w:lang w:val="es-ES_tradnl"/>
        </w:rPr>
        <w:tab/>
        <w:t>Elecciones</w:t>
      </w:r>
    </w:p>
    <w:p w14:paraId="517C254A" w14:textId="77777777" w:rsidR="000C2F85" w:rsidRPr="000C2F85" w:rsidRDefault="000C2F85" w:rsidP="000C2F85">
      <w:pPr>
        <w:pStyle w:val="SingleTxtG"/>
        <w:rPr>
          <w:lang w:val="es-ES_tradnl"/>
        </w:rPr>
      </w:pPr>
      <w:r w:rsidRPr="000C2F85">
        <w:rPr>
          <w:lang w:val="es-ES_tradnl"/>
        </w:rPr>
        <w:t>46.</w:t>
      </w:r>
      <w:r w:rsidRPr="000C2F85">
        <w:rPr>
          <w:lang w:val="es-ES_tradnl"/>
        </w:rPr>
        <w:tab/>
        <w:t>Cada cinco años se celebran elecciones nacionales y provinciales en Sudáfrica. Los electores no votan a personas, sino a un partido político de los varios existentes. Cada partido político obtiene un porcentaje de escaños en el Parlamento en proporción directa al número de votos recibidos en la elección, y decide qué miembros ocuparán los escaños que ha obtenido. Se trata de un sistema de votación por representación proporcional.</w:t>
      </w:r>
    </w:p>
    <w:p w14:paraId="22AF7A13" w14:textId="77777777" w:rsidR="000C2F85" w:rsidRPr="000C2F85" w:rsidRDefault="000C2F85" w:rsidP="000C2F85">
      <w:pPr>
        <w:pStyle w:val="SingleTxtG"/>
        <w:rPr>
          <w:lang w:val="es-ES_tradnl"/>
        </w:rPr>
      </w:pPr>
      <w:r w:rsidRPr="000C2F85">
        <w:rPr>
          <w:lang w:val="es-ES_tradnl"/>
        </w:rPr>
        <w:t>47.</w:t>
      </w:r>
      <w:r w:rsidRPr="000C2F85">
        <w:rPr>
          <w:lang w:val="es-ES_tradnl"/>
        </w:rPr>
        <w:tab/>
        <w:t>Las elecciones municipales se celebran cada cinco años. En ellas se utiliza un sistema mixto o híbrido, en el que se aplican la mayoría simple por distritos electorales y el sistema de representación proporcional. En Sudáfrica hay tres tipos de consejos municipales, a saber, de categoría A: consejos metropolitanos; categoría B: consejos locales, y categoría C: consejos de distrito. En los municipios metropolitanos, en cada distrito electoral se celebran dos tipos de elecciones: por distrito electoral metropolitano y por representación proporcional en el ámbito metropolitano. En todos los municipios no metropolitanos hay tres tipos de elecciones por distrito electoral: por distrito electoral del consejo local, por representación proporcional del consejo local y por representación proporcional del consejo de distrito. Se celebran elecciones parciales en un plazo no superior a 90 días desde el momento en que queda vacante un escaño en el concejo municipal del distrito electoral debido al fallecimiento, la expulsión o la dimisión de un concejal de distrito.</w:t>
      </w:r>
    </w:p>
    <w:p w14:paraId="40EAFDD9" w14:textId="77777777" w:rsidR="000C2F85" w:rsidRPr="000C2F85" w:rsidRDefault="000C2F85" w:rsidP="000C2F85">
      <w:pPr>
        <w:pStyle w:val="SingleTxtG"/>
        <w:rPr>
          <w:lang w:val="es-ES_tradnl"/>
        </w:rPr>
      </w:pPr>
      <w:r w:rsidRPr="000C2F85">
        <w:rPr>
          <w:lang w:val="es-ES_tradnl"/>
        </w:rPr>
        <w:t>48.</w:t>
      </w:r>
      <w:r w:rsidRPr="000C2F85">
        <w:rPr>
          <w:lang w:val="es-ES_tradnl"/>
        </w:rPr>
        <w:tab/>
        <w:t xml:space="preserve">En virtud de la Constitución también se estableció la Comisión Electoral Nacional Independiente (CENI) para gestionar las elecciones de los órganos legislativos nacionales, provinciales y municipales; asegurar que esas elecciones sean libres y justas; proclamar los resultados electorales, y elaborar y mantener un censo electoral. </w:t>
      </w:r>
    </w:p>
    <w:p w14:paraId="12194A99" w14:textId="720F9333" w:rsidR="000C2F85" w:rsidRPr="000C2F85" w:rsidRDefault="000C2F85" w:rsidP="00C3764D">
      <w:pPr>
        <w:pStyle w:val="SingleTxtG"/>
        <w:rPr>
          <w:lang w:val="es-ES_tradnl"/>
        </w:rPr>
      </w:pPr>
      <w:bookmarkStart w:id="1" w:name="_Hlk97895133"/>
      <w:r w:rsidRPr="000C2F85">
        <w:rPr>
          <w:lang w:val="es-ES_tradnl"/>
        </w:rPr>
        <w:t>49.</w:t>
      </w:r>
      <w:r w:rsidRPr="000C2F85">
        <w:rPr>
          <w:lang w:val="es-ES_tradnl"/>
        </w:rPr>
        <w:tab/>
        <w:t xml:space="preserve">La democracia constitucional de Sudáfrica ha avanzado notablemente desde sus inicios. El entusiasmo con que se está adoptando el multipartidismo en Sudáfrica es una novedad destacable. En las elecciones nacionales y provinciales de 2014 el número total de votos válidos fue de 18.402.497; hubo 252.274 votos nulos. El número total de votos emitidos fue de 18.654.771 y la participación electoral fue del 73,48 % de un censo electoral de 25.388.082 personas. Participaron 29 partidos políticos en las elecciones nacionales y 25 de estos también se presentaron a las elecciones provinciales, en tanto que 12 partidos políticos participaron solo en las elecciones provinciales. </w:t>
      </w:r>
      <w:r w:rsidR="00C3764D" w:rsidRPr="00C3764D">
        <w:t xml:space="preserve">La mencionada participación electoral del </w:t>
      </w:r>
      <w:r w:rsidR="00C3764D" w:rsidRPr="00C3764D">
        <w:lastRenderedPageBreak/>
        <w:t>73,48% supuso un retroceso con respecto a la registrada en las elecciones nacionales y provinciales de 2009</w:t>
      </w:r>
      <w:r w:rsidRPr="000C2F85">
        <w:rPr>
          <w:lang w:val="es-ES_tradnl"/>
        </w:rPr>
        <w:t>. No obstante, se trata de un porcentaje elevado en comparación con muchos países. El porcentaje de votos nulos fue del 1,29 %, el más bajo registrado en la historia de las elecciones nacionales y provinciales. Los resultados de las elecciones nacionales y provinciales de 2014 se anunciaron mucho antes de la fecha límite de siete días establecida por la ley. Al igual que todos los comicios que se han celebrado desde 1994, estas elecciones fueron declaradas libres, justas y creíbles.</w:t>
      </w:r>
    </w:p>
    <w:bookmarkEnd w:id="1"/>
    <w:p w14:paraId="6F4F7E1C" w14:textId="77777777" w:rsidR="000C2F85" w:rsidRPr="000C2F85" w:rsidRDefault="000C2F85" w:rsidP="000C2F85">
      <w:pPr>
        <w:pStyle w:val="SingleTxtG"/>
        <w:rPr>
          <w:lang w:val="es-ES_tradnl"/>
        </w:rPr>
      </w:pPr>
      <w:r w:rsidRPr="000C2F85">
        <w:rPr>
          <w:lang w:val="es-ES_tradnl"/>
        </w:rPr>
        <w:t>50.</w:t>
      </w:r>
      <w:r w:rsidRPr="000C2F85">
        <w:rPr>
          <w:lang w:val="es-ES_tradnl"/>
        </w:rPr>
        <w:tab/>
        <w:t>En las elecciones municipales de 2016 se registró una participación electoral de 15.290.820 personas, lo que representa el 57,94 % de todos los votantes.</w:t>
      </w:r>
    </w:p>
    <w:p w14:paraId="57A5F0A8" w14:textId="77777777" w:rsidR="000C2F85" w:rsidRPr="000C2F85" w:rsidRDefault="000C2F85" w:rsidP="00F26A56">
      <w:pPr>
        <w:pStyle w:val="H23G"/>
        <w:rPr>
          <w:lang w:val="es-ES_tradnl"/>
        </w:rPr>
      </w:pPr>
      <w:r w:rsidRPr="000C2F85">
        <w:rPr>
          <w:lang w:val="es-ES_tradnl"/>
        </w:rPr>
        <w:tab/>
      </w:r>
      <w:r w:rsidRPr="000C2F85">
        <w:rPr>
          <w:lang w:val="es-ES_tradnl"/>
        </w:rPr>
        <w:tab/>
        <w:t>El poder ejecutivo</w:t>
      </w:r>
    </w:p>
    <w:p w14:paraId="140E39DF" w14:textId="77777777" w:rsidR="000C2F85" w:rsidRPr="000C2F85" w:rsidRDefault="000C2F85" w:rsidP="000C2F85">
      <w:pPr>
        <w:pStyle w:val="SingleTxtG"/>
        <w:rPr>
          <w:lang w:val="es-ES_tradnl"/>
        </w:rPr>
      </w:pPr>
      <w:r w:rsidRPr="000C2F85">
        <w:rPr>
          <w:lang w:val="es-ES_tradnl"/>
        </w:rPr>
        <w:t>51.</w:t>
      </w:r>
      <w:r w:rsidRPr="000C2F85">
        <w:rPr>
          <w:lang w:val="es-ES_tradnl"/>
        </w:rPr>
        <w:tab/>
        <w:t>El poder ejecutivo está integrado por el Presidente de la República, el Vicepresidente y los ministros del Gobierno a nivel nacional, y por un Primer Ministro y los miembros del respectivo Consejo Ejecutivo en cada provincia. El Presidente de la República es el Jefe del Estado y del poder ejecutivo nacional, también denominado Consejo de Ministros. Los ministros son responsables de diferentes departamentos gubernamentales, conforme a sus carteras. Como jefe del poder ejecutivo, el Presidente de la República es también el Jefe Supremo de las Fuerzas Armadas. El Presidente de la República es elegido por la Asamblea Nacional en su primera sesión. La persona elegida Presidente deja de ser miembro del Parlamento y debe asumir sus funciones en el plazo de cinco días.</w:t>
      </w:r>
    </w:p>
    <w:p w14:paraId="00CED584" w14:textId="77777777" w:rsidR="000C2F85" w:rsidRPr="000C2F85" w:rsidRDefault="000C2F85" w:rsidP="000C2F85">
      <w:pPr>
        <w:pStyle w:val="SingleTxtG"/>
        <w:rPr>
          <w:lang w:val="es-ES_tradnl"/>
        </w:rPr>
      </w:pPr>
      <w:r w:rsidRPr="000C2F85">
        <w:rPr>
          <w:lang w:val="es-ES_tradnl"/>
        </w:rPr>
        <w:t>52.</w:t>
      </w:r>
      <w:r w:rsidRPr="000C2F85">
        <w:rPr>
          <w:lang w:val="es-ES_tradnl"/>
        </w:rPr>
        <w:tab/>
        <w:t>El poder ejecutivo en cada una de las nueve provincias se denomina Consejo Ejecutivo y está encabezado por un Primer Ministro. Los miembros de los consejos ejecutivos deben rendir cuentas ante los correspondientes órganos legislativos, de la misma manera que el Consejo de Ministros debe rendir cuentas ante el Parlamento. El Primer Ministro es elegido por los miembros del órgano legislativo provincial en su primera sesión tras las elecciones. Los miembros de cada consejo ejecutivo rinden cuentas a su correspondiente Primer Ministro. Al igual que los ministros, los miembros de los consejos ejecutivos son los responsables de sus departamentos. Las competencias o asuntos sobre los que los departamentos provinciales tienen control exclusivo en algunas esferas y control conjunto (con el Gobierno nacional) en otras están claramente establecidos en los apéndices de la Constitución. En el apéndice 4 se prevén los ámbitos funcionales de la competencia legislativa nacional y provincial concurrente, mientras que en el apéndice 5 se enuncian las esferas funcionales de competencia legislativa exclusiva de las provincias.</w:t>
      </w:r>
    </w:p>
    <w:p w14:paraId="19E1D098" w14:textId="066CBAB0" w:rsidR="000C2F85" w:rsidRPr="000C2F85" w:rsidRDefault="000C2F85" w:rsidP="00F26A56">
      <w:pPr>
        <w:pStyle w:val="H23G"/>
        <w:rPr>
          <w:lang w:val="es-ES_tradnl"/>
        </w:rPr>
      </w:pPr>
      <w:r w:rsidRPr="000C2F85">
        <w:rPr>
          <w:lang w:val="es-ES_tradnl"/>
        </w:rPr>
        <w:tab/>
      </w:r>
      <w:r w:rsidRPr="000C2F85">
        <w:rPr>
          <w:lang w:val="es-ES_tradnl"/>
        </w:rPr>
        <w:tab/>
        <w:t>El poder legislativo</w:t>
      </w:r>
    </w:p>
    <w:p w14:paraId="070C0E12" w14:textId="77777777" w:rsidR="000C2F85" w:rsidRPr="000C2F85" w:rsidRDefault="000C2F85" w:rsidP="000C2F85">
      <w:pPr>
        <w:pStyle w:val="SingleTxtG"/>
        <w:rPr>
          <w:lang w:val="es-ES_tradnl"/>
        </w:rPr>
      </w:pPr>
      <w:r w:rsidRPr="000C2F85">
        <w:rPr>
          <w:lang w:val="es-ES_tradnl"/>
        </w:rPr>
        <w:t>53.</w:t>
      </w:r>
      <w:r w:rsidRPr="000C2F85">
        <w:rPr>
          <w:lang w:val="es-ES_tradnl"/>
        </w:rPr>
        <w:tab/>
        <w:t xml:space="preserve">La autoridad legislativa del ámbito nacional del Gobierno reside en el Parlamento, que está integrado por dos cámaras: la Asamblea Nacional y el Consejo Nacional de las Provincias. El Parlamento ejerce el poder legislativo nacional y confiere a la Asamblea Nacional, entre otras, las facultades de modificar la Constitución y aprobar leyes sobre cualquier asunto. La Constitución regula las facultades de la Asamblea Nacional en lo que respecta a las reformas constitucionales, por ejemplo exigiendo mayorías especiales para la aprobación de un proyecto de ley de modificación de la Constitución. </w:t>
      </w:r>
    </w:p>
    <w:p w14:paraId="74848604" w14:textId="77777777" w:rsidR="000C2F85" w:rsidRPr="000C2F85" w:rsidRDefault="000C2F85" w:rsidP="000C2F85">
      <w:pPr>
        <w:pStyle w:val="SingleTxtG"/>
        <w:rPr>
          <w:lang w:val="es-ES_tradnl"/>
        </w:rPr>
      </w:pPr>
      <w:r w:rsidRPr="000C2F85">
        <w:rPr>
          <w:lang w:val="es-ES_tradnl"/>
        </w:rPr>
        <w:t>54.</w:t>
      </w:r>
      <w:r w:rsidRPr="000C2F85">
        <w:rPr>
          <w:lang w:val="es-ES_tradnl"/>
        </w:rPr>
        <w:tab/>
        <w:t>La Asamblea Nacional es elegida para representar al pueblo y asegurar el gobierno por el pueblo de conformidad con la Constitución. Esto se consigue mediante la elección del Presidente, el establecimiento de un foro nacional para el examen público de cuestiones, la promulgación de leyes y el control y la supervisión de las medidas adoptadas por el poder ejecutivo (función de supervisión). La Asamblea Nacional debe contar con un máximo de 400 parlamentarios y un mínimo de 350. La distribución de los escaños en la Asamblea Nacional por partido político después de las elecciones de 2014 se reproduce en el cuadro que figura a continuación.</w:t>
      </w:r>
    </w:p>
    <w:p w14:paraId="1B1635DD" w14:textId="77777777" w:rsidR="000C2F85" w:rsidRPr="000C2F85" w:rsidRDefault="000C2F85" w:rsidP="00C3764D">
      <w:pPr>
        <w:pStyle w:val="H23G"/>
        <w:rPr>
          <w:lang w:val="es-ES_tradnl"/>
        </w:rPr>
      </w:pPr>
      <w:r w:rsidRPr="00F26A56">
        <w:rPr>
          <w:b w:val="0"/>
          <w:bCs/>
          <w:lang w:val="es-ES_tradnl"/>
        </w:rPr>
        <w:lastRenderedPageBreak/>
        <w:tab/>
      </w:r>
      <w:r w:rsidRPr="00F26A56">
        <w:rPr>
          <w:b w:val="0"/>
          <w:bCs/>
          <w:lang w:val="es-ES_tradnl"/>
        </w:rPr>
        <w:tab/>
        <w:t xml:space="preserve">Cuadro 18 </w:t>
      </w:r>
      <w:r w:rsidRPr="00F26A56">
        <w:rPr>
          <w:b w:val="0"/>
          <w:bCs/>
          <w:lang w:val="es-ES_tradnl"/>
        </w:rPr>
        <w:br/>
      </w:r>
      <w:r w:rsidRPr="000C2F85">
        <w:rPr>
          <w:lang w:val="es-ES_tradnl"/>
        </w:rPr>
        <w:t>Distribución de escaños en la Asamblea Nacional, por partido político, desde 2014</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828"/>
        <w:gridCol w:w="2126"/>
        <w:gridCol w:w="1416"/>
      </w:tblGrid>
      <w:tr w:rsidR="000C2F85" w:rsidRPr="00F26A56" w14:paraId="58C7C0E5" w14:textId="77777777" w:rsidTr="00F26A56">
        <w:trPr>
          <w:trHeight w:val="240"/>
          <w:tblHeader/>
        </w:trPr>
        <w:tc>
          <w:tcPr>
            <w:tcW w:w="3828" w:type="dxa"/>
            <w:tcBorders>
              <w:top w:val="single" w:sz="4" w:space="0" w:color="auto"/>
              <w:bottom w:val="single" w:sz="12" w:space="0" w:color="auto"/>
            </w:tcBorders>
            <w:shd w:val="clear" w:color="auto" w:fill="auto"/>
            <w:vAlign w:val="bottom"/>
          </w:tcPr>
          <w:p w14:paraId="3E1D1875" w14:textId="77777777" w:rsidR="000C2F85" w:rsidRPr="00F26A56" w:rsidRDefault="000C2F85" w:rsidP="00C3764D">
            <w:pPr>
              <w:pStyle w:val="SingleTxtG"/>
              <w:keepNext/>
              <w:keepLines/>
              <w:tabs>
                <w:tab w:val="clear" w:pos="1701"/>
                <w:tab w:val="clear" w:pos="2268"/>
                <w:tab w:val="clear" w:pos="2835"/>
              </w:tabs>
              <w:spacing w:before="80" w:after="80" w:line="200" w:lineRule="exact"/>
              <w:ind w:left="0" w:right="0"/>
              <w:jc w:val="left"/>
              <w:rPr>
                <w:bCs/>
                <w:i/>
                <w:sz w:val="16"/>
                <w:lang w:val="es-ES_tradnl"/>
              </w:rPr>
            </w:pPr>
            <w:r w:rsidRPr="00F26A56">
              <w:rPr>
                <w:i/>
                <w:iCs/>
                <w:sz w:val="16"/>
                <w:lang w:val="es-ES_tradnl"/>
              </w:rPr>
              <w:t>Partidos políticos 2014</w:t>
            </w:r>
          </w:p>
        </w:tc>
        <w:tc>
          <w:tcPr>
            <w:tcW w:w="2126" w:type="dxa"/>
            <w:tcBorders>
              <w:top w:val="single" w:sz="4" w:space="0" w:color="auto"/>
              <w:bottom w:val="single" w:sz="12" w:space="0" w:color="auto"/>
            </w:tcBorders>
            <w:shd w:val="clear" w:color="auto" w:fill="auto"/>
            <w:vAlign w:val="bottom"/>
          </w:tcPr>
          <w:p w14:paraId="7D400AAE" w14:textId="77777777" w:rsidR="000C2F85" w:rsidRPr="00F26A56" w:rsidRDefault="000C2F85" w:rsidP="00C3764D">
            <w:pPr>
              <w:pStyle w:val="SingleTxtG"/>
              <w:keepNext/>
              <w:keepLines/>
              <w:tabs>
                <w:tab w:val="clear" w:pos="1701"/>
                <w:tab w:val="clear" w:pos="2268"/>
                <w:tab w:val="clear" w:pos="2835"/>
              </w:tabs>
              <w:spacing w:before="80" w:after="80" w:line="200" w:lineRule="exact"/>
              <w:ind w:left="57" w:right="28"/>
              <w:jc w:val="right"/>
              <w:rPr>
                <w:bCs/>
                <w:i/>
                <w:sz w:val="16"/>
                <w:lang w:val="es-ES_tradnl"/>
              </w:rPr>
            </w:pPr>
            <w:r w:rsidRPr="00F26A56">
              <w:rPr>
                <w:i/>
                <w:iCs/>
                <w:sz w:val="16"/>
                <w:lang w:val="es-ES_tradnl"/>
              </w:rPr>
              <w:t>Número de escaños 2014</w:t>
            </w:r>
          </w:p>
        </w:tc>
        <w:tc>
          <w:tcPr>
            <w:tcW w:w="1416" w:type="dxa"/>
            <w:tcBorders>
              <w:top w:val="single" w:sz="4" w:space="0" w:color="auto"/>
              <w:bottom w:val="single" w:sz="12" w:space="0" w:color="auto"/>
            </w:tcBorders>
            <w:shd w:val="clear" w:color="auto" w:fill="auto"/>
            <w:vAlign w:val="bottom"/>
          </w:tcPr>
          <w:p w14:paraId="1CE6AEAC" w14:textId="138EC685" w:rsidR="000C2F85" w:rsidRPr="00F26A56" w:rsidRDefault="00F26A56" w:rsidP="00C3764D">
            <w:pPr>
              <w:pStyle w:val="SingleTxtG"/>
              <w:keepNext/>
              <w:keepLines/>
              <w:tabs>
                <w:tab w:val="clear" w:pos="1701"/>
                <w:tab w:val="clear" w:pos="2268"/>
                <w:tab w:val="clear" w:pos="2835"/>
              </w:tabs>
              <w:spacing w:before="80" w:after="80" w:line="200" w:lineRule="exact"/>
              <w:ind w:left="57" w:right="28"/>
              <w:jc w:val="right"/>
              <w:rPr>
                <w:bCs/>
                <w:i/>
                <w:sz w:val="16"/>
                <w:lang w:val="es-ES_tradnl"/>
              </w:rPr>
            </w:pPr>
            <w:r>
              <w:rPr>
                <w:bCs/>
                <w:i/>
                <w:sz w:val="16"/>
                <w:lang w:val="es-ES_tradnl"/>
              </w:rPr>
              <w:t>Porcentaje</w:t>
            </w:r>
          </w:p>
        </w:tc>
      </w:tr>
      <w:tr w:rsidR="000C2F85" w:rsidRPr="00F26A56" w14:paraId="56E528EE" w14:textId="77777777" w:rsidTr="00F26A56">
        <w:trPr>
          <w:trHeight w:val="240"/>
        </w:trPr>
        <w:tc>
          <w:tcPr>
            <w:tcW w:w="3828" w:type="dxa"/>
            <w:tcBorders>
              <w:top w:val="single" w:sz="12" w:space="0" w:color="auto"/>
            </w:tcBorders>
            <w:shd w:val="clear" w:color="auto" w:fill="auto"/>
          </w:tcPr>
          <w:p w14:paraId="023FE4D1" w14:textId="77777777" w:rsidR="000C2F85" w:rsidRPr="00F26A56" w:rsidRDefault="000C2F85" w:rsidP="00C3764D">
            <w:pPr>
              <w:pStyle w:val="SingleTxtG"/>
              <w:keepNext/>
              <w:keepLines/>
              <w:tabs>
                <w:tab w:val="clear" w:pos="1701"/>
                <w:tab w:val="clear" w:pos="2268"/>
                <w:tab w:val="clear" w:pos="2835"/>
              </w:tabs>
              <w:spacing w:before="40" w:after="40" w:line="220" w:lineRule="exact"/>
              <w:ind w:left="0" w:right="0"/>
              <w:jc w:val="left"/>
              <w:rPr>
                <w:bCs/>
                <w:sz w:val="18"/>
                <w:lang w:val="es-ES_tradnl"/>
              </w:rPr>
            </w:pPr>
            <w:r w:rsidRPr="00F26A56">
              <w:rPr>
                <w:sz w:val="18"/>
                <w:lang w:val="es-ES_tradnl"/>
              </w:rPr>
              <w:t>Congreso Nacional Africano</w:t>
            </w:r>
          </w:p>
        </w:tc>
        <w:tc>
          <w:tcPr>
            <w:tcW w:w="2126" w:type="dxa"/>
            <w:tcBorders>
              <w:top w:val="single" w:sz="12" w:space="0" w:color="auto"/>
            </w:tcBorders>
            <w:shd w:val="clear" w:color="auto" w:fill="auto"/>
            <w:vAlign w:val="bottom"/>
          </w:tcPr>
          <w:p w14:paraId="6839CE4F" w14:textId="77777777" w:rsidR="000C2F85" w:rsidRPr="00F26A56" w:rsidRDefault="000C2F85" w:rsidP="00C3764D">
            <w:pPr>
              <w:pStyle w:val="SingleTxtG"/>
              <w:keepNext/>
              <w:keepLines/>
              <w:tabs>
                <w:tab w:val="clear" w:pos="1701"/>
                <w:tab w:val="clear" w:pos="2268"/>
                <w:tab w:val="clear" w:pos="2835"/>
              </w:tabs>
              <w:spacing w:before="40" w:after="40" w:line="220" w:lineRule="exact"/>
              <w:ind w:left="57" w:right="28"/>
              <w:jc w:val="right"/>
              <w:rPr>
                <w:bCs/>
                <w:sz w:val="18"/>
                <w:lang w:val="es-ES_tradnl"/>
              </w:rPr>
            </w:pPr>
            <w:r w:rsidRPr="00F26A56">
              <w:rPr>
                <w:sz w:val="18"/>
                <w:lang w:val="es-ES_tradnl"/>
              </w:rPr>
              <w:t>249</w:t>
            </w:r>
          </w:p>
        </w:tc>
        <w:tc>
          <w:tcPr>
            <w:tcW w:w="1416" w:type="dxa"/>
            <w:tcBorders>
              <w:top w:val="single" w:sz="12" w:space="0" w:color="auto"/>
            </w:tcBorders>
            <w:shd w:val="clear" w:color="auto" w:fill="auto"/>
            <w:vAlign w:val="bottom"/>
          </w:tcPr>
          <w:p w14:paraId="0CACA93C" w14:textId="77777777" w:rsidR="000C2F85" w:rsidRPr="00F26A56" w:rsidRDefault="000C2F85" w:rsidP="00C3764D">
            <w:pPr>
              <w:pStyle w:val="SingleTxtG"/>
              <w:keepNext/>
              <w:keepLines/>
              <w:tabs>
                <w:tab w:val="clear" w:pos="1701"/>
                <w:tab w:val="clear" w:pos="2268"/>
                <w:tab w:val="clear" w:pos="2835"/>
              </w:tabs>
              <w:spacing w:before="40" w:after="40" w:line="220" w:lineRule="exact"/>
              <w:ind w:left="57" w:right="28"/>
              <w:jc w:val="right"/>
              <w:rPr>
                <w:bCs/>
                <w:sz w:val="18"/>
                <w:lang w:val="es-ES_tradnl"/>
              </w:rPr>
            </w:pPr>
            <w:r w:rsidRPr="00F26A56">
              <w:rPr>
                <w:sz w:val="18"/>
                <w:lang w:val="es-ES_tradnl"/>
              </w:rPr>
              <w:t>62,3</w:t>
            </w:r>
          </w:p>
        </w:tc>
      </w:tr>
      <w:tr w:rsidR="000C2F85" w:rsidRPr="00F26A56" w14:paraId="2B8322CD" w14:textId="77777777" w:rsidTr="00F26A56">
        <w:trPr>
          <w:trHeight w:val="240"/>
        </w:trPr>
        <w:tc>
          <w:tcPr>
            <w:tcW w:w="3828" w:type="dxa"/>
            <w:shd w:val="clear" w:color="auto" w:fill="auto"/>
          </w:tcPr>
          <w:p w14:paraId="30600CE7"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bCs/>
                <w:sz w:val="18"/>
                <w:lang w:val="es-ES_tradnl"/>
              </w:rPr>
            </w:pPr>
            <w:r w:rsidRPr="00F26A56">
              <w:rPr>
                <w:sz w:val="18"/>
                <w:lang w:val="es-ES_tradnl"/>
              </w:rPr>
              <w:t>Alianza Democrática</w:t>
            </w:r>
          </w:p>
        </w:tc>
        <w:tc>
          <w:tcPr>
            <w:tcW w:w="2126" w:type="dxa"/>
            <w:shd w:val="clear" w:color="auto" w:fill="auto"/>
            <w:vAlign w:val="bottom"/>
          </w:tcPr>
          <w:p w14:paraId="6FDBB69B" w14:textId="77777777" w:rsidR="000C2F85" w:rsidRPr="00F26A56" w:rsidRDefault="000C2F85" w:rsidP="00F26A56">
            <w:pPr>
              <w:pStyle w:val="SingleTxtG"/>
              <w:tabs>
                <w:tab w:val="clear" w:pos="1701"/>
                <w:tab w:val="clear" w:pos="2268"/>
                <w:tab w:val="clear" w:pos="2835"/>
              </w:tabs>
              <w:spacing w:before="40" w:after="40" w:line="220" w:lineRule="exact"/>
              <w:ind w:left="57" w:right="28"/>
              <w:jc w:val="right"/>
              <w:rPr>
                <w:bCs/>
                <w:sz w:val="18"/>
                <w:lang w:val="es-ES_tradnl"/>
              </w:rPr>
            </w:pPr>
            <w:r w:rsidRPr="00F26A56">
              <w:rPr>
                <w:sz w:val="18"/>
                <w:lang w:val="es-ES_tradnl"/>
              </w:rPr>
              <w:t>89</w:t>
            </w:r>
          </w:p>
        </w:tc>
        <w:tc>
          <w:tcPr>
            <w:tcW w:w="1416" w:type="dxa"/>
            <w:shd w:val="clear" w:color="auto" w:fill="auto"/>
            <w:vAlign w:val="bottom"/>
          </w:tcPr>
          <w:p w14:paraId="5AF95D74" w14:textId="77777777" w:rsidR="000C2F85" w:rsidRPr="00F26A56" w:rsidRDefault="000C2F85" w:rsidP="00F26A56">
            <w:pPr>
              <w:pStyle w:val="SingleTxtG"/>
              <w:tabs>
                <w:tab w:val="clear" w:pos="1701"/>
                <w:tab w:val="clear" w:pos="2268"/>
                <w:tab w:val="clear" w:pos="2835"/>
              </w:tabs>
              <w:spacing w:before="40" w:after="40" w:line="220" w:lineRule="exact"/>
              <w:ind w:left="57" w:right="28"/>
              <w:jc w:val="right"/>
              <w:rPr>
                <w:bCs/>
                <w:sz w:val="18"/>
                <w:lang w:val="es-ES_tradnl"/>
              </w:rPr>
            </w:pPr>
            <w:r w:rsidRPr="00F26A56">
              <w:rPr>
                <w:sz w:val="18"/>
                <w:lang w:val="es-ES_tradnl"/>
              </w:rPr>
              <w:t>22,3</w:t>
            </w:r>
          </w:p>
        </w:tc>
      </w:tr>
      <w:tr w:rsidR="000C2F85" w:rsidRPr="00F26A56" w14:paraId="503B317A" w14:textId="77777777" w:rsidTr="00F26A56">
        <w:trPr>
          <w:trHeight w:val="240"/>
        </w:trPr>
        <w:tc>
          <w:tcPr>
            <w:tcW w:w="3828" w:type="dxa"/>
            <w:shd w:val="clear" w:color="auto" w:fill="auto"/>
          </w:tcPr>
          <w:p w14:paraId="60DAEF62"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bCs/>
                <w:sz w:val="18"/>
                <w:lang w:val="es-ES_tradnl"/>
              </w:rPr>
            </w:pPr>
            <w:r w:rsidRPr="00F26A56">
              <w:rPr>
                <w:sz w:val="18"/>
                <w:lang w:val="es-ES_tradnl"/>
              </w:rPr>
              <w:t>Luchadores por la Libertad Económica</w:t>
            </w:r>
          </w:p>
        </w:tc>
        <w:tc>
          <w:tcPr>
            <w:tcW w:w="2126" w:type="dxa"/>
            <w:shd w:val="clear" w:color="auto" w:fill="auto"/>
            <w:vAlign w:val="bottom"/>
          </w:tcPr>
          <w:p w14:paraId="4A1E656F" w14:textId="77777777" w:rsidR="000C2F85" w:rsidRPr="00F26A56" w:rsidRDefault="000C2F85" w:rsidP="00F26A56">
            <w:pPr>
              <w:pStyle w:val="SingleTxtG"/>
              <w:tabs>
                <w:tab w:val="clear" w:pos="1701"/>
                <w:tab w:val="clear" w:pos="2268"/>
                <w:tab w:val="clear" w:pos="2835"/>
              </w:tabs>
              <w:spacing w:before="40" w:after="40" w:line="220" w:lineRule="exact"/>
              <w:ind w:left="57" w:right="28"/>
              <w:jc w:val="right"/>
              <w:rPr>
                <w:bCs/>
                <w:sz w:val="18"/>
                <w:lang w:val="es-ES_tradnl"/>
              </w:rPr>
            </w:pPr>
            <w:r w:rsidRPr="00F26A56">
              <w:rPr>
                <w:sz w:val="18"/>
                <w:lang w:val="es-ES_tradnl"/>
              </w:rPr>
              <w:t>25</w:t>
            </w:r>
          </w:p>
        </w:tc>
        <w:tc>
          <w:tcPr>
            <w:tcW w:w="1416" w:type="dxa"/>
            <w:shd w:val="clear" w:color="auto" w:fill="auto"/>
            <w:vAlign w:val="bottom"/>
          </w:tcPr>
          <w:p w14:paraId="0B261D35" w14:textId="77777777" w:rsidR="000C2F85" w:rsidRPr="00F26A56" w:rsidRDefault="000C2F85" w:rsidP="00F26A56">
            <w:pPr>
              <w:pStyle w:val="SingleTxtG"/>
              <w:tabs>
                <w:tab w:val="clear" w:pos="1701"/>
                <w:tab w:val="clear" w:pos="2268"/>
                <w:tab w:val="clear" w:pos="2835"/>
              </w:tabs>
              <w:spacing w:before="40" w:after="40" w:line="220" w:lineRule="exact"/>
              <w:ind w:left="57" w:right="28"/>
              <w:jc w:val="right"/>
              <w:rPr>
                <w:bCs/>
                <w:sz w:val="18"/>
                <w:lang w:val="es-ES_tradnl"/>
              </w:rPr>
            </w:pPr>
            <w:r w:rsidRPr="00F26A56">
              <w:rPr>
                <w:sz w:val="18"/>
                <w:lang w:val="es-ES_tradnl"/>
              </w:rPr>
              <w:t>6,3</w:t>
            </w:r>
          </w:p>
        </w:tc>
      </w:tr>
      <w:tr w:rsidR="000C2F85" w:rsidRPr="00F26A56" w14:paraId="5854F1D0" w14:textId="77777777" w:rsidTr="00F26A56">
        <w:trPr>
          <w:trHeight w:val="240"/>
        </w:trPr>
        <w:tc>
          <w:tcPr>
            <w:tcW w:w="3828" w:type="dxa"/>
            <w:shd w:val="clear" w:color="auto" w:fill="auto"/>
          </w:tcPr>
          <w:p w14:paraId="09E5EA25"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bCs/>
                <w:sz w:val="18"/>
                <w:lang w:val="es-ES_tradnl"/>
              </w:rPr>
            </w:pPr>
            <w:r w:rsidRPr="00F26A56">
              <w:rPr>
                <w:sz w:val="18"/>
                <w:lang w:val="es-ES_tradnl"/>
              </w:rPr>
              <w:t>Partido de la Libertad Inkatha</w:t>
            </w:r>
          </w:p>
        </w:tc>
        <w:tc>
          <w:tcPr>
            <w:tcW w:w="2126" w:type="dxa"/>
            <w:shd w:val="clear" w:color="auto" w:fill="auto"/>
            <w:vAlign w:val="bottom"/>
          </w:tcPr>
          <w:p w14:paraId="5454323B" w14:textId="77777777" w:rsidR="000C2F85" w:rsidRPr="00F26A56" w:rsidRDefault="000C2F85" w:rsidP="00F26A56">
            <w:pPr>
              <w:pStyle w:val="SingleTxtG"/>
              <w:tabs>
                <w:tab w:val="clear" w:pos="1701"/>
                <w:tab w:val="clear" w:pos="2268"/>
                <w:tab w:val="clear" w:pos="2835"/>
              </w:tabs>
              <w:spacing w:before="40" w:after="40" w:line="220" w:lineRule="exact"/>
              <w:ind w:left="57" w:right="28"/>
              <w:jc w:val="right"/>
              <w:rPr>
                <w:bCs/>
                <w:sz w:val="18"/>
                <w:lang w:val="es-ES_tradnl"/>
              </w:rPr>
            </w:pPr>
            <w:r w:rsidRPr="00F26A56">
              <w:rPr>
                <w:sz w:val="18"/>
                <w:lang w:val="es-ES_tradnl"/>
              </w:rPr>
              <w:t>10</w:t>
            </w:r>
          </w:p>
        </w:tc>
        <w:tc>
          <w:tcPr>
            <w:tcW w:w="1416" w:type="dxa"/>
            <w:shd w:val="clear" w:color="auto" w:fill="auto"/>
            <w:vAlign w:val="bottom"/>
          </w:tcPr>
          <w:p w14:paraId="3D17E264" w14:textId="77777777" w:rsidR="000C2F85" w:rsidRPr="00F26A56" w:rsidRDefault="000C2F85" w:rsidP="00F26A56">
            <w:pPr>
              <w:pStyle w:val="SingleTxtG"/>
              <w:tabs>
                <w:tab w:val="clear" w:pos="1701"/>
                <w:tab w:val="clear" w:pos="2268"/>
                <w:tab w:val="clear" w:pos="2835"/>
              </w:tabs>
              <w:spacing w:before="40" w:after="40" w:line="220" w:lineRule="exact"/>
              <w:ind w:left="57" w:right="28"/>
              <w:jc w:val="right"/>
              <w:rPr>
                <w:bCs/>
                <w:sz w:val="18"/>
                <w:lang w:val="es-ES_tradnl"/>
              </w:rPr>
            </w:pPr>
            <w:r w:rsidRPr="00F26A56">
              <w:rPr>
                <w:sz w:val="18"/>
                <w:lang w:val="es-ES_tradnl"/>
              </w:rPr>
              <w:t>2</w:t>
            </w:r>
          </w:p>
        </w:tc>
      </w:tr>
      <w:tr w:rsidR="000C2F85" w:rsidRPr="00F26A56" w14:paraId="1F0030EC" w14:textId="77777777" w:rsidTr="00F26A56">
        <w:trPr>
          <w:trHeight w:val="240"/>
        </w:trPr>
        <w:tc>
          <w:tcPr>
            <w:tcW w:w="3828" w:type="dxa"/>
            <w:shd w:val="clear" w:color="auto" w:fill="auto"/>
          </w:tcPr>
          <w:p w14:paraId="4DCDB072"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bCs/>
                <w:sz w:val="18"/>
                <w:lang w:val="es-ES_tradnl"/>
              </w:rPr>
            </w:pPr>
            <w:r w:rsidRPr="00F26A56">
              <w:rPr>
                <w:sz w:val="18"/>
                <w:lang w:val="es-ES_tradnl"/>
              </w:rPr>
              <w:t>Partido Nacional de la Libertad</w:t>
            </w:r>
          </w:p>
        </w:tc>
        <w:tc>
          <w:tcPr>
            <w:tcW w:w="2126" w:type="dxa"/>
            <w:shd w:val="clear" w:color="auto" w:fill="auto"/>
            <w:vAlign w:val="bottom"/>
          </w:tcPr>
          <w:p w14:paraId="66F6F73A" w14:textId="77777777" w:rsidR="000C2F85" w:rsidRPr="00F26A56" w:rsidRDefault="000C2F85" w:rsidP="00F26A56">
            <w:pPr>
              <w:pStyle w:val="SingleTxtG"/>
              <w:tabs>
                <w:tab w:val="clear" w:pos="1701"/>
                <w:tab w:val="clear" w:pos="2268"/>
                <w:tab w:val="clear" w:pos="2835"/>
              </w:tabs>
              <w:spacing w:before="40" w:after="40" w:line="220" w:lineRule="exact"/>
              <w:ind w:left="57" w:right="28"/>
              <w:jc w:val="right"/>
              <w:rPr>
                <w:bCs/>
                <w:sz w:val="18"/>
                <w:lang w:val="es-ES_tradnl"/>
              </w:rPr>
            </w:pPr>
            <w:r w:rsidRPr="00F26A56">
              <w:rPr>
                <w:sz w:val="18"/>
                <w:lang w:val="es-ES_tradnl"/>
              </w:rPr>
              <w:t>6</w:t>
            </w:r>
          </w:p>
        </w:tc>
        <w:tc>
          <w:tcPr>
            <w:tcW w:w="1416" w:type="dxa"/>
            <w:shd w:val="clear" w:color="auto" w:fill="auto"/>
            <w:vAlign w:val="bottom"/>
          </w:tcPr>
          <w:p w14:paraId="2B7768E7" w14:textId="77777777" w:rsidR="000C2F85" w:rsidRPr="00F26A56" w:rsidRDefault="000C2F85" w:rsidP="00F26A56">
            <w:pPr>
              <w:pStyle w:val="SingleTxtG"/>
              <w:tabs>
                <w:tab w:val="clear" w:pos="1701"/>
                <w:tab w:val="clear" w:pos="2268"/>
                <w:tab w:val="clear" w:pos="2835"/>
              </w:tabs>
              <w:spacing w:before="40" w:after="40" w:line="220" w:lineRule="exact"/>
              <w:ind w:left="57" w:right="28"/>
              <w:jc w:val="right"/>
              <w:rPr>
                <w:bCs/>
                <w:sz w:val="18"/>
                <w:lang w:val="es-ES_tradnl"/>
              </w:rPr>
            </w:pPr>
            <w:r w:rsidRPr="00F26A56">
              <w:rPr>
                <w:sz w:val="18"/>
                <w:lang w:val="es-ES_tradnl"/>
              </w:rPr>
              <w:t>1</w:t>
            </w:r>
          </w:p>
        </w:tc>
      </w:tr>
      <w:tr w:rsidR="000C2F85" w:rsidRPr="00F26A56" w14:paraId="7208D72B" w14:textId="77777777" w:rsidTr="00F26A56">
        <w:trPr>
          <w:trHeight w:val="240"/>
        </w:trPr>
        <w:tc>
          <w:tcPr>
            <w:tcW w:w="3828" w:type="dxa"/>
            <w:shd w:val="clear" w:color="auto" w:fill="auto"/>
          </w:tcPr>
          <w:p w14:paraId="6561A0C1"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bCs/>
                <w:sz w:val="18"/>
                <w:lang w:val="es-ES_tradnl"/>
              </w:rPr>
            </w:pPr>
            <w:r w:rsidRPr="00F26A56">
              <w:rPr>
                <w:sz w:val="18"/>
                <w:lang w:val="es-ES_tradnl"/>
              </w:rPr>
              <w:t>Movimiento Democrático Unido</w:t>
            </w:r>
          </w:p>
        </w:tc>
        <w:tc>
          <w:tcPr>
            <w:tcW w:w="2126" w:type="dxa"/>
            <w:shd w:val="clear" w:color="auto" w:fill="auto"/>
            <w:vAlign w:val="bottom"/>
          </w:tcPr>
          <w:p w14:paraId="6D60EFD7" w14:textId="77777777" w:rsidR="000C2F85" w:rsidRPr="00F26A56" w:rsidRDefault="000C2F85" w:rsidP="00F26A56">
            <w:pPr>
              <w:pStyle w:val="SingleTxtG"/>
              <w:tabs>
                <w:tab w:val="clear" w:pos="1701"/>
                <w:tab w:val="clear" w:pos="2268"/>
                <w:tab w:val="clear" w:pos="2835"/>
              </w:tabs>
              <w:spacing w:before="40" w:after="40" w:line="220" w:lineRule="exact"/>
              <w:ind w:left="57" w:right="28"/>
              <w:jc w:val="right"/>
              <w:rPr>
                <w:bCs/>
                <w:sz w:val="18"/>
                <w:lang w:val="es-ES_tradnl"/>
              </w:rPr>
            </w:pPr>
            <w:r w:rsidRPr="00F26A56">
              <w:rPr>
                <w:sz w:val="18"/>
                <w:lang w:val="es-ES_tradnl"/>
              </w:rPr>
              <w:t>4</w:t>
            </w:r>
          </w:p>
        </w:tc>
        <w:tc>
          <w:tcPr>
            <w:tcW w:w="1416" w:type="dxa"/>
            <w:shd w:val="clear" w:color="auto" w:fill="auto"/>
            <w:vAlign w:val="bottom"/>
          </w:tcPr>
          <w:p w14:paraId="3ADE023E" w14:textId="77777777" w:rsidR="000C2F85" w:rsidRPr="00F26A56" w:rsidRDefault="000C2F85" w:rsidP="00F26A56">
            <w:pPr>
              <w:pStyle w:val="SingleTxtG"/>
              <w:tabs>
                <w:tab w:val="clear" w:pos="1701"/>
                <w:tab w:val="clear" w:pos="2268"/>
                <w:tab w:val="clear" w:pos="2835"/>
              </w:tabs>
              <w:spacing w:before="40" w:after="40" w:line="220" w:lineRule="exact"/>
              <w:ind w:left="57" w:right="28"/>
              <w:jc w:val="right"/>
              <w:rPr>
                <w:bCs/>
                <w:sz w:val="18"/>
                <w:lang w:val="es-ES_tradnl"/>
              </w:rPr>
            </w:pPr>
            <w:r w:rsidRPr="00F26A56">
              <w:rPr>
                <w:sz w:val="18"/>
                <w:lang w:val="es-ES_tradnl"/>
              </w:rPr>
              <w:t>1</w:t>
            </w:r>
          </w:p>
        </w:tc>
      </w:tr>
      <w:tr w:rsidR="000C2F85" w:rsidRPr="00F26A56" w14:paraId="5D6553FB" w14:textId="77777777" w:rsidTr="00F26A56">
        <w:trPr>
          <w:trHeight w:val="240"/>
        </w:trPr>
        <w:tc>
          <w:tcPr>
            <w:tcW w:w="3828" w:type="dxa"/>
            <w:shd w:val="clear" w:color="auto" w:fill="auto"/>
          </w:tcPr>
          <w:p w14:paraId="583373DF"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bCs/>
                <w:sz w:val="18"/>
                <w:lang w:val="es-ES_tradnl"/>
              </w:rPr>
            </w:pPr>
            <w:r w:rsidRPr="00F26A56">
              <w:rPr>
                <w:sz w:val="18"/>
                <w:lang w:val="es-ES_tradnl"/>
              </w:rPr>
              <w:t>Frente de la Libertad</w:t>
            </w:r>
          </w:p>
        </w:tc>
        <w:tc>
          <w:tcPr>
            <w:tcW w:w="2126" w:type="dxa"/>
            <w:shd w:val="clear" w:color="auto" w:fill="auto"/>
            <w:vAlign w:val="bottom"/>
          </w:tcPr>
          <w:p w14:paraId="48F1178A" w14:textId="77777777" w:rsidR="000C2F85" w:rsidRPr="00F26A56" w:rsidRDefault="000C2F85" w:rsidP="00F26A56">
            <w:pPr>
              <w:pStyle w:val="SingleTxtG"/>
              <w:tabs>
                <w:tab w:val="clear" w:pos="1701"/>
                <w:tab w:val="clear" w:pos="2268"/>
                <w:tab w:val="clear" w:pos="2835"/>
              </w:tabs>
              <w:spacing w:before="40" w:after="40" w:line="220" w:lineRule="exact"/>
              <w:ind w:left="57" w:right="28"/>
              <w:jc w:val="right"/>
              <w:rPr>
                <w:bCs/>
                <w:sz w:val="18"/>
                <w:lang w:val="es-ES_tradnl"/>
              </w:rPr>
            </w:pPr>
            <w:r w:rsidRPr="00F26A56">
              <w:rPr>
                <w:sz w:val="18"/>
                <w:lang w:val="es-ES_tradnl"/>
              </w:rPr>
              <w:t>4</w:t>
            </w:r>
          </w:p>
        </w:tc>
        <w:tc>
          <w:tcPr>
            <w:tcW w:w="1416" w:type="dxa"/>
            <w:shd w:val="clear" w:color="auto" w:fill="auto"/>
            <w:vAlign w:val="bottom"/>
          </w:tcPr>
          <w:p w14:paraId="6420E7B1" w14:textId="77777777" w:rsidR="000C2F85" w:rsidRPr="00F26A56" w:rsidRDefault="000C2F85" w:rsidP="00F26A56">
            <w:pPr>
              <w:pStyle w:val="SingleTxtG"/>
              <w:tabs>
                <w:tab w:val="clear" w:pos="1701"/>
                <w:tab w:val="clear" w:pos="2268"/>
                <w:tab w:val="clear" w:pos="2835"/>
              </w:tabs>
              <w:spacing w:before="40" w:after="40" w:line="220" w:lineRule="exact"/>
              <w:ind w:left="57" w:right="28"/>
              <w:jc w:val="right"/>
              <w:rPr>
                <w:bCs/>
                <w:sz w:val="18"/>
                <w:lang w:val="es-ES_tradnl"/>
              </w:rPr>
            </w:pPr>
            <w:r w:rsidRPr="00F26A56">
              <w:rPr>
                <w:sz w:val="18"/>
                <w:lang w:val="es-ES_tradnl"/>
              </w:rPr>
              <w:t>1</w:t>
            </w:r>
          </w:p>
        </w:tc>
      </w:tr>
      <w:tr w:rsidR="000C2F85" w:rsidRPr="00F26A56" w14:paraId="05E568A2" w14:textId="77777777" w:rsidTr="00F26A56">
        <w:trPr>
          <w:trHeight w:val="240"/>
        </w:trPr>
        <w:tc>
          <w:tcPr>
            <w:tcW w:w="3828" w:type="dxa"/>
            <w:shd w:val="clear" w:color="auto" w:fill="auto"/>
          </w:tcPr>
          <w:p w14:paraId="1353A67E"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bCs/>
                <w:sz w:val="18"/>
                <w:lang w:val="es-ES_tradnl"/>
              </w:rPr>
            </w:pPr>
            <w:r w:rsidRPr="00F26A56">
              <w:rPr>
                <w:sz w:val="18"/>
                <w:lang w:val="es-ES_tradnl"/>
              </w:rPr>
              <w:t>Partido Demócrata Cristiano Africano</w:t>
            </w:r>
          </w:p>
        </w:tc>
        <w:tc>
          <w:tcPr>
            <w:tcW w:w="2126" w:type="dxa"/>
            <w:shd w:val="clear" w:color="auto" w:fill="auto"/>
            <w:vAlign w:val="bottom"/>
          </w:tcPr>
          <w:p w14:paraId="0B26EF3E" w14:textId="77777777" w:rsidR="000C2F85" w:rsidRPr="00F26A56" w:rsidRDefault="000C2F85" w:rsidP="00F26A56">
            <w:pPr>
              <w:pStyle w:val="SingleTxtG"/>
              <w:tabs>
                <w:tab w:val="clear" w:pos="1701"/>
                <w:tab w:val="clear" w:pos="2268"/>
                <w:tab w:val="clear" w:pos="2835"/>
              </w:tabs>
              <w:spacing w:before="40" w:after="40" w:line="220" w:lineRule="exact"/>
              <w:ind w:left="57" w:right="28"/>
              <w:jc w:val="right"/>
              <w:rPr>
                <w:bCs/>
                <w:sz w:val="18"/>
                <w:lang w:val="es-ES_tradnl"/>
              </w:rPr>
            </w:pPr>
            <w:r w:rsidRPr="00F26A56">
              <w:rPr>
                <w:sz w:val="18"/>
                <w:lang w:val="es-ES_tradnl"/>
              </w:rPr>
              <w:t>3</w:t>
            </w:r>
          </w:p>
        </w:tc>
        <w:tc>
          <w:tcPr>
            <w:tcW w:w="1416" w:type="dxa"/>
            <w:shd w:val="clear" w:color="auto" w:fill="auto"/>
            <w:vAlign w:val="bottom"/>
          </w:tcPr>
          <w:p w14:paraId="6FB4CB3A" w14:textId="77777777" w:rsidR="000C2F85" w:rsidRPr="00F26A56" w:rsidRDefault="000C2F85" w:rsidP="00F26A56">
            <w:pPr>
              <w:pStyle w:val="SingleTxtG"/>
              <w:tabs>
                <w:tab w:val="clear" w:pos="1701"/>
                <w:tab w:val="clear" w:pos="2268"/>
                <w:tab w:val="clear" w:pos="2835"/>
              </w:tabs>
              <w:spacing w:before="40" w:after="40" w:line="220" w:lineRule="exact"/>
              <w:ind w:left="57" w:right="28"/>
              <w:jc w:val="right"/>
              <w:rPr>
                <w:bCs/>
                <w:sz w:val="18"/>
                <w:lang w:val="es-ES_tradnl"/>
              </w:rPr>
            </w:pPr>
            <w:r w:rsidRPr="00F26A56">
              <w:rPr>
                <w:sz w:val="18"/>
                <w:lang w:val="es-ES_tradnl"/>
              </w:rPr>
              <w:t>0,75</w:t>
            </w:r>
          </w:p>
        </w:tc>
      </w:tr>
      <w:tr w:rsidR="000C2F85" w:rsidRPr="00F26A56" w14:paraId="5BC7A269" w14:textId="77777777" w:rsidTr="00F26A56">
        <w:trPr>
          <w:trHeight w:val="240"/>
        </w:trPr>
        <w:tc>
          <w:tcPr>
            <w:tcW w:w="3828" w:type="dxa"/>
            <w:shd w:val="clear" w:color="auto" w:fill="auto"/>
          </w:tcPr>
          <w:p w14:paraId="4CEBCC5E"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bCs/>
                <w:sz w:val="18"/>
                <w:lang w:val="es-ES_tradnl"/>
              </w:rPr>
            </w:pPr>
            <w:r w:rsidRPr="00F26A56">
              <w:rPr>
                <w:sz w:val="18"/>
                <w:lang w:val="es-ES_tradnl"/>
              </w:rPr>
              <w:t>Congreso Independiente Africano</w:t>
            </w:r>
          </w:p>
        </w:tc>
        <w:tc>
          <w:tcPr>
            <w:tcW w:w="2126" w:type="dxa"/>
            <w:shd w:val="clear" w:color="auto" w:fill="auto"/>
            <w:vAlign w:val="bottom"/>
          </w:tcPr>
          <w:p w14:paraId="0D0C10DC" w14:textId="77777777" w:rsidR="000C2F85" w:rsidRPr="00F26A56" w:rsidRDefault="000C2F85" w:rsidP="00F26A56">
            <w:pPr>
              <w:pStyle w:val="SingleTxtG"/>
              <w:tabs>
                <w:tab w:val="clear" w:pos="1701"/>
                <w:tab w:val="clear" w:pos="2268"/>
                <w:tab w:val="clear" w:pos="2835"/>
              </w:tabs>
              <w:spacing w:before="40" w:after="40" w:line="220" w:lineRule="exact"/>
              <w:ind w:left="57" w:right="28"/>
              <w:jc w:val="right"/>
              <w:rPr>
                <w:bCs/>
                <w:sz w:val="18"/>
                <w:lang w:val="es-ES_tradnl"/>
              </w:rPr>
            </w:pPr>
            <w:r w:rsidRPr="00F26A56">
              <w:rPr>
                <w:sz w:val="18"/>
                <w:lang w:val="es-ES_tradnl"/>
              </w:rPr>
              <w:t>3</w:t>
            </w:r>
          </w:p>
        </w:tc>
        <w:tc>
          <w:tcPr>
            <w:tcW w:w="1416" w:type="dxa"/>
            <w:shd w:val="clear" w:color="auto" w:fill="auto"/>
            <w:vAlign w:val="bottom"/>
          </w:tcPr>
          <w:p w14:paraId="22EF922E" w14:textId="77777777" w:rsidR="000C2F85" w:rsidRPr="00F26A56" w:rsidRDefault="000C2F85" w:rsidP="00F26A56">
            <w:pPr>
              <w:pStyle w:val="SingleTxtG"/>
              <w:tabs>
                <w:tab w:val="clear" w:pos="1701"/>
                <w:tab w:val="clear" w:pos="2268"/>
                <w:tab w:val="clear" w:pos="2835"/>
              </w:tabs>
              <w:spacing w:before="40" w:after="40" w:line="220" w:lineRule="exact"/>
              <w:ind w:left="57" w:right="28"/>
              <w:jc w:val="right"/>
              <w:rPr>
                <w:bCs/>
                <w:sz w:val="18"/>
                <w:lang w:val="es-ES_tradnl"/>
              </w:rPr>
            </w:pPr>
            <w:r w:rsidRPr="00F26A56">
              <w:rPr>
                <w:sz w:val="18"/>
                <w:lang w:val="es-ES_tradnl"/>
              </w:rPr>
              <w:t>0,45</w:t>
            </w:r>
          </w:p>
        </w:tc>
      </w:tr>
      <w:tr w:rsidR="000C2F85" w:rsidRPr="00F26A56" w14:paraId="52738DFE" w14:textId="77777777" w:rsidTr="00F26A56">
        <w:trPr>
          <w:trHeight w:val="240"/>
        </w:trPr>
        <w:tc>
          <w:tcPr>
            <w:tcW w:w="3828" w:type="dxa"/>
            <w:shd w:val="clear" w:color="auto" w:fill="auto"/>
          </w:tcPr>
          <w:p w14:paraId="14AE7CB9"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bCs/>
                <w:sz w:val="18"/>
                <w:lang w:val="es-ES_tradnl"/>
              </w:rPr>
            </w:pPr>
            <w:r w:rsidRPr="00F26A56">
              <w:rPr>
                <w:sz w:val="18"/>
                <w:lang w:val="es-ES_tradnl"/>
              </w:rPr>
              <w:t>AGANG (Construyamos Sudáfrica)</w:t>
            </w:r>
          </w:p>
        </w:tc>
        <w:tc>
          <w:tcPr>
            <w:tcW w:w="2126" w:type="dxa"/>
            <w:shd w:val="clear" w:color="auto" w:fill="auto"/>
            <w:vAlign w:val="bottom"/>
          </w:tcPr>
          <w:p w14:paraId="04F3923D" w14:textId="77777777" w:rsidR="000C2F85" w:rsidRPr="00F26A56" w:rsidRDefault="000C2F85" w:rsidP="00F26A56">
            <w:pPr>
              <w:pStyle w:val="SingleTxtG"/>
              <w:tabs>
                <w:tab w:val="clear" w:pos="1701"/>
                <w:tab w:val="clear" w:pos="2268"/>
                <w:tab w:val="clear" w:pos="2835"/>
              </w:tabs>
              <w:spacing w:before="40" w:after="40" w:line="220" w:lineRule="exact"/>
              <w:ind w:left="57" w:right="28"/>
              <w:jc w:val="right"/>
              <w:rPr>
                <w:bCs/>
                <w:sz w:val="18"/>
                <w:lang w:val="es-ES_tradnl"/>
              </w:rPr>
            </w:pPr>
            <w:r w:rsidRPr="00F26A56">
              <w:rPr>
                <w:sz w:val="18"/>
                <w:lang w:val="es-ES_tradnl"/>
              </w:rPr>
              <w:t>2</w:t>
            </w:r>
          </w:p>
        </w:tc>
        <w:tc>
          <w:tcPr>
            <w:tcW w:w="1416" w:type="dxa"/>
            <w:shd w:val="clear" w:color="auto" w:fill="auto"/>
            <w:vAlign w:val="bottom"/>
          </w:tcPr>
          <w:p w14:paraId="0F3DD726" w14:textId="77777777" w:rsidR="000C2F85" w:rsidRPr="00F26A56" w:rsidRDefault="000C2F85" w:rsidP="00F26A56">
            <w:pPr>
              <w:pStyle w:val="SingleTxtG"/>
              <w:tabs>
                <w:tab w:val="clear" w:pos="1701"/>
                <w:tab w:val="clear" w:pos="2268"/>
                <w:tab w:val="clear" w:pos="2835"/>
              </w:tabs>
              <w:spacing w:before="40" w:after="40" w:line="220" w:lineRule="exact"/>
              <w:ind w:left="57" w:right="28"/>
              <w:jc w:val="right"/>
              <w:rPr>
                <w:bCs/>
                <w:sz w:val="18"/>
                <w:lang w:val="es-ES_tradnl"/>
              </w:rPr>
            </w:pPr>
            <w:r w:rsidRPr="00F26A56">
              <w:rPr>
                <w:sz w:val="18"/>
                <w:lang w:val="es-ES_tradnl"/>
              </w:rPr>
              <w:t>0,5</w:t>
            </w:r>
          </w:p>
        </w:tc>
      </w:tr>
      <w:tr w:rsidR="00F26A56" w:rsidRPr="00F26A56" w14:paraId="1336F602" w14:textId="77777777" w:rsidTr="00F26A56">
        <w:trPr>
          <w:trHeight w:val="240"/>
        </w:trPr>
        <w:tc>
          <w:tcPr>
            <w:tcW w:w="3828" w:type="dxa"/>
            <w:tcBorders>
              <w:bottom w:val="single" w:sz="4" w:space="0" w:color="auto"/>
            </w:tcBorders>
            <w:shd w:val="clear" w:color="auto" w:fill="auto"/>
          </w:tcPr>
          <w:p w14:paraId="361B242A"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bCs/>
                <w:sz w:val="18"/>
                <w:lang w:val="es-ES_tradnl"/>
              </w:rPr>
            </w:pPr>
            <w:r w:rsidRPr="00F26A56">
              <w:rPr>
                <w:sz w:val="18"/>
                <w:lang w:val="es-ES_tradnl"/>
              </w:rPr>
              <w:t>Convención del Pueblo Africano</w:t>
            </w:r>
          </w:p>
        </w:tc>
        <w:tc>
          <w:tcPr>
            <w:tcW w:w="2126" w:type="dxa"/>
            <w:tcBorders>
              <w:bottom w:val="single" w:sz="4" w:space="0" w:color="auto"/>
            </w:tcBorders>
            <w:shd w:val="clear" w:color="auto" w:fill="auto"/>
            <w:vAlign w:val="bottom"/>
          </w:tcPr>
          <w:p w14:paraId="4A471F65" w14:textId="77777777" w:rsidR="000C2F85" w:rsidRPr="00F26A56" w:rsidRDefault="000C2F85" w:rsidP="00F26A56">
            <w:pPr>
              <w:pStyle w:val="SingleTxtG"/>
              <w:tabs>
                <w:tab w:val="clear" w:pos="1701"/>
                <w:tab w:val="clear" w:pos="2268"/>
                <w:tab w:val="clear" w:pos="2835"/>
              </w:tabs>
              <w:spacing w:before="40" w:after="40" w:line="220" w:lineRule="exact"/>
              <w:ind w:left="57" w:right="28"/>
              <w:jc w:val="right"/>
              <w:rPr>
                <w:bCs/>
                <w:sz w:val="18"/>
                <w:lang w:val="es-ES_tradnl"/>
              </w:rPr>
            </w:pPr>
            <w:r w:rsidRPr="00F26A56">
              <w:rPr>
                <w:sz w:val="18"/>
                <w:lang w:val="es-ES_tradnl"/>
              </w:rPr>
              <w:t>1</w:t>
            </w:r>
          </w:p>
        </w:tc>
        <w:tc>
          <w:tcPr>
            <w:tcW w:w="1416" w:type="dxa"/>
            <w:tcBorders>
              <w:bottom w:val="single" w:sz="4" w:space="0" w:color="auto"/>
            </w:tcBorders>
            <w:shd w:val="clear" w:color="auto" w:fill="auto"/>
            <w:vAlign w:val="bottom"/>
          </w:tcPr>
          <w:p w14:paraId="258C521D" w14:textId="77777777" w:rsidR="000C2F85" w:rsidRPr="00F26A56" w:rsidRDefault="000C2F85" w:rsidP="00F26A56">
            <w:pPr>
              <w:pStyle w:val="SingleTxtG"/>
              <w:tabs>
                <w:tab w:val="clear" w:pos="1701"/>
                <w:tab w:val="clear" w:pos="2268"/>
                <w:tab w:val="clear" w:pos="2835"/>
              </w:tabs>
              <w:spacing w:before="40" w:after="40" w:line="220" w:lineRule="exact"/>
              <w:ind w:left="57" w:right="28"/>
              <w:jc w:val="right"/>
              <w:rPr>
                <w:bCs/>
                <w:sz w:val="18"/>
                <w:lang w:val="es-ES_tradnl"/>
              </w:rPr>
            </w:pPr>
            <w:r w:rsidRPr="00F26A56">
              <w:rPr>
                <w:sz w:val="18"/>
                <w:lang w:val="es-ES_tradnl"/>
              </w:rPr>
              <w:t>0,25</w:t>
            </w:r>
          </w:p>
        </w:tc>
      </w:tr>
      <w:tr w:rsidR="000C2F85" w:rsidRPr="00F26A56" w14:paraId="785B76B4" w14:textId="77777777" w:rsidTr="00F26A56">
        <w:trPr>
          <w:trHeight w:val="240"/>
        </w:trPr>
        <w:tc>
          <w:tcPr>
            <w:tcW w:w="3828" w:type="dxa"/>
            <w:tcBorders>
              <w:top w:val="single" w:sz="4" w:space="0" w:color="auto"/>
              <w:bottom w:val="single" w:sz="12" w:space="0" w:color="auto"/>
            </w:tcBorders>
            <w:shd w:val="clear" w:color="auto" w:fill="auto"/>
          </w:tcPr>
          <w:p w14:paraId="3E886B8A" w14:textId="77777777" w:rsidR="000C2F85" w:rsidRPr="00F26A56" w:rsidRDefault="000C2F85" w:rsidP="00F26A56">
            <w:pPr>
              <w:pStyle w:val="SingleTxtG"/>
              <w:tabs>
                <w:tab w:val="clear" w:pos="1701"/>
                <w:tab w:val="clear" w:pos="2268"/>
                <w:tab w:val="clear" w:pos="2835"/>
              </w:tabs>
              <w:spacing w:before="80" w:after="80" w:line="220" w:lineRule="exact"/>
              <w:ind w:left="283" w:right="0"/>
              <w:jc w:val="left"/>
              <w:rPr>
                <w:b/>
                <w:bCs/>
                <w:sz w:val="18"/>
                <w:lang w:val="es-ES_tradnl"/>
              </w:rPr>
            </w:pPr>
            <w:r w:rsidRPr="00F26A56">
              <w:rPr>
                <w:b/>
                <w:bCs/>
                <w:sz w:val="18"/>
                <w:lang w:val="es-ES_tradnl"/>
              </w:rPr>
              <w:t>Total</w:t>
            </w:r>
          </w:p>
        </w:tc>
        <w:tc>
          <w:tcPr>
            <w:tcW w:w="2126" w:type="dxa"/>
            <w:tcBorders>
              <w:top w:val="single" w:sz="4" w:space="0" w:color="auto"/>
              <w:bottom w:val="single" w:sz="12" w:space="0" w:color="auto"/>
            </w:tcBorders>
            <w:shd w:val="clear" w:color="auto" w:fill="auto"/>
            <w:vAlign w:val="bottom"/>
          </w:tcPr>
          <w:p w14:paraId="12926B8C" w14:textId="77777777" w:rsidR="000C2F85" w:rsidRPr="00F26A56" w:rsidRDefault="000C2F85" w:rsidP="00F26A56">
            <w:pPr>
              <w:pStyle w:val="SingleTxtG"/>
              <w:tabs>
                <w:tab w:val="clear" w:pos="1701"/>
                <w:tab w:val="clear" w:pos="2268"/>
                <w:tab w:val="clear" w:pos="2835"/>
              </w:tabs>
              <w:spacing w:before="80" w:after="80" w:line="220" w:lineRule="exact"/>
              <w:ind w:left="57" w:right="28"/>
              <w:jc w:val="right"/>
              <w:rPr>
                <w:b/>
                <w:sz w:val="18"/>
                <w:lang w:val="es-ES_tradnl"/>
              </w:rPr>
            </w:pPr>
            <w:r w:rsidRPr="00F26A56">
              <w:rPr>
                <w:b/>
                <w:bCs/>
                <w:sz w:val="18"/>
                <w:lang w:val="es-ES_tradnl"/>
              </w:rPr>
              <w:t>400</w:t>
            </w:r>
          </w:p>
        </w:tc>
        <w:tc>
          <w:tcPr>
            <w:tcW w:w="1416" w:type="dxa"/>
            <w:tcBorders>
              <w:top w:val="single" w:sz="4" w:space="0" w:color="auto"/>
              <w:bottom w:val="single" w:sz="12" w:space="0" w:color="auto"/>
            </w:tcBorders>
            <w:shd w:val="clear" w:color="auto" w:fill="auto"/>
            <w:vAlign w:val="bottom"/>
          </w:tcPr>
          <w:p w14:paraId="1634883E" w14:textId="77777777" w:rsidR="000C2F85" w:rsidRPr="00F26A56" w:rsidRDefault="000C2F85" w:rsidP="00F26A56">
            <w:pPr>
              <w:pStyle w:val="SingleTxtG"/>
              <w:tabs>
                <w:tab w:val="clear" w:pos="1701"/>
                <w:tab w:val="clear" w:pos="2268"/>
                <w:tab w:val="clear" w:pos="2835"/>
              </w:tabs>
              <w:spacing w:before="80" w:after="80" w:line="220" w:lineRule="exact"/>
              <w:ind w:left="57" w:right="28"/>
              <w:jc w:val="right"/>
              <w:rPr>
                <w:b/>
                <w:sz w:val="18"/>
                <w:lang w:val="es-ES_tradnl"/>
              </w:rPr>
            </w:pPr>
            <w:r w:rsidRPr="00F26A56">
              <w:rPr>
                <w:b/>
                <w:bCs/>
                <w:sz w:val="18"/>
                <w:lang w:val="es-ES_tradnl"/>
              </w:rPr>
              <w:t>100</w:t>
            </w:r>
          </w:p>
        </w:tc>
      </w:tr>
    </w:tbl>
    <w:p w14:paraId="67E5E2D4" w14:textId="1D4E8B33" w:rsidR="000C2F85" w:rsidRPr="000C2F85" w:rsidRDefault="000C2F85" w:rsidP="00F26A56">
      <w:pPr>
        <w:pStyle w:val="SingleTxtG"/>
        <w:spacing w:before="240"/>
        <w:rPr>
          <w:lang w:val="es-ES_tradnl"/>
        </w:rPr>
      </w:pPr>
      <w:r w:rsidRPr="000C2F85">
        <w:rPr>
          <w:lang w:val="es-ES_tradnl"/>
        </w:rPr>
        <w:t>55.</w:t>
      </w:r>
      <w:r w:rsidRPr="000C2F85">
        <w:rPr>
          <w:lang w:val="es-ES_tradnl"/>
        </w:rPr>
        <w:tab/>
        <w:t xml:space="preserve">El Consejo Nacional de las Provincias se encarga de que las nueve provincias y las autoridades locales tengan voz directa en el Parlamento cuando se formulen leyes. El Consejo representa a las provincias para velar por que los intereses provinciales se tengan en cuenta en la esfera de gobierno nacional. Esto se consigue principalmente mediante la participación en el proceso legislativo nacional y la creación de un foro nacional para examinar públicamente las cuestiones que afectan a las provincias. El Consejo Nacional de las Provincias también despeña una función importante en la promoción de la unidad nacional y las buenas relaciones de trabajo entre el Gobierno nacional y las autoridades provinciales y locales. Si bien los delegados en el Consejo Nacional de las Provincias representan a los partidos políticos a los que pertenecen, también tienen el importante deber de representar a sus provincias en conjunto. Cada provincia tiene diez delegados, independientemente de su tamaño, lo que garantiza un equilibrio de intereses entre las provincias. Cada delegación cuenta con seis delegados permanentes y cuatro delegados </w:t>
      </w:r>
      <w:r w:rsidR="0091550D">
        <w:rPr>
          <w:lang w:val="es-ES_tradnl"/>
        </w:rPr>
        <w:t>“</w:t>
      </w:r>
      <w:r w:rsidRPr="000C2F85">
        <w:rPr>
          <w:lang w:val="es-ES_tradnl"/>
        </w:rPr>
        <w:t>especiales</w:t>
      </w:r>
      <w:r w:rsidR="0091550D">
        <w:rPr>
          <w:lang w:val="es-ES_tradnl"/>
        </w:rPr>
        <w:t>”</w:t>
      </w:r>
      <w:r w:rsidRPr="000C2F85">
        <w:rPr>
          <w:lang w:val="es-ES_tradnl"/>
        </w:rPr>
        <w:t xml:space="preserve"> no permanentes, y está encabezada por el Primer Ministro (uno de los delegados especiales) o por un sustituto cuando el Primer Ministro no está disponible. La delegación debe reflejar de forma proporcional los diversos partidos de la provincia.</w:t>
      </w:r>
    </w:p>
    <w:p w14:paraId="793BE090" w14:textId="3E37BEB3" w:rsidR="000C2F85" w:rsidRPr="000C2F85" w:rsidRDefault="000C2F85" w:rsidP="000C2F85">
      <w:pPr>
        <w:pStyle w:val="SingleTxtG"/>
        <w:rPr>
          <w:lang w:val="es-ES_tradnl"/>
        </w:rPr>
      </w:pPr>
      <w:r w:rsidRPr="000C2F85">
        <w:rPr>
          <w:lang w:val="es-ES_tradnl"/>
        </w:rPr>
        <w:t>56.</w:t>
      </w:r>
      <w:r w:rsidRPr="000C2F85">
        <w:rPr>
          <w:lang w:val="es-ES_tradnl"/>
        </w:rPr>
        <w:tab/>
        <w:t>Cada provincia tiene un órgano legislativo, cuyo tamaño varía en función del número de habitantes. Según la Constitución, el tamaño mínimo del órgano legislativo es de 30</w:t>
      </w:r>
      <w:r w:rsidR="00364166">
        <w:rPr>
          <w:lang w:val="es-ES_tradnl"/>
        </w:rPr>
        <w:t> </w:t>
      </w:r>
      <w:r w:rsidRPr="000C2F85">
        <w:rPr>
          <w:lang w:val="es-ES_tradnl"/>
        </w:rPr>
        <w:t xml:space="preserve">miembros y el máximo, de 80. Los miembros se eligen de las listas provinciales sobre la base del número de votos recibidos por un partido político. El órgano legislativo provincial es el encargado de aprobar las leyes de su provincia, según se define en la Constitución. Estas leyes se aplican únicamente en esa provincia. El Parlamento podrá intervenir y modificar estas leyes en determinadas condiciones, por ejemplo, si socavan la seguridad nacional, la unidad económica, las normas nacionales o los intereses de otra provincia. Al igual que el Parlamento, los órganos legislativos provinciales tienen la responsabilidad de pedir a los miembros del poder ejecutivo provincial que rindan cuentas de sus actos. </w:t>
      </w:r>
    </w:p>
    <w:p w14:paraId="0922F6B1" w14:textId="77777777" w:rsidR="000C2F85" w:rsidRPr="000C2F85" w:rsidRDefault="000C2F85" w:rsidP="00F26A56">
      <w:pPr>
        <w:pStyle w:val="H23G"/>
        <w:rPr>
          <w:lang w:val="es-ES_tradnl"/>
        </w:rPr>
      </w:pPr>
      <w:r w:rsidRPr="000C2F85">
        <w:rPr>
          <w:lang w:val="es-ES_tradnl"/>
        </w:rPr>
        <w:tab/>
      </w:r>
      <w:r w:rsidRPr="000C2F85">
        <w:rPr>
          <w:lang w:val="es-ES_tradnl"/>
        </w:rPr>
        <w:tab/>
        <w:t>El poder judicial</w:t>
      </w:r>
    </w:p>
    <w:p w14:paraId="1D5E99E1" w14:textId="77777777" w:rsidR="000C2F85" w:rsidRPr="00364166" w:rsidRDefault="000C2F85" w:rsidP="000C2F85">
      <w:pPr>
        <w:pStyle w:val="SingleTxtG"/>
        <w:rPr>
          <w:lang w:val="es-ES_tradnl"/>
        </w:rPr>
      </w:pPr>
      <w:r w:rsidRPr="000C2F85">
        <w:rPr>
          <w:lang w:val="es-ES_tradnl"/>
        </w:rPr>
        <w:t>57.</w:t>
      </w:r>
      <w:r w:rsidRPr="000C2F85">
        <w:rPr>
          <w:lang w:val="es-ES_tradnl"/>
        </w:rPr>
        <w:tab/>
        <w:t>La doctrina de la separación de poderes, la independencia del poder judicial y la supremacía de la Constitución son la base de la democracia constitucional de Sudáfrica. La doctrina de la separación de poderes es uno de los 34 principios constitucionales que pasaron a ser los elementos centrales de la Constitución</w:t>
      </w:r>
      <w:r w:rsidRPr="00605B48">
        <w:rPr>
          <w:sz w:val="18"/>
          <w:szCs w:val="18"/>
          <w:vertAlign w:val="superscript"/>
          <w:lang w:val="es-ES_tradnl"/>
        </w:rPr>
        <w:footnoteReference w:id="35"/>
      </w:r>
      <w:r w:rsidRPr="000C2F85">
        <w:rPr>
          <w:lang w:val="es-ES_tradnl"/>
        </w:rPr>
        <w:t xml:space="preserve">. El principio de la </w:t>
      </w:r>
      <w:r w:rsidRPr="000C2F85">
        <w:rPr>
          <w:b/>
          <w:bCs/>
          <w:lang w:val="es-ES_tradnl"/>
        </w:rPr>
        <w:t>independencia del poder judicial</w:t>
      </w:r>
      <w:r w:rsidRPr="000C2F85">
        <w:rPr>
          <w:lang w:val="es-ES_tradnl"/>
        </w:rPr>
        <w:t xml:space="preserve"> dimana de los principios básicos del estado de derecho y la separación de poderes. </w:t>
      </w:r>
      <w:r w:rsidRPr="000C2F85">
        <w:rPr>
          <w:lang w:val="es-ES_tradnl"/>
        </w:rPr>
        <w:lastRenderedPageBreak/>
        <w:t>La independencia del poder judicial está reconocida y protegida por la Constitución en su artículo 165</w:t>
      </w:r>
      <w:r w:rsidRPr="00605B48">
        <w:rPr>
          <w:sz w:val="18"/>
          <w:szCs w:val="18"/>
          <w:vertAlign w:val="superscript"/>
          <w:lang w:val="es-ES_tradnl"/>
        </w:rPr>
        <w:footnoteReference w:id="36"/>
      </w:r>
      <w:r w:rsidRPr="000C2F85">
        <w:rPr>
          <w:lang w:val="es-ES_tradnl"/>
        </w:rPr>
        <w:t>. La independencia judicial ha sido reconocida internacionalmente en varias declaraciones e instrumentos internacionales, como los Principios Básicos relativos a la Independencia de la Judicatura</w:t>
      </w:r>
      <w:r w:rsidRPr="00605B48">
        <w:rPr>
          <w:sz w:val="18"/>
          <w:szCs w:val="18"/>
          <w:vertAlign w:val="superscript"/>
          <w:lang w:val="es-ES_tradnl"/>
        </w:rPr>
        <w:footnoteReference w:id="37"/>
      </w:r>
      <w:r w:rsidRPr="000C2F85">
        <w:rPr>
          <w:lang w:val="es-ES_tradnl"/>
        </w:rPr>
        <w:t xml:space="preserve"> y la Carta Africana de Derechos Humanos y de los Pueblos</w:t>
      </w:r>
      <w:r w:rsidRPr="00605B48">
        <w:rPr>
          <w:sz w:val="18"/>
          <w:szCs w:val="18"/>
          <w:vertAlign w:val="superscript"/>
          <w:lang w:val="es-ES_tradnl"/>
        </w:rPr>
        <w:footnoteReference w:id="38"/>
      </w:r>
      <w:r w:rsidRPr="000C2F85">
        <w:rPr>
          <w:lang w:val="es-ES_tradnl"/>
        </w:rPr>
        <w:t>.</w:t>
      </w:r>
    </w:p>
    <w:p w14:paraId="5141FB58" w14:textId="7D2E8408" w:rsidR="000C2F85" w:rsidRPr="000C2F85" w:rsidRDefault="000C2F85" w:rsidP="000C2F85">
      <w:pPr>
        <w:pStyle w:val="SingleTxtG"/>
        <w:rPr>
          <w:lang w:val="es-ES_tradnl"/>
        </w:rPr>
      </w:pPr>
      <w:r w:rsidRPr="000C2F85">
        <w:rPr>
          <w:lang w:val="es-ES_tradnl"/>
        </w:rPr>
        <w:t>58.</w:t>
      </w:r>
      <w:r w:rsidRPr="000C2F85">
        <w:rPr>
          <w:lang w:val="es-ES_tradnl"/>
        </w:rPr>
        <w:tab/>
        <w:t>Desde la llegada de la democracia, el Gobierno ha iniciado un proceso de transformación del poder judicial y fortalecimiento de su independencia. La Ley de la 17ª</w:t>
      </w:r>
      <w:r w:rsidR="00A823EA">
        <w:rPr>
          <w:lang w:val="es-ES_tradnl"/>
        </w:rPr>
        <w:t> </w:t>
      </w:r>
      <w:r w:rsidRPr="000C2F85">
        <w:rPr>
          <w:lang w:val="es-ES_tradnl"/>
        </w:rPr>
        <w:t>Enmienda de la Constitución de 2012 establece un único Tribunal Superior de Sudáfrica y confirma al Tribunal Constitucional como la máxima instancia judicial de la República. La Ley de Tribunales Superiores de 2013</w:t>
      </w:r>
      <w:r w:rsidRPr="00605B48">
        <w:rPr>
          <w:sz w:val="18"/>
          <w:szCs w:val="18"/>
          <w:vertAlign w:val="superscript"/>
          <w:lang w:val="es-ES_tradnl"/>
        </w:rPr>
        <w:footnoteReference w:id="39"/>
      </w:r>
      <w:r w:rsidRPr="000C2F85">
        <w:rPr>
          <w:lang w:val="es-ES_tradnl"/>
        </w:rPr>
        <w:t>, promulgada por el Presidente el 13 de agosto de</w:t>
      </w:r>
      <w:r w:rsidR="00A823EA">
        <w:rPr>
          <w:lang w:val="es-ES_tradnl"/>
        </w:rPr>
        <w:t> </w:t>
      </w:r>
      <w:r w:rsidRPr="000C2F85">
        <w:rPr>
          <w:lang w:val="es-ES_tradnl"/>
        </w:rPr>
        <w:t>2013, tiene por objeto racionalizar la estructura y el funcionamiento de los tribunales superiores con el fin de aumentar su eficacia.</w:t>
      </w:r>
    </w:p>
    <w:p w14:paraId="6B54380E" w14:textId="46BD6714" w:rsidR="000C2F85" w:rsidRPr="000C2F85" w:rsidRDefault="000C2F85" w:rsidP="000C2F85">
      <w:pPr>
        <w:pStyle w:val="SingleTxtG"/>
        <w:rPr>
          <w:lang w:val="es-ES_tradnl"/>
        </w:rPr>
      </w:pPr>
      <w:r w:rsidRPr="000C2F85">
        <w:rPr>
          <w:lang w:val="es-ES_tradnl"/>
        </w:rPr>
        <w:t>59.</w:t>
      </w:r>
      <w:r w:rsidRPr="000C2F85">
        <w:rPr>
          <w:lang w:val="es-ES_tradnl"/>
        </w:rPr>
        <w:tab/>
        <w:t>El Consejo Superior de la Magistratura se estableció de conformidad con el artículo</w:t>
      </w:r>
      <w:r w:rsidR="006666A8">
        <w:rPr>
          <w:lang w:val="es-ES_tradnl"/>
        </w:rPr>
        <w:t> </w:t>
      </w:r>
      <w:r w:rsidRPr="000C2F85">
        <w:rPr>
          <w:lang w:val="es-ES_tradnl"/>
        </w:rPr>
        <w:t>178 de la Constitución y está integrado por 23 miembros. Con arreglo al artículo 178, párrafo 5, de la Constitución, el Consejo está facultado para asesorar al Gobierno sobre toda cuestión relativa al poder judicial o a la administración de justicia. Además, se encarga de las siguientes tareas: entrevistar a los candidatos a puestos judiciales y formular recomendaciones para su nombramiento a la judicatura, y tratar las denuncias presentadas contra jueces. La primera función corresponde al Consejo Superior de la Magistratura en su conjunto y la segunda compete a un grupo más reducido, compuesto por 13 miembros del Consejo. Las denuncias contra jueces que infrinjan el Código de Conducta Judicial deben comunicarse primero a la Secretaría del Consejo, que depende la Oficina del Presidente de la Corte Suprema. El Código de Conducta Judicial establece las normas éticas y profesionales que todo juez debe cumplir.</w:t>
      </w:r>
    </w:p>
    <w:p w14:paraId="18F7702B" w14:textId="77777777" w:rsidR="000C2F85" w:rsidRPr="000C2F85" w:rsidRDefault="000C2F85" w:rsidP="000C2F85">
      <w:pPr>
        <w:pStyle w:val="SingleTxtG"/>
        <w:rPr>
          <w:lang w:val="es-ES_tradnl"/>
        </w:rPr>
      </w:pPr>
      <w:r w:rsidRPr="000C2F85">
        <w:rPr>
          <w:lang w:val="es-ES_tradnl"/>
        </w:rPr>
        <w:t>60.</w:t>
      </w:r>
      <w:r w:rsidRPr="000C2F85">
        <w:rPr>
          <w:lang w:val="es-ES_tradnl"/>
        </w:rPr>
        <w:tab/>
        <w:t xml:space="preserve">El Presidente de la República, tras celebrar consultas con el Consejo Superior de la Magistratura y los dirigentes de los partidos representados en la Asamblea Nacional, nombra al Presidente y al Vicepresidente de la Corte Suprema y, en consulta con el Consejo Superior de la Magistratura, nombra al Presidente y al Vicepresidente de la Corte Suprema de Apelaciones. Los demás magistrados del Tribunal Constitucional son nombrados por el Presidente de la República, en consulta con el Presidente de la Corte Suprema y los dirigentes de los partidos representados en la Asamblea Nacional, tras examinar una lista de candidatos presentada por el Consejo Superior de la Magistratura. El Presidente de la República nombra a todos los demás jueces teniendo en cuenta la recomendación del Consejo Superior de la Magistratura. </w:t>
      </w:r>
    </w:p>
    <w:p w14:paraId="6796D77E" w14:textId="77777777" w:rsidR="000C2F85" w:rsidRPr="000C2F85" w:rsidRDefault="000C2F85" w:rsidP="000C2F85">
      <w:pPr>
        <w:pStyle w:val="SingleTxtG"/>
        <w:rPr>
          <w:lang w:val="es-ES_tradnl"/>
        </w:rPr>
      </w:pPr>
      <w:r w:rsidRPr="000C2F85">
        <w:rPr>
          <w:lang w:val="es-ES_tradnl"/>
        </w:rPr>
        <w:t>61.</w:t>
      </w:r>
      <w:r w:rsidRPr="000C2F85">
        <w:rPr>
          <w:lang w:val="es-ES_tradnl"/>
        </w:rPr>
        <w:tab/>
        <w:t>La designación de jueces de tribunales de rango inferior corresponde al Ministro de Justicia y Servicios Penitenciarios en virtud de la Ley de Jueces de Tribunales de Rango Inferior de 1993, tras celebrar consultas con la Comisión de la Magistratura</w:t>
      </w:r>
      <w:r w:rsidRPr="00605B48">
        <w:rPr>
          <w:sz w:val="18"/>
          <w:szCs w:val="18"/>
          <w:vertAlign w:val="superscript"/>
          <w:lang w:val="es-ES_tradnl"/>
        </w:rPr>
        <w:footnoteReference w:id="40"/>
      </w:r>
      <w:r w:rsidRPr="000C2F85">
        <w:rPr>
          <w:lang w:val="es-ES_tradnl"/>
        </w:rPr>
        <w:t xml:space="preserve">. La Comisión es un órgano oficial establecido con arreglo a la Ley de Jueces de Tribunales de Rango Inferior. Está presidida por un magistrado designado por el Presidente de la República en </w:t>
      </w:r>
      <w:r w:rsidRPr="000C2F85">
        <w:rPr>
          <w:lang w:val="es-ES_tradnl"/>
        </w:rPr>
        <w:lastRenderedPageBreak/>
        <w:t>consulta con el Presidente de la Corte Suprema. Los objetivos de la Comisión son, entre otros, elaborar un código de conducta para funcionarios judiciales de los tribunales inferiores (juzgados de distrito y tribunales regionales) y asesorar al Ministro de Justicia en relación con el nombramiento de jueces de primera instancia. Asimismo, asesora o formula recomendaciones o transmite información al Ministro, para que este la remita al Parlamento, sobre cualquier asunto de interés para la independencia a la hora de impartir justicia y la eficiencia de la administración de justicia en los tribunales de primera instancia. También lleva a cabo investigaciones y formula recomendaciones al Ministro sobre la suspensión y la destitución de jueces. El comportamiento presuntamente indebido de un juez puede ser denunciado ante la autoridad que supervise el órgano judicial presidido por el juez de que se trate. Con arreglo a la Ley del Instituto de Educación Judicial de Sudáfrica de 2008</w:t>
      </w:r>
      <w:r w:rsidRPr="00605B48">
        <w:rPr>
          <w:sz w:val="18"/>
          <w:szCs w:val="18"/>
          <w:vertAlign w:val="superscript"/>
          <w:lang w:val="es-ES_tradnl"/>
        </w:rPr>
        <w:footnoteReference w:id="41"/>
      </w:r>
      <w:r w:rsidRPr="000C2F85">
        <w:rPr>
          <w:lang w:val="es-ES_tradnl"/>
        </w:rPr>
        <w:t xml:space="preserve"> se estableció un instituto de educación judicial con el fin de promover la independencia, la imparcialidad, la dignidad, la accesibilidad y la eficacia de los tribunales mediante formación destinada a todos los jueces. El Instituto de Educación Judicial está administrado por un Consejo compuesto por 20 personas, al frente del cual está el Presidente de la Corte Suprema. </w:t>
      </w:r>
    </w:p>
    <w:p w14:paraId="20D5ED9E" w14:textId="77777777" w:rsidR="000C2F85" w:rsidRPr="000C2F85" w:rsidRDefault="000C2F85" w:rsidP="000C2F85">
      <w:pPr>
        <w:pStyle w:val="SingleTxtG"/>
        <w:rPr>
          <w:lang w:val="es-ES_tradnl"/>
        </w:rPr>
      </w:pPr>
      <w:r w:rsidRPr="000C2F85">
        <w:rPr>
          <w:lang w:val="es-ES_tradnl"/>
        </w:rPr>
        <w:t>62.</w:t>
      </w:r>
      <w:r w:rsidRPr="000C2F85">
        <w:rPr>
          <w:lang w:val="es-ES_tradnl"/>
        </w:rPr>
        <w:tab/>
        <w:t>El Gobierno y el poder judicial han realizado una importante labor para transformar la judicatura de manera que refleje plenamente las características demográficas de nuestro país. En el cuadro que figura a continuación se indica la composición racial y de género de los 250 jueces permanentes que había en el país a 28 de febrero de 2018.</w:t>
      </w:r>
    </w:p>
    <w:p w14:paraId="4A098F01" w14:textId="77777777" w:rsidR="000C2F85" w:rsidRPr="000C2F85" w:rsidRDefault="000C2F85" w:rsidP="00F26A56">
      <w:pPr>
        <w:pStyle w:val="H23G"/>
        <w:rPr>
          <w:lang w:val="es-ES_tradnl"/>
        </w:rPr>
      </w:pPr>
      <w:r w:rsidRPr="00F26A56">
        <w:rPr>
          <w:b w:val="0"/>
          <w:bCs/>
          <w:lang w:val="es-ES_tradnl"/>
        </w:rPr>
        <w:tab/>
      </w:r>
      <w:r w:rsidRPr="00F26A56">
        <w:rPr>
          <w:b w:val="0"/>
          <w:bCs/>
          <w:lang w:val="es-ES_tradnl"/>
        </w:rPr>
        <w:tab/>
        <w:t>Cuadro 19</w:t>
      </w:r>
      <w:r w:rsidRPr="00F26A56">
        <w:rPr>
          <w:b w:val="0"/>
          <w:bCs/>
          <w:lang w:val="es-ES_tradnl"/>
        </w:rPr>
        <w:br/>
      </w:r>
      <w:r w:rsidRPr="000C2F85">
        <w:rPr>
          <w:lang w:val="es-ES_tradnl"/>
        </w:rPr>
        <w:t>Composición racial y de género de los jueces permanentes a febrero de 2018</w:t>
      </w:r>
    </w:p>
    <w:tbl>
      <w:tblPr>
        <w:tblStyle w:val="Tablaconcuadrcula"/>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992"/>
        <w:gridCol w:w="851"/>
        <w:gridCol w:w="850"/>
        <w:gridCol w:w="709"/>
        <w:gridCol w:w="850"/>
        <w:gridCol w:w="709"/>
        <w:gridCol w:w="851"/>
        <w:gridCol w:w="707"/>
      </w:tblGrid>
      <w:tr w:rsidR="000C2F85" w:rsidRPr="00F26A56" w14:paraId="334818AA" w14:textId="77777777" w:rsidTr="00F26A56">
        <w:trPr>
          <w:trHeight w:val="240"/>
          <w:tblHeader/>
        </w:trPr>
        <w:tc>
          <w:tcPr>
            <w:tcW w:w="851" w:type="dxa"/>
            <w:shd w:val="clear" w:color="auto" w:fill="auto"/>
            <w:noWrap/>
            <w:vAlign w:val="bottom"/>
            <w:hideMark/>
          </w:tcPr>
          <w:p w14:paraId="6BBFF393" w14:textId="77777777" w:rsidR="000C2F85" w:rsidRPr="00F26A56" w:rsidRDefault="000C2F85" w:rsidP="00F26A56">
            <w:pPr>
              <w:pStyle w:val="SingleTxtG"/>
              <w:tabs>
                <w:tab w:val="clear" w:pos="1701"/>
                <w:tab w:val="clear" w:pos="2268"/>
                <w:tab w:val="clear" w:pos="2835"/>
              </w:tabs>
              <w:spacing w:before="80" w:after="80" w:line="200" w:lineRule="exact"/>
              <w:ind w:left="0" w:right="0"/>
              <w:jc w:val="left"/>
              <w:rPr>
                <w:i/>
                <w:sz w:val="16"/>
                <w:lang w:val="es-ES_tradnl"/>
              </w:rPr>
            </w:pPr>
            <w:r w:rsidRPr="00F26A56">
              <w:rPr>
                <w:i/>
                <w:iCs/>
                <w:sz w:val="16"/>
                <w:lang w:val="es-ES_tradnl"/>
              </w:rPr>
              <w:t>Categoría del puesto</w:t>
            </w:r>
          </w:p>
        </w:tc>
        <w:tc>
          <w:tcPr>
            <w:tcW w:w="992" w:type="dxa"/>
            <w:shd w:val="clear" w:color="auto" w:fill="auto"/>
            <w:noWrap/>
            <w:vAlign w:val="bottom"/>
            <w:hideMark/>
          </w:tcPr>
          <w:p w14:paraId="3DF042EB" w14:textId="77777777" w:rsidR="000C2F85" w:rsidRPr="00F26A56" w:rsidRDefault="000C2F85" w:rsidP="00F26A56">
            <w:pPr>
              <w:pStyle w:val="SingleTxtG"/>
              <w:tabs>
                <w:tab w:val="clear" w:pos="1701"/>
                <w:tab w:val="clear" w:pos="2268"/>
                <w:tab w:val="clear" w:pos="2835"/>
              </w:tabs>
              <w:spacing w:before="80" w:after="80" w:line="200" w:lineRule="exact"/>
              <w:ind w:left="28" w:right="28"/>
              <w:jc w:val="right"/>
              <w:rPr>
                <w:i/>
                <w:sz w:val="16"/>
                <w:lang w:val="es-ES_tradnl"/>
              </w:rPr>
            </w:pPr>
            <w:r w:rsidRPr="00F26A56">
              <w:rPr>
                <w:i/>
                <w:iCs/>
                <w:sz w:val="16"/>
                <w:lang w:val="es-ES_tradnl"/>
              </w:rPr>
              <w:t>Hombres africanos</w:t>
            </w:r>
          </w:p>
        </w:tc>
        <w:tc>
          <w:tcPr>
            <w:tcW w:w="851" w:type="dxa"/>
            <w:shd w:val="clear" w:color="auto" w:fill="auto"/>
            <w:noWrap/>
            <w:vAlign w:val="bottom"/>
            <w:hideMark/>
          </w:tcPr>
          <w:p w14:paraId="4543F63B" w14:textId="77777777" w:rsidR="000C2F85" w:rsidRPr="00F26A56" w:rsidRDefault="000C2F85" w:rsidP="00F26A56">
            <w:pPr>
              <w:pStyle w:val="SingleTxtG"/>
              <w:tabs>
                <w:tab w:val="clear" w:pos="1701"/>
                <w:tab w:val="clear" w:pos="2268"/>
                <w:tab w:val="clear" w:pos="2835"/>
              </w:tabs>
              <w:spacing w:before="80" w:after="80" w:line="200" w:lineRule="exact"/>
              <w:ind w:left="28" w:right="28"/>
              <w:jc w:val="right"/>
              <w:rPr>
                <w:i/>
                <w:sz w:val="16"/>
                <w:lang w:val="es-ES_tradnl"/>
              </w:rPr>
            </w:pPr>
            <w:r w:rsidRPr="00F26A56">
              <w:rPr>
                <w:i/>
                <w:iCs/>
                <w:sz w:val="16"/>
                <w:lang w:val="es-ES_tradnl"/>
              </w:rPr>
              <w:t>Mujeres africanas</w:t>
            </w:r>
          </w:p>
        </w:tc>
        <w:tc>
          <w:tcPr>
            <w:tcW w:w="850" w:type="dxa"/>
            <w:shd w:val="clear" w:color="auto" w:fill="auto"/>
            <w:noWrap/>
            <w:vAlign w:val="bottom"/>
            <w:hideMark/>
          </w:tcPr>
          <w:p w14:paraId="5B4A0C80" w14:textId="77777777" w:rsidR="000C2F85" w:rsidRPr="00F26A56" w:rsidRDefault="000C2F85" w:rsidP="00F26A56">
            <w:pPr>
              <w:pStyle w:val="SingleTxtG"/>
              <w:tabs>
                <w:tab w:val="clear" w:pos="1701"/>
                <w:tab w:val="clear" w:pos="2268"/>
                <w:tab w:val="clear" w:pos="2835"/>
              </w:tabs>
              <w:spacing w:before="80" w:after="80" w:line="200" w:lineRule="exact"/>
              <w:ind w:left="28" w:right="28"/>
              <w:jc w:val="right"/>
              <w:rPr>
                <w:i/>
                <w:sz w:val="16"/>
                <w:lang w:val="es-ES_tradnl"/>
              </w:rPr>
            </w:pPr>
            <w:r w:rsidRPr="00F26A56">
              <w:rPr>
                <w:i/>
                <w:iCs/>
                <w:sz w:val="16"/>
                <w:lang w:val="es-ES_tradnl"/>
              </w:rPr>
              <w:t>Hombres mestizos</w:t>
            </w:r>
          </w:p>
        </w:tc>
        <w:tc>
          <w:tcPr>
            <w:tcW w:w="709" w:type="dxa"/>
            <w:shd w:val="clear" w:color="auto" w:fill="auto"/>
            <w:noWrap/>
            <w:vAlign w:val="bottom"/>
            <w:hideMark/>
          </w:tcPr>
          <w:p w14:paraId="42CE66E3" w14:textId="77777777" w:rsidR="000C2F85" w:rsidRPr="00F26A56" w:rsidRDefault="000C2F85" w:rsidP="00F26A56">
            <w:pPr>
              <w:pStyle w:val="SingleTxtG"/>
              <w:tabs>
                <w:tab w:val="clear" w:pos="1701"/>
                <w:tab w:val="clear" w:pos="2268"/>
                <w:tab w:val="clear" w:pos="2835"/>
              </w:tabs>
              <w:spacing w:before="80" w:after="80" w:line="200" w:lineRule="exact"/>
              <w:ind w:left="28" w:right="28"/>
              <w:jc w:val="right"/>
              <w:rPr>
                <w:i/>
                <w:sz w:val="16"/>
                <w:lang w:val="es-ES_tradnl"/>
              </w:rPr>
            </w:pPr>
            <w:r w:rsidRPr="00F26A56">
              <w:rPr>
                <w:i/>
                <w:iCs/>
                <w:sz w:val="16"/>
                <w:lang w:val="es-ES_tradnl"/>
              </w:rPr>
              <w:t>Mujeres mestizas</w:t>
            </w:r>
          </w:p>
        </w:tc>
        <w:tc>
          <w:tcPr>
            <w:tcW w:w="850" w:type="dxa"/>
            <w:shd w:val="clear" w:color="auto" w:fill="auto"/>
            <w:noWrap/>
            <w:vAlign w:val="bottom"/>
            <w:hideMark/>
          </w:tcPr>
          <w:p w14:paraId="034DEAE2" w14:textId="77777777" w:rsidR="000C2F85" w:rsidRPr="00F26A56" w:rsidRDefault="000C2F85" w:rsidP="00F26A56">
            <w:pPr>
              <w:pStyle w:val="SingleTxtG"/>
              <w:tabs>
                <w:tab w:val="clear" w:pos="1701"/>
                <w:tab w:val="clear" w:pos="2268"/>
                <w:tab w:val="clear" w:pos="2835"/>
              </w:tabs>
              <w:spacing w:before="80" w:after="80" w:line="200" w:lineRule="exact"/>
              <w:ind w:left="28" w:right="28"/>
              <w:jc w:val="right"/>
              <w:rPr>
                <w:i/>
                <w:sz w:val="16"/>
                <w:lang w:val="es-ES_tradnl"/>
              </w:rPr>
            </w:pPr>
            <w:r w:rsidRPr="00F26A56">
              <w:rPr>
                <w:i/>
                <w:iCs/>
                <w:sz w:val="16"/>
                <w:lang w:val="es-ES_tradnl"/>
              </w:rPr>
              <w:t>Hombres indios</w:t>
            </w:r>
          </w:p>
        </w:tc>
        <w:tc>
          <w:tcPr>
            <w:tcW w:w="709" w:type="dxa"/>
            <w:shd w:val="clear" w:color="auto" w:fill="auto"/>
            <w:noWrap/>
            <w:vAlign w:val="bottom"/>
            <w:hideMark/>
          </w:tcPr>
          <w:p w14:paraId="5F38A077" w14:textId="77777777" w:rsidR="000C2F85" w:rsidRPr="00F26A56" w:rsidRDefault="000C2F85" w:rsidP="00F26A56">
            <w:pPr>
              <w:pStyle w:val="SingleTxtG"/>
              <w:tabs>
                <w:tab w:val="clear" w:pos="1701"/>
                <w:tab w:val="clear" w:pos="2268"/>
                <w:tab w:val="clear" w:pos="2835"/>
              </w:tabs>
              <w:spacing w:before="80" w:after="80" w:line="200" w:lineRule="exact"/>
              <w:ind w:left="28" w:right="28"/>
              <w:jc w:val="right"/>
              <w:rPr>
                <w:i/>
                <w:sz w:val="16"/>
                <w:lang w:val="es-ES_tradnl"/>
              </w:rPr>
            </w:pPr>
            <w:r w:rsidRPr="00F26A56">
              <w:rPr>
                <w:i/>
                <w:iCs/>
                <w:sz w:val="16"/>
                <w:lang w:val="es-ES_tradnl"/>
              </w:rPr>
              <w:t>Mujeres indias</w:t>
            </w:r>
          </w:p>
        </w:tc>
        <w:tc>
          <w:tcPr>
            <w:tcW w:w="851" w:type="dxa"/>
            <w:shd w:val="clear" w:color="auto" w:fill="auto"/>
            <w:noWrap/>
            <w:vAlign w:val="bottom"/>
            <w:hideMark/>
          </w:tcPr>
          <w:p w14:paraId="1A70D033" w14:textId="77777777" w:rsidR="000C2F85" w:rsidRPr="00F26A56" w:rsidRDefault="000C2F85" w:rsidP="00F26A56">
            <w:pPr>
              <w:pStyle w:val="SingleTxtG"/>
              <w:tabs>
                <w:tab w:val="clear" w:pos="1701"/>
                <w:tab w:val="clear" w:pos="2268"/>
                <w:tab w:val="clear" w:pos="2835"/>
              </w:tabs>
              <w:spacing w:before="80" w:after="80" w:line="200" w:lineRule="exact"/>
              <w:ind w:left="28" w:right="28"/>
              <w:jc w:val="right"/>
              <w:rPr>
                <w:i/>
                <w:sz w:val="16"/>
                <w:lang w:val="es-ES_tradnl"/>
              </w:rPr>
            </w:pPr>
            <w:r w:rsidRPr="00F26A56">
              <w:rPr>
                <w:i/>
                <w:iCs/>
                <w:sz w:val="16"/>
                <w:lang w:val="es-ES_tradnl"/>
              </w:rPr>
              <w:t>Hombres blancos</w:t>
            </w:r>
            <w:r w:rsidRPr="00F26A56">
              <w:rPr>
                <w:i/>
                <w:sz w:val="16"/>
                <w:lang w:val="es-ES_tradnl"/>
              </w:rPr>
              <w:t xml:space="preserve"> </w:t>
            </w:r>
          </w:p>
        </w:tc>
        <w:tc>
          <w:tcPr>
            <w:tcW w:w="707" w:type="dxa"/>
            <w:shd w:val="clear" w:color="auto" w:fill="auto"/>
            <w:noWrap/>
            <w:vAlign w:val="bottom"/>
            <w:hideMark/>
          </w:tcPr>
          <w:p w14:paraId="74EFEC45" w14:textId="77777777" w:rsidR="000C2F85" w:rsidRPr="00F26A56" w:rsidRDefault="000C2F85" w:rsidP="00F26A56">
            <w:pPr>
              <w:pStyle w:val="SingleTxtG"/>
              <w:tabs>
                <w:tab w:val="clear" w:pos="1701"/>
                <w:tab w:val="clear" w:pos="2268"/>
                <w:tab w:val="clear" w:pos="2835"/>
              </w:tabs>
              <w:spacing w:before="80" w:after="80" w:line="200" w:lineRule="exact"/>
              <w:ind w:left="28" w:right="28"/>
              <w:jc w:val="right"/>
              <w:rPr>
                <w:i/>
                <w:sz w:val="16"/>
                <w:lang w:val="es-ES_tradnl"/>
              </w:rPr>
            </w:pPr>
            <w:r w:rsidRPr="00F26A56">
              <w:rPr>
                <w:i/>
                <w:iCs/>
                <w:sz w:val="16"/>
                <w:lang w:val="es-ES_tradnl"/>
              </w:rPr>
              <w:t>Mujeres blancas</w:t>
            </w:r>
          </w:p>
        </w:tc>
      </w:tr>
      <w:tr w:rsidR="000C2F85" w:rsidRPr="00F26A56" w14:paraId="53E1DFE6" w14:textId="77777777" w:rsidTr="00F26A56">
        <w:trPr>
          <w:trHeight w:val="240"/>
        </w:trPr>
        <w:tc>
          <w:tcPr>
            <w:tcW w:w="851" w:type="dxa"/>
            <w:shd w:val="clear" w:color="auto" w:fill="auto"/>
            <w:noWrap/>
            <w:hideMark/>
          </w:tcPr>
          <w:p w14:paraId="6FE70680"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bCs/>
                <w:sz w:val="18"/>
                <w:lang w:val="es-ES_tradnl"/>
              </w:rPr>
            </w:pPr>
            <w:r w:rsidRPr="00F26A56">
              <w:rPr>
                <w:bCs/>
                <w:sz w:val="18"/>
                <w:lang w:val="es-ES_tradnl"/>
              </w:rPr>
              <w:t>Jueces</w:t>
            </w:r>
          </w:p>
        </w:tc>
        <w:tc>
          <w:tcPr>
            <w:tcW w:w="992" w:type="dxa"/>
            <w:shd w:val="clear" w:color="auto" w:fill="auto"/>
            <w:noWrap/>
            <w:vAlign w:val="bottom"/>
            <w:hideMark/>
          </w:tcPr>
          <w:p w14:paraId="0CF1470D" w14:textId="77777777" w:rsidR="000C2F85" w:rsidRPr="00F26A56" w:rsidRDefault="000C2F85" w:rsidP="00F26A56">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69</w:t>
            </w:r>
          </w:p>
        </w:tc>
        <w:tc>
          <w:tcPr>
            <w:tcW w:w="851" w:type="dxa"/>
            <w:shd w:val="clear" w:color="auto" w:fill="auto"/>
            <w:noWrap/>
            <w:vAlign w:val="bottom"/>
            <w:hideMark/>
          </w:tcPr>
          <w:p w14:paraId="1F3F7C97" w14:textId="77777777" w:rsidR="000C2F85" w:rsidRPr="00F26A56" w:rsidRDefault="000C2F85" w:rsidP="00F26A56">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44</w:t>
            </w:r>
          </w:p>
        </w:tc>
        <w:tc>
          <w:tcPr>
            <w:tcW w:w="850" w:type="dxa"/>
            <w:shd w:val="clear" w:color="auto" w:fill="auto"/>
            <w:noWrap/>
            <w:vAlign w:val="bottom"/>
            <w:hideMark/>
          </w:tcPr>
          <w:p w14:paraId="619B6F8A" w14:textId="77777777" w:rsidR="000C2F85" w:rsidRPr="00F26A56" w:rsidRDefault="000C2F85" w:rsidP="00F26A56">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16</w:t>
            </w:r>
          </w:p>
        </w:tc>
        <w:tc>
          <w:tcPr>
            <w:tcW w:w="709" w:type="dxa"/>
            <w:shd w:val="clear" w:color="auto" w:fill="auto"/>
            <w:noWrap/>
            <w:vAlign w:val="bottom"/>
            <w:hideMark/>
          </w:tcPr>
          <w:p w14:paraId="2312F44D" w14:textId="77777777" w:rsidR="000C2F85" w:rsidRPr="00F26A56" w:rsidRDefault="000C2F85" w:rsidP="00F26A56">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11</w:t>
            </w:r>
          </w:p>
        </w:tc>
        <w:tc>
          <w:tcPr>
            <w:tcW w:w="850" w:type="dxa"/>
            <w:shd w:val="clear" w:color="auto" w:fill="auto"/>
            <w:noWrap/>
            <w:vAlign w:val="bottom"/>
            <w:hideMark/>
          </w:tcPr>
          <w:p w14:paraId="2932E86B" w14:textId="77777777" w:rsidR="000C2F85" w:rsidRPr="00F26A56" w:rsidRDefault="000C2F85" w:rsidP="00F26A56">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14</w:t>
            </w:r>
          </w:p>
        </w:tc>
        <w:tc>
          <w:tcPr>
            <w:tcW w:w="709" w:type="dxa"/>
            <w:shd w:val="clear" w:color="auto" w:fill="auto"/>
            <w:noWrap/>
            <w:vAlign w:val="bottom"/>
            <w:hideMark/>
          </w:tcPr>
          <w:p w14:paraId="210B1E6D" w14:textId="77777777" w:rsidR="000C2F85" w:rsidRPr="00F26A56" w:rsidRDefault="000C2F85" w:rsidP="00F26A56">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10</w:t>
            </w:r>
          </w:p>
        </w:tc>
        <w:tc>
          <w:tcPr>
            <w:tcW w:w="851" w:type="dxa"/>
            <w:shd w:val="clear" w:color="auto" w:fill="auto"/>
            <w:noWrap/>
            <w:vAlign w:val="bottom"/>
            <w:hideMark/>
          </w:tcPr>
          <w:p w14:paraId="429AEF00" w14:textId="77777777" w:rsidR="000C2F85" w:rsidRPr="00F26A56" w:rsidRDefault="000C2F85" w:rsidP="00F26A56">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61</w:t>
            </w:r>
          </w:p>
        </w:tc>
        <w:tc>
          <w:tcPr>
            <w:tcW w:w="707" w:type="dxa"/>
            <w:shd w:val="clear" w:color="auto" w:fill="auto"/>
            <w:noWrap/>
            <w:vAlign w:val="bottom"/>
            <w:hideMark/>
          </w:tcPr>
          <w:p w14:paraId="4CCF9DB4" w14:textId="77777777" w:rsidR="000C2F85" w:rsidRPr="00F26A56" w:rsidRDefault="000C2F85" w:rsidP="00F26A56">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25</w:t>
            </w:r>
          </w:p>
        </w:tc>
      </w:tr>
    </w:tbl>
    <w:p w14:paraId="1B576EC5" w14:textId="77777777" w:rsidR="000C2F85" w:rsidRPr="000C2F85" w:rsidRDefault="000C2F85" w:rsidP="00F26A56">
      <w:pPr>
        <w:pStyle w:val="SingleTxtG"/>
        <w:spacing w:before="240"/>
        <w:rPr>
          <w:lang w:val="es-ES_tradnl"/>
        </w:rPr>
      </w:pPr>
      <w:r w:rsidRPr="000C2F85">
        <w:rPr>
          <w:lang w:val="es-ES_tradnl"/>
        </w:rPr>
        <w:t>63.</w:t>
      </w:r>
      <w:r w:rsidRPr="000C2F85">
        <w:rPr>
          <w:lang w:val="es-ES_tradnl"/>
        </w:rPr>
        <w:tab/>
        <w:t>Con respecto al desglose por raza y género de la magistratura, en el cuadro que figura a continuación se muestra una comparación entre 1998 y febrero de 2018.</w:t>
      </w:r>
    </w:p>
    <w:p w14:paraId="04414AD8" w14:textId="7475321B" w:rsidR="000C2F85" w:rsidRPr="000C2F85" w:rsidRDefault="000C2F85" w:rsidP="00F26A56">
      <w:pPr>
        <w:pStyle w:val="H23G"/>
        <w:ind w:left="0" w:firstLine="0"/>
        <w:rPr>
          <w:lang w:val="es-ES_tradnl"/>
        </w:rPr>
      </w:pPr>
      <w:r w:rsidRPr="00F26A56">
        <w:rPr>
          <w:b w:val="0"/>
          <w:bCs/>
          <w:lang w:val="es-ES_tradnl"/>
        </w:rPr>
        <w:t>Cuadro 20</w:t>
      </w:r>
      <w:r w:rsidRPr="00F26A56">
        <w:rPr>
          <w:b w:val="0"/>
          <w:bCs/>
          <w:lang w:val="es-ES_tradnl"/>
        </w:rPr>
        <w:br/>
      </w:r>
      <w:r w:rsidRPr="000C2F85">
        <w:rPr>
          <w:lang w:val="es-ES_tradnl"/>
        </w:rPr>
        <w:t>Composición racial y de género de los jueces a febrero de 2018</w:t>
      </w:r>
    </w:p>
    <w:p w14:paraId="57E0FAB0" w14:textId="77777777" w:rsidR="000C2F85" w:rsidRPr="000C2F85" w:rsidRDefault="000C2F85" w:rsidP="00F26A56">
      <w:pPr>
        <w:pStyle w:val="SingleTxtG"/>
        <w:ind w:left="0"/>
        <w:rPr>
          <w:bCs/>
          <w:lang w:val="es-ES_tradnl"/>
        </w:rPr>
      </w:pPr>
      <w:r w:rsidRPr="000C2F85">
        <w:rPr>
          <w:noProof/>
          <w:lang w:val="es-ES_tradnl"/>
        </w:rPr>
        <w:drawing>
          <wp:inline distT="0" distB="0" distL="0" distR="0" wp14:anchorId="6EE8BC92" wp14:editId="2ED817DB">
            <wp:extent cx="6111938" cy="1781578"/>
            <wp:effectExtent l="0" t="0" r="317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2863" cy="1808082"/>
                    </a:xfrm>
                    <a:prstGeom prst="rect">
                      <a:avLst/>
                    </a:prstGeom>
                    <a:noFill/>
                    <a:ln>
                      <a:noFill/>
                    </a:ln>
                  </pic:spPr>
                </pic:pic>
              </a:graphicData>
            </a:graphic>
          </wp:inline>
        </w:drawing>
      </w:r>
    </w:p>
    <w:p w14:paraId="6CFE10F2" w14:textId="77777777" w:rsidR="000C2F85" w:rsidRPr="000C2F85" w:rsidRDefault="000C2F85" w:rsidP="00F26A56">
      <w:pPr>
        <w:pStyle w:val="H23G"/>
        <w:rPr>
          <w:lang w:val="es-ES_tradnl"/>
        </w:rPr>
      </w:pPr>
      <w:r w:rsidRPr="000C2F85">
        <w:rPr>
          <w:lang w:val="es-ES_tradnl"/>
        </w:rPr>
        <w:tab/>
      </w:r>
      <w:r w:rsidRPr="000C2F85">
        <w:rPr>
          <w:lang w:val="es-ES_tradnl"/>
        </w:rPr>
        <w:tab/>
        <w:t>Los tribunales</w:t>
      </w:r>
    </w:p>
    <w:p w14:paraId="69DCFA0A" w14:textId="799B4208" w:rsidR="000C2F85" w:rsidRPr="006666A8" w:rsidRDefault="000C2F85" w:rsidP="000C2F85">
      <w:pPr>
        <w:pStyle w:val="SingleTxtG"/>
        <w:rPr>
          <w:lang w:val="es-ES_tradnl"/>
        </w:rPr>
      </w:pPr>
      <w:r w:rsidRPr="000C2F85">
        <w:rPr>
          <w:lang w:val="es-ES_tradnl"/>
        </w:rPr>
        <w:t>64.</w:t>
      </w:r>
      <w:r w:rsidRPr="000C2F85">
        <w:rPr>
          <w:lang w:val="es-ES_tradnl"/>
        </w:rPr>
        <w:tab/>
        <w:t>Los tribunales son el Tribunal Constitucional</w:t>
      </w:r>
      <w:r w:rsidRPr="00605B48">
        <w:rPr>
          <w:sz w:val="18"/>
          <w:szCs w:val="18"/>
          <w:vertAlign w:val="superscript"/>
          <w:lang w:val="es-ES_tradnl"/>
        </w:rPr>
        <w:footnoteReference w:id="42"/>
      </w:r>
      <w:r w:rsidRPr="000C2F85">
        <w:rPr>
          <w:lang w:val="es-ES_tradnl"/>
        </w:rPr>
        <w:t>, la Corte Suprema de Apelación</w:t>
      </w:r>
      <w:r w:rsidRPr="00605B48">
        <w:rPr>
          <w:sz w:val="18"/>
          <w:szCs w:val="18"/>
          <w:vertAlign w:val="superscript"/>
          <w:lang w:val="es-ES_tradnl"/>
        </w:rPr>
        <w:footnoteReference w:id="43"/>
      </w:r>
      <w:r w:rsidRPr="000C2F85">
        <w:rPr>
          <w:lang w:val="es-ES_tradnl"/>
        </w:rPr>
        <w:t>, los tribunales superiores, incluidos los tribunales superiores de apelación, que pueden ser establecidos por una ley del Parlamento para conocer de los recursos de los tribunales superiores</w:t>
      </w:r>
      <w:r w:rsidRPr="00605B48">
        <w:rPr>
          <w:sz w:val="18"/>
          <w:szCs w:val="18"/>
          <w:vertAlign w:val="superscript"/>
          <w:lang w:val="es-ES_tradnl"/>
        </w:rPr>
        <w:footnoteReference w:id="44"/>
      </w:r>
      <w:r w:rsidRPr="000C2F85">
        <w:rPr>
          <w:lang w:val="es-ES_tradnl"/>
        </w:rPr>
        <w:t>, los juzgados de primera instancia</w:t>
      </w:r>
      <w:r w:rsidRPr="00605B48">
        <w:rPr>
          <w:sz w:val="18"/>
          <w:szCs w:val="18"/>
          <w:vertAlign w:val="superscript"/>
          <w:lang w:val="es-ES_tradnl"/>
        </w:rPr>
        <w:footnoteReference w:id="45"/>
      </w:r>
      <w:r w:rsidRPr="000C2F85">
        <w:rPr>
          <w:lang w:val="es-ES_tradnl"/>
        </w:rPr>
        <w:t xml:space="preserve"> y cualquier otro tribunal establecido o reconocido en virtud de una ley del Parlamento, incluido cualquier tribunal de condición similar a los tribunales superiores o los juzgados de primera instancia. Así, por medio de la </w:t>
      </w:r>
      <w:r w:rsidRPr="000C2F85">
        <w:rPr>
          <w:lang w:val="es-ES_tradnl"/>
        </w:rPr>
        <w:lastRenderedPageBreak/>
        <w:t xml:space="preserve">promulgación de leyes, se han creado los siguientes tribunales: tribunales especiales sobre el impuesto sobre la renta, tribunales laborales de apelaciones, el Tribunal Laboral, el Tribunal de Reclamación Territorial, el Tribunal de Apelación de la Competencia, el Tribunal Electoral, tribunales competentes en casos de divorcio, tribunales de protección del consumidor y </w:t>
      </w:r>
      <w:r w:rsidR="0091550D">
        <w:rPr>
          <w:lang w:val="es-ES_tradnl"/>
        </w:rPr>
        <w:t>“</w:t>
      </w:r>
      <w:r w:rsidRPr="000C2F85">
        <w:rPr>
          <w:lang w:val="es-ES_tradnl"/>
        </w:rPr>
        <w:t>tribunales militares</w:t>
      </w:r>
      <w:r w:rsidR="0091550D">
        <w:rPr>
          <w:lang w:val="es-ES_tradnl"/>
        </w:rPr>
        <w:t>”</w:t>
      </w:r>
      <w:r w:rsidRPr="000C2F85">
        <w:rPr>
          <w:lang w:val="es-ES_tradnl"/>
        </w:rPr>
        <w:t>. Asimismo, se han establecido tribunales de igualdad con arreglo al artículo 9 de la Constitución y a la Ley de Promoción de la Igualdad y Prevención de la Discriminación Injusta, de 2000</w:t>
      </w:r>
      <w:r w:rsidRPr="00605B48">
        <w:rPr>
          <w:sz w:val="18"/>
          <w:szCs w:val="18"/>
          <w:vertAlign w:val="superscript"/>
          <w:lang w:val="es-ES_tradnl"/>
        </w:rPr>
        <w:footnoteReference w:id="46"/>
      </w:r>
      <w:r w:rsidRPr="000C2F85">
        <w:rPr>
          <w:lang w:val="es-ES_tradnl"/>
        </w:rPr>
        <w:t>.</w:t>
      </w:r>
    </w:p>
    <w:p w14:paraId="5D7141A6" w14:textId="5DE700E1" w:rsidR="000C2F85" w:rsidRPr="00B773AB" w:rsidRDefault="000C2F85" w:rsidP="000C2F85">
      <w:pPr>
        <w:pStyle w:val="SingleTxtG"/>
        <w:rPr>
          <w:lang w:val="es-ES_tradnl"/>
        </w:rPr>
      </w:pPr>
      <w:r w:rsidRPr="000C2F85">
        <w:rPr>
          <w:lang w:val="es-ES_tradnl"/>
        </w:rPr>
        <w:t>65.</w:t>
      </w:r>
      <w:r w:rsidRPr="000C2F85">
        <w:rPr>
          <w:lang w:val="es-ES_tradnl"/>
        </w:rPr>
        <w:tab/>
        <w:t xml:space="preserve">También hay tribunales relativos a las dependencias de investigación; tribunales del Consejo de Veterinaria, y </w:t>
      </w:r>
      <w:r w:rsidR="0091550D">
        <w:rPr>
          <w:lang w:val="es-ES_tradnl"/>
        </w:rPr>
        <w:t>“</w:t>
      </w:r>
      <w:r w:rsidRPr="000C2F85">
        <w:rPr>
          <w:lang w:val="es-ES_tradnl"/>
        </w:rPr>
        <w:t>juzgados</w:t>
      </w:r>
      <w:r w:rsidR="0091550D">
        <w:rPr>
          <w:lang w:val="es-ES_tradnl"/>
        </w:rPr>
        <w:t>”</w:t>
      </w:r>
      <w:r w:rsidRPr="000C2F85">
        <w:rPr>
          <w:lang w:val="es-ES_tradnl"/>
        </w:rPr>
        <w:t xml:space="preserve"> y tribunales sobre recursos hídricos, entre otros (estos tribunales se establecieron en virtud de legislación específica). Además, hay juzgados de jefes tribales, que tienen jurisdicción limitada en la aplicación del derecho consuetudinario, y tribunales especializados que forman parte de nuestros tribunales regulares, pero que se ocupan de esferas determinadas</w:t>
      </w:r>
      <w:r w:rsidRPr="00605B48">
        <w:rPr>
          <w:sz w:val="18"/>
          <w:szCs w:val="18"/>
          <w:vertAlign w:val="superscript"/>
          <w:lang w:val="es-ES_tradnl"/>
        </w:rPr>
        <w:footnoteReference w:id="47"/>
      </w:r>
      <w:r w:rsidRPr="000C2F85">
        <w:rPr>
          <w:lang w:val="es-ES_tradnl"/>
        </w:rPr>
        <w:t>.</w:t>
      </w:r>
    </w:p>
    <w:p w14:paraId="5CF06C59" w14:textId="77777777" w:rsidR="000C2F85" w:rsidRPr="000C2F85" w:rsidRDefault="000C2F85" w:rsidP="000C2F85">
      <w:pPr>
        <w:pStyle w:val="SingleTxtG"/>
        <w:rPr>
          <w:lang w:val="es-ES_tradnl"/>
        </w:rPr>
      </w:pPr>
      <w:r w:rsidRPr="000C2F85">
        <w:rPr>
          <w:lang w:val="es-ES_tradnl"/>
        </w:rPr>
        <w:t>66.</w:t>
      </w:r>
      <w:r w:rsidRPr="000C2F85">
        <w:rPr>
          <w:lang w:val="es-ES_tradnl"/>
        </w:rPr>
        <w:tab/>
        <w:t>Los tribunales tradicionales son una parte indispensable de la administración de justicia. El capítulo 12 de la Constitución reconoce la institución, el estatuto jurídico y la función de los jefes tradicionales, de acuerdo con el derecho consuetudinario, con sujeción a la Constitución, en cuyo apéndice 6 se reconoce la existencia de los tribunales tradicionales. Asimismo, la Constitución reconoce el derecho consuetudinario, de modo que la legislación debe tenerlo en cuenta. Los tribunales tradicionales existen, por lo que es imprescindible que se transformen de manera que se ajusten a nuestro régimen constitucional. Actualmente el Parlamento se está ocupando de un proyecto de ley sobre los tribunales tradicionales. El objetivo es asegurar que los conceptos de la justicia tradicional se tengan debidamente en cuenta.</w:t>
      </w:r>
    </w:p>
    <w:p w14:paraId="0E797384" w14:textId="77777777" w:rsidR="000C2F85" w:rsidRPr="000C2F85" w:rsidRDefault="000C2F85" w:rsidP="000C2F85">
      <w:pPr>
        <w:pStyle w:val="SingleTxtG"/>
        <w:rPr>
          <w:lang w:val="es-ES_tradnl"/>
        </w:rPr>
      </w:pPr>
      <w:r w:rsidRPr="000C2F85">
        <w:rPr>
          <w:lang w:val="es-ES_tradnl"/>
        </w:rPr>
        <w:t>67.</w:t>
      </w:r>
      <w:r w:rsidRPr="000C2F85">
        <w:rPr>
          <w:lang w:val="es-ES_tradnl"/>
        </w:rPr>
        <w:tab/>
        <w:t xml:space="preserve">También se prevé que los tribunales comunitarios contribuyan a imponer la justicia restaurativa como parte del sistema de justicia penal. El objetivo es garantizar una respuesta a los delitos menos graves mediante programas de remisión en lugar de penas de prisión. El Departamento de Justicia está elaborando un marco de políticas relativas a los tribunales comunitarios. El objetivo es elaborar un modelo de tribunal comunitario adecuado a la democracia constitucional de Sudáfrica, teniendo en cuenta la transformación necesaria </w:t>
      </w:r>
      <w:r w:rsidRPr="000C2F85">
        <w:rPr>
          <w:lang w:val="es-ES_tradnl"/>
        </w:rPr>
        <w:lastRenderedPageBreak/>
        <w:t>basada en la Constitución. El concepto del tribunal comunitario abarca elementos de justicia restaurativa que destacan la importancia de la restitución, la rehabilitación, la reconciliación de la víctima con el autor del delito, la prevención del delito en las comunidades, y los servicios de voluntarios para autores de delitos y víctimas. Como parte de la formulación de políticas, se ha solicitado a la Comisión de Reforma Legislativa de Sudáfrica que incluya en su programa de investigación a los tribunales comunitarios.</w:t>
      </w:r>
    </w:p>
    <w:p w14:paraId="645158FB" w14:textId="77777777" w:rsidR="000C2F85" w:rsidRPr="000C2F85" w:rsidRDefault="000C2F85" w:rsidP="000C2F85">
      <w:pPr>
        <w:pStyle w:val="SingleTxtG"/>
        <w:rPr>
          <w:b/>
          <w:lang w:val="es-ES_tradnl"/>
        </w:rPr>
      </w:pPr>
      <w:r w:rsidRPr="000C2F85">
        <w:rPr>
          <w:lang w:val="es-ES_tradnl"/>
        </w:rPr>
        <w:t>68.</w:t>
      </w:r>
      <w:r w:rsidRPr="000C2F85">
        <w:rPr>
          <w:lang w:val="es-ES_tradnl"/>
        </w:rPr>
        <w:tab/>
        <w:t>Otro importante mecanismo auxiliar de justicia para asegurar la protección de los derechos humanos es la Defensoría de la Familia, que debe ser consultada sobre todas las cuestiones relativas a la infancia, ya que el Tribunal Superior es el guardián supremo de todos los niños en Sudáfrica. La Defensoría de la Familia también se ocupa de las controversias entre los progenitores o los miembros de la familia relacionadas con la responsabilidad de los progenitores y los derechos de los niños. Las funciones de Defensoría de la Familia se han ampliado con arreglo a la Ley de la Infancia de 2005</w:t>
      </w:r>
      <w:r w:rsidRPr="00605B48">
        <w:rPr>
          <w:sz w:val="18"/>
          <w:szCs w:val="18"/>
          <w:vertAlign w:val="superscript"/>
          <w:lang w:val="es-ES_tradnl"/>
        </w:rPr>
        <w:footnoteReference w:id="48"/>
      </w:r>
      <w:r w:rsidRPr="000C2F85">
        <w:rPr>
          <w:lang w:val="es-ES_tradnl"/>
        </w:rPr>
        <w:t>. La Defensoría es la autoridad central de Sudáfrica en casos de secuestro internacional de niños, y su misión es proteger a los niños de los efectos perjudiciales del secuestro y traslado a un país extranjero por sus progenitores o cuidadores. El Convenio de La Haya sobre los Aspectos Civiles de la Sustracción Internacional de Menores, al que Sudáfrica se adhirió el 1 de octubre de 1996, ahora forma parte de la legislación nacional en virtud de lo dispuesto en la Ley de la Infancia de 2005. La participación de nuestro país en este instrumento internacional permite garantizar la restitución inmediata de los niños trasladados a o desde Sudáfrica y reconocer su derecho a mantener contacto con el progenitor del que fueron separados. En 2016 Sudáfrica aceptó la adhesión de otros 34 países, de modo que el número de Estados contratantes ascendía a 83, lo que redunda en el interés de la ampliación de nuestra labor de protección de la infancia.</w:t>
      </w:r>
    </w:p>
    <w:p w14:paraId="1FCF80B5" w14:textId="77777777" w:rsidR="000C2F85" w:rsidRPr="000C2F85" w:rsidRDefault="000C2F85" w:rsidP="000C2F85">
      <w:pPr>
        <w:pStyle w:val="SingleTxtG"/>
        <w:rPr>
          <w:b/>
          <w:lang w:val="es-ES_tradnl"/>
        </w:rPr>
      </w:pPr>
      <w:r w:rsidRPr="000C2F85">
        <w:rPr>
          <w:lang w:val="es-ES_tradnl"/>
        </w:rPr>
        <w:t>69.</w:t>
      </w:r>
      <w:r w:rsidRPr="000C2F85">
        <w:rPr>
          <w:lang w:val="es-ES_tradnl"/>
        </w:rPr>
        <w:tab/>
        <w:t>El Presidente del Tribunal Superior presta un servicio público en materia de sucesiones, liquidaciones (patrimonio insolvente), registro de fideicomisos, tutores y curadores, así como en lo relativo a la administración del Fondo de Tutores (para menores de edad y personas con discapacidad mental).</w:t>
      </w:r>
    </w:p>
    <w:p w14:paraId="76896C54" w14:textId="7D0A4A6D" w:rsidR="000C2F85" w:rsidRPr="000C2F85" w:rsidRDefault="000C2F85" w:rsidP="000C2F85">
      <w:pPr>
        <w:pStyle w:val="SingleTxtG"/>
        <w:rPr>
          <w:lang w:val="es-ES_tradnl"/>
        </w:rPr>
      </w:pPr>
      <w:r w:rsidRPr="000C2F85">
        <w:rPr>
          <w:lang w:val="es-ES_tradnl"/>
        </w:rPr>
        <w:t>70.</w:t>
      </w:r>
      <w:r w:rsidRPr="000C2F85">
        <w:rPr>
          <w:lang w:val="es-ES_tradnl"/>
        </w:rPr>
        <w:tab/>
        <w:t>En virtud del artículo 179 de la Constitución se estableció la Fiscalía Nacional Única. El 1 de agosto de 1998 se creó la Oficina del Director Nacional de la Fiscalía. La Fiscalía Nacional Única está integrada por el Director Nacional, que es el jefe de la Oficina y la dirige; los Fiscales Nacionales Adjuntos; los Fiscales Generales y los Fiscales Especiales; otros funcionarios nombrados o asignados a la Oficina, y el personal administrativo. La legislación por la que se rige la Fiscalía Nacional es la Ley de la Fiscalía Nacional de 1998</w:t>
      </w:r>
      <w:r w:rsidRPr="00605B48">
        <w:rPr>
          <w:sz w:val="18"/>
          <w:szCs w:val="18"/>
          <w:vertAlign w:val="superscript"/>
          <w:lang w:val="es-ES_tradnl"/>
        </w:rPr>
        <w:footnoteReference w:id="49"/>
      </w:r>
      <w:r w:rsidRPr="000C2F85">
        <w:rPr>
          <w:lang w:val="es-ES_tradnl"/>
        </w:rPr>
        <w:t xml:space="preserve">. La Constitución, leída conjuntamente con la mencionada </w:t>
      </w:r>
      <w:r w:rsidR="00714F5E" w:rsidRPr="000C2F85">
        <w:rPr>
          <w:lang w:val="es-ES_tradnl"/>
        </w:rPr>
        <w:t>Ley</w:t>
      </w:r>
      <w:r w:rsidRPr="000C2F85">
        <w:rPr>
          <w:lang w:val="es-ES_tradnl"/>
        </w:rPr>
        <w:t>, faculta a la Fiscalía para incoar actuaciones penales en nombre del Estado y desempeñar las funciones necesarias para ese fin. En un Estado constitucional como Sudáfrica, todos los ciudadanos tienen derecho a disfrutar de una mejor calidad de vida, sin temor y libre de delincuencia. Como asociada clave en el sistema de justicia penal, la Fiscalía Nacional desempeña un papel fundamental para que los autores de delitos sean procesados y rindan cuentas de sus actos. La Fiscalía Nacional también ayuda a promover la confianza pública en el sistema de justicia penal.</w:t>
      </w:r>
    </w:p>
    <w:p w14:paraId="110DC4C9" w14:textId="77777777" w:rsidR="000C2F85" w:rsidRPr="000C2F85" w:rsidRDefault="000C2F85" w:rsidP="00F26A56">
      <w:pPr>
        <w:pStyle w:val="H23G"/>
        <w:rPr>
          <w:lang w:val="es-ES_tradnl"/>
        </w:rPr>
      </w:pPr>
      <w:r w:rsidRPr="000C2F85">
        <w:rPr>
          <w:lang w:val="es-ES_tradnl"/>
        </w:rPr>
        <w:tab/>
      </w:r>
      <w:r w:rsidRPr="000C2F85">
        <w:rPr>
          <w:lang w:val="es-ES_tradnl"/>
        </w:rPr>
        <w:tab/>
        <w:t>Aplicación de la ley y administración de justicia</w:t>
      </w:r>
    </w:p>
    <w:p w14:paraId="584306A5" w14:textId="7219A477" w:rsidR="000C2F85" w:rsidRPr="000C2F85" w:rsidRDefault="000C2F85" w:rsidP="000C2F85">
      <w:pPr>
        <w:pStyle w:val="SingleTxtG"/>
        <w:rPr>
          <w:lang w:val="es-ES_tradnl"/>
        </w:rPr>
      </w:pPr>
      <w:r w:rsidRPr="000C2F85">
        <w:rPr>
          <w:lang w:val="es-ES_tradnl"/>
        </w:rPr>
        <w:t>71.</w:t>
      </w:r>
      <w:r w:rsidRPr="000C2F85">
        <w:rPr>
          <w:lang w:val="es-ES_tradnl"/>
        </w:rPr>
        <w:tab/>
        <w:t xml:space="preserve">A fin de garantizar la seguridad de todos en Sudáfrica, las fuerzas del orden, junto con el Departamento de Justicia y Desarrollo Constitucional, la Fiscalía Nacional, el Departamento de Servicios Penitenciarios, el Departamento de Desarrollo Social y otros departamentos, trabajan conjuntamente para lograr el objetivo del Plan Nacional de Desarrollo, a saber, </w:t>
      </w:r>
      <w:r w:rsidR="0091550D">
        <w:rPr>
          <w:lang w:val="es-ES_tradnl"/>
        </w:rPr>
        <w:t>“</w:t>
      </w:r>
      <w:r w:rsidRPr="000C2F85">
        <w:rPr>
          <w:lang w:val="es-ES_tradnl"/>
        </w:rPr>
        <w:t>que todas las personas en Sudáfrica estén y se sientan seguras</w:t>
      </w:r>
      <w:r w:rsidR="0091550D">
        <w:rPr>
          <w:lang w:val="es-ES_tradnl"/>
        </w:rPr>
        <w:t>”</w:t>
      </w:r>
      <w:r w:rsidRPr="000C2F85">
        <w:rPr>
          <w:lang w:val="es-ES_tradnl"/>
        </w:rPr>
        <w:t>. A fin de mantener la atención a lo largo de la cadena de valor, se estableció el Grupo Temático de Justicia, Prevención del Delito y Seguridad, de nivel ministerial. El objetivo del Grupo es luchar contra el delito y la corrupción, facilitar un enfoque integrado y coordinado de la formulación y coordinación de políticas, e impulsar la aplicación de los programas de acción del Gobierno conforme a lo dispuesto por el Consejo de Ministros y sobre la base del Plan Nacional de Desarrollo.</w:t>
      </w:r>
    </w:p>
    <w:p w14:paraId="1E62C78D" w14:textId="77777777" w:rsidR="000C2F85" w:rsidRPr="00955AE4" w:rsidRDefault="000C2F85" w:rsidP="000C2F85">
      <w:pPr>
        <w:pStyle w:val="SingleTxtG"/>
        <w:rPr>
          <w:lang w:val="es-ES_tradnl"/>
        </w:rPr>
      </w:pPr>
      <w:r w:rsidRPr="000C2F85">
        <w:rPr>
          <w:lang w:val="es-ES_tradnl"/>
        </w:rPr>
        <w:lastRenderedPageBreak/>
        <w:t>72.</w:t>
      </w:r>
      <w:r w:rsidRPr="000C2F85">
        <w:rPr>
          <w:lang w:val="es-ES_tradnl"/>
        </w:rPr>
        <w:tab/>
        <w:t>El capítulo 11 de la Constitución establece que el Servicio de Policía de Sudáfrica tiene la responsabilidad de prevenir, combatir e investigar el delito, mantener el orden público, proteger y brindar seguridad a los habitantes de la República y sus bienes, y respetar y hacer cumplir la ley. El Servicio de Policía de Sudáfrica debe crear un entorno seguro para toda la población de Sudáfrica, prevenir aquello que pueda poner en peligro la seguridad de una comunidad, investigar los delitos que amenacen la seguridad de cualquiera de las comunidades, asegurarse de que los delincuentes sean llevados ante la justicia y participar en las iniciativas que se emprendan para abordar las causas de la delincuencia. La Ley del Servicio de Policía de Sudáfrica de 1995</w:t>
      </w:r>
      <w:r w:rsidRPr="00605B48">
        <w:rPr>
          <w:sz w:val="18"/>
          <w:szCs w:val="18"/>
          <w:vertAlign w:val="superscript"/>
          <w:lang w:val="es-ES_tradnl"/>
        </w:rPr>
        <w:footnoteReference w:id="50"/>
      </w:r>
      <w:r w:rsidRPr="000C2F85">
        <w:rPr>
          <w:lang w:val="es-ES_tradnl"/>
        </w:rPr>
        <w:t xml:space="preserve"> prevé la creación, organización, reglamentación y control del Servicio de Policía de Sudáfrica. El número de delitos graves denunciados en Sudáfrica durante el período comprendido entre 2013 y 2017 se indica en el cuadro que figura a continuación</w:t>
      </w:r>
      <w:r w:rsidRPr="00605B48">
        <w:rPr>
          <w:sz w:val="18"/>
          <w:szCs w:val="18"/>
          <w:vertAlign w:val="superscript"/>
          <w:lang w:val="es-ES_tradnl"/>
        </w:rPr>
        <w:footnoteReference w:id="51"/>
      </w:r>
      <w:r w:rsidRPr="000C2F85">
        <w:rPr>
          <w:lang w:val="es-ES_tradnl"/>
        </w:rPr>
        <w:t>.</w:t>
      </w:r>
    </w:p>
    <w:p w14:paraId="4E8E3D5F" w14:textId="77777777" w:rsidR="000C2F85" w:rsidRPr="00955AE4" w:rsidRDefault="000C2F85" w:rsidP="00F26A56">
      <w:pPr>
        <w:pStyle w:val="H23G"/>
        <w:rPr>
          <w:lang w:val="es-ES_tradnl"/>
        </w:rPr>
      </w:pPr>
      <w:r w:rsidRPr="00F26A56">
        <w:rPr>
          <w:b w:val="0"/>
          <w:bCs/>
          <w:lang w:val="es-ES_tradnl"/>
        </w:rPr>
        <w:tab/>
      </w:r>
      <w:r w:rsidRPr="00F26A56">
        <w:rPr>
          <w:b w:val="0"/>
          <w:bCs/>
          <w:lang w:val="es-ES_tradnl"/>
        </w:rPr>
        <w:tab/>
        <w:t xml:space="preserve">Cuadro 21 </w:t>
      </w:r>
      <w:r w:rsidRPr="00F26A56">
        <w:rPr>
          <w:b w:val="0"/>
          <w:bCs/>
          <w:lang w:val="es-ES_tradnl"/>
        </w:rPr>
        <w:br/>
      </w:r>
      <w:r w:rsidRPr="000C2F85">
        <w:rPr>
          <w:lang w:val="es-ES_tradnl"/>
        </w:rPr>
        <w:t>Delitos graves denunciados en Sudáfrica, 2013-2017</w:t>
      </w:r>
      <w:r w:rsidRPr="00605B48">
        <w:rPr>
          <w:b w:val="0"/>
          <w:sz w:val="18"/>
          <w:szCs w:val="18"/>
          <w:vertAlign w:val="superscript"/>
          <w:lang w:val="es-ES_tradnl"/>
        </w:rPr>
        <w:footnoteReference w:id="52"/>
      </w:r>
    </w:p>
    <w:tbl>
      <w:tblPr>
        <w:tblStyle w:val="TableGrid2"/>
        <w:tblW w:w="8505"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993"/>
        <w:gridCol w:w="992"/>
        <w:gridCol w:w="992"/>
        <w:gridCol w:w="992"/>
        <w:gridCol w:w="909"/>
        <w:gridCol w:w="792"/>
      </w:tblGrid>
      <w:tr w:rsidR="00F26A56" w:rsidRPr="00F26A56" w14:paraId="2154A629" w14:textId="77777777" w:rsidTr="000F09CA">
        <w:trPr>
          <w:trHeight w:val="240"/>
          <w:tblHeader/>
        </w:trPr>
        <w:tc>
          <w:tcPr>
            <w:tcW w:w="2835" w:type="dxa"/>
            <w:tcBorders>
              <w:top w:val="nil"/>
              <w:bottom w:val="single" w:sz="12" w:space="0" w:color="auto"/>
            </w:tcBorders>
            <w:shd w:val="clear" w:color="auto" w:fill="auto"/>
            <w:vAlign w:val="bottom"/>
          </w:tcPr>
          <w:p w14:paraId="518DCDE4" w14:textId="77777777" w:rsidR="000C2F85" w:rsidRPr="00F26A56" w:rsidRDefault="000C2F85" w:rsidP="00F26A56">
            <w:pPr>
              <w:pStyle w:val="SingleTxtG"/>
              <w:tabs>
                <w:tab w:val="clear" w:pos="1701"/>
                <w:tab w:val="clear" w:pos="2268"/>
                <w:tab w:val="clear" w:pos="2835"/>
              </w:tabs>
              <w:spacing w:before="80" w:after="80" w:line="200" w:lineRule="exact"/>
              <w:ind w:left="0" w:right="0"/>
              <w:jc w:val="left"/>
              <w:rPr>
                <w:i/>
                <w:sz w:val="16"/>
                <w:lang w:val="es-ES_tradnl"/>
              </w:rPr>
            </w:pPr>
            <w:r w:rsidRPr="00F26A56">
              <w:rPr>
                <w:i/>
                <w:sz w:val="16"/>
                <w:lang w:val="es-ES_tradnl"/>
              </w:rPr>
              <w:t>Categoría de delito</w:t>
            </w:r>
          </w:p>
        </w:tc>
        <w:tc>
          <w:tcPr>
            <w:tcW w:w="993" w:type="dxa"/>
            <w:tcBorders>
              <w:top w:val="nil"/>
              <w:bottom w:val="single" w:sz="12" w:space="0" w:color="auto"/>
            </w:tcBorders>
            <w:shd w:val="clear" w:color="auto" w:fill="auto"/>
            <w:vAlign w:val="bottom"/>
          </w:tcPr>
          <w:p w14:paraId="482081B7" w14:textId="377F7F37" w:rsidR="000C2F85" w:rsidRPr="00F26A56" w:rsidRDefault="00F26A56" w:rsidP="00F810C4">
            <w:pPr>
              <w:pStyle w:val="SingleTxtG"/>
              <w:tabs>
                <w:tab w:val="clear" w:pos="1701"/>
                <w:tab w:val="clear" w:pos="2268"/>
                <w:tab w:val="clear" w:pos="2835"/>
              </w:tabs>
              <w:spacing w:before="80" w:after="80" w:line="200" w:lineRule="exact"/>
              <w:ind w:left="28" w:right="28"/>
              <w:jc w:val="right"/>
              <w:rPr>
                <w:i/>
                <w:iCs/>
                <w:sz w:val="16"/>
                <w:lang w:val="es-ES_tradnl"/>
              </w:rPr>
            </w:pPr>
            <w:r w:rsidRPr="00F26A56">
              <w:rPr>
                <w:i/>
                <w:iCs/>
                <w:sz w:val="16"/>
                <w:lang w:val="es-ES_tradnl"/>
              </w:rPr>
              <w:t>Abril a marzo</w:t>
            </w:r>
            <w:r w:rsidR="0091550D">
              <w:rPr>
                <w:i/>
                <w:iCs/>
                <w:sz w:val="16"/>
                <w:lang w:val="es-ES_tradnl"/>
              </w:rPr>
              <w:br/>
            </w:r>
            <w:r w:rsidR="000C2F85" w:rsidRPr="00F26A56">
              <w:rPr>
                <w:i/>
                <w:iCs/>
                <w:sz w:val="16"/>
                <w:lang w:val="es-ES_tradnl"/>
              </w:rPr>
              <w:t>2013/14</w:t>
            </w:r>
          </w:p>
        </w:tc>
        <w:tc>
          <w:tcPr>
            <w:tcW w:w="992" w:type="dxa"/>
            <w:tcBorders>
              <w:top w:val="nil"/>
              <w:bottom w:val="single" w:sz="12" w:space="0" w:color="auto"/>
            </w:tcBorders>
            <w:shd w:val="clear" w:color="auto" w:fill="auto"/>
            <w:vAlign w:val="bottom"/>
          </w:tcPr>
          <w:p w14:paraId="221D13D0" w14:textId="1897A1AF" w:rsidR="000C2F85" w:rsidRPr="00F26A56" w:rsidRDefault="00F26A56" w:rsidP="00F810C4">
            <w:pPr>
              <w:pStyle w:val="SingleTxtG"/>
              <w:tabs>
                <w:tab w:val="clear" w:pos="1701"/>
                <w:tab w:val="clear" w:pos="2268"/>
                <w:tab w:val="clear" w:pos="2835"/>
              </w:tabs>
              <w:spacing w:before="80" w:after="80" w:line="200" w:lineRule="exact"/>
              <w:ind w:left="28" w:right="28"/>
              <w:jc w:val="right"/>
              <w:rPr>
                <w:i/>
                <w:iCs/>
                <w:sz w:val="16"/>
                <w:lang w:val="es-ES_tradnl"/>
              </w:rPr>
            </w:pPr>
            <w:r w:rsidRPr="00F26A56">
              <w:rPr>
                <w:i/>
                <w:iCs/>
                <w:sz w:val="16"/>
                <w:lang w:val="es-ES_tradnl"/>
              </w:rPr>
              <w:t>Abril a marzo</w:t>
            </w:r>
            <w:r w:rsidR="0091550D">
              <w:rPr>
                <w:i/>
                <w:iCs/>
                <w:sz w:val="16"/>
                <w:lang w:val="es-ES_tradnl"/>
              </w:rPr>
              <w:br/>
            </w:r>
            <w:r w:rsidR="000C2F85" w:rsidRPr="00F26A56">
              <w:rPr>
                <w:i/>
                <w:iCs/>
                <w:sz w:val="16"/>
                <w:lang w:val="es-ES_tradnl"/>
              </w:rPr>
              <w:t>2014/15</w:t>
            </w:r>
          </w:p>
        </w:tc>
        <w:tc>
          <w:tcPr>
            <w:tcW w:w="992" w:type="dxa"/>
            <w:tcBorders>
              <w:top w:val="nil"/>
              <w:bottom w:val="single" w:sz="12" w:space="0" w:color="auto"/>
            </w:tcBorders>
            <w:shd w:val="clear" w:color="auto" w:fill="auto"/>
            <w:vAlign w:val="bottom"/>
          </w:tcPr>
          <w:p w14:paraId="508DCD3B" w14:textId="4D5798A4" w:rsidR="000C2F85" w:rsidRPr="00F26A56" w:rsidRDefault="00F26A56" w:rsidP="00F810C4">
            <w:pPr>
              <w:pStyle w:val="SingleTxtG"/>
              <w:tabs>
                <w:tab w:val="clear" w:pos="1701"/>
                <w:tab w:val="clear" w:pos="2268"/>
                <w:tab w:val="clear" w:pos="2835"/>
              </w:tabs>
              <w:spacing w:before="80" w:after="80" w:line="200" w:lineRule="exact"/>
              <w:ind w:left="28" w:right="28"/>
              <w:jc w:val="right"/>
              <w:rPr>
                <w:i/>
                <w:iCs/>
                <w:sz w:val="16"/>
                <w:lang w:val="es-ES_tradnl"/>
              </w:rPr>
            </w:pPr>
            <w:r w:rsidRPr="00F26A56">
              <w:rPr>
                <w:i/>
                <w:iCs/>
                <w:sz w:val="16"/>
                <w:lang w:val="es-ES_tradnl"/>
              </w:rPr>
              <w:t>Abril a marzo</w:t>
            </w:r>
            <w:r w:rsidR="0091550D">
              <w:rPr>
                <w:i/>
                <w:iCs/>
                <w:sz w:val="16"/>
                <w:lang w:val="es-ES_tradnl"/>
              </w:rPr>
              <w:br/>
            </w:r>
            <w:r w:rsidR="000C2F85" w:rsidRPr="00F26A56">
              <w:rPr>
                <w:i/>
                <w:iCs/>
                <w:sz w:val="16"/>
                <w:lang w:val="es-ES_tradnl"/>
              </w:rPr>
              <w:t>2015/16</w:t>
            </w:r>
          </w:p>
        </w:tc>
        <w:tc>
          <w:tcPr>
            <w:tcW w:w="992" w:type="dxa"/>
            <w:tcBorders>
              <w:top w:val="nil"/>
              <w:bottom w:val="single" w:sz="12" w:space="0" w:color="auto"/>
            </w:tcBorders>
            <w:shd w:val="clear" w:color="auto" w:fill="auto"/>
            <w:vAlign w:val="bottom"/>
          </w:tcPr>
          <w:p w14:paraId="6B0732E3" w14:textId="48F800A7" w:rsidR="000C2F85" w:rsidRPr="00F26A56" w:rsidRDefault="00F26A56" w:rsidP="00F810C4">
            <w:pPr>
              <w:pStyle w:val="SingleTxtG"/>
              <w:tabs>
                <w:tab w:val="clear" w:pos="1701"/>
                <w:tab w:val="clear" w:pos="2268"/>
                <w:tab w:val="clear" w:pos="2835"/>
              </w:tabs>
              <w:spacing w:before="80" w:after="80" w:line="200" w:lineRule="exact"/>
              <w:ind w:left="28" w:right="28"/>
              <w:jc w:val="right"/>
              <w:rPr>
                <w:i/>
                <w:iCs/>
                <w:sz w:val="16"/>
                <w:lang w:val="es-ES_tradnl"/>
              </w:rPr>
            </w:pPr>
            <w:r w:rsidRPr="00F26A56">
              <w:rPr>
                <w:i/>
                <w:iCs/>
                <w:sz w:val="16"/>
                <w:lang w:val="es-ES_tradnl"/>
              </w:rPr>
              <w:t>Abril a marzo</w:t>
            </w:r>
            <w:r w:rsidR="0091550D">
              <w:rPr>
                <w:i/>
                <w:iCs/>
                <w:sz w:val="16"/>
                <w:lang w:val="es-ES_tradnl"/>
              </w:rPr>
              <w:br/>
            </w:r>
            <w:r w:rsidR="000C2F85" w:rsidRPr="00F26A56">
              <w:rPr>
                <w:i/>
                <w:iCs/>
                <w:sz w:val="16"/>
                <w:lang w:val="es-ES_tradnl"/>
              </w:rPr>
              <w:t>2016/17</w:t>
            </w:r>
          </w:p>
        </w:tc>
        <w:tc>
          <w:tcPr>
            <w:tcW w:w="909" w:type="dxa"/>
            <w:tcBorders>
              <w:top w:val="nil"/>
              <w:bottom w:val="single" w:sz="12" w:space="0" w:color="auto"/>
            </w:tcBorders>
            <w:shd w:val="clear" w:color="auto" w:fill="auto"/>
            <w:vAlign w:val="bottom"/>
          </w:tcPr>
          <w:p w14:paraId="0E38223C" w14:textId="54E992BB" w:rsidR="000C2F85" w:rsidRPr="00F26A56" w:rsidRDefault="00F26A56" w:rsidP="00F810C4">
            <w:pPr>
              <w:pStyle w:val="SingleTxtG"/>
              <w:tabs>
                <w:tab w:val="clear" w:pos="1701"/>
                <w:tab w:val="clear" w:pos="2268"/>
                <w:tab w:val="clear" w:pos="2835"/>
              </w:tabs>
              <w:spacing w:before="80" w:after="80" w:line="200" w:lineRule="exact"/>
              <w:ind w:left="28" w:right="28"/>
              <w:jc w:val="right"/>
              <w:rPr>
                <w:i/>
                <w:iCs/>
                <w:sz w:val="16"/>
                <w:lang w:val="es-ES_tradnl"/>
              </w:rPr>
            </w:pPr>
            <w:r w:rsidRPr="00F26A56">
              <w:rPr>
                <w:i/>
                <w:iCs/>
                <w:sz w:val="16"/>
                <w:lang w:val="es-ES_tradnl"/>
              </w:rPr>
              <w:t>Número de casos</w:t>
            </w:r>
            <w:r w:rsidR="0091550D">
              <w:rPr>
                <w:i/>
                <w:iCs/>
                <w:sz w:val="16"/>
                <w:lang w:val="es-ES_tradnl"/>
              </w:rPr>
              <w:br/>
            </w:r>
            <w:r w:rsidR="000C2F85" w:rsidRPr="00F26A56">
              <w:rPr>
                <w:i/>
                <w:iCs/>
                <w:sz w:val="16"/>
                <w:lang w:val="es-ES_tradnl"/>
              </w:rPr>
              <w:t>Diferencia</w:t>
            </w:r>
          </w:p>
        </w:tc>
        <w:tc>
          <w:tcPr>
            <w:tcW w:w="792" w:type="dxa"/>
            <w:tcBorders>
              <w:top w:val="nil"/>
              <w:bottom w:val="single" w:sz="12" w:space="0" w:color="auto"/>
            </w:tcBorders>
            <w:shd w:val="clear" w:color="auto" w:fill="auto"/>
            <w:vAlign w:val="bottom"/>
          </w:tcPr>
          <w:p w14:paraId="1A85FD57" w14:textId="5CA77939" w:rsidR="000C2F85" w:rsidRPr="00F26A56" w:rsidRDefault="00F26A56" w:rsidP="00F810C4">
            <w:pPr>
              <w:pStyle w:val="SingleTxtG"/>
              <w:tabs>
                <w:tab w:val="clear" w:pos="1701"/>
                <w:tab w:val="clear" w:pos="2268"/>
                <w:tab w:val="clear" w:pos="2835"/>
              </w:tabs>
              <w:spacing w:before="80" w:after="80" w:line="200" w:lineRule="exact"/>
              <w:ind w:left="28" w:right="28"/>
              <w:jc w:val="right"/>
              <w:rPr>
                <w:i/>
                <w:iCs/>
                <w:sz w:val="16"/>
                <w:lang w:val="es-ES_tradnl"/>
              </w:rPr>
            </w:pPr>
            <w:r w:rsidRPr="00F26A56">
              <w:rPr>
                <w:i/>
                <w:iCs/>
                <w:sz w:val="16"/>
                <w:lang w:val="es-ES_tradnl"/>
              </w:rPr>
              <w:t>Porcentaj</w:t>
            </w:r>
            <w:r w:rsidR="0091550D">
              <w:rPr>
                <w:i/>
                <w:iCs/>
                <w:sz w:val="16"/>
                <w:lang w:val="es-ES_tradnl"/>
              </w:rPr>
              <w:t>e</w:t>
            </w:r>
            <w:r w:rsidR="0091550D">
              <w:rPr>
                <w:i/>
                <w:iCs/>
                <w:sz w:val="16"/>
                <w:lang w:val="es-ES_tradnl"/>
              </w:rPr>
              <w:br/>
            </w:r>
            <w:r w:rsidR="000C2F85" w:rsidRPr="00F26A56">
              <w:rPr>
                <w:i/>
                <w:iCs/>
                <w:sz w:val="16"/>
                <w:lang w:val="es-ES_tradnl"/>
              </w:rPr>
              <w:t>Variación</w:t>
            </w:r>
          </w:p>
        </w:tc>
      </w:tr>
      <w:tr w:rsidR="000C2F85" w:rsidRPr="00F810C4" w14:paraId="40D9DE41" w14:textId="77777777" w:rsidTr="00F810C4">
        <w:trPr>
          <w:trHeight w:val="240"/>
        </w:trPr>
        <w:tc>
          <w:tcPr>
            <w:tcW w:w="8505" w:type="dxa"/>
            <w:gridSpan w:val="7"/>
            <w:tcBorders>
              <w:top w:val="single" w:sz="12" w:space="0" w:color="auto"/>
            </w:tcBorders>
            <w:shd w:val="clear" w:color="auto" w:fill="auto"/>
          </w:tcPr>
          <w:p w14:paraId="4777252C" w14:textId="77777777" w:rsidR="000C2F85" w:rsidRPr="00F810C4" w:rsidRDefault="000C2F85" w:rsidP="00F26A56">
            <w:pPr>
              <w:pStyle w:val="SingleTxtG"/>
              <w:tabs>
                <w:tab w:val="clear" w:pos="1701"/>
                <w:tab w:val="clear" w:pos="2268"/>
                <w:tab w:val="clear" w:pos="2835"/>
              </w:tabs>
              <w:spacing w:before="40" w:after="40" w:line="220" w:lineRule="exact"/>
              <w:ind w:left="0" w:right="0"/>
              <w:jc w:val="left"/>
              <w:rPr>
                <w:b/>
                <w:bCs/>
                <w:sz w:val="18"/>
                <w:lang w:val="es-ES_tradnl"/>
              </w:rPr>
            </w:pPr>
            <w:r w:rsidRPr="00F810C4">
              <w:rPr>
                <w:b/>
                <w:bCs/>
                <w:sz w:val="18"/>
                <w:lang w:val="es-ES_tradnl"/>
              </w:rPr>
              <w:t>Delitos de contacto (delitos contra la integridad personal)</w:t>
            </w:r>
          </w:p>
        </w:tc>
      </w:tr>
      <w:tr w:rsidR="00F26A56" w:rsidRPr="00F26A56" w14:paraId="6077AC7E" w14:textId="77777777" w:rsidTr="000F09CA">
        <w:trPr>
          <w:trHeight w:val="240"/>
        </w:trPr>
        <w:tc>
          <w:tcPr>
            <w:tcW w:w="2835" w:type="dxa"/>
            <w:shd w:val="clear" w:color="auto" w:fill="auto"/>
          </w:tcPr>
          <w:p w14:paraId="01303238"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Asesinato</w:t>
            </w:r>
          </w:p>
        </w:tc>
        <w:tc>
          <w:tcPr>
            <w:tcW w:w="993" w:type="dxa"/>
            <w:shd w:val="clear" w:color="auto" w:fill="auto"/>
            <w:vAlign w:val="bottom"/>
          </w:tcPr>
          <w:p w14:paraId="31033036"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17 023</w:t>
            </w:r>
          </w:p>
        </w:tc>
        <w:tc>
          <w:tcPr>
            <w:tcW w:w="992" w:type="dxa"/>
            <w:shd w:val="clear" w:color="auto" w:fill="auto"/>
            <w:vAlign w:val="bottom"/>
          </w:tcPr>
          <w:p w14:paraId="625D655A"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17 805</w:t>
            </w:r>
          </w:p>
        </w:tc>
        <w:tc>
          <w:tcPr>
            <w:tcW w:w="992" w:type="dxa"/>
            <w:shd w:val="clear" w:color="auto" w:fill="auto"/>
            <w:vAlign w:val="bottom"/>
          </w:tcPr>
          <w:p w14:paraId="34061BF4"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18 673</w:t>
            </w:r>
          </w:p>
        </w:tc>
        <w:tc>
          <w:tcPr>
            <w:tcW w:w="992" w:type="dxa"/>
            <w:shd w:val="clear" w:color="auto" w:fill="auto"/>
            <w:vAlign w:val="bottom"/>
          </w:tcPr>
          <w:p w14:paraId="696B3129"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19 016</w:t>
            </w:r>
          </w:p>
        </w:tc>
        <w:tc>
          <w:tcPr>
            <w:tcW w:w="909" w:type="dxa"/>
            <w:shd w:val="clear" w:color="auto" w:fill="auto"/>
            <w:vAlign w:val="bottom"/>
          </w:tcPr>
          <w:p w14:paraId="5049E3B6"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343</w:t>
            </w:r>
          </w:p>
        </w:tc>
        <w:tc>
          <w:tcPr>
            <w:tcW w:w="792" w:type="dxa"/>
            <w:shd w:val="clear" w:color="auto" w:fill="auto"/>
            <w:vAlign w:val="bottom"/>
          </w:tcPr>
          <w:p w14:paraId="3DB19396"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1,8</w:t>
            </w:r>
          </w:p>
        </w:tc>
      </w:tr>
      <w:tr w:rsidR="00F26A56" w:rsidRPr="00F26A56" w14:paraId="331A90EA" w14:textId="77777777" w:rsidTr="000F09CA">
        <w:trPr>
          <w:trHeight w:val="240"/>
        </w:trPr>
        <w:tc>
          <w:tcPr>
            <w:tcW w:w="2835" w:type="dxa"/>
            <w:shd w:val="clear" w:color="auto" w:fill="auto"/>
          </w:tcPr>
          <w:p w14:paraId="6A215728"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Delito sexual</w:t>
            </w:r>
          </w:p>
        </w:tc>
        <w:tc>
          <w:tcPr>
            <w:tcW w:w="993" w:type="dxa"/>
            <w:shd w:val="clear" w:color="auto" w:fill="auto"/>
            <w:vAlign w:val="bottom"/>
          </w:tcPr>
          <w:p w14:paraId="1C197D43"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56 680</w:t>
            </w:r>
          </w:p>
        </w:tc>
        <w:tc>
          <w:tcPr>
            <w:tcW w:w="992" w:type="dxa"/>
            <w:shd w:val="clear" w:color="auto" w:fill="auto"/>
            <w:vAlign w:val="bottom"/>
          </w:tcPr>
          <w:p w14:paraId="18E7441E"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53 617</w:t>
            </w:r>
          </w:p>
        </w:tc>
        <w:tc>
          <w:tcPr>
            <w:tcW w:w="992" w:type="dxa"/>
            <w:shd w:val="clear" w:color="auto" w:fill="auto"/>
            <w:vAlign w:val="bottom"/>
          </w:tcPr>
          <w:p w14:paraId="7B2CDF07"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51 895</w:t>
            </w:r>
          </w:p>
        </w:tc>
        <w:tc>
          <w:tcPr>
            <w:tcW w:w="992" w:type="dxa"/>
            <w:shd w:val="clear" w:color="auto" w:fill="auto"/>
            <w:vAlign w:val="bottom"/>
          </w:tcPr>
          <w:p w14:paraId="03750F3A"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49 660</w:t>
            </w:r>
          </w:p>
        </w:tc>
        <w:tc>
          <w:tcPr>
            <w:tcW w:w="909" w:type="dxa"/>
            <w:shd w:val="clear" w:color="auto" w:fill="auto"/>
            <w:vAlign w:val="bottom"/>
          </w:tcPr>
          <w:p w14:paraId="3CD5C4F7"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-2 235</w:t>
            </w:r>
          </w:p>
        </w:tc>
        <w:tc>
          <w:tcPr>
            <w:tcW w:w="792" w:type="dxa"/>
            <w:shd w:val="clear" w:color="auto" w:fill="auto"/>
            <w:vAlign w:val="bottom"/>
          </w:tcPr>
          <w:p w14:paraId="6FF2079A"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-4,3</w:t>
            </w:r>
          </w:p>
        </w:tc>
      </w:tr>
      <w:tr w:rsidR="00F26A56" w:rsidRPr="00F26A56" w14:paraId="2C640AA9" w14:textId="77777777" w:rsidTr="000F09CA">
        <w:trPr>
          <w:trHeight w:val="240"/>
        </w:trPr>
        <w:tc>
          <w:tcPr>
            <w:tcW w:w="2835" w:type="dxa"/>
            <w:shd w:val="clear" w:color="auto" w:fill="auto"/>
          </w:tcPr>
          <w:p w14:paraId="1D361F20"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Tentativa de asesinato</w:t>
            </w:r>
          </w:p>
        </w:tc>
        <w:tc>
          <w:tcPr>
            <w:tcW w:w="993" w:type="dxa"/>
            <w:shd w:val="clear" w:color="auto" w:fill="auto"/>
            <w:vAlign w:val="bottom"/>
          </w:tcPr>
          <w:p w14:paraId="4054D85B"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16 989</w:t>
            </w:r>
          </w:p>
        </w:tc>
        <w:tc>
          <w:tcPr>
            <w:tcW w:w="992" w:type="dxa"/>
            <w:shd w:val="clear" w:color="auto" w:fill="auto"/>
            <w:vAlign w:val="bottom"/>
          </w:tcPr>
          <w:p w14:paraId="11FCEAB6"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17 537</w:t>
            </w:r>
          </w:p>
        </w:tc>
        <w:tc>
          <w:tcPr>
            <w:tcW w:w="992" w:type="dxa"/>
            <w:shd w:val="clear" w:color="auto" w:fill="auto"/>
            <w:vAlign w:val="bottom"/>
          </w:tcPr>
          <w:p w14:paraId="2EC4FED1"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18 127</w:t>
            </w:r>
          </w:p>
        </w:tc>
        <w:tc>
          <w:tcPr>
            <w:tcW w:w="992" w:type="dxa"/>
            <w:shd w:val="clear" w:color="auto" w:fill="auto"/>
            <w:vAlign w:val="bottom"/>
          </w:tcPr>
          <w:p w14:paraId="56706254"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18 205</w:t>
            </w:r>
          </w:p>
        </w:tc>
        <w:tc>
          <w:tcPr>
            <w:tcW w:w="909" w:type="dxa"/>
            <w:shd w:val="clear" w:color="auto" w:fill="auto"/>
            <w:vAlign w:val="bottom"/>
          </w:tcPr>
          <w:p w14:paraId="30791884"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78</w:t>
            </w:r>
          </w:p>
        </w:tc>
        <w:tc>
          <w:tcPr>
            <w:tcW w:w="792" w:type="dxa"/>
            <w:shd w:val="clear" w:color="auto" w:fill="auto"/>
            <w:vAlign w:val="bottom"/>
          </w:tcPr>
          <w:p w14:paraId="30AE5E4A"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0,4</w:t>
            </w:r>
          </w:p>
        </w:tc>
      </w:tr>
      <w:tr w:rsidR="00F26A56" w:rsidRPr="00F26A56" w14:paraId="470DA152" w14:textId="77777777" w:rsidTr="000F09CA">
        <w:trPr>
          <w:trHeight w:val="240"/>
        </w:trPr>
        <w:tc>
          <w:tcPr>
            <w:tcW w:w="2835" w:type="dxa"/>
            <w:shd w:val="clear" w:color="auto" w:fill="auto"/>
          </w:tcPr>
          <w:p w14:paraId="14F9BDB4"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Agresión con intención de causar lesiones corporales graves</w:t>
            </w:r>
          </w:p>
        </w:tc>
        <w:tc>
          <w:tcPr>
            <w:tcW w:w="993" w:type="dxa"/>
            <w:shd w:val="clear" w:color="auto" w:fill="auto"/>
            <w:vAlign w:val="bottom"/>
          </w:tcPr>
          <w:p w14:paraId="4BEF60BB"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182 333</w:t>
            </w:r>
          </w:p>
        </w:tc>
        <w:tc>
          <w:tcPr>
            <w:tcW w:w="992" w:type="dxa"/>
            <w:shd w:val="clear" w:color="auto" w:fill="auto"/>
            <w:vAlign w:val="bottom"/>
          </w:tcPr>
          <w:p w14:paraId="395EC492"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182 556</w:t>
            </w:r>
          </w:p>
        </w:tc>
        <w:tc>
          <w:tcPr>
            <w:tcW w:w="992" w:type="dxa"/>
            <w:shd w:val="clear" w:color="auto" w:fill="auto"/>
            <w:vAlign w:val="bottom"/>
          </w:tcPr>
          <w:p w14:paraId="03A7D854"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182 933</w:t>
            </w:r>
          </w:p>
        </w:tc>
        <w:tc>
          <w:tcPr>
            <w:tcW w:w="992" w:type="dxa"/>
            <w:shd w:val="clear" w:color="auto" w:fill="auto"/>
            <w:vAlign w:val="bottom"/>
          </w:tcPr>
          <w:p w14:paraId="5922C656"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170 616</w:t>
            </w:r>
          </w:p>
        </w:tc>
        <w:tc>
          <w:tcPr>
            <w:tcW w:w="909" w:type="dxa"/>
            <w:shd w:val="clear" w:color="auto" w:fill="auto"/>
            <w:vAlign w:val="bottom"/>
          </w:tcPr>
          <w:p w14:paraId="261FB772"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-12 317</w:t>
            </w:r>
          </w:p>
        </w:tc>
        <w:tc>
          <w:tcPr>
            <w:tcW w:w="792" w:type="dxa"/>
            <w:shd w:val="clear" w:color="auto" w:fill="auto"/>
            <w:vAlign w:val="bottom"/>
          </w:tcPr>
          <w:p w14:paraId="29CD60F7"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-6,7</w:t>
            </w:r>
          </w:p>
        </w:tc>
      </w:tr>
      <w:tr w:rsidR="00F26A56" w:rsidRPr="00F26A56" w14:paraId="6A95C376" w14:textId="77777777" w:rsidTr="000F09CA">
        <w:trPr>
          <w:trHeight w:val="240"/>
        </w:trPr>
        <w:tc>
          <w:tcPr>
            <w:tcW w:w="2835" w:type="dxa"/>
            <w:shd w:val="clear" w:color="auto" w:fill="auto"/>
          </w:tcPr>
          <w:p w14:paraId="70F2AC77"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Agresión común</w:t>
            </w:r>
          </w:p>
        </w:tc>
        <w:tc>
          <w:tcPr>
            <w:tcW w:w="993" w:type="dxa"/>
            <w:shd w:val="clear" w:color="auto" w:fill="auto"/>
            <w:vAlign w:val="bottom"/>
          </w:tcPr>
          <w:p w14:paraId="28CF3DBA"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166 081</w:t>
            </w:r>
          </w:p>
        </w:tc>
        <w:tc>
          <w:tcPr>
            <w:tcW w:w="992" w:type="dxa"/>
            <w:shd w:val="clear" w:color="auto" w:fill="auto"/>
            <w:vAlign w:val="bottom"/>
          </w:tcPr>
          <w:p w14:paraId="317FE303"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161 486</w:t>
            </w:r>
          </w:p>
        </w:tc>
        <w:tc>
          <w:tcPr>
            <w:tcW w:w="992" w:type="dxa"/>
            <w:shd w:val="clear" w:color="auto" w:fill="auto"/>
            <w:vAlign w:val="bottom"/>
          </w:tcPr>
          <w:p w14:paraId="1234A6C9"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164 958</w:t>
            </w:r>
          </w:p>
        </w:tc>
        <w:tc>
          <w:tcPr>
            <w:tcW w:w="992" w:type="dxa"/>
            <w:shd w:val="clear" w:color="auto" w:fill="auto"/>
            <w:vAlign w:val="bottom"/>
          </w:tcPr>
          <w:p w14:paraId="08EF2572"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156 450</w:t>
            </w:r>
          </w:p>
        </w:tc>
        <w:tc>
          <w:tcPr>
            <w:tcW w:w="909" w:type="dxa"/>
            <w:shd w:val="clear" w:color="auto" w:fill="auto"/>
            <w:vAlign w:val="bottom"/>
          </w:tcPr>
          <w:p w14:paraId="597C3146"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-8 508</w:t>
            </w:r>
          </w:p>
        </w:tc>
        <w:tc>
          <w:tcPr>
            <w:tcW w:w="792" w:type="dxa"/>
            <w:shd w:val="clear" w:color="auto" w:fill="auto"/>
            <w:vAlign w:val="bottom"/>
          </w:tcPr>
          <w:p w14:paraId="0C7B2060"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-5,2</w:t>
            </w:r>
          </w:p>
        </w:tc>
      </w:tr>
      <w:tr w:rsidR="00F26A56" w:rsidRPr="00F26A56" w14:paraId="3AD979A6" w14:textId="77777777" w:rsidTr="000F09CA">
        <w:trPr>
          <w:trHeight w:val="240"/>
        </w:trPr>
        <w:tc>
          <w:tcPr>
            <w:tcW w:w="2835" w:type="dxa"/>
            <w:shd w:val="clear" w:color="auto" w:fill="auto"/>
          </w:tcPr>
          <w:p w14:paraId="0E7875BD"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Robo común</w:t>
            </w:r>
          </w:p>
        </w:tc>
        <w:tc>
          <w:tcPr>
            <w:tcW w:w="993" w:type="dxa"/>
            <w:shd w:val="clear" w:color="auto" w:fill="auto"/>
            <w:vAlign w:val="bottom"/>
          </w:tcPr>
          <w:p w14:paraId="3E498E68"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53 505</w:t>
            </w:r>
          </w:p>
        </w:tc>
        <w:tc>
          <w:tcPr>
            <w:tcW w:w="992" w:type="dxa"/>
            <w:shd w:val="clear" w:color="auto" w:fill="auto"/>
            <w:vAlign w:val="bottom"/>
          </w:tcPr>
          <w:p w14:paraId="26E8EED8"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54 927</w:t>
            </w:r>
          </w:p>
        </w:tc>
        <w:tc>
          <w:tcPr>
            <w:tcW w:w="992" w:type="dxa"/>
            <w:shd w:val="clear" w:color="auto" w:fill="auto"/>
            <w:vAlign w:val="bottom"/>
          </w:tcPr>
          <w:p w14:paraId="511F9DBF"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54 110</w:t>
            </w:r>
          </w:p>
        </w:tc>
        <w:tc>
          <w:tcPr>
            <w:tcW w:w="992" w:type="dxa"/>
            <w:shd w:val="clear" w:color="auto" w:fill="auto"/>
            <w:vAlign w:val="bottom"/>
          </w:tcPr>
          <w:p w14:paraId="44F39AF4"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53 418</w:t>
            </w:r>
          </w:p>
        </w:tc>
        <w:tc>
          <w:tcPr>
            <w:tcW w:w="909" w:type="dxa"/>
            <w:shd w:val="clear" w:color="auto" w:fill="auto"/>
            <w:vAlign w:val="bottom"/>
          </w:tcPr>
          <w:p w14:paraId="508C5210"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-692</w:t>
            </w:r>
          </w:p>
        </w:tc>
        <w:tc>
          <w:tcPr>
            <w:tcW w:w="792" w:type="dxa"/>
            <w:shd w:val="clear" w:color="auto" w:fill="auto"/>
            <w:vAlign w:val="bottom"/>
          </w:tcPr>
          <w:p w14:paraId="32351E55"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-1,3</w:t>
            </w:r>
          </w:p>
        </w:tc>
      </w:tr>
      <w:tr w:rsidR="000F09CA" w:rsidRPr="00F26A56" w14:paraId="2F24A66F" w14:textId="77777777" w:rsidTr="000F09CA">
        <w:trPr>
          <w:trHeight w:val="240"/>
        </w:trPr>
        <w:tc>
          <w:tcPr>
            <w:tcW w:w="2835" w:type="dxa"/>
            <w:tcBorders>
              <w:bottom w:val="single" w:sz="4" w:space="0" w:color="auto"/>
            </w:tcBorders>
            <w:shd w:val="clear" w:color="auto" w:fill="auto"/>
          </w:tcPr>
          <w:p w14:paraId="441C95D1"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Robo con circunstancias agravantes</w:t>
            </w:r>
          </w:p>
        </w:tc>
        <w:tc>
          <w:tcPr>
            <w:tcW w:w="993" w:type="dxa"/>
            <w:tcBorders>
              <w:bottom w:val="single" w:sz="4" w:space="0" w:color="auto"/>
            </w:tcBorders>
            <w:shd w:val="clear" w:color="auto" w:fill="auto"/>
            <w:vAlign w:val="bottom"/>
          </w:tcPr>
          <w:p w14:paraId="17AC5BD4"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118 963</w:t>
            </w:r>
          </w:p>
        </w:tc>
        <w:tc>
          <w:tcPr>
            <w:tcW w:w="992" w:type="dxa"/>
            <w:tcBorders>
              <w:bottom w:val="single" w:sz="4" w:space="0" w:color="auto"/>
            </w:tcBorders>
            <w:shd w:val="clear" w:color="auto" w:fill="auto"/>
            <w:vAlign w:val="bottom"/>
          </w:tcPr>
          <w:p w14:paraId="4A4B92E1"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129 045</w:t>
            </w:r>
          </w:p>
        </w:tc>
        <w:tc>
          <w:tcPr>
            <w:tcW w:w="992" w:type="dxa"/>
            <w:tcBorders>
              <w:bottom w:val="single" w:sz="4" w:space="0" w:color="auto"/>
            </w:tcBorders>
            <w:shd w:val="clear" w:color="auto" w:fill="auto"/>
            <w:vAlign w:val="bottom"/>
          </w:tcPr>
          <w:p w14:paraId="504EAAC9"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132 527</w:t>
            </w:r>
          </w:p>
        </w:tc>
        <w:tc>
          <w:tcPr>
            <w:tcW w:w="992" w:type="dxa"/>
            <w:tcBorders>
              <w:bottom w:val="single" w:sz="4" w:space="0" w:color="auto"/>
            </w:tcBorders>
            <w:shd w:val="clear" w:color="auto" w:fill="auto"/>
            <w:vAlign w:val="bottom"/>
          </w:tcPr>
          <w:p w14:paraId="74FAD42E"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140 956</w:t>
            </w:r>
          </w:p>
        </w:tc>
        <w:tc>
          <w:tcPr>
            <w:tcW w:w="909" w:type="dxa"/>
            <w:tcBorders>
              <w:bottom w:val="single" w:sz="4" w:space="0" w:color="auto"/>
            </w:tcBorders>
            <w:shd w:val="clear" w:color="auto" w:fill="auto"/>
            <w:vAlign w:val="bottom"/>
          </w:tcPr>
          <w:p w14:paraId="55AAEFE1"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8 429</w:t>
            </w:r>
          </w:p>
        </w:tc>
        <w:tc>
          <w:tcPr>
            <w:tcW w:w="792" w:type="dxa"/>
            <w:tcBorders>
              <w:bottom w:val="single" w:sz="4" w:space="0" w:color="auto"/>
            </w:tcBorders>
            <w:shd w:val="clear" w:color="auto" w:fill="auto"/>
            <w:vAlign w:val="bottom"/>
          </w:tcPr>
          <w:p w14:paraId="19C17EA8"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6,4</w:t>
            </w:r>
          </w:p>
        </w:tc>
      </w:tr>
      <w:tr w:rsidR="000F09CA" w:rsidRPr="00F810C4" w14:paraId="096A4663" w14:textId="77777777" w:rsidTr="000F09CA">
        <w:trPr>
          <w:trHeight w:val="240"/>
        </w:trPr>
        <w:tc>
          <w:tcPr>
            <w:tcW w:w="2835" w:type="dxa"/>
            <w:tcBorders>
              <w:top w:val="single" w:sz="4" w:space="0" w:color="auto"/>
              <w:bottom w:val="single" w:sz="4" w:space="0" w:color="auto"/>
            </w:tcBorders>
            <w:shd w:val="clear" w:color="auto" w:fill="auto"/>
          </w:tcPr>
          <w:p w14:paraId="2C11BB07" w14:textId="77777777" w:rsidR="000C2F85" w:rsidRPr="00F810C4" w:rsidRDefault="000C2F85" w:rsidP="00F810C4">
            <w:pPr>
              <w:pStyle w:val="SingleTxtG"/>
              <w:tabs>
                <w:tab w:val="clear" w:pos="1701"/>
                <w:tab w:val="clear" w:pos="2268"/>
                <w:tab w:val="clear" w:pos="2835"/>
              </w:tabs>
              <w:spacing w:before="80" w:after="80" w:line="220" w:lineRule="exact"/>
              <w:ind w:left="283" w:right="0"/>
              <w:jc w:val="left"/>
              <w:rPr>
                <w:b/>
                <w:sz w:val="18"/>
                <w:lang w:val="es-ES_tradnl"/>
              </w:rPr>
            </w:pPr>
            <w:r w:rsidRPr="00F810C4">
              <w:rPr>
                <w:b/>
                <w:bCs/>
                <w:sz w:val="18"/>
                <w:lang w:val="es-ES_tradnl"/>
              </w:rPr>
              <w:t>Delitos de contacto</w:t>
            </w:r>
          </w:p>
        </w:tc>
        <w:tc>
          <w:tcPr>
            <w:tcW w:w="993" w:type="dxa"/>
            <w:tcBorders>
              <w:top w:val="single" w:sz="4" w:space="0" w:color="auto"/>
              <w:bottom w:val="single" w:sz="4" w:space="0" w:color="auto"/>
            </w:tcBorders>
            <w:shd w:val="clear" w:color="auto" w:fill="auto"/>
            <w:vAlign w:val="bottom"/>
          </w:tcPr>
          <w:p w14:paraId="3F40D90E"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sz w:val="18"/>
                <w:lang w:val="es-ES_tradnl"/>
              </w:rPr>
            </w:pPr>
            <w:r w:rsidRPr="00F810C4">
              <w:rPr>
                <w:b/>
                <w:bCs/>
                <w:sz w:val="18"/>
                <w:lang w:val="es-ES_tradnl"/>
              </w:rPr>
              <w:t>611 574</w:t>
            </w:r>
          </w:p>
        </w:tc>
        <w:tc>
          <w:tcPr>
            <w:tcW w:w="992" w:type="dxa"/>
            <w:tcBorders>
              <w:top w:val="single" w:sz="4" w:space="0" w:color="auto"/>
              <w:bottom w:val="single" w:sz="4" w:space="0" w:color="auto"/>
            </w:tcBorders>
            <w:shd w:val="clear" w:color="auto" w:fill="auto"/>
            <w:vAlign w:val="bottom"/>
          </w:tcPr>
          <w:p w14:paraId="35D3BBF0"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sz w:val="18"/>
                <w:lang w:val="es-ES_tradnl"/>
              </w:rPr>
            </w:pPr>
            <w:r w:rsidRPr="00F810C4">
              <w:rPr>
                <w:b/>
                <w:bCs/>
                <w:sz w:val="18"/>
                <w:lang w:val="es-ES_tradnl"/>
              </w:rPr>
              <w:t>616 973</w:t>
            </w:r>
          </w:p>
        </w:tc>
        <w:tc>
          <w:tcPr>
            <w:tcW w:w="992" w:type="dxa"/>
            <w:tcBorders>
              <w:top w:val="single" w:sz="4" w:space="0" w:color="auto"/>
              <w:bottom w:val="single" w:sz="4" w:space="0" w:color="auto"/>
            </w:tcBorders>
            <w:shd w:val="clear" w:color="auto" w:fill="auto"/>
            <w:vAlign w:val="bottom"/>
          </w:tcPr>
          <w:p w14:paraId="16DDB577"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sz w:val="18"/>
                <w:lang w:val="es-ES_tradnl"/>
              </w:rPr>
            </w:pPr>
            <w:r w:rsidRPr="00F810C4">
              <w:rPr>
                <w:b/>
                <w:bCs/>
                <w:sz w:val="18"/>
                <w:lang w:val="es-ES_tradnl"/>
              </w:rPr>
              <w:t>623 223</w:t>
            </w:r>
          </w:p>
        </w:tc>
        <w:tc>
          <w:tcPr>
            <w:tcW w:w="992" w:type="dxa"/>
            <w:tcBorders>
              <w:top w:val="single" w:sz="4" w:space="0" w:color="auto"/>
              <w:bottom w:val="single" w:sz="4" w:space="0" w:color="auto"/>
            </w:tcBorders>
            <w:shd w:val="clear" w:color="auto" w:fill="auto"/>
            <w:vAlign w:val="bottom"/>
          </w:tcPr>
          <w:p w14:paraId="52875073"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sz w:val="18"/>
                <w:lang w:val="es-ES_tradnl"/>
              </w:rPr>
            </w:pPr>
            <w:r w:rsidRPr="00F810C4">
              <w:rPr>
                <w:b/>
                <w:bCs/>
                <w:sz w:val="18"/>
                <w:lang w:val="es-ES_tradnl"/>
              </w:rPr>
              <w:t>608 321</w:t>
            </w:r>
          </w:p>
        </w:tc>
        <w:tc>
          <w:tcPr>
            <w:tcW w:w="909" w:type="dxa"/>
            <w:tcBorders>
              <w:top w:val="single" w:sz="4" w:space="0" w:color="auto"/>
              <w:bottom w:val="single" w:sz="4" w:space="0" w:color="auto"/>
            </w:tcBorders>
            <w:shd w:val="clear" w:color="auto" w:fill="auto"/>
            <w:vAlign w:val="bottom"/>
          </w:tcPr>
          <w:p w14:paraId="2C262ACA"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sz w:val="18"/>
                <w:lang w:val="es-ES_tradnl"/>
              </w:rPr>
            </w:pPr>
            <w:r w:rsidRPr="00F810C4">
              <w:rPr>
                <w:b/>
                <w:bCs/>
                <w:sz w:val="18"/>
                <w:lang w:val="es-ES_tradnl"/>
              </w:rPr>
              <w:t>-14 902</w:t>
            </w:r>
          </w:p>
        </w:tc>
        <w:tc>
          <w:tcPr>
            <w:tcW w:w="792" w:type="dxa"/>
            <w:tcBorders>
              <w:top w:val="single" w:sz="4" w:space="0" w:color="auto"/>
              <w:bottom w:val="single" w:sz="4" w:space="0" w:color="auto"/>
            </w:tcBorders>
            <w:shd w:val="clear" w:color="auto" w:fill="auto"/>
            <w:vAlign w:val="bottom"/>
          </w:tcPr>
          <w:p w14:paraId="4F444725"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sz w:val="18"/>
                <w:lang w:val="es-ES_tradnl"/>
              </w:rPr>
            </w:pPr>
            <w:r w:rsidRPr="00F810C4">
              <w:rPr>
                <w:b/>
                <w:bCs/>
                <w:sz w:val="18"/>
                <w:lang w:val="es-ES_tradnl"/>
              </w:rPr>
              <w:t>-2,4</w:t>
            </w:r>
          </w:p>
        </w:tc>
      </w:tr>
      <w:tr w:rsidR="000C2F85" w:rsidRPr="00F810C4" w14:paraId="20B5A327" w14:textId="77777777" w:rsidTr="00F810C4">
        <w:trPr>
          <w:trHeight w:val="240"/>
          <w:tblHeader/>
        </w:trPr>
        <w:tc>
          <w:tcPr>
            <w:tcW w:w="8505" w:type="dxa"/>
            <w:gridSpan w:val="7"/>
            <w:tcBorders>
              <w:top w:val="single" w:sz="4" w:space="0" w:color="auto"/>
            </w:tcBorders>
            <w:shd w:val="clear" w:color="auto" w:fill="auto"/>
          </w:tcPr>
          <w:p w14:paraId="4D1B05AD" w14:textId="77777777" w:rsidR="000C2F85" w:rsidRPr="00F810C4" w:rsidRDefault="000C2F85" w:rsidP="00F26A56">
            <w:pPr>
              <w:pStyle w:val="SingleTxtG"/>
              <w:tabs>
                <w:tab w:val="clear" w:pos="1701"/>
                <w:tab w:val="clear" w:pos="2268"/>
                <w:tab w:val="clear" w:pos="2835"/>
              </w:tabs>
              <w:spacing w:before="40" w:after="40" w:line="220" w:lineRule="exact"/>
              <w:ind w:left="0" w:right="0"/>
              <w:jc w:val="left"/>
              <w:rPr>
                <w:b/>
                <w:bCs/>
                <w:sz w:val="18"/>
                <w:lang w:val="es-ES_tradnl"/>
              </w:rPr>
            </w:pPr>
            <w:r w:rsidRPr="00F810C4">
              <w:rPr>
                <w:b/>
                <w:bCs/>
                <w:iCs/>
                <w:sz w:val="18"/>
                <w:lang w:val="es-ES_tradnl"/>
              </w:rPr>
              <w:t>Tasa de incidencia: delitos de contacto (delitos contra la integridad personal)</w:t>
            </w:r>
          </w:p>
        </w:tc>
      </w:tr>
      <w:tr w:rsidR="000F09CA" w:rsidRPr="00F26A56" w14:paraId="64BD86FE" w14:textId="77777777" w:rsidTr="000F09CA">
        <w:trPr>
          <w:trHeight w:val="240"/>
        </w:trPr>
        <w:tc>
          <w:tcPr>
            <w:tcW w:w="2835" w:type="dxa"/>
            <w:shd w:val="clear" w:color="auto" w:fill="auto"/>
          </w:tcPr>
          <w:p w14:paraId="7340D8D2"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Asesinato</w:t>
            </w:r>
          </w:p>
        </w:tc>
        <w:tc>
          <w:tcPr>
            <w:tcW w:w="993" w:type="dxa"/>
            <w:shd w:val="clear" w:color="auto" w:fill="auto"/>
            <w:vAlign w:val="bottom"/>
          </w:tcPr>
          <w:p w14:paraId="19CADF56"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31,9</w:t>
            </w:r>
          </w:p>
        </w:tc>
        <w:tc>
          <w:tcPr>
            <w:tcW w:w="992" w:type="dxa"/>
            <w:shd w:val="clear" w:color="auto" w:fill="auto"/>
            <w:vAlign w:val="bottom"/>
          </w:tcPr>
          <w:p w14:paraId="16E6A137"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32,9</w:t>
            </w:r>
          </w:p>
        </w:tc>
        <w:tc>
          <w:tcPr>
            <w:tcW w:w="992" w:type="dxa"/>
            <w:shd w:val="clear" w:color="auto" w:fill="auto"/>
            <w:vAlign w:val="bottom"/>
          </w:tcPr>
          <w:p w14:paraId="28C36C96"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34,0</w:t>
            </w:r>
          </w:p>
        </w:tc>
        <w:tc>
          <w:tcPr>
            <w:tcW w:w="992" w:type="dxa"/>
            <w:shd w:val="clear" w:color="auto" w:fill="auto"/>
            <w:vAlign w:val="bottom"/>
          </w:tcPr>
          <w:p w14:paraId="6C297368"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34,1</w:t>
            </w:r>
          </w:p>
        </w:tc>
        <w:tc>
          <w:tcPr>
            <w:tcW w:w="909" w:type="dxa"/>
            <w:shd w:val="clear" w:color="auto" w:fill="auto"/>
            <w:vAlign w:val="bottom"/>
          </w:tcPr>
          <w:p w14:paraId="0D3D5079"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0,1</w:t>
            </w:r>
          </w:p>
        </w:tc>
        <w:tc>
          <w:tcPr>
            <w:tcW w:w="792" w:type="dxa"/>
            <w:shd w:val="clear" w:color="auto" w:fill="auto"/>
            <w:vAlign w:val="bottom"/>
          </w:tcPr>
          <w:p w14:paraId="0444F6D2"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p>
        </w:tc>
      </w:tr>
      <w:tr w:rsidR="000F09CA" w:rsidRPr="00F26A56" w14:paraId="5132923F" w14:textId="77777777" w:rsidTr="000F09CA">
        <w:trPr>
          <w:trHeight w:val="240"/>
        </w:trPr>
        <w:tc>
          <w:tcPr>
            <w:tcW w:w="2835" w:type="dxa"/>
            <w:shd w:val="clear" w:color="auto" w:fill="auto"/>
          </w:tcPr>
          <w:p w14:paraId="55F09AA9"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Tentativa de asesinato</w:t>
            </w:r>
          </w:p>
        </w:tc>
        <w:tc>
          <w:tcPr>
            <w:tcW w:w="993" w:type="dxa"/>
            <w:shd w:val="clear" w:color="auto" w:fill="auto"/>
            <w:vAlign w:val="bottom"/>
          </w:tcPr>
          <w:p w14:paraId="0A6A1DD0"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31,9</w:t>
            </w:r>
          </w:p>
        </w:tc>
        <w:tc>
          <w:tcPr>
            <w:tcW w:w="992" w:type="dxa"/>
            <w:shd w:val="clear" w:color="auto" w:fill="auto"/>
            <w:vAlign w:val="bottom"/>
          </w:tcPr>
          <w:p w14:paraId="240674EE"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32,4</w:t>
            </w:r>
          </w:p>
        </w:tc>
        <w:tc>
          <w:tcPr>
            <w:tcW w:w="992" w:type="dxa"/>
            <w:shd w:val="clear" w:color="auto" w:fill="auto"/>
            <w:vAlign w:val="bottom"/>
          </w:tcPr>
          <w:p w14:paraId="26C08310"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33,0</w:t>
            </w:r>
          </w:p>
        </w:tc>
        <w:tc>
          <w:tcPr>
            <w:tcW w:w="992" w:type="dxa"/>
            <w:shd w:val="clear" w:color="auto" w:fill="auto"/>
            <w:vAlign w:val="bottom"/>
          </w:tcPr>
          <w:p w14:paraId="4270C3EB"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32,6</w:t>
            </w:r>
          </w:p>
        </w:tc>
        <w:tc>
          <w:tcPr>
            <w:tcW w:w="909" w:type="dxa"/>
            <w:shd w:val="clear" w:color="auto" w:fill="auto"/>
            <w:vAlign w:val="bottom"/>
          </w:tcPr>
          <w:p w14:paraId="7B18F6AB"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-0,4</w:t>
            </w:r>
          </w:p>
        </w:tc>
        <w:tc>
          <w:tcPr>
            <w:tcW w:w="792" w:type="dxa"/>
            <w:shd w:val="clear" w:color="auto" w:fill="auto"/>
            <w:vAlign w:val="bottom"/>
          </w:tcPr>
          <w:p w14:paraId="07BBF855"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p>
        </w:tc>
      </w:tr>
      <w:tr w:rsidR="000F09CA" w:rsidRPr="00F26A56" w14:paraId="7AF59EE5" w14:textId="77777777" w:rsidTr="000F09CA">
        <w:trPr>
          <w:trHeight w:val="240"/>
        </w:trPr>
        <w:tc>
          <w:tcPr>
            <w:tcW w:w="2835" w:type="dxa"/>
            <w:shd w:val="clear" w:color="auto" w:fill="auto"/>
          </w:tcPr>
          <w:p w14:paraId="1C214BA9"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Agresión con intención de causar lesiones corporales graves</w:t>
            </w:r>
          </w:p>
        </w:tc>
        <w:tc>
          <w:tcPr>
            <w:tcW w:w="993" w:type="dxa"/>
            <w:shd w:val="clear" w:color="auto" w:fill="auto"/>
            <w:vAlign w:val="bottom"/>
          </w:tcPr>
          <w:p w14:paraId="446064E4"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342,1</w:t>
            </w:r>
          </w:p>
        </w:tc>
        <w:tc>
          <w:tcPr>
            <w:tcW w:w="992" w:type="dxa"/>
            <w:shd w:val="clear" w:color="auto" w:fill="auto"/>
            <w:vAlign w:val="bottom"/>
          </w:tcPr>
          <w:p w14:paraId="410B5825"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337,3</w:t>
            </w:r>
          </w:p>
        </w:tc>
        <w:tc>
          <w:tcPr>
            <w:tcW w:w="992" w:type="dxa"/>
            <w:shd w:val="clear" w:color="auto" w:fill="auto"/>
            <w:vAlign w:val="bottom"/>
          </w:tcPr>
          <w:p w14:paraId="6B414AB2"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332,8</w:t>
            </w:r>
          </w:p>
        </w:tc>
        <w:tc>
          <w:tcPr>
            <w:tcW w:w="992" w:type="dxa"/>
            <w:shd w:val="clear" w:color="auto" w:fill="auto"/>
            <w:vAlign w:val="bottom"/>
          </w:tcPr>
          <w:p w14:paraId="42DB84E7"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305,5</w:t>
            </w:r>
          </w:p>
        </w:tc>
        <w:tc>
          <w:tcPr>
            <w:tcW w:w="909" w:type="dxa"/>
            <w:shd w:val="clear" w:color="auto" w:fill="auto"/>
            <w:vAlign w:val="bottom"/>
          </w:tcPr>
          <w:p w14:paraId="7A865DAB"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-27,3</w:t>
            </w:r>
          </w:p>
        </w:tc>
        <w:tc>
          <w:tcPr>
            <w:tcW w:w="792" w:type="dxa"/>
            <w:shd w:val="clear" w:color="auto" w:fill="auto"/>
            <w:vAlign w:val="bottom"/>
          </w:tcPr>
          <w:p w14:paraId="0FC45B77"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p>
        </w:tc>
      </w:tr>
      <w:tr w:rsidR="000F09CA" w:rsidRPr="00F26A56" w14:paraId="3C6C924F" w14:textId="77777777" w:rsidTr="000F09CA">
        <w:trPr>
          <w:trHeight w:val="240"/>
        </w:trPr>
        <w:tc>
          <w:tcPr>
            <w:tcW w:w="2835" w:type="dxa"/>
            <w:shd w:val="clear" w:color="auto" w:fill="auto"/>
          </w:tcPr>
          <w:p w14:paraId="3BDDC003"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Agresión común</w:t>
            </w:r>
          </w:p>
        </w:tc>
        <w:tc>
          <w:tcPr>
            <w:tcW w:w="993" w:type="dxa"/>
            <w:shd w:val="clear" w:color="auto" w:fill="auto"/>
            <w:vAlign w:val="bottom"/>
          </w:tcPr>
          <w:p w14:paraId="451C00A4"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311,6</w:t>
            </w:r>
          </w:p>
        </w:tc>
        <w:tc>
          <w:tcPr>
            <w:tcW w:w="992" w:type="dxa"/>
            <w:shd w:val="clear" w:color="auto" w:fill="auto"/>
            <w:vAlign w:val="bottom"/>
          </w:tcPr>
          <w:p w14:paraId="5E516D57"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298,4</w:t>
            </w:r>
          </w:p>
        </w:tc>
        <w:tc>
          <w:tcPr>
            <w:tcW w:w="992" w:type="dxa"/>
            <w:shd w:val="clear" w:color="auto" w:fill="auto"/>
            <w:vAlign w:val="bottom"/>
          </w:tcPr>
          <w:p w14:paraId="74DC93AB"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300,1</w:t>
            </w:r>
          </w:p>
        </w:tc>
        <w:tc>
          <w:tcPr>
            <w:tcW w:w="992" w:type="dxa"/>
            <w:shd w:val="clear" w:color="auto" w:fill="auto"/>
            <w:vAlign w:val="bottom"/>
          </w:tcPr>
          <w:p w14:paraId="4D1A0AFF"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280,2</w:t>
            </w:r>
          </w:p>
        </w:tc>
        <w:tc>
          <w:tcPr>
            <w:tcW w:w="909" w:type="dxa"/>
            <w:shd w:val="clear" w:color="auto" w:fill="auto"/>
            <w:vAlign w:val="bottom"/>
          </w:tcPr>
          <w:p w14:paraId="7B24A67C"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-20,0</w:t>
            </w:r>
          </w:p>
        </w:tc>
        <w:tc>
          <w:tcPr>
            <w:tcW w:w="792" w:type="dxa"/>
            <w:shd w:val="clear" w:color="auto" w:fill="auto"/>
            <w:vAlign w:val="bottom"/>
          </w:tcPr>
          <w:p w14:paraId="4813D8AF"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p>
        </w:tc>
      </w:tr>
      <w:tr w:rsidR="000F09CA" w:rsidRPr="00F26A56" w14:paraId="132C777E" w14:textId="77777777" w:rsidTr="000F09CA">
        <w:trPr>
          <w:trHeight w:val="240"/>
        </w:trPr>
        <w:tc>
          <w:tcPr>
            <w:tcW w:w="2835" w:type="dxa"/>
            <w:shd w:val="clear" w:color="auto" w:fill="auto"/>
          </w:tcPr>
          <w:p w14:paraId="2C35A749"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Robo común</w:t>
            </w:r>
          </w:p>
        </w:tc>
        <w:tc>
          <w:tcPr>
            <w:tcW w:w="993" w:type="dxa"/>
            <w:shd w:val="clear" w:color="auto" w:fill="auto"/>
            <w:vAlign w:val="bottom"/>
          </w:tcPr>
          <w:p w14:paraId="215F530B"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100,4</w:t>
            </w:r>
          </w:p>
        </w:tc>
        <w:tc>
          <w:tcPr>
            <w:tcW w:w="992" w:type="dxa"/>
            <w:shd w:val="clear" w:color="auto" w:fill="auto"/>
            <w:vAlign w:val="bottom"/>
          </w:tcPr>
          <w:p w14:paraId="61019753"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101,5</w:t>
            </w:r>
          </w:p>
        </w:tc>
        <w:tc>
          <w:tcPr>
            <w:tcW w:w="992" w:type="dxa"/>
            <w:shd w:val="clear" w:color="auto" w:fill="auto"/>
            <w:vAlign w:val="bottom"/>
          </w:tcPr>
          <w:p w14:paraId="15172C30"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98,4</w:t>
            </w:r>
          </w:p>
        </w:tc>
        <w:tc>
          <w:tcPr>
            <w:tcW w:w="992" w:type="dxa"/>
            <w:shd w:val="clear" w:color="auto" w:fill="auto"/>
            <w:vAlign w:val="bottom"/>
          </w:tcPr>
          <w:p w14:paraId="3506E988"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95,7</w:t>
            </w:r>
          </w:p>
        </w:tc>
        <w:tc>
          <w:tcPr>
            <w:tcW w:w="909" w:type="dxa"/>
            <w:shd w:val="clear" w:color="auto" w:fill="auto"/>
            <w:vAlign w:val="bottom"/>
          </w:tcPr>
          <w:p w14:paraId="6539D3CE"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-2,8</w:t>
            </w:r>
          </w:p>
        </w:tc>
        <w:tc>
          <w:tcPr>
            <w:tcW w:w="792" w:type="dxa"/>
            <w:shd w:val="clear" w:color="auto" w:fill="auto"/>
            <w:vAlign w:val="bottom"/>
          </w:tcPr>
          <w:p w14:paraId="767F7806"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p>
        </w:tc>
      </w:tr>
      <w:tr w:rsidR="000C2F85" w:rsidRPr="00F810C4" w14:paraId="50E4F3C0" w14:textId="77777777" w:rsidTr="00F810C4">
        <w:trPr>
          <w:trHeight w:val="240"/>
          <w:tblHeader/>
        </w:trPr>
        <w:tc>
          <w:tcPr>
            <w:tcW w:w="8505" w:type="dxa"/>
            <w:gridSpan w:val="7"/>
            <w:shd w:val="clear" w:color="auto" w:fill="auto"/>
          </w:tcPr>
          <w:p w14:paraId="2BF0D33F" w14:textId="77777777" w:rsidR="000C2F85" w:rsidRPr="00F810C4" w:rsidRDefault="000C2F85" w:rsidP="00955AE4">
            <w:pPr>
              <w:pStyle w:val="SingleTxtG"/>
              <w:tabs>
                <w:tab w:val="clear" w:pos="1701"/>
                <w:tab w:val="clear" w:pos="2268"/>
                <w:tab w:val="clear" w:pos="2835"/>
              </w:tabs>
              <w:spacing w:before="40" w:after="40" w:line="220" w:lineRule="exact"/>
              <w:ind w:left="0" w:right="28"/>
              <w:jc w:val="left"/>
              <w:rPr>
                <w:b/>
                <w:bCs/>
                <w:sz w:val="18"/>
                <w:lang w:val="es-ES_tradnl"/>
              </w:rPr>
            </w:pPr>
            <w:r w:rsidRPr="00F810C4">
              <w:rPr>
                <w:b/>
                <w:bCs/>
                <w:sz w:val="18"/>
                <w:lang w:val="es-ES_tradnl"/>
              </w:rPr>
              <w:t>Delitos sexuales</w:t>
            </w:r>
          </w:p>
        </w:tc>
      </w:tr>
      <w:tr w:rsidR="000F09CA" w:rsidRPr="00F26A56" w14:paraId="7E9FA217" w14:textId="77777777" w:rsidTr="000F09CA">
        <w:trPr>
          <w:trHeight w:val="240"/>
        </w:trPr>
        <w:tc>
          <w:tcPr>
            <w:tcW w:w="2835" w:type="dxa"/>
            <w:shd w:val="clear" w:color="auto" w:fill="auto"/>
          </w:tcPr>
          <w:p w14:paraId="7A67DABF"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 xml:space="preserve">Violación </w:t>
            </w:r>
          </w:p>
        </w:tc>
        <w:tc>
          <w:tcPr>
            <w:tcW w:w="993" w:type="dxa"/>
            <w:shd w:val="clear" w:color="auto" w:fill="auto"/>
            <w:vAlign w:val="bottom"/>
          </w:tcPr>
          <w:p w14:paraId="7D3FD4F5"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45 349</w:t>
            </w:r>
          </w:p>
        </w:tc>
        <w:tc>
          <w:tcPr>
            <w:tcW w:w="992" w:type="dxa"/>
            <w:shd w:val="clear" w:color="auto" w:fill="auto"/>
            <w:vAlign w:val="bottom"/>
          </w:tcPr>
          <w:p w14:paraId="14D9B9B6"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43 195</w:t>
            </w:r>
          </w:p>
        </w:tc>
        <w:tc>
          <w:tcPr>
            <w:tcW w:w="992" w:type="dxa"/>
            <w:shd w:val="clear" w:color="auto" w:fill="auto"/>
            <w:vAlign w:val="bottom"/>
          </w:tcPr>
          <w:p w14:paraId="7FB63495"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41 503</w:t>
            </w:r>
          </w:p>
        </w:tc>
        <w:tc>
          <w:tcPr>
            <w:tcW w:w="992" w:type="dxa"/>
            <w:shd w:val="clear" w:color="auto" w:fill="auto"/>
            <w:vAlign w:val="bottom"/>
          </w:tcPr>
          <w:p w14:paraId="0C0C448C"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39 828</w:t>
            </w:r>
          </w:p>
        </w:tc>
        <w:tc>
          <w:tcPr>
            <w:tcW w:w="909" w:type="dxa"/>
            <w:shd w:val="clear" w:color="auto" w:fill="auto"/>
            <w:vAlign w:val="bottom"/>
          </w:tcPr>
          <w:p w14:paraId="4DAE719F"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-1 675</w:t>
            </w:r>
          </w:p>
        </w:tc>
        <w:tc>
          <w:tcPr>
            <w:tcW w:w="792" w:type="dxa"/>
            <w:shd w:val="clear" w:color="auto" w:fill="auto"/>
            <w:vAlign w:val="bottom"/>
          </w:tcPr>
          <w:p w14:paraId="3849B488"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-4,0</w:t>
            </w:r>
          </w:p>
        </w:tc>
      </w:tr>
      <w:tr w:rsidR="000F09CA" w:rsidRPr="00F26A56" w14:paraId="4F005DB0" w14:textId="77777777" w:rsidTr="000F09CA">
        <w:trPr>
          <w:trHeight w:val="240"/>
        </w:trPr>
        <w:tc>
          <w:tcPr>
            <w:tcW w:w="2835" w:type="dxa"/>
            <w:shd w:val="clear" w:color="auto" w:fill="auto"/>
          </w:tcPr>
          <w:p w14:paraId="4D1A40A5"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Agresión sexual</w:t>
            </w:r>
          </w:p>
        </w:tc>
        <w:tc>
          <w:tcPr>
            <w:tcW w:w="993" w:type="dxa"/>
            <w:shd w:val="clear" w:color="auto" w:fill="auto"/>
            <w:vAlign w:val="bottom"/>
          </w:tcPr>
          <w:p w14:paraId="032ED030"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6 597</w:t>
            </w:r>
          </w:p>
        </w:tc>
        <w:tc>
          <w:tcPr>
            <w:tcW w:w="992" w:type="dxa"/>
            <w:shd w:val="clear" w:color="auto" w:fill="auto"/>
            <w:vAlign w:val="bottom"/>
          </w:tcPr>
          <w:p w14:paraId="35F57789"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6 087</w:t>
            </w:r>
          </w:p>
        </w:tc>
        <w:tc>
          <w:tcPr>
            <w:tcW w:w="992" w:type="dxa"/>
            <w:shd w:val="clear" w:color="auto" w:fill="auto"/>
            <w:vAlign w:val="bottom"/>
          </w:tcPr>
          <w:p w14:paraId="24F7A228"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6 212</w:t>
            </w:r>
          </w:p>
        </w:tc>
        <w:tc>
          <w:tcPr>
            <w:tcW w:w="992" w:type="dxa"/>
            <w:shd w:val="clear" w:color="auto" w:fill="auto"/>
            <w:vAlign w:val="bottom"/>
          </w:tcPr>
          <w:p w14:paraId="4B14ABC7"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6 271</w:t>
            </w:r>
          </w:p>
        </w:tc>
        <w:tc>
          <w:tcPr>
            <w:tcW w:w="909" w:type="dxa"/>
            <w:shd w:val="clear" w:color="auto" w:fill="auto"/>
            <w:vAlign w:val="bottom"/>
          </w:tcPr>
          <w:p w14:paraId="730EC390"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59</w:t>
            </w:r>
          </w:p>
        </w:tc>
        <w:tc>
          <w:tcPr>
            <w:tcW w:w="792" w:type="dxa"/>
            <w:shd w:val="clear" w:color="auto" w:fill="auto"/>
            <w:vAlign w:val="bottom"/>
          </w:tcPr>
          <w:p w14:paraId="18715617"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0,9</w:t>
            </w:r>
          </w:p>
        </w:tc>
      </w:tr>
      <w:tr w:rsidR="000F09CA" w:rsidRPr="00F26A56" w14:paraId="311258B3" w14:textId="77777777" w:rsidTr="000F09CA">
        <w:trPr>
          <w:trHeight w:val="240"/>
        </w:trPr>
        <w:tc>
          <w:tcPr>
            <w:tcW w:w="2835" w:type="dxa"/>
            <w:shd w:val="clear" w:color="auto" w:fill="auto"/>
          </w:tcPr>
          <w:p w14:paraId="5C16FEA7"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Tentativa de delito sexual</w:t>
            </w:r>
          </w:p>
        </w:tc>
        <w:tc>
          <w:tcPr>
            <w:tcW w:w="993" w:type="dxa"/>
            <w:shd w:val="clear" w:color="auto" w:fill="auto"/>
            <w:vAlign w:val="bottom"/>
          </w:tcPr>
          <w:p w14:paraId="79344513"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2 913</w:t>
            </w:r>
          </w:p>
        </w:tc>
        <w:tc>
          <w:tcPr>
            <w:tcW w:w="992" w:type="dxa"/>
            <w:shd w:val="clear" w:color="auto" w:fill="auto"/>
            <w:vAlign w:val="bottom"/>
          </w:tcPr>
          <w:p w14:paraId="654AE622"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2 641</w:t>
            </w:r>
          </w:p>
        </w:tc>
        <w:tc>
          <w:tcPr>
            <w:tcW w:w="992" w:type="dxa"/>
            <w:shd w:val="clear" w:color="auto" w:fill="auto"/>
            <w:vAlign w:val="bottom"/>
          </w:tcPr>
          <w:p w14:paraId="056B867D"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2 573</w:t>
            </w:r>
          </w:p>
        </w:tc>
        <w:tc>
          <w:tcPr>
            <w:tcW w:w="992" w:type="dxa"/>
            <w:shd w:val="clear" w:color="auto" w:fill="auto"/>
            <w:vAlign w:val="bottom"/>
          </w:tcPr>
          <w:p w14:paraId="09131E9D"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2 073</w:t>
            </w:r>
          </w:p>
        </w:tc>
        <w:tc>
          <w:tcPr>
            <w:tcW w:w="909" w:type="dxa"/>
            <w:shd w:val="clear" w:color="auto" w:fill="auto"/>
            <w:vAlign w:val="bottom"/>
          </w:tcPr>
          <w:p w14:paraId="3D8A1F2A"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-500</w:t>
            </w:r>
          </w:p>
        </w:tc>
        <w:tc>
          <w:tcPr>
            <w:tcW w:w="792" w:type="dxa"/>
            <w:shd w:val="clear" w:color="auto" w:fill="auto"/>
            <w:vAlign w:val="bottom"/>
          </w:tcPr>
          <w:p w14:paraId="76DA5596"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-19,4</w:t>
            </w:r>
          </w:p>
        </w:tc>
      </w:tr>
      <w:tr w:rsidR="000F09CA" w:rsidRPr="00F26A56" w14:paraId="33627B62" w14:textId="77777777" w:rsidTr="000F09CA">
        <w:trPr>
          <w:trHeight w:val="240"/>
        </w:trPr>
        <w:tc>
          <w:tcPr>
            <w:tcW w:w="2835" w:type="dxa"/>
            <w:tcBorders>
              <w:bottom w:val="single" w:sz="4" w:space="0" w:color="auto"/>
            </w:tcBorders>
            <w:shd w:val="clear" w:color="auto" w:fill="auto"/>
          </w:tcPr>
          <w:p w14:paraId="27E19296"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Delito sexual de contacto</w:t>
            </w:r>
          </w:p>
        </w:tc>
        <w:tc>
          <w:tcPr>
            <w:tcW w:w="993" w:type="dxa"/>
            <w:tcBorders>
              <w:bottom w:val="single" w:sz="4" w:space="0" w:color="auto"/>
            </w:tcBorders>
            <w:shd w:val="clear" w:color="auto" w:fill="auto"/>
            <w:vAlign w:val="bottom"/>
          </w:tcPr>
          <w:p w14:paraId="13C149E1"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1 821</w:t>
            </w:r>
          </w:p>
        </w:tc>
        <w:tc>
          <w:tcPr>
            <w:tcW w:w="992" w:type="dxa"/>
            <w:tcBorders>
              <w:bottom w:val="single" w:sz="4" w:space="0" w:color="auto"/>
            </w:tcBorders>
            <w:shd w:val="clear" w:color="auto" w:fill="auto"/>
            <w:vAlign w:val="bottom"/>
          </w:tcPr>
          <w:p w14:paraId="793BF7DB"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1 694</w:t>
            </w:r>
          </w:p>
        </w:tc>
        <w:tc>
          <w:tcPr>
            <w:tcW w:w="992" w:type="dxa"/>
            <w:tcBorders>
              <w:bottom w:val="single" w:sz="4" w:space="0" w:color="auto"/>
            </w:tcBorders>
            <w:shd w:val="clear" w:color="auto" w:fill="auto"/>
            <w:vAlign w:val="bottom"/>
          </w:tcPr>
          <w:p w14:paraId="0CA07277"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1 607</w:t>
            </w:r>
          </w:p>
        </w:tc>
        <w:tc>
          <w:tcPr>
            <w:tcW w:w="992" w:type="dxa"/>
            <w:tcBorders>
              <w:bottom w:val="single" w:sz="4" w:space="0" w:color="auto"/>
            </w:tcBorders>
            <w:shd w:val="clear" w:color="auto" w:fill="auto"/>
            <w:vAlign w:val="bottom"/>
          </w:tcPr>
          <w:p w14:paraId="0253F3E9"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1 488</w:t>
            </w:r>
          </w:p>
        </w:tc>
        <w:tc>
          <w:tcPr>
            <w:tcW w:w="909" w:type="dxa"/>
            <w:tcBorders>
              <w:bottom w:val="single" w:sz="4" w:space="0" w:color="auto"/>
            </w:tcBorders>
            <w:shd w:val="clear" w:color="auto" w:fill="auto"/>
            <w:vAlign w:val="bottom"/>
          </w:tcPr>
          <w:p w14:paraId="69C0D95B"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-119</w:t>
            </w:r>
          </w:p>
        </w:tc>
        <w:tc>
          <w:tcPr>
            <w:tcW w:w="792" w:type="dxa"/>
            <w:tcBorders>
              <w:bottom w:val="single" w:sz="4" w:space="0" w:color="auto"/>
            </w:tcBorders>
            <w:shd w:val="clear" w:color="auto" w:fill="auto"/>
            <w:vAlign w:val="bottom"/>
          </w:tcPr>
          <w:p w14:paraId="265F5C3E"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-7,4</w:t>
            </w:r>
          </w:p>
        </w:tc>
      </w:tr>
      <w:tr w:rsidR="000F09CA" w:rsidRPr="00F810C4" w14:paraId="131C834E" w14:textId="77777777" w:rsidTr="000F09CA">
        <w:trPr>
          <w:trHeight w:val="240"/>
        </w:trPr>
        <w:tc>
          <w:tcPr>
            <w:tcW w:w="2835" w:type="dxa"/>
            <w:tcBorders>
              <w:top w:val="single" w:sz="4" w:space="0" w:color="auto"/>
              <w:bottom w:val="single" w:sz="4" w:space="0" w:color="auto"/>
            </w:tcBorders>
            <w:shd w:val="clear" w:color="auto" w:fill="auto"/>
          </w:tcPr>
          <w:p w14:paraId="642435AB" w14:textId="77777777" w:rsidR="000C2F85" w:rsidRPr="00F810C4" w:rsidRDefault="000C2F85" w:rsidP="00F810C4">
            <w:pPr>
              <w:pStyle w:val="SingleTxtG"/>
              <w:tabs>
                <w:tab w:val="clear" w:pos="1701"/>
                <w:tab w:val="clear" w:pos="2268"/>
                <w:tab w:val="clear" w:pos="2835"/>
              </w:tabs>
              <w:spacing w:before="80" w:after="80" w:line="220" w:lineRule="exact"/>
              <w:ind w:left="283" w:right="0"/>
              <w:jc w:val="left"/>
              <w:rPr>
                <w:b/>
                <w:bCs/>
                <w:sz w:val="18"/>
                <w:lang w:val="es-ES_tradnl"/>
              </w:rPr>
            </w:pPr>
            <w:r w:rsidRPr="00F810C4">
              <w:rPr>
                <w:b/>
                <w:bCs/>
                <w:sz w:val="18"/>
                <w:lang w:val="es-ES_tradnl"/>
              </w:rPr>
              <w:t>Delitos sexuales</w:t>
            </w:r>
          </w:p>
        </w:tc>
        <w:tc>
          <w:tcPr>
            <w:tcW w:w="993" w:type="dxa"/>
            <w:tcBorders>
              <w:top w:val="single" w:sz="4" w:space="0" w:color="auto"/>
              <w:bottom w:val="single" w:sz="4" w:space="0" w:color="auto"/>
            </w:tcBorders>
            <w:shd w:val="clear" w:color="auto" w:fill="auto"/>
            <w:vAlign w:val="bottom"/>
          </w:tcPr>
          <w:p w14:paraId="5C2BBD82"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56 680</w:t>
            </w:r>
          </w:p>
        </w:tc>
        <w:tc>
          <w:tcPr>
            <w:tcW w:w="992" w:type="dxa"/>
            <w:tcBorders>
              <w:top w:val="single" w:sz="4" w:space="0" w:color="auto"/>
              <w:bottom w:val="single" w:sz="4" w:space="0" w:color="auto"/>
            </w:tcBorders>
            <w:shd w:val="clear" w:color="auto" w:fill="auto"/>
            <w:vAlign w:val="bottom"/>
          </w:tcPr>
          <w:p w14:paraId="1511FCA5"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53 617</w:t>
            </w:r>
          </w:p>
        </w:tc>
        <w:tc>
          <w:tcPr>
            <w:tcW w:w="992" w:type="dxa"/>
            <w:tcBorders>
              <w:top w:val="single" w:sz="4" w:space="0" w:color="auto"/>
              <w:bottom w:val="single" w:sz="4" w:space="0" w:color="auto"/>
            </w:tcBorders>
            <w:shd w:val="clear" w:color="auto" w:fill="auto"/>
            <w:vAlign w:val="bottom"/>
          </w:tcPr>
          <w:p w14:paraId="6E16064D"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51 895</w:t>
            </w:r>
          </w:p>
        </w:tc>
        <w:tc>
          <w:tcPr>
            <w:tcW w:w="992" w:type="dxa"/>
            <w:tcBorders>
              <w:top w:val="single" w:sz="4" w:space="0" w:color="auto"/>
              <w:bottom w:val="single" w:sz="4" w:space="0" w:color="auto"/>
            </w:tcBorders>
            <w:shd w:val="clear" w:color="auto" w:fill="auto"/>
            <w:vAlign w:val="bottom"/>
          </w:tcPr>
          <w:p w14:paraId="5DFCB94C"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49 660</w:t>
            </w:r>
          </w:p>
        </w:tc>
        <w:tc>
          <w:tcPr>
            <w:tcW w:w="909" w:type="dxa"/>
            <w:tcBorders>
              <w:top w:val="single" w:sz="4" w:space="0" w:color="auto"/>
              <w:bottom w:val="single" w:sz="4" w:space="0" w:color="auto"/>
            </w:tcBorders>
            <w:shd w:val="clear" w:color="auto" w:fill="auto"/>
            <w:vAlign w:val="bottom"/>
          </w:tcPr>
          <w:p w14:paraId="435D863B"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-2 235</w:t>
            </w:r>
          </w:p>
        </w:tc>
        <w:tc>
          <w:tcPr>
            <w:tcW w:w="792" w:type="dxa"/>
            <w:tcBorders>
              <w:top w:val="single" w:sz="4" w:space="0" w:color="auto"/>
              <w:bottom w:val="single" w:sz="4" w:space="0" w:color="auto"/>
            </w:tcBorders>
            <w:shd w:val="clear" w:color="auto" w:fill="auto"/>
            <w:vAlign w:val="bottom"/>
          </w:tcPr>
          <w:p w14:paraId="75F3554E"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-4,3</w:t>
            </w:r>
          </w:p>
        </w:tc>
      </w:tr>
      <w:tr w:rsidR="000C2F85" w:rsidRPr="00F810C4" w14:paraId="5E6BFCDE" w14:textId="77777777" w:rsidTr="00F810C4">
        <w:trPr>
          <w:trHeight w:val="240"/>
          <w:tblHeader/>
        </w:trPr>
        <w:tc>
          <w:tcPr>
            <w:tcW w:w="8505" w:type="dxa"/>
            <w:gridSpan w:val="7"/>
            <w:tcBorders>
              <w:top w:val="single" w:sz="4" w:space="0" w:color="auto"/>
            </w:tcBorders>
            <w:shd w:val="clear" w:color="auto" w:fill="auto"/>
          </w:tcPr>
          <w:p w14:paraId="47E60574" w14:textId="77777777" w:rsidR="000C2F85" w:rsidRPr="00F810C4" w:rsidRDefault="000C2F85" w:rsidP="00F26A56">
            <w:pPr>
              <w:pStyle w:val="SingleTxtG"/>
              <w:tabs>
                <w:tab w:val="clear" w:pos="1701"/>
                <w:tab w:val="clear" w:pos="2268"/>
                <w:tab w:val="clear" w:pos="2835"/>
              </w:tabs>
              <w:spacing w:before="40" w:after="40" w:line="220" w:lineRule="exact"/>
              <w:ind w:left="0" w:right="0"/>
              <w:jc w:val="left"/>
              <w:rPr>
                <w:b/>
                <w:bCs/>
                <w:sz w:val="18"/>
                <w:lang w:val="es-ES_tradnl"/>
              </w:rPr>
            </w:pPr>
            <w:r w:rsidRPr="00F810C4">
              <w:rPr>
                <w:b/>
                <w:bCs/>
                <w:iCs/>
                <w:sz w:val="18"/>
                <w:lang w:val="es-ES_tradnl"/>
              </w:rPr>
              <w:t>Tasa de incidencia: delitos sexuales</w:t>
            </w:r>
          </w:p>
        </w:tc>
      </w:tr>
      <w:tr w:rsidR="000F09CA" w:rsidRPr="00F26A56" w14:paraId="7DFD3D8E" w14:textId="77777777" w:rsidTr="000F09CA">
        <w:trPr>
          <w:trHeight w:val="240"/>
        </w:trPr>
        <w:tc>
          <w:tcPr>
            <w:tcW w:w="2835" w:type="dxa"/>
            <w:shd w:val="clear" w:color="auto" w:fill="auto"/>
          </w:tcPr>
          <w:p w14:paraId="6FD0C6A8"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Violación</w:t>
            </w:r>
          </w:p>
        </w:tc>
        <w:tc>
          <w:tcPr>
            <w:tcW w:w="993" w:type="dxa"/>
            <w:shd w:val="clear" w:color="auto" w:fill="auto"/>
            <w:vAlign w:val="bottom"/>
          </w:tcPr>
          <w:p w14:paraId="37621E75"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85,1</w:t>
            </w:r>
          </w:p>
        </w:tc>
        <w:tc>
          <w:tcPr>
            <w:tcW w:w="992" w:type="dxa"/>
            <w:shd w:val="clear" w:color="auto" w:fill="auto"/>
            <w:vAlign w:val="bottom"/>
          </w:tcPr>
          <w:p w14:paraId="4A37390F"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79,8</w:t>
            </w:r>
          </w:p>
        </w:tc>
        <w:tc>
          <w:tcPr>
            <w:tcW w:w="992" w:type="dxa"/>
            <w:shd w:val="clear" w:color="auto" w:fill="auto"/>
            <w:vAlign w:val="bottom"/>
          </w:tcPr>
          <w:p w14:paraId="4394C406"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75,5</w:t>
            </w:r>
          </w:p>
        </w:tc>
        <w:tc>
          <w:tcPr>
            <w:tcW w:w="992" w:type="dxa"/>
            <w:shd w:val="clear" w:color="auto" w:fill="auto"/>
            <w:vAlign w:val="bottom"/>
          </w:tcPr>
          <w:p w14:paraId="3D30F046"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71,3</w:t>
            </w:r>
          </w:p>
        </w:tc>
        <w:tc>
          <w:tcPr>
            <w:tcW w:w="909" w:type="dxa"/>
            <w:shd w:val="clear" w:color="auto" w:fill="auto"/>
            <w:vAlign w:val="bottom"/>
          </w:tcPr>
          <w:p w14:paraId="197E7BF5"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-4,2</w:t>
            </w:r>
          </w:p>
        </w:tc>
        <w:tc>
          <w:tcPr>
            <w:tcW w:w="792" w:type="dxa"/>
            <w:shd w:val="clear" w:color="auto" w:fill="auto"/>
            <w:vAlign w:val="bottom"/>
          </w:tcPr>
          <w:p w14:paraId="24662745"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p>
        </w:tc>
      </w:tr>
      <w:tr w:rsidR="000F09CA" w:rsidRPr="00F26A56" w14:paraId="3AB99FA4" w14:textId="77777777" w:rsidTr="000F09CA">
        <w:trPr>
          <w:trHeight w:val="240"/>
        </w:trPr>
        <w:tc>
          <w:tcPr>
            <w:tcW w:w="2835" w:type="dxa"/>
            <w:shd w:val="clear" w:color="auto" w:fill="auto"/>
          </w:tcPr>
          <w:p w14:paraId="772F7954"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Agresión sexual</w:t>
            </w:r>
          </w:p>
        </w:tc>
        <w:tc>
          <w:tcPr>
            <w:tcW w:w="993" w:type="dxa"/>
            <w:shd w:val="clear" w:color="auto" w:fill="auto"/>
            <w:vAlign w:val="bottom"/>
          </w:tcPr>
          <w:p w14:paraId="734E7862"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12,4</w:t>
            </w:r>
          </w:p>
        </w:tc>
        <w:tc>
          <w:tcPr>
            <w:tcW w:w="992" w:type="dxa"/>
            <w:shd w:val="clear" w:color="auto" w:fill="auto"/>
            <w:vAlign w:val="bottom"/>
          </w:tcPr>
          <w:p w14:paraId="246D44F5"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11,2</w:t>
            </w:r>
          </w:p>
        </w:tc>
        <w:tc>
          <w:tcPr>
            <w:tcW w:w="992" w:type="dxa"/>
            <w:shd w:val="clear" w:color="auto" w:fill="auto"/>
            <w:vAlign w:val="bottom"/>
          </w:tcPr>
          <w:p w14:paraId="0EFB4080"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11,3</w:t>
            </w:r>
          </w:p>
        </w:tc>
        <w:tc>
          <w:tcPr>
            <w:tcW w:w="992" w:type="dxa"/>
            <w:shd w:val="clear" w:color="auto" w:fill="auto"/>
            <w:vAlign w:val="bottom"/>
          </w:tcPr>
          <w:p w14:paraId="57E62BA4"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11,2</w:t>
            </w:r>
          </w:p>
        </w:tc>
        <w:tc>
          <w:tcPr>
            <w:tcW w:w="909" w:type="dxa"/>
            <w:shd w:val="clear" w:color="auto" w:fill="auto"/>
            <w:vAlign w:val="bottom"/>
          </w:tcPr>
          <w:p w14:paraId="342514CF"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-0,1</w:t>
            </w:r>
          </w:p>
        </w:tc>
        <w:tc>
          <w:tcPr>
            <w:tcW w:w="792" w:type="dxa"/>
            <w:shd w:val="clear" w:color="auto" w:fill="auto"/>
            <w:vAlign w:val="bottom"/>
          </w:tcPr>
          <w:p w14:paraId="0D9C2810"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p>
        </w:tc>
      </w:tr>
      <w:tr w:rsidR="000F09CA" w:rsidRPr="00F26A56" w14:paraId="244A9136" w14:textId="77777777" w:rsidTr="000F09CA">
        <w:trPr>
          <w:trHeight w:val="240"/>
        </w:trPr>
        <w:tc>
          <w:tcPr>
            <w:tcW w:w="2835" w:type="dxa"/>
            <w:shd w:val="clear" w:color="auto" w:fill="auto"/>
          </w:tcPr>
          <w:p w14:paraId="7E2E2865"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Intento de delito sexual</w:t>
            </w:r>
          </w:p>
        </w:tc>
        <w:tc>
          <w:tcPr>
            <w:tcW w:w="993" w:type="dxa"/>
            <w:shd w:val="clear" w:color="auto" w:fill="auto"/>
            <w:vAlign w:val="bottom"/>
          </w:tcPr>
          <w:p w14:paraId="4BD0B861"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5,5</w:t>
            </w:r>
          </w:p>
        </w:tc>
        <w:tc>
          <w:tcPr>
            <w:tcW w:w="992" w:type="dxa"/>
            <w:shd w:val="clear" w:color="auto" w:fill="auto"/>
            <w:vAlign w:val="bottom"/>
          </w:tcPr>
          <w:p w14:paraId="213E4DA9"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4,9</w:t>
            </w:r>
          </w:p>
        </w:tc>
        <w:tc>
          <w:tcPr>
            <w:tcW w:w="992" w:type="dxa"/>
            <w:shd w:val="clear" w:color="auto" w:fill="auto"/>
            <w:vAlign w:val="bottom"/>
          </w:tcPr>
          <w:p w14:paraId="6E361FDD"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4,7</w:t>
            </w:r>
          </w:p>
        </w:tc>
        <w:tc>
          <w:tcPr>
            <w:tcW w:w="992" w:type="dxa"/>
            <w:shd w:val="clear" w:color="auto" w:fill="auto"/>
            <w:vAlign w:val="bottom"/>
          </w:tcPr>
          <w:p w14:paraId="2D714876"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3,7</w:t>
            </w:r>
          </w:p>
        </w:tc>
        <w:tc>
          <w:tcPr>
            <w:tcW w:w="909" w:type="dxa"/>
            <w:shd w:val="clear" w:color="auto" w:fill="auto"/>
            <w:vAlign w:val="bottom"/>
          </w:tcPr>
          <w:p w14:paraId="6DF5B559"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-1,0</w:t>
            </w:r>
          </w:p>
        </w:tc>
        <w:tc>
          <w:tcPr>
            <w:tcW w:w="792" w:type="dxa"/>
            <w:shd w:val="clear" w:color="auto" w:fill="auto"/>
            <w:vAlign w:val="bottom"/>
          </w:tcPr>
          <w:p w14:paraId="063B1969"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p>
        </w:tc>
      </w:tr>
      <w:tr w:rsidR="000F09CA" w:rsidRPr="00F26A56" w14:paraId="7A0C2274" w14:textId="77777777" w:rsidTr="000F09CA">
        <w:trPr>
          <w:trHeight w:val="240"/>
        </w:trPr>
        <w:tc>
          <w:tcPr>
            <w:tcW w:w="2835" w:type="dxa"/>
            <w:shd w:val="clear" w:color="auto" w:fill="auto"/>
          </w:tcPr>
          <w:p w14:paraId="5BB183B5"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Delito sexual de contacto</w:t>
            </w:r>
          </w:p>
        </w:tc>
        <w:tc>
          <w:tcPr>
            <w:tcW w:w="993" w:type="dxa"/>
            <w:shd w:val="clear" w:color="auto" w:fill="auto"/>
            <w:vAlign w:val="bottom"/>
          </w:tcPr>
          <w:p w14:paraId="44168E58"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3,4</w:t>
            </w:r>
          </w:p>
        </w:tc>
        <w:tc>
          <w:tcPr>
            <w:tcW w:w="992" w:type="dxa"/>
            <w:shd w:val="clear" w:color="auto" w:fill="auto"/>
            <w:vAlign w:val="bottom"/>
          </w:tcPr>
          <w:p w14:paraId="305FACC6"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3,1</w:t>
            </w:r>
          </w:p>
        </w:tc>
        <w:tc>
          <w:tcPr>
            <w:tcW w:w="992" w:type="dxa"/>
            <w:shd w:val="clear" w:color="auto" w:fill="auto"/>
            <w:vAlign w:val="bottom"/>
          </w:tcPr>
          <w:p w14:paraId="6173E37F"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2,9</w:t>
            </w:r>
          </w:p>
        </w:tc>
        <w:tc>
          <w:tcPr>
            <w:tcW w:w="992" w:type="dxa"/>
            <w:shd w:val="clear" w:color="auto" w:fill="auto"/>
            <w:vAlign w:val="bottom"/>
          </w:tcPr>
          <w:p w14:paraId="35EB687D"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2,7</w:t>
            </w:r>
          </w:p>
        </w:tc>
        <w:tc>
          <w:tcPr>
            <w:tcW w:w="909" w:type="dxa"/>
            <w:shd w:val="clear" w:color="auto" w:fill="auto"/>
            <w:vAlign w:val="bottom"/>
          </w:tcPr>
          <w:p w14:paraId="231445B9"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-0,3</w:t>
            </w:r>
          </w:p>
        </w:tc>
        <w:tc>
          <w:tcPr>
            <w:tcW w:w="792" w:type="dxa"/>
            <w:shd w:val="clear" w:color="auto" w:fill="auto"/>
            <w:vAlign w:val="bottom"/>
          </w:tcPr>
          <w:p w14:paraId="5BC39A87"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p>
        </w:tc>
      </w:tr>
      <w:tr w:rsidR="000C2F85" w:rsidRPr="00955AE4" w14:paraId="1C31063C" w14:textId="77777777" w:rsidTr="00F810C4">
        <w:trPr>
          <w:trHeight w:val="240"/>
          <w:tblHeader/>
        </w:trPr>
        <w:tc>
          <w:tcPr>
            <w:tcW w:w="8505" w:type="dxa"/>
            <w:gridSpan w:val="7"/>
            <w:shd w:val="clear" w:color="auto" w:fill="auto"/>
          </w:tcPr>
          <w:p w14:paraId="3E92AE2F" w14:textId="77777777" w:rsidR="000C2F85" w:rsidRPr="00955AE4" w:rsidRDefault="000C2F85" w:rsidP="00F26A56">
            <w:pPr>
              <w:pStyle w:val="SingleTxtG"/>
              <w:tabs>
                <w:tab w:val="clear" w:pos="1701"/>
                <w:tab w:val="clear" w:pos="2268"/>
                <w:tab w:val="clear" w:pos="2835"/>
              </w:tabs>
              <w:spacing w:before="40" w:after="40" w:line="220" w:lineRule="exact"/>
              <w:ind w:left="0" w:right="0"/>
              <w:jc w:val="left"/>
              <w:rPr>
                <w:b/>
                <w:bCs/>
                <w:sz w:val="18"/>
                <w:lang w:val="es-ES_tradnl"/>
              </w:rPr>
            </w:pPr>
            <w:r w:rsidRPr="00955AE4">
              <w:rPr>
                <w:b/>
                <w:bCs/>
                <w:iCs/>
                <w:sz w:val="18"/>
                <w:lang w:val="es-ES_tradnl"/>
              </w:rPr>
              <w:lastRenderedPageBreak/>
              <w:t>Subcategorías de agresión con agravante</w:t>
            </w:r>
          </w:p>
        </w:tc>
      </w:tr>
      <w:tr w:rsidR="000F09CA" w:rsidRPr="00F26A56" w14:paraId="0846D9B0" w14:textId="77777777" w:rsidTr="000F09CA">
        <w:trPr>
          <w:trHeight w:val="240"/>
        </w:trPr>
        <w:tc>
          <w:tcPr>
            <w:tcW w:w="2835" w:type="dxa"/>
            <w:shd w:val="clear" w:color="auto" w:fill="auto"/>
          </w:tcPr>
          <w:p w14:paraId="1FC8F860"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 xml:space="preserve">Secuestro de vehículos </w:t>
            </w:r>
          </w:p>
        </w:tc>
        <w:tc>
          <w:tcPr>
            <w:tcW w:w="993" w:type="dxa"/>
            <w:shd w:val="clear" w:color="auto" w:fill="auto"/>
            <w:vAlign w:val="bottom"/>
          </w:tcPr>
          <w:p w14:paraId="7BED46C6"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11 180</w:t>
            </w:r>
          </w:p>
        </w:tc>
        <w:tc>
          <w:tcPr>
            <w:tcW w:w="992" w:type="dxa"/>
            <w:shd w:val="clear" w:color="auto" w:fill="auto"/>
            <w:vAlign w:val="bottom"/>
          </w:tcPr>
          <w:p w14:paraId="58C11A35"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12 773</w:t>
            </w:r>
          </w:p>
        </w:tc>
        <w:tc>
          <w:tcPr>
            <w:tcW w:w="992" w:type="dxa"/>
            <w:shd w:val="clear" w:color="auto" w:fill="auto"/>
            <w:vAlign w:val="bottom"/>
          </w:tcPr>
          <w:p w14:paraId="03173BE6"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14 602</w:t>
            </w:r>
          </w:p>
        </w:tc>
        <w:tc>
          <w:tcPr>
            <w:tcW w:w="992" w:type="dxa"/>
            <w:shd w:val="clear" w:color="auto" w:fill="auto"/>
            <w:vAlign w:val="bottom"/>
          </w:tcPr>
          <w:p w14:paraId="2D619576"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16 717</w:t>
            </w:r>
          </w:p>
        </w:tc>
        <w:tc>
          <w:tcPr>
            <w:tcW w:w="909" w:type="dxa"/>
            <w:shd w:val="clear" w:color="auto" w:fill="auto"/>
            <w:vAlign w:val="bottom"/>
          </w:tcPr>
          <w:p w14:paraId="13AF9E79"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2 115</w:t>
            </w:r>
          </w:p>
        </w:tc>
        <w:tc>
          <w:tcPr>
            <w:tcW w:w="792" w:type="dxa"/>
            <w:shd w:val="clear" w:color="auto" w:fill="auto"/>
            <w:vAlign w:val="bottom"/>
          </w:tcPr>
          <w:p w14:paraId="535F40D4"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14,5</w:t>
            </w:r>
          </w:p>
        </w:tc>
      </w:tr>
      <w:tr w:rsidR="000F09CA" w:rsidRPr="00F26A56" w14:paraId="54F25591" w14:textId="77777777" w:rsidTr="000F09CA">
        <w:trPr>
          <w:trHeight w:val="240"/>
        </w:trPr>
        <w:tc>
          <w:tcPr>
            <w:tcW w:w="2835" w:type="dxa"/>
            <w:shd w:val="clear" w:color="auto" w:fill="auto"/>
          </w:tcPr>
          <w:p w14:paraId="2119F228"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Secuestro de camiones</w:t>
            </w:r>
          </w:p>
        </w:tc>
        <w:tc>
          <w:tcPr>
            <w:tcW w:w="993" w:type="dxa"/>
            <w:shd w:val="clear" w:color="auto" w:fill="auto"/>
            <w:vAlign w:val="bottom"/>
          </w:tcPr>
          <w:p w14:paraId="7B6BAB5D"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991</w:t>
            </w:r>
          </w:p>
        </w:tc>
        <w:tc>
          <w:tcPr>
            <w:tcW w:w="992" w:type="dxa"/>
            <w:shd w:val="clear" w:color="auto" w:fill="auto"/>
            <w:vAlign w:val="bottom"/>
          </w:tcPr>
          <w:p w14:paraId="6C9A0FE2"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1 279</w:t>
            </w:r>
          </w:p>
        </w:tc>
        <w:tc>
          <w:tcPr>
            <w:tcW w:w="992" w:type="dxa"/>
            <w:shd w:val="clear" w:color="auto" w:fill="auto"/>
            <w:vAlign w:val="bottom"/>
          </w:tcPr>
          <w:p w14:paraId="6D60501A"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1 184</w:t>
            </w:r>
          </w:p>
        </w:tc>
        <w:tc>
          <w:tcPr>
            <w:tcW w:w="992" w:type="dxa"/>
            <w:shd w:val="clear" w:color="auto" w:fill="auto"/>
            <w:vAlign w:val="bottom"/>
          </w:tcPr>
          <w:p w14:paraId="22EDF127"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1 183</w:t>
            </w:r>
          </w:p>
        </w:tc>
        <w:tc>
          <w:tcPr>
            <w:tcW w:w="909" w:type="dxa"/>
            <w:shd w:val="clear" w:color="auto" w:fill="auto"/>
            <w:vAlign w:val="bottom"/>
          </w:tcPr>
          <w:p w14:paraId="1D493AD0"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w:t>
            </w:r>
          </w:p>
        </w:tc>
        <w:tc>
          <w:tcPr>
            <w:tcW w:w="792" w:type="dxa"/>
            <w:shd w:val="clear" w:color="auto" w:fill="auto"/>
            <w:vAlign w:val="bottom"/>
          </w:tcPr>
          <w:p w14:paraId="1D6208A5"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-0,1</w:t>
            </w:r>
          </w:p>
        </w:tc>
      </w:tr>
      <w:tr w:rsidR="000F09CA" w:rsidRPr="00F26A56" w14:paraId="611E3D1C" w14:textId="77777777" w:rsidTr="000F09CA">
        <w:trPr>
          <w:trHeight w:val="240"/>
        </w:trPr>
        <w:tc>
          <w:tcPr>
            <w:tcW w:w="2835" w:type="dxa"/>
            <w:shd w:val="clear" w:color="auto" w:fill="auto"/>
          </w:tcPr>
          <w:p w14:paraId="6FC97B48"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Robo de efectivo en tránsito</w:t>
            </w:r>
          </w:p>
        </w:tc>
        <w:tc>
          <w:tcPr>
            <w:tcW w:w="993" w:type="dxa"/>
            <w:shd w:val="clear" w:color="auto" w:fill="auto"/>
            <w:vAlign w:val="bottom"/>
          </w:tcPr>
          <w:p w14:paraId="1F8B70AB"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145</w:t>
            </w:r>
          </w:p>
        </w:tc>
        <w:tc>
          <w:tcPr>
            <w:tcW w:w="992" w:type="dxa"/>
            <w:shd w:val="clear" w:color="auto" w:fill="auto"/>
            <w:vAlign w:val="bottom"/>
          </w:tcPr>
          <w:p w14:paraId="436E1F2C"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119</w:t>
            </w:r>
          </w:p>
        </w:tc>
        <w:tc>
          <w:tcPr>
            <w:tcW w:w="992" w:type="dxa"/>
            <w:shd w:val="clear" w:color="auto" w:fill="auto"/>
            <w:vAlign w:val="bottom"/>
          </w:tcPr>
          <w:p w14:paraId="72AEA6A9"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137</w:t>
            </w:r>
          </w:p>
        </w:tc>
        <w:tc>
          <w:tcPr>
            <w:tcW w:w="992" w:type="dxa"/>
            <w:shd w:val="clear" w:color="auto" w:fill="auto"/>
            <w:vAlign w:val="bottom"/>
          </w:tcPr>
          <w:p w14:paraId="313C8CC5"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152</w:t>
            </w:r>
          </w:p>
        </w:tc>
        <w:tc>
          <w:tcPr>
            <w:tcW w:w="909" w:type="dxa"/>
            <w:shd w:val="clear" w:color="auto" w:fill="auto"/>
            <w:vAlign w:val="bottom"/>
          </w:tcPr>
          <w:p w14:paraId="7AF12047"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15</w:t>
            </w:r>
          </w:p>
        </w:tc>
        <w:tc>
          <w:tcPr>
            <w:tcW w:w="792" w:type="dxa"/>
            <w:shd w:val="clear" w:color="auto" w:fill="auto"/>
            <w:vAlign w:val="bottom"/>
          </w:tcPr>
          <w:p w14:paraId="0F704546"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10,9</w:t>
            </w:r>
          </w:p>
        </w:tc>
      </w:tr>
      <w:tr w:rsidR="000F09CA" w:rsidRPr="00F26A56" w14:paraId="741C8444" w14:textId="77777777" w:rsidTr="000F09CA">
        <w:trPr>
          <w:trHeight w:val="240"/>
        </w:trPr>
        <w:tc>
          <w:tcPr>
            <w:tcW w:w="2835" w:type="dxa"/>
            <w:shd w:val="clear" w:color="auto" w:fill="auto"/>
          </w:tcPr>
          <w:p w14:paraId="601B3B3A"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Atraco a bancos</w:t>
            </w:r>
          </w:p>
        </w:tc>
        <w:tc>
          <w:tcPr>
            <w:tcW w:w="993" w:type="dxa"/>
            <w:shd w:val="clear" w:color="auto" w:fill="auto"/>
            <w:vAlign w:val="bottom"/>
          </w:tcPr>
          <w:p w14:paraId="0FBC1B08"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21</w:t>
            </w:r>
          </w:p>
        </w:tc>
        <w:tc>
          <w:tcPr>
            <w:tcW w:w="992" w:type="dxa"/>
            <w:shd w:val="clear" w:color="auto" w:fill="auto"/>
            <w:vAlign w:val="bottom"/>
          </w:tcPr>
          <w:p w14:paraId="3E65B828"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17</w:t>
            </w:r>
          </w:p>
        </w:tc>
        <w:tc>
          <w:tcPr>
            <w:tcW w:w="992" w:type="dxa"/>
            <w:shd w:val="clear" w:color="auto" w:fill="auto"/>
            <w:vAlign w:val="bottom"/>
          </w:tcPr>
          <w:p w14:paraId="5F569D7D"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6</w:t>
            </w:r>
          </w:p>
        </w:tc>
        <w:tc>
          <w:tcPr>
            <w:tcW w:w="992" w:type="dxa"/>
            <w:shd w:val="clear" w:color="auto" w:fill="auto"/>
            <w:vAlign w:val="bottom"/>
          </w:tcPr>
          <w:p w14:paraId="18E49EC7"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3</w:t>
            </w:r>
          </w:p>
        </w:tc>
        <w:tc>
          <w:tcPr>
            <w:tcW w:w="909" w:type="dxa"/>
            <w:shd w:val="clear" w:color="auto" w:fill="auto"/>
            <w:vAlign w:val="bottom"/>
          </w:tcPr>
          <w:p w14:paraId="15ABEE05"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-3</w:t>
            </w:r>
          </w:p>
        </w:tc>
        <w:tc>
          <w:tcPr>
            <w:tcW w:w="792" w:type="dxa"/>
            <w:shd w:val="clear" w:color="auto" w:fill="auto"/>
            <w:vAlign w:val="bottom"/>
          </w:tcPr>
          <w:p w14:paraId="7FD6F25B"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-50,0</w:t>
            </w:r>
          </w:p>
        </w:tc>
      </w:tr>
      <w:tr w:rsidR="000F09CA" w:rsidRPr="00F26A56" w14:paraId="1F16B8C6" w14:textId="77777777" w:rsidTr="00955AE4">
        <w:trPr>
          <w:trHeight w:val="240"/>
        </w:trPr>
        <w:tc>
          <w:tcPr>
            <w:tcW w:w="2835" w:type="dxa"/>
            <w:tcBorders>
              <w:bottom w:val="nil"/>
            </w:tcBorders>
            <w:shd w:val="clear" w:color="auto" w:fill="auto"/>
          </w:tcPr>
          <w:p w14:paraId="050B249C"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Robo en viviendas</w:t>
            </w:r>
          </w:p>
        </w:tc>
        <w:tc>
          <w:tcPr>
            <w:tcW w:w="993" w:type="dxa"/>
            <w:tcBorders>
              <w:bottom w:val="nil"/>
            </w:tcBorders>
            <w:shd w:val="clear" w:color="auto" w:fill="auto"/>
            <w:vAlign w:val="bottom"/>
          </w:tcPr>
          <w:p w14:paraId="17882A8C"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19 284</w:t>
            </w:r>
          </w:p>
        </w:tc>
        <w:tc>
          <w:tcPr>
            <w:tcW w:w="992" w:type="dxa"/>
            <w:tcBorders>
              <w:bottom w:val="nil"/>
            </w:tcBorders>
            <w:shd w:val="clear" w:color="auto" w:fill="auto"/>
            <w:vAlign w:val="bottom"/>
          </w:tcPr>
          <w:p w14:paraId="5DD50756"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20 281</w:t>
            </w:r>
          </w:p>
        </w:tc>
        <w:tc>
          <w:tcPr>
            <w:tcW w:w="992" w:type="dxa"/>
            <w:tcBorders>
              <w:bottom w:val="nil"/>
            </w:tcBorders>
            <w:shd w:val="clear" w:color="auto" w:fill="auto"/>
            <w:vAlign w:val="bottom"/>
          </w:tcPr>
          <w:p w14:paraId="50875D36"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20 820</w:t>
            </w:r>
          </w:p>
        </w:tc>
        <w:tc>
          <w:tcPr>
            <w:tcW w:w="992" w:type="dxa"/>
            <w:tcBorders>
              <w:bottom w:val="nil"/>
            </w:tcBorders>
            <w:shd w:val="clear" w:color="auto" w:fill="auto"/>
            <w:vAlign w:val="bottom"/>
          </w:tcPr>
          <w:p w14:paraId="740FBAD4"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22 343</w:t>
            </w:r>
          </w:p>
        </w:tc>
        <w:tc>
          <w:tcPr>
            <w:tcW w:w="909" w:type="dxa"/>
            <w:tcBorders>
              <w:bottom w:val="nil"/>
            </w:tcBorders>
            <w:shd w:val="clear" w:color="auto" w:fill="auto"/>
            <w:vAlign w:val="bottom"/>
          </w:tcPr>
          <w:p w14:paraId="1A7F4B88"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1 523</w:t>
            </w:r>
          </w:p>
        </w:tc>
        <w:tc>
          <w:tcPr>
            <w:tcW w:w="792" w:type="dxa"/>
            <w:tcBorders>
              <w:bottom w:val="nil"/>
            </w:tcBorders>
            <w:shd w:val="clear" w:color="auto" w:fill="auto"/>
            <w:vAlign w:val="bottom"/>
          </w:tcPr>
          <w:p w14:paraId="20816545"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7,3</w:t>
            </w:r>
          </w:p>
        </w:tc>
      </w:tr>
      <w:tr w:rsidR="000F09CA" w:rsidRPr="00F26A56" w14:paraId="1AC03237" w14:textId="77777777" w:rsidTr="00955AE4">
        <w:trPr>
          <w:trHeight w:val="240"/>
        </w:trPr>
        <w:tc>
          <w:tcPr>
            <w:tcW w:w="2835" w:type="dxa"/>
            <w:tcBorders>
              <w:top w:val="nil"/>
              <w:bottom w:val="nil"/>
            </w:tcBorders>
            <w:shd w:val="clear" w:color="auto" w:fill="auto"/>
          </w:tcPr>
          <w:p w14:paraId="45BB39F4"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Robo en espacios no residenciales</w:t>
            </w:r>
          </w:p>
        </w:tc>
        <w:tc>
          <w:tcPr>
            <w:tcW w:w="993" w:type="dxa"/>
            <w:tcBorders>
              <w:top w:val="nil"/>
              <w:bottom w:val="nil"/>
            </w:tcBorders>
            <w:shd w:val="clear" w:color="auto" w:fill="auto"/>
            <w:vAlign w:val="bottom"/>
          </w:tcPr>
          <w:p w14:paraId="3AAB1E0F"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18 573</w:t>
            </w:r>
          </w:p>
        </w:tc>
        <w:tc>
          <w:tcPr>
            <w:tcW w:w="992" w:type="dxa"/>
            <w:tcBorders>
              <w:top w:val="nil"/>
              <w:bottom w:val="nil"/>
            </w:tcBorders>
            <w:shd w:val="clear" w:color="auto" w:fill="auto"/>
            <w:vAlign w:val="bottom"/>
          </w:tcPr>
          <w:p w14:paraId="51ACE5D0"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19 170</w:t>
            </w:r>
          </w:p>
        </w:tc>
        <w:tc>
          <w:tcPr>
            <w:tcW w:w="992" w:type="dxa"/>
            <w:tcBorders>
              <w:top w:val="nil"/>
              <w:bottom w:val="nil"/>
            </w:tcBorders>
            <w:shd w:val="clear" w:color="auto" w:fill="auto"/>
            <w:vAlign w:val="bottom"/>
          </w:tcPr>
          <w:p w14:paraId="70F93786"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19 698</w:t>
            </w:r>
          </w:p>
        </w:tc>
        <w:tc>
          <w:tcPr>
            <w:tcW w:w="992" w:type="dxa"/>
            <w:tcBorders>
              <w:top w:val="nil"/>
              <w:bottom w:val="nil"/>
            </w:tcBorders>
            <w:shd w:val="clear" w:color="auto" w:fill="auto"/>
            <w:vAlign w:val="bottom"/>
          </w:tcPr>
          <w:p w14:paraId="23D3FD27"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20 680</w:t>
            </w:r>
          </w:p>
        </w:tc>
        <w:tc>
          <w:tcPr>
            <w:tcW w:w="909" w:type="dxa"/>
            <w:tcBorders>
              <w:top w:val="nil"/>
              <w:bottom w:val="nil"/>
            </w:tcBorders>
            <w:shd w:val="clear" w:color="auto" w:fill="auto"/>
            <w:vAlign w:val="bottom"/>
          </w:tcPr>
          <w:p w14:paraId="16A3832F"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982</w:t>
            </w:r>
          </w:p>
        </w:tc>
        <w:tc>
          <w:tcPr>
            <w:tcW w:w="792" w:type="dxa"/>
            <w:tcBorders>
              <w:top w:val="nil"/>
              <w:bottom w:val="nil"/>
            </w:tcBorders>
            <w:shd w:val="clear" w:color="auto" w:fill="auto"/>
            <w:vAlign w:val="bottom"/>
          </w:tcPr>
          <w:p w14:paraId="19EC5687"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5,0</w:t>
            </w:r>
          </w:p>
        </w:tc>
      </w:tr>
      <w:tr w:rsidR="00F810C4" w:rsidRPr="00F810C4" w14:paraId="374834B4" w14:textId="77777777" w:rsidTr="00955AE4">
        <w:trPr>
          <w:trHeight w:val="240"/>
        </w:trPr>
        <w:tc>
          <w:tcPr>
            <w:tcW w:w="2835" w:type="dxa"/>
            <w:tcBorders>
              <w:top w:val="nil"/>
              <w:bottom w:val="single" w:sz="4" w:space="0" w:color="auto"/>
            </w:tcBorders>
            <w:shd w:val="clear" w:color="auto" w:fill="auto"/>
          </w:tcPr>
          <w:p w14:paraId="5A533228" w14:textId="77777777" w:rsidR="000C2F85" w:rsidRPr="00F810C4" w:rsidRDefault="000C2F85" w:rsidP="00F810C4">
            <w:pPr>
              <w:pStyle w:val="SingleTxtG"/>
              <w:tabs>
                <w:tab w:val="clear" w:pos="1701"/>
                <w:tab w:val="clear" w:pos="2268"/>
                <w:tab w:val="clear" w:pos="2835"/>
              </w:tabs>
              <w:spacing w:before="80" w:after="80" w:line="220" w:lineRule="exact"/>
              <w:ind w:left="283" w:right="0"/>
              <w:jc w:val="left"/>
              <w:rPr>
                <w:b/>
                <w:bCs/>
                <w:sz w:val="18"/>
                <w:lang w:val="es-ES_tradnl"/>
              </w:rPr>
            </w:pPr>
            <w:r w:rsidRPr="00F810C4">
              <w:rPr>
                <w:b/>
                <w:bCs/>
                <w:sz w:val="18"/>
                <w:lang w:val="es-ES_tradnl"/>
              </w:rPr>
              <w:t>Trío de delitos (asesinato, secuestro de vehículos y robo en viviendas)</w:t>
            </w:r>
          </w:p>
        </w:tc>
        <w:tc>
          <w:tcPr>
            <w:tcW w:w="993" w:type="dxa"/>
            <w:tcBorders>
              <w:top w:val="nil"/>
              <w:bottom w:val="single" w:sz="4" w:space="0" w:color="auto"/>
            </w:tcBorders>
            <w:shd w:val="clear" w:color="auto" w:fill="auto"/>
            <w:vAlign w:val="bottom"/>
          </w:tcPr>
          <w:p w14:paraId="44B821FD"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49 037</w:t>
            </w:r>
          </w:p>
        </w:tc>
        <w:tc>
          <w:tcPr>
            <w:tcW w:w="992" w:type="dxa"/>
            <w:tcBorders>
              <w:top w:val="nil"/>
              <w:bottom w:val="single" w:sz="4" w:space="0" w:color="auto"/>
            </w:tcBorders>
            <w:shd w:val="clear" w:color="auto" w:fill="auto"/>
            <w:vAlign w:val="bottom"/>
          </w:tcPr>
          <w:p w14:paraId="66FCD19B"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52 224</w:t>
            </w:r>
          </w:p>
        </w:tc>
        <w:tc>
          <w:tcPr>
            <w:tcW w:w="992" w:type="dxa"/>
            <w:tcBorders>
              <w:top w:val="nil"/>
              <w:bottom w:val="single" w:sz="4" w:space="0" w:color="auto"/>
            </w:tcBorders>
            <w:shd w:val="clear" w:color="auto" w:fill="auto"/>
            <w:vAlign w:val="bottom"/>
          </w:tcPr>
          <w:p w14:paraId="0C021A54"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55 120</w:t>
            </w:r>
          </w:p>
        </w:tc>
        <w:tc>
          <w:tcPr>
            <w:tcW w:w="992" w:type="dxa"/>
            <w:tcBorders>
              <w:top w:val="nil"/>
              <w:bottom w:val="single" w:sz="4" w:space="0" w:color="auto"/>
            </w:tcBorders>
            <w:shd w:val="clear" w:color="auto" w:fill="auto"/>
            <w:vAlign w:val="bottom"/>
          </w:tcPr>
          <w:p w14:paraId="47B8B506"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59 740</w:t>
            </w:r>
          </w:p>
        </w:tc>
        <w:tc>
          <w:tcPr>
            <w:tcW w:w="909" w:type="dxa"/>
            <w:tcBorders>
              <w:top w:val="nil"/>
              <w:bottom w:val="single" w:sz="4" w:space="0" w:color="auto"/>
            </w:tcBorders>
            <w:shd w:val="clear" w:color="auto" w:fill="auto"/>
            <w:vAlign w:val="bottom"/>
          </w:tcPr>
          <w:p w14:paraId="14057CFA"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4 620</w:t>
            </w:r>
          </w:p>
        </w:tc>
        <w:tc>
          <w:tcPr>
            <w:tcW w:w="792" w:type="dxa"/>
            <w:tcBorders>
              <w:top w:val="nil"/>
              <w:bottom w:val="single" w:sz="4" w:space="0" w:color="auto"/>
            </w:tcBorders>
            <w:shd w:val="clear" w:color="auto" w:fill="auto"/>
            <w:vAlign w:val="bottom"/>
          </w:tcPr>
          <w:p w14:paraId="31983579"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8,4</w:t>
            </w:r>
          </w:p>
        </w:tc>
      </w:tr>
      <w:tr w:rsidR="000F09CA" w:rsidRPr="00F810C4" w14:paraId="35802E8E" w14:textId="77777777" w:rsidTr="000F09CA">
        <w:trPr>
          <w:trHeight w:val="240"/>
        </w:trPr>
        <w:tc>
          <w:tcPr>
            <w:tcW w:w="2835" w:type="dxa"/>
            <w:tcBorders>
              <w:top w:val="single" w:sz="4" w:space="0" w:color="auto"/>
              <w:bottom w:val="single" w:sz="4" w:space="0" w:color="auto"/>
            </w:tcBorders>
            <w:shd w:val="clear" w:color="auto" w:fill="auto"/>
          </w:tcPr>
          <w:p w14:paraId="681ABDBF" w14:textId="77777777" w:rsidR="000C2F85" w:rsidRPr="00F810C4" w:rsidRDefault="000C2F85" w:rsidP="00F810C4">
            <w:pPr>
              <w:pStyle w:val="SingleTxtG"/>
              <w:tabs>
                <w:tab w:val="clear" w:pos="1701"/>
                <w:tab w:val="clear" w:pos="2268"/>
                <w:tab w:val="clear" w:pos="2835"/>
              </w:tabs>
              <w:spacing w:before="80" w:after="80" w:line="220" w:lineRule="exact"/>
              <w:ind w:left="283" w:right="0"/>
              <w:jc w:val="left"/>
              <w:rPr>
                <w:b/>
                <w:bCs/>
                <w:sz w:val="18"/>
                <w:lang w:val="es-ES_tradnl"/>
              </w:rPr>
            </w:pPr>
            <w:r w:rsidRPr="00F810C4">
              <w:rPr>
                <w:b/>
                <w:bCs/>
                <w:sz w:val="18"/>
                <w:lang w:val="es-ES_tradnl"/>
              </w:rPr>
              <w:t>Subcategorías de robo agravado</w:t>
            </w:r>
          </w:p>
        </w:tc>
        <w:tc>
          <w:tcPr>
            <w:tcW w:w="993" w:type="dxa"/>
            <w:tcBorders>
              <w:top w:val="single" w:sz="4" w:space="0" w:color="auto"/>
              <w:bottom w:val="single" w:sz="4" w:space="0" w:color="auto"/>
            </w:tcBorders>
            <w:shd w:val="clear" w:color="auto" w:fill="auto"/>
            <w:vAlign w:val="bottom"/>
          </w:tcPr>
          <w:p w14:paraId="64EE38DA"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50 194</w:t>
            </w:r>
          </w:p>
        </w:tc>
        <w:tc>
          <w:tcPr>
            <w:tcW w:w="992" w:type="dxa"/>
            <w:tcBorders>
              <w:top w:val="single" w:sz="4" w:space="0" w:color="auto"/>
              <w:bottom w:val="single" w:sz="4" w:space="0" w:color="auto"/>
            </w:tcBorders>
            <w:shd w:val="clear" w:color="auto" w:fill="auto"/>
            <w:vAlign w:val="bottom"/>
          </w:tcPr>
          <w:p w14:paraId="2207F5B0"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53 639</w:t>
            </w:r>
          </w:p>
        </w:tc>
        <w:tc>
          <w:tcPr>
            <w:tcW w:w="992" w:type="dxa"/>
            <w:tcBorders>
              <w:top w:val="single" w:sz="4" w:space="0" w:color="auto"/>
              <w:bottom w:val="single" w:sz="4" w:space="0" w:color="auto"/>
            </w:tcBorders>
            <w:shd w:val="clear" w:color="auto" w:fill="auto"/>
            <w:vAlign w:val="bottom"/>
          </w:tcPr>
          <w:p w14:paraId="26692965"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56 447</w:t>
            </w:r>
          </w:p>
        </w:tc>
        <w:tc>
          <w:tcPr>
            <w:tcW w:w="992" w:type="dxa"/>
            <w:tcBorders>
              <w:top w:val="single" w:sz="4" w:space="0" w:color="auto"/>
              <w:bottom w:val="single" w:sz="4" w:space="0" w:color="auto"/>
            </w:tcBorders>
            <w:shd w:val="clear" w:color="auto" w:fill="auto"/>
            <w:vAlign w:val="bottom"/>
          </w:tcPr>
          <w:p w14:paraId="2B65D3F8"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61 078</w:t>
            </w:r>
          </w:p>
        </w:tc>
        <w:tc>
          <w:tcPr>
            <w:tcW w:w="909" w:type="dxa"/>
            <w:tcBorders>
              <w:top w:val="single" w:sz="4" w:space="0" w:color="auto"/>
              <w:bottom w:val="single" w:sz="4" w:space="0" w:color="auto"/>
            </w:tcBorders>
            <w:shd w:val="clear" w:color="auto" w:fill="auto"/>
            <w:vAlign w:val="bottom"/>
          </w:tcPr>
          <w:p w14:paraId="7C81A77C"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4 631</w:t>
            </w:r>
          </w:p>
        </w:tc>
        <w:tc>
          <w:tcPr>
            <w:tcW w:w="792" w:type="dxa"/>
            <w:tcBorders>
              <w:top w:val="single" w:sz="4" w:space="0" w:color="auto"/>
              <w:bottom w:val="single" w:sz="4" w:space="0" w:color="auto"/>
            </w:tcBorders>
            <w:shd w:val="clear" w:color="auto" w:fill="auto"/>
            <w:vAlign w:val="bottom"/>
          </w:tcPr>
          <w:p w14:paraId="15032A73"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8,2</w:t>
            </w:r>
          </w:p>
        </w:tc>
      </w:tr>
      <w:tr w:rsidR="000F09CA" w:rsidRPr="00F26A56" w14:paraId="4EC14595" w14:textId="77777777" w:rsidTr="000F09CA">
        <w:trPr>
          <w:trHeight w:val="240"/>
        </w:trPr>
        <w:tc>
          <w:tcPr>
            <w:tcW w:w="2835" w:type="dxa"/>
            <w:tcBorders>
              <w:top w:val="single" w:sz="4" w:space="0" w:color="auto"/>
            </w:tcBorders>
            <w:shd w:val="clear" w:color="auto" w:fill="auto"/>
          </w:tcPr>
          <w:p w14:paraId="1186E0F2"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Incendio intencionado</w:t>
            </w:r>
          </w:p>
        </w:tc>
        <w:tc>
          <w:tcPr>
            <w:tcW w:w="993" w:type="dxa"/>
            <w:tcBorders>
              <w:top w:val="single" w:sz="4" w:space="0" w:color="auto"/>
            </w:tcBorders>
            <w:shd w:val="clear" w:color="auto" w:fill="auto"/>
            <w:vAlign w:val="bottom"/>
          </w:tcPr>
          <w:p w14:paraId="7E7051D7"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5 458</w:t>
            </w:r>
          </w:p>
        </w:tc>
        <w:tc>
          <w:tcPr>
            <w:tcW w:w="992" w:type="dxa"/>
            <w:tcBorders>
              <w:top w:val="single" w:sz="4" w:space="0" w:color="auto"/>
            </w:tcBorders>
            <w:shd w:val="clear" w:color="auto" w:fill="auto"/>
            <w:vAlign w:val="bottom"/>
          </w:tcPr>
          <w:p w14:paraId="3600B292"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5 127</w:t>
            </w:r>
          </w:p>
        </w:tc>
        <w:tc>
          <w:tcPr>
            <w:tcW w:w="992" w:type="dxa"/>
            <w:tcBorders>
              <w:top w:val="single" w:sz="4" w:space="0" w:color="auto"/>
            </w:tcBorders>
            <w:shd w:val="clear" w:color="auto" w:fill="auto"/>
            <w:vAlign w:val="bottom"/>
          </w:tcPr>
          <w:p w14:paraId="53CF627B"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4 903</w:t>
            </w:r>
          </w:p>
        </w:tc>
        <w:tc>
          <w:tcPr>
            <w:tcW w:w="992" w:type="dxa"/>
            <w:tcBorders>
              <w:top w:val="single" w:sz="4" w:space="0" w:color="auto"/>
            </w:tcBorders>
            <w:shd w:val="clear" w:color="auto" w:fill="auto"/>
            <w:vAlign w:val="bottom"/>
          </w:tcPr>
          <w:p w14:paraId="5601E18C"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4 321</w:t>
            </w:r>
          </w:p>
        </w:tc>
        <w:tc>
          <w:tcPr>
            <w:tcW w:w="909" w:type="dxa"/>
            <w:tcBorders>
              <w:top w:val="single" w:sz="4" w:space="0" w:color="auto"/>
            </w:tcBorders>
            <w:shd w:val="clear" w:color="auto" w:fill="auto"/>
            <w:vAlign w:val="bottom"/>
          </w:tcPr>
          <w:p w14:paraId="2136A209"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-582</w:t>
            </w:r>
          </w:p>
        </w:tc>
        <w:tc>
          <w:tcPr>
            <w:tcW w:w="792" w:type="dxa"/>
            <w:tcBorders>
              <w:top w:val="single" w:sz="4" w:space="0" w:color="auto"/>
            </w:tcBorders>
            <w:shd w:val="clear" w:color="auto" w:fill="auto"/>
            <w:vAlign w:val="bottom"/>
          </w:tcPr>
          <w:p w14:paraId="47F2F582"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-11,9</w:t>
            </w:r>
          </w:p>
        </w:tc>
      </w:tr>
      <w:tr w:rsidR="000F09CA" w:rsidRPr="00F26A56" w14:paraId="2153C198" w14:textId="77777777" w:rsidTr="000F09CA">
        <w:trPr>
          <w:trHeight w:val="240"/>
        </w:trPr>
        <w:tc>
          <w:tcPr>
            <w:tcW w:w="2835" w:type="dxa"/>
            <w:tcBorders>
              <w:bottom w:val="single" w:sz="4" w:space="0" w:color="auto"/>
            </w:tcBorders>
            <w:shd w:val="clear" w:color="auto" w:fill="auto"/>
          </w:tcPr>
          <w:p w14:paraId="6797384C"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Daños intencionados a la propiedad</w:t>
            </w:r>
          </w:p>
        </w:tc>
        <w:tc>
          <w:tcPr>
            <w:tcW w:w="993" w:type="dxa"/>
            <w:tcBorders>
              <w:bottom w:val="single" w:sz="4" w:space="0" w:color="auto"/>
            </w:tcBorders>
            <w:shd w:val="clear" w:color="auto" w:fill="auto"/>
            <w:vAlign w:val="bottom"/>
          </w:tcPr>
          <w:p w14:paraId="2F57AD47"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117 983</w:t>
            </w:r>
          </w:p>
        </w:tc>
        <w:tc>
          <w:tcPr>
            <w:tcW w:w="992" w:type="dxa"/>
            <w:tcBorders>
              <w:bottom w:val="single" w:sz="4" w:space="0" w:color="auto"/>
            </w:tcBorders>
            <w:shd w:val="clear" w:color="auto" w:fill="auto"/>
            <w:vAlign w:val="bottom"/>
          </w:tcPr>
          <w:p w14:paraId="519F4553"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120 662</w:t>
            </w:r>
          </w:p>
        </w:tc>
        <w:tc>
          <w:tcPr>
            <w:tcW w:w="992" w:type="dxa"/>
            <w:tcBorders>
              <w:bottom w:val="single" w:sz="4" w:space="0" w:color="auto"/>
            </w:tcBorders>
            <w:shd w:val="clear" w:color="auto" w:fill="auto"/>
            <w:vAlign w:val="bottom"/>
          </w:tcPr>
          <w:p w14:paraId="66335465"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119 901</w:t>
            </w:r>
          </w:p>
        </w:tc>
        <w:tc>
          <w:tcPr>
            <w:tcW w:w="992" w:type="dxa"/>
            <w:tcBorders>
              <w:bottom w:val="single" w:sz="4" w:space="0" w:color="auto"/>
            </w:tcBorders>
            <w:shd w:val="clear" w:color="auto" w:fill="auto"/>
            <w:vAlign w:val="bottom"/>
          </w:tcPr>
          <w:p w14:paraId="5A399F53"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116 409</w:t>
            </w:r>
          </w:p>
        </w:tc>
        <w:tc>
          <w:tcPr>
            <w:tcW w:w="909" w:type="dxa"/>
            <w:tcBorders>
              <w:bottom w:val="single" w:sz="4" w:space="0" w:color="auto"/>
            </w:tcBorders>
            <w:shd w:val="clear" w:color="auto" w:fill="auto"/>
            <w:vAlign w:val="bottom"/>
          </w:tcPr>
          <w:p w14:paraId="6FA21DEC"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-3 492</w:t>
            </w:r>
          </w:p>
        </w:tc>
        <w:tc>
          <w:tcPr>
            <w:tcW w:w="792" w:type="dxa"/>
            <w:tcBorders>
              <w:bottom w:val="single" w:sz="4" w:space="0" w:color="auto"/>
            </w:tcBorders>
            <w:shd w:val="clear" w:color="auto" w:fill="auto"/>
            <w:vAlign w:val="bottom"/>
          </w:tcPr>
          <w:p w14:paraId="3962E0B8"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-2,9</w:t>
            </w:r>
          </w:p>
        </w:tc>
      </w:tr>
      <w:tr w:rsidR="000F09CA" w:rsidRPr="00F810C4" w14:paraId="5FE65C59" w14:textId="77777777" w:rsidTr="000F09CA">
        <w:trPr>
          <w:trHeight w:val="240"/>
        </w:trPr>
        <w:tc>
          <w:tcPr>
            <w:tcW w:w="2835" w:type="dxa"/>
            <w:tcBorders>
              <w:top w:val="single" w:sz="4" w:space="0" w:color="auto"/>
              <w:bottom w:val="single" w:sz="4" w:space="0" w:color="auto"/>
            </w:tcBorders>
            <w:shd w:val="clear" w:color="auto" w:fill="auto"/>
          </w:tcPr>
          <w:p w14:paraId="2536BA63" w14:textId="77777777" w:rsidR="000C2F85" w:rsidRPr="00F810C4" w:rsidRDefault="000C2F85" w:rsidP="00F810C4">
            <w:pPr>
              <w:pStyle w:val="SingleTxtG"/>
              <w:tabs>
                <w:tab w:val="clear" w:pos="1701"/>
                <w:tab w:val="clear" w:pos="2268"/>
                <w:tab w:val="clear" w:pos="2835"/>
              </w:tabs>
              <w:spacing w:before="80" w:after="80" w:line="220" w:lineRule="exact"/>
              <w:ind w:left="283" w:right="0"/>
              <w:jc w:val="left"/>
              <w:rPr>
                <w:b/>
                <w:bCs/>
                <w:sz w:val="18"/>
                <w:lang w:val="es-ES_tradnl"/>
              </w:rPr>
            </w:pPr>
            <w:r w:rsidRPr="00F810C4">
              <w:rPr>
                <w:b/>
                <w:bCs/>
                <w:sz w:val="18"/>
                <w:lang w:val="es-ES_tradnl"/>
              </w:rPr>
              <w:t>Delito de contacto</w:t>
            </w:r>
          </w:p>
        </w:tc>
        <w:tc>
          <w:tcPr>
            <w:tcW w:w="993" w:type="dxa"/>
            <w:tcBorders>
              <w:top w:val="single" w:sz="4" w:space="0" w:color="auto"/>
              <w:bottom w:val="single" w:sz="4" w:space="0" w:color="auto"/>
            </w:tcBorders>
            <w:shd w:val="clear" w:color="auto" w:fill="auto"/>
            <w:vAlign w:val="bottom"/>
          </w:tcPr>
          <w:p w14:paraId="3F993D75"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123 441</w:t>
            </w:r>
          </w:p>
        </w:tc>
        <w:tc>
          <w:tcPr>
            <w:tcW w:w="992" w:type="dxa"/>
            <w:tcBorders>
              <w:top w:val="single" w:sz="4" w:space="0" w:color="auto"/>
              <w:bottom w:val="single" w:sz="4" w:space="0" w:color="auto"/>
            </w:tcBorders>
            <w:shd w:val="clear" w:color="auto" w:fill="auto"/>
            <w:vAlign w:val="bottom"/>
          </w:tcPr>
          <w:p w14:paraId="74D79501"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125 789</w:t>
            </w:r>
          </w:p>
        </w:tc>
        <w:tc>
          <w:tcPr>
            <w:tcW w:w="992" w:type="dxa"/>
            <w:tcBorders>
              <w:top w:val="single" w:sz="4" w:space="0" w:color="auto"/>
              <w:bottom w:val="single" w:sz="4" w:space="0" w:color="auto"/>
            </w:tcBorders>
            <w:shd w:val="clear" w:color="auto" w:fill="auto"/>
            <w:vAlign w:val="bottom"/>
          </w:tcPr>
          <w:p w14:paraId="0D7C4FF6"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124 804</w:t>
            </w:r>
          </w:p>
        </w:tc>
        <w:tc>
          <w:tcPr>
            <w:tcW w:w="992" w:type="dxa"/>
            <w:tcBorders>
              <w:top w:val="single" w:sz="4" w:space="0" w:color="auto"/>
              <w:bottom w:val="single" w:sz="4" w:space="0" w:color="auto"/>
            </w:tcBorders>
            <w:shd w:val="clear" w:color="auto" w:fill="auto"/>
            <w:vAlign w:val="bottom"/>
          </w:tcPr>
          <w:p w14:paraId="751448EF"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120 730</w:t>
            </w:r>
          </w:p>
        </w:tc>
        <w:tc>
          <w:tcPr>
            <w:tcW w:w="909" w:type="dxa"/>
            <w:tcBorders>
              <w:top w:val="single" w:sz="4" w:space="0" w:color="auto"/>
              <w:bottom w:val="single" w:sz="4" w:space="0" w:color="auto"/>
            </w:tcBorders>
            <w:shd w:val="clear" w:color="auto" w:fill="auto"/>
            <w:vAlign w:val="bottom"/>
          </w:tcPr>
          <w:p w14:paraId="263EFE59"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-4 074</w:t>
            </w:r>
          </w:p>
        </w:tc>
        <w:tc>
          <w:tcPr>
            <w:tcW w:w="792" w:type="dxa"/>
            <w:tcBorders>
              <w:top w:val="single" w:sz="4" w:space="0" w:color="auto"/>
              <w:bottom w:val="single" w:sz="4" w:space="0" w:color="auto"/>
            </w:tcBorders>
            <w:shd w:val="clear" w:color="auto" w:fill="auto"/>
            <w:vAlign w:val="bottom"/>
          </w:tcPr>
          <w:p w14:paraId="59B06A2E"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-3,3</w:t>
            </w:r>
          </w:p>
        </w:tc>
      </w:tr>
      <w:tr w:rsidR="000C2F85" w:rsidRPr="00F26A56" w14:paraId="5983CA04" w14:textId="77777777" w:rsidTr="00F810C4">
        <w:trPr>
          <w:trHeight w:val="240"/>
          <w:tblHeader/>
        </w:trPr>
        <w:tc>
          <w:tcPr>
            <w:tcW w:w="8505" w:type="dxa"/>
            <w:gridSpan w:val="7"/>
            <w:tcBorders>
              <w:top w:val="single" w:sz="4" w:space="0" w:color="auto"/>
            </w:tcBorders>
            <w:shd w:val="clear" w:color="auto" w:fill="auto"/>
          </w:tcPr>
          <w:p w14:paraId="2371A2EB" w14:textId="77777777" w:rsidR="000C2F85" w:rsidRPr="00F810C4" w:rsidRDefault="000C2F85" w:rsidP="00F26A56">
            <w:pPr>
              <w:pStyle w:val="SingleTxtG"/>
              <w:tabs>
                <w:tab w:val="clear" w:pos="1701"/>
                <w:tab w:val="clear" w:pos="2268"/>
                <w:tab w:val="clear" w:pos="2835"/>
              </w:tabs>
              <w:spacing w:before="40" w:after="40" w:line="220" w:lineRule="exact"/>
              <w:ind w:left="0" w:right="0"/>
              <w:jc w:val="left"/>
              <w:rPr>
                <w:b/>
                <w:bCs/>
                <w:sz w:val="18"/>
                <w:lang w:val="es-ES_tradnl"/>
              </w:rPr>
            </w:pPr>
            <w:r w:rsidRPr="00F810C4">
              <w:rPr>
                <w:b/>
                <w:bCs/>
                <w:iCs/>
                <w:sz w:val="18"/>
                <w:lang w:val="es-ES_tradnl"/>
              </w:rPr>
              <w:t>Delitos contra la propiedad</w:t>
            </w:r>
          </w:p>
        </w:tc>
      </w:tr>
      <w:tr w:rsidR="000F09CA" w:rsidRPr="00F26A56" w14:paraId="2F7B98F3" w14:textId="77777777" w:rsidTr="000F09CA">
        <w:trPr>
          <w:trHeight w:val="240"/>
        </w:trPr>
        <w:tc>
          <w:tcPr>
            <w:tcW w:w="2835" w:type="dxa"/>
            <w:shd w:val="clear" w:color="auto" w:fill="auto"/>
          </w:tcPr>
          <w:p w14:paraId="2FE9E195"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Robo en espacios no residenciales</w:t>
            </w:r>
          </w:p>
        </w:tc>
        <w:tc>
          <w:tcPr>
            <w:tcW w:w="993" w:type="dxa"/>
            <w:shd w:val="clear" w:color="auto" w:fill="auto"/>
            <w:vAlign w:val="bottom"/>
          </w:tcPr>
          <w:p w14:paraId="3A7FDAB6"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73 464</w:t>
            </w:r>
          </w:p>
        </w:tc>
        <w:tc>
          <w:tcPr>
            <w:tcW w:w="992" w:type="dxa"/>
            <w:shd w:val="clear" w:color="auto" w:fill="auto"/>
            <w:vAlign w:val="bottom"/>
          </w:tcPr>
          <w:p w14:paraId="55F639D4"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74 358</w:t>
            </w:r>
          </w:p>
        </w:tc>
        <w:tc>
          <w:tcPr>
            <w:tcW w:w="992" w:type="dxa"/>
            <w:shd w:val="clear" w:color="auto" w:fill="auto"/>
            <w:vAlign w:val="bottom"/>
          </w:tcPr>
          <w:p w14:paraId="62155F51"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75 008</w:t>
            </w:r>
          </w:p>
        </w:tc>
        <w:tc>
          <w:tcPr>
            <w:tcW w:w="992" w:type="dxa"/>
            <w:shd w:val="clear" w:color="auto" w:fill="auto"/>
            <w:vAlign w:val="bottom"/>
          </w:tcPr>
          <w:p w14:paraId="68F69671"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75 618</w:t>
            </w:r>
          </w:p>
        </w:tc>
        <w:tc>
          <w:tcPr>
            <w:tcW w:w="909" w:type="dxa"/>
            <w:shd w:val="clear" w:color="auto" w:fill="auto"/>
            <w:vAlign w:val="bottom"/>
          </w:tcPr>
          <w:p w14:paraId="56F65C18"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610</w:t>
            </w:r>
          </w:p>
        </w:tc>
        <w:tc>
          <w:tcPr>
            <w:tcW w:w="792" w:type="dxa"/>
            <w:shd w:val="clear" w:color="auto" w:fill="auto"/>
            <w:vAlign w:val="bottom"/>
          </w:tcPr>
          <w:p w14:paraId="4437E5E7"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0,8</w:t>
            </w:r>
          </w:p>
        </w:tc>
      </w:tr>
      <w:tr w:rsidR="000F09CA" w:rsidRPr="00F26A56" w14:paraId="3619EED5" w14:textId="77777777" w:rsidTr="000F09CA">
        <w:trPr>
          <w:trHeight w:val="240"/>
        </w:trPr>
        <w:tc>
          <w:tcPr>
            <w:tcW w:w="2835" w:type="dxa"/>
            <w:shd w:val="clear" w:color="auto" w:fill="auto"/>
          </w:tcPr>
          <w:p w14:paraId="33A76770"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Robo en viviendas</w:t>
            </w:r>
          </w:p>
        </w:tc>
        <w:tc>
          <w:tcPr>
            <w:tcW w:w="993" w:type="dxa"/>
            <w:shd w:val="clear" w:color="auto" w:fill="auto"/>
            <w:vAlign w:val="bottom"/>
          </w:tcPr>
          <w:p w14:paraId="38380044"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259 784</w:t>
            </w:r>
          </w:p>
        </w:tc>
        <w:tc>
          <w:tcPr>
            <w:tcW w:w="992" w:type="dxa"/>
            <w:shd w:val="clear" w:color="auto" w:fill="auto"/>
            <w:vAlign w:val="bottom"/>
          </w:tcPr>
          <w:p w14:paraId="576EFC9B"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253 716</w:t>
            </w:r>
          </w:p>
        </w:tc>
        <w:tc>
          <w:tcPr>
            <w:tcW w:w="992" w:type="dxa"/>
            <w:shd w:val="clear" w:color="auto" w:fill="auto"/>
            <w:vAlign w:val="bottom"/>
          </w:tcPr>
          <w:p w14:paraId="57DDA039"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250 606</w:t>
            </w:r>
          </w:p>
        </w:tc>
        <w:tc>
          <w:tcPr>
            <w:tcW w:w="992" w:type="dxa"/>
            <w:shd w:val="clear" w:color="auto" w:fill="auto"/>
            <w:vAlign w:val="bottom"/>
          </w:tcPr>
          <w:p w14:paraId="6C588358"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246 654</w:t>
            </w:r>
          </w:p>
        </w:tc>
        <w:tc>
          <w:tcPr>
            <w:tcW w:w="909" w:type="dxa"/>
            <w:shd w:val="clear" w:color="auto" w:fill="auto"/>
            <w:vAlign w:val="bottom"/>
          </w:tcPr>
          <w:p w14:paraId="1AB3C29A"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-3 952</w:t>
            </w:r>
          </w:p>
        </w:tc>
        <w:tc>
          <w:tcPr>
            <w:tcW w:w="792" w:type="dxa"/>
            <w:shd w:val="clear" w:color="auto" w:fill="auto"/>
            <w:vAlign w:val="bottom"/>
          </w:tcPr>
          <w:p w14:paraId="7D3D5CB1"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-1,6</w:t>
            </w:r>
          </w:p>
        </w:tc>
      </w:tr>
      <w:tr w:rsidR="000F09CA" w:rsidRPr="00F26A56" w14:paraId="33297D4F" w14:textId="77777777" w:rsidTr="000F09CA">
        <w:trPr>
          <w:trHeight w:val="240"/>
        </w:trPr>
        <w:tc>
          <w:tcPr>
            <w:tcW w:w="2835" w:type="dxa"/>
            <w:shd w:val="clear" w:color="auto" w:fill="auto"/>
          </w:tcPr>
          <w:p w14:paraId="1BEC3706"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Robo de vehículos de motor, incluidas motocicletas</w:t>
            </w:r>
          </w:p>
        </w:tc>
        <w:tc>
          <w:tcPr>
            <w:tcW w:w="993" w:type="dxa"/>
            <w:shd w:val="clear" w:color="auto" w:fill="auto"/>
            <w:vAlign w:val="bottom"/>
          </w:tcPr>
          <w:p w14:paraId="5007AC42"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56 645</w:t>
            </w:r>
          </w:p>
        </w:tc>
        <w:tc>
          <w:tcPr>
            <w:tcW w:w="992" w:type="dxa"/>
            <w:shd w:val="clear" w:color="auto" w:fill="auto"/>
            <w:vAlign w:val="bottom"/>
          </w:tcPr>
          <w:p w14:paraId="516839F7"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55 090</w:t>
            </w:r>
          </w:p>
        </w:tc>
        <w:tc>
          <w:tcPr>
            <w:tcW w:w="992" w:type="dxa"/>
            <w:shd w:val="clear" w:color="auto" w:fill="auto"/>
            <w:vAlign w:val="bottom"/>
          </w:tcPr>
          <w:p w14:paraId="26849857"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53 809</w:t>
            </w:r>
          </w:p>
        </w:tc>
        <w:tc>
          <w:tcPr>
            <w:tcW w:w="992" w:type="dxa"/>
            <w:shd w:val="clear" w:color="auto" w:fill="auto"/>
            <w:vAlign w:val="bottom"/>
          </w:tcPr>
          <w:p w14:paraId="47D512C1"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53 307</w:t>
            </w:r>
          </w:p>
        </w:tc>
        <w:tc>
          <w:tcPr>
            <w:tcW w:w="909" w:type="dxa"/>
            <w:shd w:val="clear" w:color="auto" w:fill="auto"/>
            <w:vAlign w:val="bottom"/>
          </w:tcPr>
          <w:p w14:paraId="543D4516"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-502</w:t>
            </w:r>
          </w:p>
        </w:tc>
        <w:tc>
          <w:tcPr>
            <w:tcW w:w="792" w:type="dxa"/>
            <w:shd w:val="clear" w:color="auto" w:fill="auto"/>
            <w:vAlign w:val="bottom"/>
          </w:tcPr>
          <w:p w14:paraId="4D904810"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-0,9</w:t>
            </w:r>
          </w:p>
        </w:tc>
      </w:tr>
      <w:tr w:rsidR="000F09CA" w:rsidRPr="00F26A56" w14:paraId="3BBEB1EA" w14:textId="77777777" w:rsidTr="000F09CA">
        <w:trPr>
          <w:trHeight w:val="240"/>
        </w:trPr>
        <w:tc>
          <w:tcPr>
            <w:tcW w:w="2835" w:type="dxa"/>
            <w:shd w:val="clear" w:color="auto" w:fill="auto"/>
          </w:tcPr>
          <w:p w14:paraId="59B8FDF7"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Robo del interior de vehículos de motor</w:t>
            </w:r>
          </w:p>
        </w:tc>
        <w:tc>
          <w:tcPr>
            <w:tcW w:w="993" w:type="dxa"/>
            <w:shd w:val="clear" w:color="auto" w:fill="auto"/>
            <w:vAlign w:val="bottom"/>
          </w:tcPr>
          <w:p w14:paraId="28F3C466"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143 801</w:t>
            </w:r>
          </w:p>
        </w:tc>
        <w:tc>
          <w:tcPr>
            <w:tcW w:w="992" w:type="dxa"/>
            <w:shd w:val="clear" w:color="auto" w:fill="auto"/>
            <w:vAlign w:val="bottom"/>
          </w:tcPr>
          <w:p w14:paraId="2AC24477"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145 358</w:t>
            </w:r>
          </w:p>
        </w:tc>
        <w:tc>
          <w:tcPr>
            <w:tcW w:w="992" w:type="dxa"/>
            <w:shd w:val="clear" w:color="auto" w:fill="auto"/>
            <w:vAlign w:val="bottom"/>
          </w:tcPr>
          <w:p w14:paraId="79C940AD"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139 386</w:t>
            </w:r>
          </w:p>
        </w:tc>
        <w:tc>
          <w:tcPr>
            <w:tcW w:w="992" w:type="dxa"/>
            <w:shd w:val="clear" w:color="auto" w:fill="auto"/>
            <w:vAlign w:val="bottom"/>
          </w:tcPr>
          <w:p w14:paraId="38C31692"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138 172</w:t>
            </w:r>
          </w:p>
        </w:tc>
        <w:tc>
          <w:tcPr>
            <w:tcW w:w="909" w:type="dxa"/>
            <w:shd w:val="clear" w:color="auto" w:fill="auto"/>
            <w:vAlign w:val="bottom"/>
          </w:tcPr>
          <w:p w14:paraId="2F45C445"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-1 214</w:t>
            </w:r>
          </w:p>
        </w:tc>
        <w:tc>
          <w:tcPr>
            <w:tcW w:w="792" w:type="dxa"/>
            <w:shd w:val="clear" w:color="auto" w:fill="auto"/>
            <w:vAlign w:val="bottom"/>
          </w:tcPr>
          <w:p w14:paraId="22874DC1"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-0,9</w:t>
            </w:r>
          </w:p>
        </w:tc>
      </w:tr>
      <w:tr w:rsidR="00F810C4" w:rsidRPr="00F26A56" w14:paraId="51CE8B34" w14:textId="77777777" w:rsidTr="000F09CA">
        <w:trPr>
          <w:trHeight w:val="240"/>
        </w:trPr>
        <w:tc>
          <w:tcPr>
            <w:tcW w:w="2835" w:type="dxa"/>
            <w:tcBorders>
              <w:bottom w:val="single" w:sz="4" w:space="0" w:color="auto"/>
            </w:tcBorders>
            <w:shd w:val="clear" w:color="auto" w:fill="auto"/>
          </w:tcPr>
          <w:p w14:paraId="1DBC3ED1"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Robo de existencias</w:t>
            </w:r>
          </w:p>
        </w:tc>
        <w:tc>
          <w:tcPr>
            <w:tcW w:w="993" w:type="dxa"/>
            <w:tcBorders>
              <w:bottom w:val="single" w:sz="4" w:space="0" w:color="auto"/>
            </w:tcBorders>
            <w:shd w:val="clear" w:color="auto" w:fill="auto"/>
            <w:vAlign w:val="bottom"/>
          </w:tcPr>
          <w:p w14:paraId="59C2A57A"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24 534</w:t>
            </w:r>
          </w:p>
        </w:tc>
        <w:tc>
          <w:tcPr>
            <w:tcW w:w="992" w:type="dxa"/>
            <w:tcBorders>
              <w:bottom w:val="single" w:sz="4" w:space="0" w:color="auto"/>
            </w:tcBorders>
            <w:shd w:val="clear" w:color="auto" w:fill="auto"/>
            <w:vAlign w:val="bottom"/>
          </w:tcPr>
          <w:p w14:paraId="1B531316"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24 965</w:t>
            </w:r>
          </w:p>
        </w:tc>
        <w:tc>
          <w:tcPr>
            <w:tcW w:w="992" w:type="dxa"/>
            <w:tcBorders>
              <w:bottom w:val="single" w:sz="4" w:space="0" w:color="auto"/>
            </w:tcBorders>
            <w:shd w:val="clear" w:color="auto" w:fill="auto"/>
            <w:vAlign w:val="bottom"/>
          </w:tcPr>
          <w:p w14:paraId="5D0FFDB2"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24 715</w:t>
            </w:r>
          </w:p>
        </w:tc>
        <w:tc>
          <w:tcPr>
            <w:tcW w:w="992" w:type="dxa"/>
            <w:tcBorders>
              <w:bottom w:val="single" w:sz="4" w:space="0" w:color="auto"/>
            </w:tcBorders>
            <w:shd w:val="clear" w:color="auto" w:fill="auto"/>
            <w:vAlign w:val="bottom"/>
          </w:tcPr>
          <w:p w14:paraId="4984732D"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26 902</w:t>
            </w:r>
          </w:p>
        </w:tc>
        <w:tc>
          <w:tcPr>
            <w:tcW w:w="909" w:type="dxa"/>
            <w:tcBorders>
              <w:bottom w:val="single" w:sz="4" w:space="0" w:color="auto"/>
            </w:tcBorders>
            <w:shd w:val="clear" w:color="auto" w:fill="auto"/>
            <w:vAlign w:val="bottom"/>
          </w:tcPr>
          <w:p w14:paraId="79435332"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2 187</w:t>
            </w:r>
          </w:p>
        </w:tc>
        <w:tc>
          <w:tcPr>
            <w:tcW w:w="792" w:type="dxa"/>
            <w:tcBorders>
              <w:bottom w:val="single" w:sz="4" w:space="0" w:color="auto"/>
            </w:tcBorders>
            <w:shd w:val="clear" w:color="auto" w:fill="auto"/>
            <w:vAlign w:val="bottom"/>
          </w:tcPr>
          <w:p w14:paraId="26DB9ACE" w14:textId="77777777" w:rsidR="000C2F85" w:rsidRPr="00F26A56" w:rsidRDefault="000C2F85" w:rsidP="00F810C4">
            <w:pPr>
              <w:pStyle w:val="SingleTxtG"/>
              <w:tabs>
                <w:tab w:val="clear" w:pos="1701"/>
                <w:tab w:val="clear" w:pos="2268"/>
                <w:tab w:val="clear" w:pos="2835"/>
              </w:tabs>
              <w:spacing w:before="40" w:after="40" w:line="220" w:lineRule="exact"/>
              <w:ind w:left="28" w:right="28"/>
              <w:jc w:val="right"/>
              <w:rPr>
                <w:sz w:val="18"/>
                <w:lang w:val="es-ES_tradnl"/>
              </w:rPr>
            </w:pPr>
            <w:r w:rsidRPr="00F26A56">
              <w:rPr>
                <w:sz w:val="18"/>
                <w:lang w:val="es-ES_tradnl"/>
              </w:rPr>
              <w:t>8,8</w:t>
            </w:r>
          </w:p>
        </w:tc>
      </w:tr>
      <w:tr w:rsidR="00F810C4" w:rsidRPr="00F810C4" w14:paraId="60CC0A48" w14:textId="77777777" w:rsidTr="000F09CA">
        <w:trPr>
          <w:trHeight w:val="240"/>
        </w:trPr>
        <w:tc>
          <w:tcPr>
            <w:tcW w:w="2835" w:type="dxa"/>
            <w:tcBorders>
              <w:top w:val="single" w:sz="4" w:space="0" w:color="auto"/>
              <w:bottom w:val="single" w:sz="4" w:space="0" w:color="auto"/>
            </w:tcBorders>
            <w:shd w:val="clear" w:color="auto" w:fill="auto"/>
          </w:tcPr>
          <w:p w14:paraId="7BBF36D5" w14:textId="77777777" w:rsidR="000C2F85" w:rsidRPr="00F810C4" w:rsidRDefault="000C2F85" w:rsidP="00F810C4">
            <w:pPr>
              <w:pStyle w:val="SingleTxtG"/>
              <w:tabs>
                <w:tab w:val="clear" w:pos="1701"/>
                <w:tab w:val="clear" w:pos="2268"/>
                <w:tab w:val="clear" w:pos="2835"/>
              </w:tabs>
              <w:spacing w:before="80" w:after="80" w:line="220" w:lineRule="exact"/>
              <w:ind w:left="283" w:right="0"/>
              <w:jc w:val="left"/>
              <w:rPr>
                <w:b/>
                <w:bCs/>
                <w:sz w:val="18"/>
                <w:lang w:val="es-ES_tradnl"/>
              </w:rPr>
            </w:pPr>
            <w:r w:rsidRPr="00F810C4">
              <w:rPr>
                <w:b/>
                <w:bCs/>
                <w:sz w:val="18"/>
                <w:lang w:val="es-ES_tradnl"/>
              </w:rPr>
              <w:t>Delitos contra la propiedad</w:t>
            </w:r>
          </w:p>
        </w:tc>
        <w:tc>
          <w:tcPr>
            <w:tcW w:w="993" w:type="dxa"/>
            <w:tcBorders>
              <w:top w:val="single" w:sz="4" w:space="0" w:color="auto"/>
              <w:bottom w:val="single" w:sz="4" w:space="0" w:color="auto"/>
            </w:tcBorders>
            <w:shd w:val="clear" w:color="auto" w:fill="auto"/>
            <w:vAlign w:val="bottom"/>
          </w:tcPr>
          <w:p w14:paraId="71A78DA0"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558 228</w:t>
            </w:r>
          </w:p>
        </w:tc>
        <w:tc>
          <w:tcPr>
            <w:tcW w:w="992" w:type="dxa"/>
            <w:tcBorders>
              <w:top w:val="single" w:sz="4" w:space="0" w:color="auto"/>
              <w:bottom w:val="single" w:sz="4" w:space="0" w:color="auto"/>
            </w:tcBorders>
            <w:shd w:val="clear" w:color="auto" w:fill="auto"/>
            <w:vAlign w:val="bottom"/>
          </w:tcPr>
          <w:p w14:paraId="43F123E4"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553 487</w:t>
            </w:r>
          </w:p>
        </w:tc>
        <w:tc>
          <w:tcPr>
            <w:tcW w:w="992" w:type="dxa"/>
            <w:tcBorders>
              <w:top w:val="single" w:sz="4" w:space="0" w:color="auto"/>
              <w:bottom w:val="single" w:sz="4" w:space="0" w:color="auto"/>
            </w:tcBorders>
            <w:shd w:val="clear" w:color="auto" w:fill="auto"/>
            <w:vAlign w:val="bottom"/>
          </w:tcPr>
          <w:p w14:paraId="14FAC9E8"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543 524</w:t>
            </w:r>
          </w:p>
        </w:tc>
        <w:tc>
          <w:tcPr>
            <w:tcW w:w="992" w:type="dxa"/>
            <w:tcBorders>
              <w:top w:val="single" w:sz="4" w:space="0" w:color="auto"/>
              <w:bottom w:val="single" w:sz="4" w:space="0" w:color="auto"/>
            </w:tcBorders>
            <w:shd w:val="clear" w:color="auto" w:fill="auto"/>
            <w:vAlign w:val="bottom"/>
          </w:tcPr>
          <w:p w14:paraId="74208838"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540 653</w:t>
            </w:r>
          </w:p>
        </w:tc>
        <w:tc>
          <w:tcPr>
            <w:tcW w:w="909" w:type="dxa"/>
            <w:tcBorders>
              <w:top w:val="single" w:sz="4" w:space="0" w:color="auto"/>
              <w:bottom w:val="single" w:sz="4" w:space="0" w:color="auto"/>
            </w:tcBorders>
            <w:shd w:val="clear" w:color="auto" w:fill="auto"/>
            <w:vAlign w:val="bottom"/>
          </w:tcPr>
          <w:p w14:paraId="1F16BC5D"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-2 871</w:t>
            </w:r>
          </w:p>
        </w:tc>
        <w:tc>
          <w:tcPr>
            <w:tcW w:w="792" w:type="dxa"/>
            <w:tcBorders>
              <w:top w:val="single" w:sz="4" w:space="0" w:color="auto"/>
              <w:bottom w:val="single" w:sz="4" w:space="0" w:color="auto"/>
            </w:tcBorders>
            <w:shd w:val="clear" w:color="auto" w:fill="auto"/>
            <w:vAlign w:val="bottom"/>
          </w:tcPr>
          <w:p w14:paraId="4645048A"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-0,5</w:t>
            </w:r>
          </w:p>
        </w:tc>
      </w:tr>
      <w:tr w:rsidR="000C2F85" w:rsidRPr="00F26A56" w14:paraId="1154397F" w14:textId="77777777" w:rsidTr="00F810C4">
        <w:trPr>
          <w:trHeight w:val="240"/>
          <w:tblHeader/>
        </w:trPr>
        <w:tc>
          <w:tcPr>
            <w:tcW w:w="8505" w:type="dxa"/>
            <w:gridSpan w:val="7"/>
            <w:tcBorders>
              <w:top w:val="single" w:sz="4" w:space="0" w:color="auto"/>
            </w:tcBorders>
            <w:shd w:val="clear" w:color="auto" w:fill="auto"/>
          </w:tcPr>
          <w:p w14:paraId="0EB3586E" w14:textId="77777777" w:rsidR="000C2F85" w:rsidRPr="00F810C4" w:rsidRDefault="000C2F85" w:rsidP="00F26A56">
            <w:pPr>
              <w:pStyle w:val="SingleTxtG"/>
              <w:tabs>
                <w:tab w:val="clear" w:pos="1701"/>
                <w:tab w:val="clear" w:pos="2268"/>
                <w:tab w:val="clear" w:pos="2835"/>
              </w:tabs>
              <w:spacing w:before="40" w:after="40" w:line="220" w:lineRule="exact"/>
              <w:ind w:left="0" w:right="0"/>
              <w:jc w:val="left"/>
              <w:rPr>
                <w:b/>
                <w:bCs/>
                <w:sz w:val="18"/>
                <w:lang w:val="es-ES_tradnl"/>
              </w:rPr>
            </w:pPr>
            <w:r w:rsidRPr="00F810C4">
              <w:rPr>
                <w:b/>
                <w:bCs/>
                <w:iCs/>
                <w:sz w:val="18"/>
                <w:lang w:val="es-ES_tradnl"/>
              </w:rPr>
              <w:t>Otros delitos graves</w:t>
            </w:r>
          </w:p>
        </w:tc>
      </w:tr>
      <w:tr w:rsidR="000F09CA" w:rsidRPr="00F26A56" w14:paraId="11433E83" w14:textId="77777777" w:rsidTr="000F09CA">
        <w:trPr>
          <w:trHeight w:val="240"/>
        </w:trPr>
        <w:tc>
          <w:tcPr>
            <w:tcW w:w="2835" w:type="dxa"/>
            <w:shd w:val="clear" w:color="auto" w:fill="auto"/>
          </w:tcPr>
          <w:p w14:paraId="672E8631"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Tipos de robo no mencionados anteriormente</w:t>
            </w:r>
          </w:p>
        </w:tc>
        <w:tc>
          <w:tcPr>
            <w:tcW w:w="993" w:type="dxa"/>
            <w:shd w:val="clear" w:color="auto" w:fill="auto"/>
            <w:vAlign w:val="bottom"/>
          </w:tcPr>
          <w:p w14:paraId="7EDEE375" w14:textId="77777777" w:rsidR="000C2F85" w:rsidRPr="00F26A56" w:rsidRDefault="000C2F85" w:rsidP="00F26A56">
            <w:pPr>
              <w:pStyle w:val="SingleTxtG"/>
              <w:tabs>
                <w:tab w:val="clear" w:pos="1701"/>
                <w:tab w:val="clear" w:pos="2268"/>
                <w:tab w:val="clear" w:pos="2835"/>
              </w:tabs>
              <w:spacing w:before="40" w:after="40" w:line="220" w:lineRule="exact"/>
              <w:ind w:left="113" w:right="0"/>
              <w:jc w:val="right"/>
              <w:rPr>
                <w:sz w:val="18"/>
                <w:lang w:val="es-ES_tradnl"/>
              </w:rPr>
            </w:pPr>
            <w:r w:rsidRPr="00F26A56">
              <w:rPr>
                <w:sz w:val="18"/>
                <w:lang w:val="es-ES_tradnl"/>
              </w:rPr>
              <w:t>362 517</w:t>
            </w:r>
          </w:p>
        </w:tc>
        <w:tc>
          <w:tcPr>
            <w:tcW w:w="992" w:type="dxa"/>
            <w:shd w:val="clear" w:color="auto" w:fill="auto"/>
            <w:vAlign w:val="bottom"/>
          </w:tcPr>
          <w:p w14:paraId="47C901A7" w14:textId="77777777" w:rsidR="000C2F85" w:rsidRPr="00F26A56" w:rsidRDefault="000C2F85" w:rsidP="00F26A56">
            <w:pPr>
              <w:pStyle w:val="SingleTxtG"/>
              <w:tabs>
                <w:tab w:val="clear" w:pos="1701"/>
                <w:tab w:val="clear" w:pos="2268"/>
                <w:tab w:val="clear" w:pos="2835"/>
              </w:tabs>
              <w:spacing w:before="40" w:after="40" w:line="220" w:lineRule="exact"/>
              <w:ind w:left="113" w:right="0"/>
              <w:jc w:val="right"/>
              <w:rPr>
                <w:sz w:val="18"/>
                <w:lang w:val="es-ES_tradnl"/>
              </w:rPr>
            </w:pPr>
            <w:r w:rsidRPr="00F26A56">
              <w:rPr>
                <w:sz w:val="18"/>
                <w:lang w:val="es-ES_tradnl"/>
              </w:rPr>
              <w:t>360 541</w:t>
            </w:r>
          </w:p>
        </w:tc>
        <w:tc>
          <w:tcPr>
            <w:tcW w:w="992" w:type="dxa"/>
            <w:shd w:val="clear" w:color="auto" w:fill="auto"/>
            <w:vAlign w:val="bottom"/>
          </w:tcPr>
          <w:p w14:paraId="05515124" w14:textId="77777777" w:rsidR="000C2F85" w:rsidRPr="00F26A56" w:rsidRDefault="000C2F85" w:rsidP="00F26A56">
            <w:pPr>
              <w:pStyle w:val="SingleTxtG"/>
              <w:tabs>
                <w:tab w:val="clear" w:pos="1701"/>
                <w:tab w:val="clear" w:pos="2268"/>
                <w:tab w:val="clear" w:pos="2835"/>
              </w:tabs>
              <w:spacing w:before="40" w:after="40" w:line="220" w:lineRule="exact"/>
              <w:ind w:left="113" w:right="0"/>
              <w:jc w:val="right"/>
              <w:rPr>
                <w:sz w:val="18"/>
                <w:lang w:val="es-ES_tradnl"/>
              </w:rPr>
            </w:pPr>
            <w:r w:rsidRPr="00F26A56">
              <w:rPr>
                <w:sz w:val="18"/>
                <w:lang w:val="es-ES_tradnl"/>
              </w:rPr>
              <w:t>340 372</w:t>
            </w:r>
          </w:p>
        </w:tc>
        <w:tc>
          <w:tcPr>
            <w:tcW w:w="992" w:type="dxa"/>
            <w:shd w:val="clear" w:color="auto" w:fill="auto"/>
            <w:vAlign w:val="bottom"/>
          </w:tcPr>
          <w:p w14:paraId="1BA29404" w14:textId="77777777" w:rsidR="000C2F85" w:rsidRPr="00F26A56" w:rsidRDefault="000C2F85" w:rsidP="00F26A56">
            <w:pPr>
              <w:pStyle w:val="SingleTxtG"/>
              <w:tabs>
                <w:tab w:val="clear" w:pos="1701"/>
                <w:tab w:val="clear" w:pos="2268"/>
                <w:tab w:val="clear" w:pos="2835"/>
              </w:tabs>
              <w:spacing w:before="40" w:after="40" w:line="220" w:lineRule="exact"/>
              <w:ind w:left="113" w:right="0"/>
              <w:jc w:val="right"/>
              <w:rPr>
                <w:sz w:val="18"/>
                <w:lang w:val="es-ES_tradnl"/>
              </w:rPr>
            </w:pPr>
            <w:r w:rsidRPr="00F26A56">
              <w:rPr>
                <w:sz w:val="18"/>
                <w:lang w:val="es-ES_tradnl"/>
              </w:rPr>
              <w:t>328 272</w:t>
            </w:r>
          </w:p>
        </w:tc>
        <w:tc>
          <w:tcPr>
            <w:tcW w:w="909" w:type="dxa"/>
            <w:shd w:val="clear" w:color="auto" w:fill="auto"/>
            <w:vAlign w:val="bottom"/>
          </w:tcPr>
          <w:p w14:paraId="4715314C" w14:textId="77777777" w:rsidR="000C2F85" w:rsidRPr="00F26A56" w:rsidRDefault="000C2F85" w:rsidP="00F26A56">
            <w:pPr>
              <w:pStyle w:val="SingleTxtG"/>
              <w:tabs>
                <w:tab w:val="clear" w:pos="1701"/>
                <w:tab w:val="clear" w:pos="2268"/>
                <w:tab w:val="clear" w:pos="2835"/>
              </w:tabs>
              <w:spacing w:before="40" w:after="40" w:line="220" w:lineRule="exact"/>
              <w:ind w:left="113" w:right="0"/>
              <w:jc w:val="right"/>
              <w:rPr>
                <w:sz w:val="18"/>
                <w:lang w:val="es-ES_tradnl"/>
              </w:rPr>
            </w:pPr>
            <w:r w:rsidRPr="00F26A56">
              <w:rPr>
                <w:sz w:val="18"/>
                <w:lang w:val="es-ES_tradnl"/>
              </w:rPr>
              <w:t>-12 100</w:t>
            </w:r>
          </w:p>
        </w:tc>
        <w:tc>
          <w:tcPr>
            <w:tcW w:w="792" w:type="dxa"/>
            <w:shd w:val="clear" w:color="auto" w:fill="auto"/>
            <w:vAlign w:val="bottom"/>
          </w:tcPr>
          <w:p w14:paraId="13111444" w14:textId="77777777" w:rsidR="000C2F85" w:rsidRPr="00F26A56" w:rsidRDefault="000C2F85" w:rsidP="00F26A56">
            <w:pPr>
              <w:pStyle w:val="SingleTxtG"/>
              <w:tabs>
                <w:tab w:val="clear" w:pos="1701"/>
                <w:tab w:val="clear" w:pos="2268"/>
                <w:tab w:val="clear" w:pos="2835"/>
              </w:tabs>
              <w:spacing w:before="40" w:after="40" w:line="220" w:lineRule="exact"/>
              <w:ind w:left="113" w:right="0"/>
              <w:jc w:val="right"/>
              <w:rPr>
                <w:sz w:val="18"/>
                <w:lang w:val="es-ES_tradnl"/>
              </w:rPr>
            </w:pPr>
            <w:r w:rsidRPr="00F26A56">
              <w:rPr>
                <w:sz w:val="18"/>
                <w:lang w:val="es-ES_tradnl"/>
              </w:rPr>
              <w:t>-3,6</w:t>
            </w:r>
          </w:p>
        </w:tc>
      </w:tr>
      <w:tr w:rsidR="000F09CA" w:rsidRPr="00F26A56" w14:paraId="595238FA" w14:textId="77777777" w:rsidTr="000F09CA">
        <w:trPr>
          <w:trHeight w:val="240"/>
        </w:trPr>
        <w:tc>
          <w:tcPr>
            <w:tcW w:w="2835" w:type="dxa"/>
            <w:shd w:val="clear" w:color="auto" w:fill="auto"/>
          </w:tcPr>
          <w:p w14:paraId="5BC1D7D8"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Delito comercial</w:t>
            </w:r>
          </w:p>
        </w:tc>
        <w:tc>
          <w:tcPr>
            <w:tcW w:w="993" w:type="dxa"/>
            <w:shd w:val="clear" w:color="auto" w:fill="auto"/>
            <w:vAlign w:val="bottom"/>
          </w:tcPr>
          <w:p w14:paraId="36825269" w14:textId="77777777" w:rsidR="000C2F85" w:rsidRPr="00F26A56" w:rsidRDefault="000C2F85" w:rsidP="00F26A56">
            <w:pPr>
              <w:pStyle w:val="SingleTxtG"/>
              <w:tabs>
                <w:tab w:val="clear" w:pos="1701"/>
                <w:tab w:val="clear" w:pos="2268"/>
                <w:tab w:val="clear" w:pos="2835"/>
              </w:tabs>
              <w:spacing w:before="40" w:after="40" w:line="220" w:lineRule="exact"/>
              <w:ind w:left="113" w:right="0"/>
              <w:jc w:val="right"/>
              <w:rPr>
                <w:sz w:val="18"/>
                <w:lang w:val="es-ES_tradnl"/>
              </w:rPr>
            </w:pPr>
            <w:r w:rsidRPr="00F26A56">
              <w:rPr>
                <w:sz w:val="18"/>
                <w:lang w:val="es-ES_tradnl"/>
              </w:rPr>
              <w:t>76 744</w:t>
            </w:r>
          </w:p>
        </w:tc>
        <w:tc>
          <w:tcPr>
            <w:tcW w:w="992" w:type="dxa"/>
            <w:shd w:val="clear" w:color="auto" w:fill="auto"/>
            <w:vAlign w:val="bottom"/>
          </w:tcPr>
          <w:p w14:paraId="40A050EC" w14:textId="77777777" w:rsidR="000C2F85" w:rsidRPr="00F26A56" w:rsidRDefault="000C2F85" w:rsidP="00F26A56">
            <w:pPr>
              <w:pStyle w:val="SingleTxtG"/>
              <w:tabs>
                <w:tab w:val="clear" w:pos="1701"/>
                <w:tab w:val="clear" w:pos="2268"/>
                <w:tab w:val="clear" w:pos="2835"/>
              </w:tabs>
              <w:spacing w:before="40" w:after="40" w:line="220" w:lineRule="exact"/>
              <w:ind w:left="113" w:right="0"/>
              <w:jc w:val="right"/>
              <w:rPr>
                <w:sz w:val="18"/>
                <w:lang w:val="es-ES_tradnl"/>
              </w:rPr>
            </w:pPr>
            <w:r w:rsidRPr="00F26A56">
              <w:rPr>
                <w:sz w:val="18"/>
                <w:lang w:val="es-ES_tradnl"/>
              </w:rPr>
              <w:t>67 830</w:t>
            </w:r>
          </w:p>
        </w:tc>
        <w:tc>
          <w:tcPr>
            <w:tcW w:w="992" w:type="dxa"/>
            <w:shd w:val="clear" w:color="auto" w:fill="auto"/>
            <w:vAlign w:val="bottom"/>
          </w:tcPr>
          <w:p w14:paraId="614D5236" w14:textId="77777777" w:rsidR="000C2F85" w:rsidRPr="00F26A56" w:rsidRDefault="000C2F85" w:rsidP="00F26A56">
            <w:pPr>
              <w:pStyle w:val="SingleTxtG"/>
              <w:tabs>
                <w:tab w:val="clear" w:pos="1701"/>
                <w:tab w:val="clear" w:pos="2268"/>
                <w:tab w:val="clear" w:pos="2835"/>
              </w:tabs>
              <w:spacing w:before="40" w:after="40" w:line="220" w:lineRule="exact"/>
              <w:ind w:left="113" w:right="0"/>
              <w:jc w:val="right"/>
              <w:rPr>
                <w:sz w:val="18"/>
                <w:lang w:val="es-ES_tradnl"/>
              </w:rPr>
            </w:pPr>
            <w:r w:rsidRPr="00F26A56">
              <w:rPr>
                <w:sz w:val="18"/>
                <w:lang w:val="es-ES_tradnl"/>
              </w:rPr>
              <w:t>69 917</w:t>
            </w:r>
          </w:p>
        </w:tc>
        <w:tc>
          <w:tcPr>
            <w:tcW w:w="992" w:type="dxa"/>
            <w:shd w:val="clear" w:color="auto" w:fill="auto"/>
            <w:vAlign w:val="bottom"/>
          </w:tcPr>
          <w:p w14:paraId="6E57D1B5" w14:textId="77777777" w:rsidR="000C2F85" w:rsidRPr="00F26A56" w:rsidRDefault="000C2F85" w:rsidP="00F26A56">
            <w:pPr>
              <w:pStyle w:val="SingleTxtG"/>
              <w:tabs>
                <w:tab w:val="clear" w:pos="1701"/>
                <w:tab w:val="clear" w:pos="2268"/>
                <w:tab w:val="clear" w:pos="2835"/>
              </w:tabs>
              <w:spacing w:before="40" w:after="40" w:line="220" w:lineRule="exact"/>
              <w:ind w:left="113" w:right="0"/>
              <w:jc w:val="right"/>
              <w:rPr>
                <w:sz w:val="18"/>
                <w:lang w:val="es-ES_tradnl"/>
              </w:rPr>
            </w:pPr>
            <w:r w:rsidRPr="00F26A56">
              <w:rPr>
                <w:sz w:val="18"/>
                <w:lang w:val="es-ES_tradnl"/>
              </w:rPr>
              <w:t>73 550</w:t>
            </w:r>
          </w:p>
        </w:tc>
        <w:tc>
          <w:tcPr>
            <w:tcW w:w="909" w:type="dxa"/>
            <w:shd w:val="clear" w:color="auto" w:fill="auto"/>
            <w:vAlign w:val="bottom"/>
          </w:tcPr>
          <w:p w14:paraId="3A1502C4" w14:textId="77777777" w:rsidR="000C2F85" w:rsidRPr="00F26A56" w:rsidRDefault="000C2F85" w:rsidP="00F26A56">
            <w:pPr>
              <w:pStyle w:val="SingleTxtG"/>
              <w:tabs>
                <w:tab w:val="clear" w:pos="1701"/>
                <w:tab w:val="clear" w:pos="2268"/>
                <w:tab w:val="clear" w:pos="2835"/>
              </w:tabs>
              <w:spacing w:before="40" w:after="40" w:line="220" w:lineRule="exact"/>
              <w:ind w:left="113" w:right="0"/>
              <w:jc w:val="right"/>
              <w:rPr>
                <w:sz w:val="18"/>
                <w:lang w:val="es-ES_tradnl"/>
              </w:rPr>
            </w:pPr>
            <w:r w:rsidRPr="00F26A56">
              <w:rPr>
                <w:sz w:val="18"/>
                <w:lang w:val="es-ES_tradnl"/>
              </w:rPr>
              <w:t>3 633</w:t>
            </w:r>
          </w:p>
        </w:tc>
        <w:tc>
          <w:tcPr>
            <w:tcW w:w="792" w:type="dxa"/>
            <w:shd w:val="clear" w:color="auto" w:fill="auto"/>
            <w:vAlign w:val="bottom"/>
          </w:tcPr>
          <w:p w14:paraId="5317F657" w14:textId="77777777" w:rsidR="000C2F85" w:rsidRPr="00F26A56" w:rsidRDefault="000C2F85" w:rsidP="00F26A56">
            <w:pPr>
              <w:pStyle w:val="SingleTxtG"/>
              <w:tabs>
                <w:tab w:val="clear" w:pos="1701"/>
                <w:tab w:val="clear" w:pos="2268"/>
                <w:tab w:val="clear" w:pos="2835"/>
              </w:tabs>
              <w:spacing w:before="40" w:after="40" w:line="220" w:lineRule="exact"/>
              <w:ind w:left="113" w:right="0"/>
              <w:jc w:val="right"/>
              <w:rPr>
                <w:sz w:val="18"/>
                <w:lang w:val="es-ES_tradnl"/>
              </w:rPr>
            </w:pPr>
            <w:r w:rsidRPr="00F26A56">
              <w:rPr>
                <w:sz w:val="18"/>
                <w:lang w:val="es-ES_tradnl"/>
              </w:rPr>
              <w:t>5,2</w:t>
            </w:r>
          </w:p>
        </w:tc>
      </w:tr>
      <w:tr w:rsidR="00F810C4" w:rsidRPr="00F26A56" w14:paraId="4F9EADF7" w14:textId="77777777" w:rsidTr="000F09CA">
        <w:trPr>
          <w:trHeight w:val="240"/>
        </w:trPr>
        <w:tc>
          <w:tcPr>
            <w:tcW w:w="2835" w:type="dxa"/>
            <w:tcBorders>
              <w:bottom w:val="single" w:sz="4" w:space="0" w:color="auto"/>
            </w:tcBorders>
            <w:shd w:val="clear" w:color="auto" w:fill="auto"/>
          </w:tcPr>
          <w:p w14:paraId="4260B2B3"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Hurto en tiendas</w:t>
            </w:r>
          </w:p>
        </w:tc>
        <w:tc>
          <w:tcPr>
            <w:tcW w:w="993" w:type="dxa"/>
            <w:tcBorders>
              <w:bottom w:val="single" w:sz="4" w:space="0" w:color="auto"/>
            </w:tcBorders>
            <w:shd w:val="clear" w:color="auto" w:fill="auto"/>
            <w:vAlign w:val="bottom"/>
          </w:tcPr>
          <w:p w14:paraId="12B45BBD" w14:textId="77777777" w:rsidR="000C2F85" w:rsidRPr="00F26A56" w:rsidRDefault="000C2F85" w:rsidP="00F26A56">
            <w:pPr>
              <w:pStyle w:val="SingleTxtG"/>
              <w:tabs>
                <w:tab w:val="clear" w:pos="1701"/>
                <w:tab w:val="clear" w:pos="2268"/>
                <w:tab w:val="clear" w:pos="2835"/>
              </w:tabs>
              <w:spacing w:before="40" w:after="40" w:line="220" w:lineRule="exact"/>
              <w:ind w:left="113" w:right="0"/>
              <w:jc w:val="right"/>
              <w:rPr>
                <w:sz w:val="18"/>
                <w:lang w:val="es-ES_tradnl"/>
              </w:rPr>
            </w:pPr>
            <w:r w:rsidRPr="00F26A56">
              <w:rPr>
                <w:sz w:val="18"/>
                <w:lang w:val="es-ES_tradnl"/>
              </w:rPr>
              <w:t>70 487</w:t>
            </w:r>
          </w:p>
        </w:tc>
        <w:tc>
          <w:tcPr>
            <w:tcW w:w="992" w:type="dxa"/>
            <w:tcBorders>
              <w:bottom w:val="single" w:sz="4" w:space="0" w:color="auto"/>
            </w:tcBorders>
            <w:shd w:val="clear" w:color="auto" w:fill="auto"/>
            <w:vAlign w:val="bottom"/>
          </w:tcPr>
          <w:p w14:paraId="2C302BEA" w14:textId="77777777" w:rsidR="000C2F85" w:rsidRPr="00F26A56" w:rsidRDefault="000C2F85" w:rsidP="00F26A56">
            <w:pPr>
              <w:pStyle w:val="SingleTxtG"/>
              <w:tabs>
                <w:tab w:val="clear" w:pos="1701"/>
                <w:tab w:val="clear" w:pos="2268"/>
                <w:tab w:val="clear" w:pos="2835"/>
              </w:tabs>
              <w:spacing w:before="40" w:after="40" w:line="220" w:lineRule="exact"/>
              <w:ind w:left="113" w:right="0"/>
              <w:jc w:val="right"/>
              <w:rPr>
                <w:sz w:val="18"/>
                <w:lang w:val="es-ES_tradnl"/>
              </w:rPr>
            </w:pPr>
            <w:r w:rsidRPr="00F26A56">
              <w:rPr>
                <w:sz w:val="18"/>
                <w:lang w:val="es-ES_tradnl"/>
              </w:rPr>
              <w:t>71 327</w:t>
            </w:r>
          </w:p>
        </w:tc>
        <w:tc>
          <w:tcPr>
            <w:tcW w:w="992" w:type="dxa"/>
            <w:tcBorders>
              <w:bottom w:val="single" w:sz="4" w:space="0" w:color="auto"/>
            </w:tcBorders>
            <w:shd w:val="clear" w:color="auto" w:fill="auto"/>
            <w:vAlign w:val="bottom"/>
          </w:tcPr>
          <w:p w14:paraId="4F118A12" w14:textId="77777777" w:rsidR="000C2F85" w:rsidRPr="00F26A56" w:rsidRDefault="000C2F85" w:rsidP="00F26A56">
            <w:pPr>
              <w:pStyle w:val="SingleTxtG"/>
              <w:tabs>
                <w:tab w:val="clear" w:pos="1701"/>
                <w:tab w:val="clear" w:pos="2268"/>
                <w:tab w:val="clear" w:pos="2835"/>
              </w:tabs>
              <w:spacing w:before="40" w:after="40" w:line="220" w:lineRule="exact"/>
              <w:ind w:left="113" w:right="0"/>
              <w:jc w:val="right"/>
              <w:rPr>
                <w:sz w:val="18"/>
                <w:lang w:val="es-ES_tradnl"/>
              </w:rPr>
            </w:pPr>
            <w:r w:rsidRPr="00F26A56">
              <w:rPr>
                <w:sz w:val="18"/>
                <w:lang w:val="es-ES_tradnl"/>
              </w:rPr>
              <w:t>68 786</w:t>
            </w:r>
          </w:p>
        </w:tc>
        <w:tc>
          <w:tcPr>
            <w:tcW w:w="992" w:type="dxa"/>
            <w:tcBorders>
              <w:bottom w:val="single" w:sz="4" w:space="0" w:color="auto"/>
            </w:tcBorders>
            <w:shd w:val="clear" w:color="auto" w:fill="auto"/>
            <w:vAlign w:val="bottom"/>
          </w:tcPr>
          <w:p w14:paraId="6EEABB1D" w14:textId="77777777" w:rsidR="000C2F85" w:rsidRPr="00F26A56" w:rsidRDefault="000C2F85" w:rsidP="00F26A56">
            <w:pPr>
              <w:pStyle w:val="SingleTxtG"/>
              <w:tabs>
                <w:tab w:val="clear" w:pos="1701"/>
                <w:tab w:val="clear" w:pos="2268"/>
                <w:tab w:val="clear" w:pos="2835"/>
              </w:tabs>
              <w:spacing w:before="40" w:after="40" w:line="220" w:lineRule="exact"/>
              <w:ind w:left="113" w:right="0"/>
              <w:jc w:val="right"/>
              <w:rPr>
                <w:sz w:val="18"/>
                <w:lang w:val="es-ES_tradnl"/>
              </w:rPr>
            </w:pPr>
            <w:r w:rsidRPr="00F26A56">
              <w:rPr>
                <w:sz w:val="18"/>
                <w:lang w:val="es-ES_tradnl"/>
              </w:rPr>
              <w:t>67 454</w:t>
            </w:r>
          </w:p>
        </w:tc>
        <w:tc>
          <w:tcPr>
            <w:tcW w:w="909" w:type="dxa"/>
            <w:tcBorders>
              <w:bottom w:val="single" w:sz="4" w:space="0" w:color="auto"/>
            </w:tcBorders>
            <w:shd w:val="clear" w:color="auto" w:fill="auto"/>
            <w:vAlign w:val="bottom"/>
          </w:tcPr>
          <w:p w14:paraId="3E193AED" w14:textId="77777777" w:rsidR="000C2F85" w:rsidRPr="00F26A56" w:rsidRDefault="000C2F85" w:rsidP="00F26A56">
            <w:pPr>
              <w:pStyle w:val="SingleTxtG"/>
              <w:tabs>
                <w:tab w:val="clear" w:pos="1701"/>
                <w:tab w:val="clear" w:pos="2268"/>
                <w:tab w:val="clear" w:pos="2835"/>
              </w:tabs>
              <w:spacing w:before="40" w:after="40" w:line="220" w:lineRule="exact"/>
              <w:ind w:left="113" w:right="0"/>
              <w:jc w:val="right"/>
              <w:rPr>
                <w:sz w:val="18"/>
                <w:lang w:val="es-ES_tradnl"/>
              </w:rPr>
            </w:pPr>
            <w:r w:rsidRPr="00F26A56">
              <w:rPr>
                <w:sz w:val="18"/>
                <w:lang w:val="es-ES_tradnl"/>
              </w:rPr>
              <w:t>-1 332</w:t>
            </w:r>
          </w:p>
        </w:tc>
        <w:tc>
          <w:tcPr>
            <w:tcW w:w="792" w:type="dxa"/>
            <w:tcBorders>
              <w:bottom w:val="single" w:sz="4" w:space="0" w:color="auto"/>
            </w:tcBorders>
            <w:shd w:val="clear" w:color="auto" w:fill="auto"/>
            <w:vAlign w:val="bottom"/>
          </w:tcPr>
          <w:p w14:paraId="68F66572" w14:textId="77777777" w:rsidR="000C2F85" w:rsidRPr="00F26A56" w:rsidRDefault="000C2F85" w:rsidP="00F26A56">
            <w:pPr>
              <w:pStyle w:val="SingleTxtG"/>
              <w:tabs>
                <w:tab w:val="clear" w:pos="1701"/>
                <w:tab w:val="clear" w:pos="2268"/>
                <w:tab w:val="clear" w:pos="2835"/>
              </w:tabs>
              <w:spacing w:before="40" w:after="40" w:line="220" w:lineRule="exact"/>
              <w:ind w:left="113" w:right="0"/>
              <w:jc w:val="right"/>
              <w:rPr>
                <w:sz w:val="18"/>
                <w:lang w:val="es-ES_tradnl"/>
              </w:rPr>
            </w:pPr>
            <w:r w:rsidRPr="00F26A56">
              <w:rPr>
                <w:sz w:val="18"/>
                <w:lang w:val="es-ES_tradnl"/>
              </w:rPr>
              <w:t>-1,9</w:t>
            </w:r>
          </w:p>
        </w:tc>
      </w:tr>
      <w:tr w:rsidR="00F810C4" w:rsidRPr="00F810C4" w14:paraId="464C1432" w14:textId="77777777" w:rsidTr="000F09CA">
        <w:trPr>
          <w:trHeight w:val="240"/>
        </w:trPr>
        <w:tc>
          <w:tcPr>
            <w:tcW w:w="2835" w:type="dxa"/>
            <w:tcBorders>
              <w:top w:val="single" w:sz="4" w:space="0" w:color="auto"/>
              <w:bottom w:val="single" w:sz="4" w:space="0" w:color="auto"/>
            </w:tcBorders>
            <w:shd w:val="clear" w:color="auto" w:fill="auto"/>
          </w:tcPr>
          <w:p w14:paraId="1584B79F" w14:textId="77777777" w:rsidR="000C2F85" w:rsidRPr="00F810C4" w:rsidRDefault="000C2F85" w:rsidP="00F810C4">
            <w:pPr>
              <w:pStyle w:val="SingleTxtG"/>
              <w:tabs>
                <w:tab w:val="clear" w:pos="1701"/>
                <w:tab w:val="clear" w:pos="2268"/>
                <w:tab w:val="clear" w:pos="2835"/>
              </w:tabs>
              <w:spacing w:before="80" w:after="80" w:line="220" w:lineRule="exact"/>
              <w:ind w:left="283" w:right="0"/>
              <w:jc w:val="left"/>
              <w:rPr>
                <w:b/>
                <w:bCs/>
                <w:sz w:val="18"/>
                <w:lang w:val="es-ES_tradnl"/>
              </w:rPr>
            </w:pPr>
            <w:r w:rsidRPr="00F810C4">
              <w:rPr>
                <w:b/>
                <w:bCs/>
                <w:sz w:val="18"/>
                <w:lang w:val="es-ES_tradnl"/>
              </w:rPr>
              <w:t>Otros delitos graves</w:t>
            </w:r>
          </w:p>
        </w:tc>
        <w:tc>
          <w:tcPr>
            <w:tcW w:w="993" w:type="dxa"/>
            <w:tcBorders>
              <w:top w:val="single" w:sz="4" w:space="0" w:color="auto"/>
              <w:bottom w:val="single" w:sz="4" w:space="0" w:color="auto"/>
            </w:tcBorders>
            <w:shd w:val="clear" w:color="auto" w:fill="auto"/>
            <w:vAlign w:val="bottom"/>
          </w:tcPr>
          <w:p w14:paraId="1F850EE7"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510 748</w:t>
            </w:r>
          </w:p>
        </w:tc>
        <w:tc>
          <w:tcPr>
            <w:tcW w:w="992" w:type="dxa"/>
            <w:tcBorders>
              <w:top w:val="single" w:sz="4" w:space="0" w:color="auto"/>
              <w:bottom w:val="single" w:sz="4" w:space="0" w:color="auto"/>
            </w:tcBorders>
            <w:shd w:val="clear" w:color="auto" w:fill="auto"/>
            <w:vAlign w:val="bottom"/>
          </w:tcPr>
          <w:p w14:paraId="4E9979FA"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499 698</w:t>
            </w:r>
          </w:p>
        </w:tc>
        <w:tc>
          <w:tcPr>
            <w:tcW w:w="992" w:type="dxa"/>
            <w:tcBorders>
              <w:top w:val="single" w:sz="4" w:space="0" w:color="auto"/>
              <w:bottom w:val="single" w:sz="4" w:space="0" w:color="auto"/>
            </w:tcBorders>
            <w:shd w:val="clear" w:color="auto" w:fill="auto"/>
            <w:vAlign w:val="bottom"/>
          </w:tcPr>
          <w:p w14:paraId="70E93F4A"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479 075</w:t>
            </w:r>
          </w:p>
        </w:tc>
        <w:tc>
          <w:tcPr>
            <w:tcW w:w="992" w:type="dxa"/>
            <w:tcBorders>
              <w:top w:val="single" w:sz="4" w:space="0" w:color="auto"/>
              <w:bottom w:val="single" w:sz="4" w:space="0" w:color="auto"/>
            </w:tcBorders>
            <w:shd w:val="clear" w:color="auto" w:fill="auto"/>
            <w:vAlign w:val="bottom"/>
          </w:tcPr>
          <w:p w14:paraId="3F2DE10F"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469 276</w:t>
            </w:r>
          </w:p>
        </w:tc>
        <w:tc>
          <w:tcPr>
            <w:tcW w:w="909" w:type="dxa"/>
            <w:tcBorders>
              <w:top w:val="single" w:sz="4" w:space="0" w:color="auto"/>
              <w:bottom w:val="single" w:sz="4" w:space="0" w:color="auto"/>
            </w:tcBorders>
            <w:shd w:val="clear" w:color="auto" w:fill="auto"/>
            <w:vAlign w:val="bottom"/>
          </w:tcPr>
          <w:p w14:paraId="5E1FDAEF"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-9 799</w:t>
            </w:r>
          </w:p>
        </w:tc>
        <w:tc>
          <w:tcPr>
            <w:tcW w:w="792" w:type="dxa"/>
            <w:tcBorders>
              <w:top w:val="single" w:sz="4" w:space="0" w:color="auto"/>
              <w:bottom w:val="single" w:sz="4" w:space="0" w:color="auto"/>
            </w:tcBorders>
            <w:shd w:val="clear" w:color="auto" w:fill="auto"/>
            <w:vAlign w:val="bottom"/>
          </w:tcPr>
          <w:p w14:paraId="071EDE8A"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-2,0</w:t>
            </w:r>
          </w:p>
        </w:tc>
      </w:tr>
      <w:tr w:rsidR="000C2F85" w:rsidRPr="00F810C4" w14:paraId="40BE2FFD" w14:textId="77777777" w:rsidTr="00F810C4">
        <w:trPr>
          <w:trHeight w:val="240"/>
          <w:tblHeader/>
        </w:trPr>
        <w:tc>
          <w:tcPr>
            <w:tcW w:w="8505" w:type="dxa"/>
            <w:gridSpan w:val="7"/>
            <w:tcBorders>
              <w:top w:val="single" w:sz="4" w:space="0" w:color="auto"/>
              <w:bottom w:val="single" w:sz="4" w:space="0" w:color="auto"/>
            </w:tcBorders>
            <w:shd w:val="clear" w:color="auto" w:fill="auto"/>
          </w:tcPr>
          <w:p w14:paraId="6FAFA79D" w14:textId="77777777" w:rsidR="000C2F85" w:rsidRPr="00F810C4" w:rsidRDefault="000C2F85" w:rsidP="00F26A56">
            <w:pPr>
              <w:pStyle w:val="SingleTxtG"/>
              <w:tabs>
                <w:tab w:val="clear" w:pos="1701"/>
                <w:tab w:val="clear" w:pos="2268"/>
                <w:tab w:val="clear" w:pos="2835"/>
              </w:tabs>
              <w:spacing w:before="40" w:after="40" w:line="220" w:lineRule="exact"/>
              <w:ind w:left="0" w:right="0"/>
              <w:jc w:val="left"/>
              <w:rPr>
                <w:b/>
                <w:bCs/>
                <w:sz w:val="18"/>
                <w:lang w:val="es-ES_tradnl"/>
              </w:rPr>
            </w:pPr>
            <w:r w:rsidRPr="00F810C4">
              <w:rPr>
                <w:b/>
                <w:bCs/>
                <w:iCs/>
                <w:sz w:val="18"/>
                <w:lang w:val="es-ES_tradnl"/>
              </w:rPr>
              <w:t>Otros delitos graves</w:t>
            </w:r>
          </w:p>
        </w:tc>
      </w:tr>
      <w:tr w:rsidR="00F810C4" w:rsidRPr="00F810C4" w14:paraId="5282DD0C" w14:textId="77777777" w:rsidTr="009E4069">
        <w:trPr>
          <w:trHeight w:val="240"/>
        </w:trPr>
        <w:tc>
          <w:tcPr>
            <w:tcW w:w="2835" w:type="dxa"/>
            <w:tcBorders>
              <w:top w:val="single" w:sz="4" w:space="0" w:color="auto"/>
              <w:bottom w:val="single" w:sz="4" w:space="0" w:color="auto"/>
            </w:tcBorders>
            <w:shd w:val="clear" w:color="auto" w:fill="auto"/>
          </w:tcPr>
          <w:p w14:paraId="5B43E3C9" w14:textId="77777777" w:rsidR="000C2F85" w:rsidRPr="00F810C4" w:rsidRDefault="000C2F85" w:rsidP="00F810C4">
            <w:pPr>
              <w:pStyle w:val="SingleTxtG"/>
              <w:tabs>
                <w:tab w:val="clear" w:pos="1701"/>
                <w:tab w:val="clear" w:pos="2268"/>
                <w:tab w:val="clear" w:pos="2835"/>
              </w:tabs>
              <w:spacing w:before="80" w:after="80" w:line="220" w:lineRule="exact"/>
              <w:ind w:left="283" w:right="0"/>
              <w:jc w:val="left"/>
              <w:rPr>
                <w:b/>
                <w:bCs/>
                <w:sz w:val="18"/>
                <w:lang w:val="es-ES_tradnl"/>
              </w:rPr>
            </w:pPr>
            <w:r w:rsidRPr="00F810C4">
              <w:rPr>
                <w:b/>
                <w:bCs/>
                <w:sz w:val="18"/>
                <w:lang w:val="es-ES_tradnl"/>
              </w:rPr>
              <w:t>17 delitos graves denunciados en la comunidad</w:t>
            </w:r>
          </w:p>
        </w:tc>
        <w:tc>
          <w:tcPr>
            <w:tcW w:w="993" w:type="dxa"/>
            <w:tcBorders>
              <w:top w:val="single" w:sz="4" w:space="0" w:color="auto"/>
              <w:bottom w:val="single" w:sz="4" w:space="0" w:color="auto"/>
            </w:tcBorders>
            <w:shd w:val="clear" w:color="auto" w:fill="auto"/>
            <w:vAlign w:val="bottom"/>
          </w:tcPr>
          <w:p w14:paraId="56867EEB"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1 803 991</w:t>
            </w:r>
          </w:p>
        </w:tc>
        <w:tc>
          <w:tcPr>
            <w:tcW w:w="992" w:type="dxa"/>
            <w:tcBorders>
              <w:top w:val="single" w:sz="4" w:space="0" w:color="auto"/>
              <w:bottom w:val="single" w:sz="4" w:space="0" w:color="auto"/>
            </w:tcBorders>
            <w:shd w:val="clear" w:color="auto" w:fill="auto"/>
            <w:vAlign w:val="bottom"/>
          </w:tcPr>
          <w:p w14:paraId="00BFE29A"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1 795 947</w:t>
            </w:r>
          </w:p>
        </w:tc>
        <w:tc>
          <w:tcPr>
            <w:tcW w:w="992" w:type="dxa"/>
            <w:tcBorders>
              <w:top w:val="single" w:sz="4" w:space="0" w:color="auto"/>
              <w:bottom w:val="single" w:sz="4" w:space="0" w:color="auto"/>
            </w:tcBorders>
            <w:shd w:val="clear" w:color="auto" w:fill="auto"/>
            <w:vAlign w:val="bottom"/>
          </w:tcPr>
          <w:p w14:paraId="5C64F0A1"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1 770 626</w:t>
            </w:r>
          </w:p>
        </w:tc>
        <w:tc>
          <w:tcPr>
            <w:tcW w:w="992" w:type="dxa"/>
            <w:tcBorders>
              <w:top w:val="single" w:sz="4" w:space="0" w:color="auto"/>
              <w:bottom w:val="single" w:sz="4" w:space="0" w:color="auto"/>
            </w:tcBorders>
            <w:shd w:val="clear" w:color="auto" w:fill="auto"/>
            <w:vAlign w:val="bottom"/>
          </w:tcPr>
          <w:p w14:paraId="277043A8"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1 738 980</w:t>
            </w:r>
          </w:p>
        </w:tc>
        <w:tc>
          <w:tcPr>
            <w:tcW w:w="909" w:type="dxa"/>
            <w:tcBorders>
              <w:top w:val="single" w:sz="4" w:space="0" w:color="auto"/>
              <w:bottom w:val="single" w:sz="4" w:space="0" w:color="auto"/>
            </w:tcBorders>
            <w:shd w:val="clear" w:color="auto" w:fill="auto"/>
            <w:vAlign w:val="bottom"/>
          </w:tcPr>
          <w:p w14:paraId="18E049F1"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-31 646</w:t>
            </w:r>
          </w:p>
        </w:tc>
        <w:tc>
          <w:tcPr>
            <w:tcW w:w="792" w:type="dxa"/>
            <w:tcBorders>
              <w:top w:val="single" w:sz="4" w:space="0" w:color="auto"/>
              <w:bottom w:val="single" w:sz="4" w:space="0" w:color="auto"/>
            </w:tcBorders>
            <w:shd w:val="clear" w:color="auto" w:fill="auto"/>
            <w:vAlign w:val="bottom"/>
          </w:tcPr>
          <w:p w14:paraId="6F816815" w14:textId="77777777" w:rsidR="000C2F85" w:rsidRPr="00F810C4" w:rsidRDefault="000C2F85" w:rsidP="00F810C4">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-1,8</w:t>
            </w:r>
          </w:p>
        </w:tc>
      </w:tr>
      <w:tr w:rsidR="000C2F85" w:rsidRPr="00F810C4" w14:paraId="6588C279" w14:textId="77777777" w:rsidTr="00F810C4">
        <w:trPr>
          <w:trHeight w:val="240"/>
          <w:tblHeader/>
        </w:trPr>
        <w:tc>
          <w:tcPr>
            <w:tcW w:w="8505" w:type="dxa"/>
            <w:gridSpan w:val="7"/>
            <w:tcBorders>
              <w:top w:val="single" w:sz="4" w:space="0" w:color="auto"/>
            </w:tcBorders>
            <w:shd w:val="clear" w:color="auto" w:fill="auto"/>
          </w:tcPr>
          <w:p w14:paraId="0166F319" w14:textId="77777777" w:rsidR="000C2F85" w:rsidRPr="00F810C4" w:rsidRDefault="000C2F85" w:rsidP="00F26A56">
            <w:pPr>
              <w:pStyle w:val="SingleTxtG"/>
              <w:tabs>
                <w:tab w:val="clear" w:pos="1701"/>
                <w:tab w:val="clear" w:pos="2268"/>
                <w:tab w:val="clear" w:pos="2835"/>
              </w:tabs>
              <w:spacing w:before="40" w:after="40" w:line="220" w:lineRule="exact"/>
              <w:ind w:left="0" w:right="0"/>
              <w:jc w:val="left"/>
              <w:rPr>
                <w:b/>
                <w:bCs/>
                <w:sz w:val="18"/>
                <w:lang w:val="es-ES_tradnl"/>
              </w:rPr>
            </w:pPr>
            <w:r w:rsidRPr="00F810C4">
              <w:rPr>
                <w:b/>
                <w:bCs/>
                <w:iCs/>
                <w:sz w:val="18"/>
                <w:lang w:val="es-ES_tradnl"/>
              </w:rPr>
              <w:t>Delitos detectados como consecuencia de la acción policial</w:t>
            </w:r>
          </w:p>
        </w:tc>
      </w:tr>
      <w:tr w:rsidR="000F09CA" w:rsidRPr="00F26A56" w14:paraId="5BE4C8EE" w14:textId="77777777" w:rsidTr="000F09CA">
        <w:trPr>
          <w:trHeight w:val="240"/>
        </w:trPr>
        <w:tc>
          <w:tcPr>
            <w:tcW w:w="2835" w:type="dxa"/>
            <w:shd w:val="clear" w:color="auto" w:fill="auto"/>
          </w:tcPr>
          <w:p w14:paraId="4A99853B"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Posesión ilegal de armas de fuego y municiones</w:t>
            </w:r>
          </w:p>
        </w:tc>
        <w:tc>
          <w:tcPr>
            <w:tcW w:w="993" w:type="dxa"/>
            <w:shd w:val="clear" w:color="auto" w:fill="auto"/>
            <w:vAlign w:val="bottom"/>
          </w:tcPr>
          <w:p w14:paraId="7E99159A" w14:textId="77777777" w:rsidR="000C2F85" w:rsidRPr="00F26A56" w:rsidRDefault="000C2F85" w:rsidP="009E4069">
            <w:pPr>
              <w:pStyle w:val="SingleTxtG"/>
              <w:tabs>
                <w:tab w:val="clear" w:pos="1701"/>
                <w:tab w:val="clear" w:pos="2268"/>
                <w:tab w:val="clear" w:pos="2835"/>
              </w:tabs>
              <w:spacing w:before="40" w:after="40" w:line="220" w:lineRule="exact"/>
              <w:ind w:left="113" w:right="28"/>
              <w:jc w:val="right"/>
              <w:rPr>
                <w:sz w:val="18"/>
                <w:lang w:val="es-ES_tradnl"/>
              </w:rPr>
            </w:pPr>
            <w:r w:rsidRPr="00F26A56">
              <w:rPr>
                <w:sz w:val="18"/>
                <w:lang w:val="es-ES_tradnl"/>
              </w:rPr>
              <w:t>15 362</w:t>
            </w:r>
          </w:p>
        </w:tc>
        <w:tc>
          <w:tcPr>
            <w:tcW w:w="992" w:type="dxa"/>
            <w:shd w:val="clear" w:color="auto" w:fill="auto"/>
            <w:vAlign w:val="bottom"/>
          </w:tcPr>
          <w:p w14:paraId="51DEA7BC" w14:textId="77777777" w:rsidR="000C2F85" w:rsidRPr="00F26A56" w:rsidRDefault="000C2F85" w:rsidP="009E4069">
            <w:pPr>
              <w:pStyle w:val="SingleTxtG"/>
              <w:tabs>
                <w:tab w:val="clear" w:pos="1701"/>
                <w:tab w:val="clear" w:pos="2268"/>
                <w:tab w:val="clear" w:pos="2835"/>
              </w:tabs>
              <w:spacing w:before="40" w:after="40" w:line="220" w:lineRule="exact"/>
              <w:ind w:left="113" w:right="28"/>
              <w:jc w:val="right"/>
              <w:rPr>
                <w:sz w:val="18"/>
                <w:lang w:val="es-ES_tradnl"/>
              </w:rPr>
            </w:pPr>
            <w:r w:rsidRPr="00F26A56">
              <w:rPr>
                <w:sz w:val="18"/>
                <w:lang w:val="es-ES_tradnl"/>
              </w:rPr>
              <w:t>15 116</w:t>
            </w:r>
          </w:p>
        </w:tc>
        <w:tc>
          <w:tcPr>
            <w:tcW w:w="992" w:type="dxa"/>
            <w:shd w:val="clear" w:color="auto" w:fill="auto"/>
            <w:vAlign w:val="bottom"/>
          </w:tcPr>
          <w:p w14:paraId="65D5BBA0" w14:textId="77777777" w:rsidR="000C2F85" w:rsidRPr="00F26A56" w:rsidRDefault="000C2F85" w:rsidP="009E4069">
            <w:pPr>
              <w:pStyle w:val="SingleTxtG"/>
              <w:tabs>
                <w:tab w:val="clear" w:pos="1701"/>
                <w:tab w:val="clear" w:pos="2268"/>
                <w:tab w:val="clear" w:pos="2835"/>
              </w:tabs>
              <w:spacing w:before="40" w:after="40" w:line="220" w:lineRule="exact"/>
              <w:ind w:left="113" w:right="28"/>
              <w:jc w:val="right"/>
              <w:rPr>
                <w:sz w:val="18"/>
                <w:lang w:val="es-ES_tradnl"/>
              </w:rPr>
            </w:pPr>
            <w:r w:rsidRPr="00F26A56">
              <w:rPr>
                <w:sz w:val="18"/>
                <w:lang w:val="es-ES_tradnl"/>
              </w:rPr>
              <w:t>14 772</w:t>
            </w:r>
          </w:p>
        </w:tc>
        <w:tc>
          <w:tcPr>
            <w:tcW w:w="992" w:type="dxa"/>
            <w:shd w:val="clear" w:color="auto" w:fill="auto"/>
            <w:vAlign w:val="bottom"/>
          </w:tcPr>
          <w:p w14:paraId="538BCB48" w14:textId="77777777" w:rsidR="000C2F85" w:rsidRPr="00F26A56" w:rsidRDefault="000C2F85" w:rsidP="009E4069">
            <w:pPr>
              <w:pStyle w:val="SingleTxtG"/>
              <w:tabs>
                <w:tab w:val="clear" w:pos="1701"/>
                <w:tab w:val="clear" w:pos="2268"/>
                <w:tab w:val="clear" w:pos="2835"/>
              </w:tabs>
              <w:spacing w:before="40" w:after="40" w:line="220" w:lineRule="exact"/>
              <w:ind w:left="113" w:right="28"/>
              <w:jc w:val="right"/>
              <w:rPr>
                <w:sz w:val="18"/>
                <w:lang w:val="es-ES_tradnl"/>
              </w:rPr>
            </w:pPr>
            <w:r w:rsidRPr="00F26A56">
              <w:rPr>
                <w:sz w:val="18"/>
                <w:lang w:val="es-ES_tradnl"/>
              </w:rPr>
              <w:t>16 134</w:t>
            </w:r>
          </w:p>
        </w:tc>
        <w:tc>
          <w:tcPr>
            <w:tcW w:w="909" w:type="dxa"/>
            <w:shd w:val="clear" w:color="auto" w:fill="auto"/>
            <w:vAlign w:val="bottom"/>
          </w:tcPr>
          <w:p w14:paraId="3502610C" w14:textId="77777777" w:rsidR="000C2F85" w:rsidRPr="00F26A56" w:rsidRDefault="000C2F85" w:rsidP="009E4069">
            <w:pPr>
              <w:pStyle w:val="SingleTxtG"/>
              <w:tabs>
                <w:tab w:val="clear" w:pos="1701"/>
                <w:tab w:val="clear" w:pos="2268"/>
                <w:tab w:val="clear" w:pos="2835"/>
              </w:tabs>
              <w:spacing w:before="40" w:after="40" w:line="220" w:lineRule="exact"/>
              <w:ind w:left="113" w:right="28"/>
              <w:jc w:val="right"/>
              <w:rPr>
                <w:sz w:val="18"/>
                <w:lang w:val="es-ES_tradnl"/>
              </w:rPr>
            </w:pPr>
            <w:r w:rsidRPr="00F26A56">
              <w:rPr>
                <w:sz w:val="18"/>
                <w:lang w:val="es-ES_tradnl"/>
              </w:rPr>
              <w:t>1 362</w:t>
            </w:r>
          </w:p>
        </w:tc>
        <w:tc>
          <w:tcPr>
            <w:tcW w:w="792" w:type="dxa"/>
            <w:shd w:val="clear" w:color="auto" w:fill="auto"/>
            <w:vAlign w:val="bottom"/>
          </w:tcPr>
          <w:p w14:paraId="3751E5AC" w14:textId="77777777" w:rsidR="000C2F85" w:rsidRPr="00F26A56" w:rsidRDefault="000C2F85" w:rsidP="009E4069">
            <w:pPr>
              <w:pStyle w:val="SingleTxtG"/>
              <w:tabs>
                <w:tab w:val="clear" w:pos="1701"/>
                <w:tab w:val="clear" w:pos="2268"/>
                <w:tab w:val="clear" w:pos="2835"/>
              </w:tabs>
              <w:spacing w:before="40" w:after="40" w:line="220" w:lineRule="exact"/>
              <w:ind w:left="113" w:right="28"/>
              <w:jc w:val="right"/>
              <w:rPr>
                <w:sz w:val="18"/>
                <w:lang w:val="es-ES_tradnl"/>
              </w:rPr>
            </w:pPr>
            <w:r w:rsidRPr="00F26A56">
              <w:rPr>
                <w:sz w:val="18"/>
                <w:lang w:val="es-ES_tradnl"/>
              </w:rPr>
              <w:t>9,2</w:t>
            </w:r>
          </w:p>
        </w:tc>
      </w:tr>
      <w:tr w:rsidR="000F09CA" w:rsidRPr="00F26A56" w14:paraId="42CE028B" w14:textId="77777777" w:rsidTr="000F09CA">
        <w:trPr>
          <w:trHeight w:val="240"/>
        </w:trPr>
        <w:tc>
          <w:tcPr>
            <w:tcW w:w="2835" w:type="dxa"/>
            <w:shd w:val="clear" w:color="auto" w:fill="auto"/>
          </w:tcPr>
          <w:p w14:paraId="72FD3D4E"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Delito relacionado con drogas</w:t>
            </w:r>
          </w:p>
        </w:tc>
        <w:tc>
          <w:tcPr>
            <w:tcW w:w="993" w:type="dxa"/>
            <w:shd w:val="clear" w:color="auto" w:fill="auto"/>
            <w:vAlign w:val="bottom"/>
          </w:tcPr>
          <w:p w14:paraId="7825DA49" w14:textId="77777777" w:rsidR="000C2F85" w:rsidRPr="00F26A56" w:rsidRDefault="000C2F85" w:rsidP="009E4069">
            <w:pPr>
              <w:pStyle w:val="SingleTxtG"/>
              <w:tabs>
                <w:tab w:val="clear" w:pos="1701"/>
                <w:tab w:val="clear" w:pos="2268"/>
                <w:tab w:val="clear" w:pos="2835"/>
              </w:tabs>
              <w:spacing w:before="40" w:after="40" w:line="220" w:lineRule="exact"/>
              <w:ind w:left="113" w:right="28"/>
              <w:jc w:val="right"/>
              <w:rPr>
                <w:sz w:val="18"/>
                <w:lang w:val="es-ES_tradnl"/>
              </w:rPr>
            </w:pPr>
            <w:r w:rsidRPr="00F26A56">
              <w:rPr>
                <w:sz w:val="18"/>
                <w:lang w:val="es-ES_tradnl"/>
              </w:rPr>
              <w:t>260 596</w:t>
            </w:r>
          </w:p>
        </w:tc>
        <w:tc>
          <w:tcPr>
            <w:tcW w:w="992" w:type="dxa"/>
            <w:shd w:val="clear" w:color="auto" w:fill="auto"/>
            <w:vAlign w:val="bottom"/>
          </w:tcPr>
          <w:p w14:paraId="5F341396" w14:textId="77777777" w:rsidR="000C2F85" w:rsidRPr="00F26A56" w:rsidRDefault="000C2F85" w:rsidP="009E4069">
            <w:pPr>
              <w:pStyle w:val="SingleTxtG"/>
              <w:tabs>
                <w:tab w:val="clear" w:pos="1701"/>
                <w:tab w:val="clear" w:pos="2268"/>
                <w:tab w:val="clear" w:pos="2835"/>
              </w:tabs>
              <w:spacing w:before="40" w:after="40" w:line="220" w:lineRule="exact"/>
              <w:ind w:left="113" w:right="28"/>
              <w:jc w:val="right"/>
              <w:rPr>
                <w:sz w:val="18"/>
                <w:lang w:val="es-ES_tradnl"/>
              </w:rPr>
            </w:pPr>
            <w:r w:rsidRPr="00F26A56">
              <w:rPr>
                <w:sz w:val="18"/>
                <w:lang w:val="es-ES_tradnl"/>
              </w:rPr>
              <w:t>266 902</w:t>
            </w:r>
          </w:p>
        </w:tc>
        <w:tc>
          <w:tcPr>
            <w:tcW w:w="992" w:type="dxa"/>
            <w:shd w:val="clear" w:color="auto" w:fill="auto"/>
            <w:vAlign w:val="bottom"/>
          </w:tcPr>
          <w:p w14:paraId="6BE03F13" w14:textId="77777777" w:rsidR="000C2F85" w:rsidRPr="00F26A56" w:rsidRDefault="000C2F85" w:rsidP="009E4069">
            <w:pPr>
              <w:pStyle w:val="SingleTxtG"/>
              <w:tabs>
                <w:tab w:val="clear" w:pos="1701"/>
                <w:tab w:val="clear" w:pos="2268"/>
                <w:tab w:val="clear" w:pos="2835"/>
              </w:tabs>
              <w:spacing w:before="40" w:after="40" w:line="220" w:lineRule="exact"/>
              <w:ind w:left="113" w:right="28"/>
              <w:jc w:val="right"/>
              <w:rPr>
                <w:sz w:val="18"/>
                <w:lang w:val="es-ES_tradnl"/>
              </w:rPr>
            </w:pPr>
            <w:r w:rsidRPr="00F26A56">
              <w:rPr>
                <w:sz w:val="18"/>
                <w:lang w:val="es-ES_tradnl"/>
              </w:rPr>
              <w:t>259 165</w:t>
            </w:r>
          </w:p>
        </w:tc>
        <w:tc>
          <w:tcPr>
            <w:tcW w:w="992" w:type="dxa"/>
            <w:shd w:val="clear" w:color="auto" w:fill="auto"/>
            <w:vAlign w:val="bottom"/>
          </w:tcPr>
          <w:p w14:paraId="14E0B716" w14:textId="77777777" w:rsidR="000C2F85" w:rsidRPr="00F26A56" w:rsidRDefault="000C2F85" w:rsidP="009E4069">
            <w:pPr>
              <w:pStyle w:val="SingleTxtG"/>
              <w:tabs>
                <w:tab w:val="clear" w:pos="1701"/>
                <w:tab w:val="clear" w:pos="2268"/>
                <w:tab w:val="clear" w:pos="2835"/>
              </w:tabs>
              <w:spacing w:before="40" w:after="40" w:line="220" w:lineRule="exact"/>
              <w:ind w:left="113" w:right="28"/>
              <w:jc w:val="right"/>
              <w:rPr>
                <w:sz w:val="18"/>
                <w:lang w:val="es-ES_tradnl"/>
              </w:rPr>
            </w:pPr>
            <w:r w:rsidRPr="00F26A56">
              <w:rPr>
                <w:sz w:val="18"/>
                <w:lang w:val="es-ES_tradnl"/>
              </w:rPr>
              <w:t>292 689</w:t>
            </w:r>
          </w:p>
        </w:tc>
        <w:tc>
          <w:tcPr>
            <w:tcW w:w="909" w:type="dxa"/>
            <w:shd w:val="clear" w:color="auto" w:fill="auto"/>
            <w:vAlign w:val="bottom"/>
          </w:tcPr>
          <w:p w14:paraId="0BDC9226" w14:textId="77777777" w:rsidR="000C2F85" w:rsidRPr="00F26A56" w:rsidRDefault="000C2F85" w:rsidP="009E4069">
            <w:pPr>
              <w:pStyle w:val="SingleTxtG"/>
              <w:tabs>
                <w:tab w:val="clear" w:pos="1701"/>
                <w:tab w:val="clear" w:pos="2268"/>
                <w:tab w:val="clear" w:pos="2835"/>
              </w:tabs>
              <w:spacing w:before="40" w:after="40" w:line="220" w:lineRule="exact"/>
              <w:ind w:left="113" w:right="28"/>
              <w:jc w:val="right"/>
              <w:rPr>
                <w:sz w:val="18"/>
                <w:lang w:val="es-ES_tradnl"/>
              </w:rPr>
            </w:pPr>
            <w:r w:rsidRPr="00F26A56">
              <w:rPr>
                <w:sz w:val="18"/>
                <w:lang w:val="es-ES_tradnl"/>
              </w:rPr>
              <w:t>33 524</w:t>
            </w:r>
          </w:p>
        </w:tc>
        <w:tc>
          <w:tcPr>
            <w:tcW w:w="792" w:type="dxa"/>
            <w:shd w:val="clear" w:color="auto" w:fill="auto"/>
            <w:vAlign w:val="bottom"/>
          </w:tcPr>
          <w:p w14:paraId="27DF7667" w14:textId="77777777" w:rsidR="000C2F85" w:rsidRPr="00F26A56" w:rsidRDefault="000C2F85" w:rsidP="009E4069">
            <w:pPr>
              <w:pStyle w:val="SingleTxtG"/>
              <w:tabs>
                <w:tab w:val="clear" w:pos="1701"/>
                <w:tab w:val="clear" w:pos="2268"/>
                <w:tab w:val="clear" w:pos="2835"/>
              </w:tabs>
              <w:spacing w:before="40" w:after="40" w:line="220" w:lineRule="exact"/>
              <w:ind w:left="113" w:right="28"/>
              <w:jc w:val="right"/>
              <w:rPr>
                <w:sz w:val="18"/>
                <w:lang w:val="es-ES_tradnl"/>
              </w:rPr>
            </w:pPr>
            <w:r w:rsidRPr="00F26A56">
              <w:rPr>
                <w:sz w:val="18"/>
                <w:lang w:val="es-ES_tradnl"/>
              </w:rPr>
              <w:t>12,9</w:t>
            </w:r>
          </w:p>
        </w:tc>
      </w:tr>
      <w:tr w:rsidR="000F09CA" w:rsidRPr="00F26A56" w14:paraId="33FA6646" w14:textId="77777777" w:rsidTr="000F09CA">
        <w:trPr>
          <w:trHeight w:val="240"/>
        </w:trPr>
        <w:tc>
          <w:tcPr>
            <w:tcW w:w="2835" w:type="dxa"/>
            <w:shd w:val="clear" w:color="auto" w:fill="auto"/>
          </w:tcPr>
          <w:p w14:paraId="74446004"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Conducción bajo los efectos del alcohol o las drogas</w:t>
            </w:r>
          </w:p>
        </w:tc>
        <w:tc>
          <w:tcPr>
            <w:tcW w:w="993" w:type="dxa"/>
            <w:shd w:val="clear" w:color="auto" w:fill="auto"/>
            <w:vAlign w:val="bottom"/>
          </w:tcPr>
          <w:p w14:paraId="7E246B44" w14:textId="77777777" w:rsidR="000C2F85" w:rsidRPr="00F26A56" w:rsidRDefault="000C2F85" w:rsidP="009E4069">
            <w:pPr>
              <w:pStyle w:val="SingleTxtG"/>
              <w:tabs>
                <w:tab w:val="clear" w:pos="1701"/>
                <w:tab w:val="clear" w:pos="2268"/>
                <w:tab w:val="clear" w:pos="2835"/>
              </w:tabs>
              <w:spacing w:before="40" w:after="40" w:line="220" w:lineRule="exact"/>
              <w:ind w:left="113" w:right="28"/>
              <w:jc w:val="right"/>
              <w:rPr>
                <w:sz w:val="18"/>
                <w:lang w:val="es-ES_tradnl"/>
              </w:rPr>
            </w:pPr>
            <w:r w:rsidRPr="00F26A56">
              <w:rPr>
                <w:sz w:val="18"/>
                <w:lang w:val="es-ES_tradnl"/>
              </w:rPr>
              <w:t>69 725</w:t>
            </w:r>
          </w:p>
        </w:tc>
        <w:tc>
          <w:tcPr>
            <w:tcW w:w="992" w:type="dxa"/>
            <w:shd w:val="clear" w:color="auto" w:fill="auto"/>
            <w:vAlign w:val="bottom"/>
          </w:tcPr>
          <w:p w14:paraId="56340C9C" w14:textId="77777777" w:rsidR="000C2F85" w:rsidRPr="00F26A56" w:rsidRDefault="000C2F85" w:rsidP="009E4069">
            <w:pPr>
              <w:pStyle w:val="SingleTxtG"/>
              <w:tabs>
                <w:tab w:val="clear" w:pos="1701"/>
                <w:tab w:val="clear" w:pos="2268"/>
                <w:tab w:val="clear" w:pos="2835"/>
              </w:tabs>
              <w:spacing w:before="40" w:after="40" w:line="220" w:lineRule="exact"/>
              <w:ind w:left="113" w:right="28"/>
              <w:jc w:val="right"/>
              <w:rPr>
                <w:sz w:val="18"/>
                <w:lang w:val="es-ES_tradnl"/>
              </w:rPr>
            </w:pPr>
            <w:r w:rsidRPr="00F26A56">
              <w:rPr>
                <w:sz w:val="18"/>
                <w:lang w:val="es-ES_tradnl"/>
              </w:rPr>
              <w:t>68 561</w:t>
            </w:r>
          </w:p>
        </w:tc>
        <w:tc>
          <w:tcPr>
            <w:tcW w:w="992" w:type="dxa"/>
            <w:shd w:val="clear" w:color="auto" w:fill="auto"/>
            <w:vAlign w:val="bottom"/>
          </w:tcPr>
          <w:p w14:paraId="25D48EB8" w14:textId="77777777" w:rsidR="000C2F85" w:rsidRPr="00F26A56" w:rsidRDefault="000C2F85" w:rsidP="009E4069">
            <w:pPr>
              <w:pStyle w:val="SingleTxtG"/>
              <w:tabs>
                <w:tab w:val="clear" w:pos="1701"/>
                <w:tab w:val="clear" w:pos="2268"/>
                <w:tab w:val="clear" w:pos="2835"/>
              </w:tabs>
              <w:spacing w:before="40" w:after="40" w:line="220" w:lineRule="exact"/>
              <w:ind w:left="113" w:right="28"/>
              <w:jc w:val="right"/>
              <w:rPr>
                <w:sz w:val="18"/>
                <w:lang w:val="es-ES_tradnl"/>
              </w:rPr>
            </w:pPr>
            <w:r w:rsidRPr="00F26A56">
              <w:rPr>
                <w:sz w:val="18"/>
                <w:lang w:val="es-ES_tradnl"/>
              </w:rPr>
              <w:t>76 159</w:t>
            </w:r>
          </w:p>
        </w:tc>
        <w:tc>
          <w:tcPr>
            <w:tcW w:w="992" w:type="dxa"/>
            <w:shd w:val="clear" w:color="auto" w:fill="auto"/>
            <w:vAlign w:val="bottom"/>
          </w:tcPr>
          <w:p w14:paraId="6673FEB6" w14:textId="77777777" w:rsidR="000C2F85" w:rsidRPr="00F26A56" w:rsidRDefault="000C2F85" w:rsidP="009E4069">
            <w:pPr>
              <w:pStyle w:val="SingleTxtG"/>
              <w:tabs>
                <w:tab w:val="clear" w:pos="1701"/>
                <w:tab w:val="clear" w:pos="2268"/>
                <w:tab w:val="clear" w:pos="2835"/>
              </w:tabs>
              <w:spacing w:before="40" w:after="40" w:line="220" w:lineRule="exact"/>
              <w:ind w:left="113" w:right="28"/>
              <w:jc w:val="right"/>
              <w:rPr>
                <w:sz w:val="18"/>
                <w:lang w:val="es-ES_tradnl"/>
              </w:rPr>
            </w:pPr>
            <w:r w:rsidRPr="00F26A56">
              <w:rPr>
                <w:sz w:val="18"/>
                <w:lang w:val="es-ES_tradnl"/>
              </w:rPr>
              <w:t>75 034</w:t>
            </w:r>
          </w:p>
        </w:tc>
        <w:tc>
          <w:tcPr>
            <w:tcW w:w="909" w:type="dxa"/>
            <w:shd w:val="clear" w:color="auto" w:fill="auto"/>
            <w:vAlign w:val="bottom"/>
          </w:tcPr>
          <w:p w14:paraId="0AFF6C1B" w14:textId="77777777" w:rsidR="000C2F85" w:rsidRPr="00F26A56" w:rsidRDefault="000C2F85" w:rsidP="009E4069">
            <w:pPr>
              <w:pStyle w:val="SingleTxtG"/>
              <w:tabs>
                <w:tab w:val="clear" w:pos="1701"/>
                <w:tab w:val="clear" w:pos="2268"/>
                <w:tab w:val="clear" w:pos="2835"/>
              </w:tabs>
              <w:spacing w:before="40" w:after="40" w:line="220" w:lineRule="exact"/>
              <w:ind w:left="113" w:right="28"/>
              <w:jc w:val="right"/>
              <w:rPr>
                <w:sz w:val="18"/>
                <w:lang w:val="es-ES_tradnl"/>
              </w:rPr>
            </w:pPr>
            <w:r w:rsidRPr="00F26A56">
              <w:rPr>
                <w:sz w:val="18"/>
                <w:lang w:val="es-ES_tradnl"/>
              </w:rPr>
              <w:t>-1 125</w:t>
            </w:r>
          </w:p>
        </w:tc>
        <w:tc>
          <w:tcPr>
            <w:tcW w:w="792" w:type="dxa"/>
            <w:shd w:val="clear" w:color="auto" w:fill="auto"/>
            <w:vAlign w:val="bottom"/>
          </w:tcPr>
          <w:p w14:paraId="03E2EF13" w14:textId="77777777" w:rsidR="000C2F85" w:rsidRPr="00F26A56" w:rsidRDefault="000C2F85" w:rsidP="009E4069">
            <w:pPr>
              <w:pStyle w:val="SingleTxtG"/>
              <w:tabs>
                <w:tab w:val="clear" w:pos="1701"/>
                <w:tab w:val="clear" w:pos="2268"/>
                <w:tab w:val="clear" w:pos="2835"/>
              </w:tabs>
              <w:spacing w:before="40" w:after="40" w:line="220" w:lineRule="exact"/>
              <w:ind w:left="113" w:right="28"/>
              <w:jc w:val="right"/>
              <w:rPr>
                <w:sz w:val="18"/>
                <w:lang w:val="es-ES_tradnl"/>
              </w:rPr>
            </w:pPr>
            <w:r w:rsidRPr="00F26A56">
              <w:rPr>
                <w:sz w:val="18"/>
                <w:lang w:val="es-ES_tradnl"/>
              </w:rPr>
              <w:t>-1,5</w:t>
            </w:r>
          </w:p>
        </w:tc>
      </w:tr>
      <w:tr w:rsidR="00F810C4" w:rsidRPr="00F26A56" w14:paraId="08162DD5" w14:textId="77777777" w:rsidTr="000F09CA">
        <w:trPr>
          <w:trHeight w:val="240"/>
        </w:trPr>
        <w:tc>
          <w:tcPr>
            <w:tcW w:w="2835" w:type="dxa"/>
            <w:tcBorders>
              <w:bottom w:val="single" w:sz="4" w:space="0" w:color="auto"/>
            </w:tcBorders>
            <w:shd w:val="clear" w:color="auto" w:fill="auto"/>
          </w:tcPr>
          <w:p w14:paraId="28325204" w14:textId="77777777" w:rsidR="000C2F85" w:rsidRPr="00F26A56" w:rsidRDefault="000C2F85" w:rsidP="00F26A56">
            <w:pPr>
              <w:pStyle w:val="SingleTxtG"/>
              <w:tabs>
                <w:tab w:val="clear" w:pos="1701"/>
                <w:tab w:val="clear" w:pos="2268"/>
                <w:tab w:val="clear" w:pos="2835"/>
              </w:tabs>
              <w:spacing w:before="40" w:after="40" w:line="220" w:lineRule="exact"/>
              <w:ind w:left="0" w:right="0"/>
              <w:jc w:val="left"/>
              <w:rPr>
                <w:sz w:val="18"/>
                <w:lang w:val="es-ES_tradnl"/>
              </w:rPr>
            </w:pPr>
            <w:r w:rsidRPr="00F26A56">
              <w:rPr>
                <w:sz w:val="18"/>
                <w:lang w:val="es-ES_tradnl"/>
              </w:rPr>
              <w:t>Delito sexual</w:t>
            </w:r>
          </w:p>
        </w:tc>
        <w:tc>
          <w:tcPr>
            <w:tcW w:w="993" w:type="dxa"/>
            <w:tcBorders>
              <w:bottom w:val="single" w:sz="4" w:space="0" w:color="auto"/>
            </w:tcBorders>
            <w:shd w:val="clear" w:color="auto" w:fill="auto"/>
            <w:vAlign w:val="bottom"/>
          </w:tcPr>
          <w:p w14:paraId="2D811AFA" w14:textId="77777777" w:rsidR="000C2F85" w:rsidRPr="00F26A56" w:rsidRDefault="000C2F85" w:rsidP="009E4069">
            <w:pPr>
              <w:pStyle w:val="SingleTxtG"/>
              <w:tabs>
                <w:tab w:val="clear" w:pos="1701"/>
                <w:tab w:val="clear" w:pos="2268"/>
                <w:tab w:val="clear" w:pos="2835"/>
              </w:tabs>
              <w:spacing w:before="40" w:after="40" w:line="220" w:lineRule="exact"/>
              <w:ind w:left="113" w:right="28"/>
              <w:jc w:val="right"/>
              <w:rPr>
                <w:sz w:val="18"/>
                <w:lang w:val="es-ES_tradnl"/>
              </w:rPr>
            </w:pPr>
            <w:r w:rsidRPr="00F26A56">
              <w:rPr>
                <w:sz w:val="18"/>
                <w:lang w:val="es-ES_tradnl"/>
              </w:rPr>
              <w:t>4 720</w:t>
            </w:r>
          </w:p>
        </w:tc>
        <w:tc>
          <w:tcPr>
            <w:tcW w:w="992" w:type="dxa"/>
            <w:tcBorders>
              <w:bottom w:val="single" w:sz="4" w:space="0" w:color="auto"/>
            </w:tcBorders>
            <w:shd w:val="clear" w:color="auto" w:fill="auto"/>
            <w:vAlign w:val="bottom"/>
          </w:tcPr>
          <w:p w14:paraId="4CF4B326" w14:textId="77777777" w:rsidR="000C2F85" w:rsidRPr="00F26A56" w:rsidRDefault="000C2F85" w:rsidP="009E4069">
            <w:pPr>
              <w:pStyle w:val="SingleTxtG"/>
              <w:tabs>
                <w:tab w:val="clear" w:pos="1701"/>
                <w:tab w:val="clear" w:pos="2268"/>
                <w:tab w:val="clear" w:pos="2835"/>
              </w:tabs>
              <w:spacing w:before="40" w:after="40" w:line="220" w:lineRule="exact"/>
              <w:ind w:left="113" w:right="28"/>
              <w:jc w:val="right"/>
              <w:rPr>
                <w:sz w:val="18"/>
                <w:lang w:val="es-ES_tradnl"/>
              </w:rPr>
            </w:pPr>
            <w:r w:rsidRPr="00F26A56">
              <w:rPr>
                <w:sz w:val="18"/>
                <w:lang w:val="es-ES_tradnl"/>
              </w:rPr>
              <w:t>6 340</w:t>
            </w:r>
          </w:p>
        </w:tc>
        <w:tc>
          <w:tcPr>
            <w:tcW w:w="992" w:type="dxa"/>
            <w:tcBorders>
              <w:bottom w:val="single" w:sz="4" w:space="0" w:color="auto"/>
            </w:tcBorders>
            <w:shd w:val="clear" w:color="auto" w:fill="auto"/>
            <w:vAlign w:val="bottom"/>
          </w:tcPr>
          <w:p w14:paraId="628999D6" w14:textId="77777777" w:rsidR="000C2F85" w:rsidRPr="00F26A56" w:rsidRDefault="000C2F85" w:rsidP="009E4069">
            <w:pPr>
              <w:pStyle w:val="SingleTxtG"/>
              <w:tabs>
                <w:tab w:val="clear" w:pos="1701"/>
                <w:tab w:val="clear" w:pos="2268"/>
                <w:tab w:val="clear" w:pos="2835"/>
              </w:tabs>
              <w:spacing w:before="40" w:after="40" w:line="220" w:lineRule="exact"/>
              <w:ind w:left="113" w:right="28"/>
              <w:jc w:val="right"/>
              <w:rPr>
                <w:sz w:val="18"/>
                <w:lang w:val="es-ES_tradnl"/>
              </w:rPr>
            </w:pPr>
            <w:r w:rsidRPr="00F26A56">
              <w:rPr>
                <w:sz w:val="18"/>
                <w:lang w:val="es-ES_tradnl"/>
              </w:rPr>
              <w:t>5 830</w:t>
            </w:r>
          </w:p>
        </w:tc>
        <w:tc>
          <w:tcPr>
            <w:tcW w:w="992" w:type="dxa"/>
            <w:tcBorders>
              <w:bottom w:val="single" w:sz="4" w:space="0" w:color="auto"/>
            </w:tcBorders>
            <w:shd w:val="clear" w:color="auto" w:fill="auto"/>
            <w:vAlign w:val="bottom"/>
          </w:tcPr>
          <w:p w14:paraId="53DF8932" w14:textId="77777777" w:rsidR="000C2F85" w:rsidRPr="00F26A56" w:rsidRDefault="000C2F85" w:rsidP="009E4069">
            <w:pPr>
              <w:pStyle w:val="SingleTxtG"/>
              <w:tabs>
                <w:tab w:val="clear" w:pos="1701"/>
                <w:tab w:val="clear" w:pos="2268"/>
                <w:tab w:val="clear" w:pos="2835"/>
              </w:tabs>
              <w:spacing w:before="40" w:after="40" w:line="220" w:lineRule="exact"/>
              <w:ind w:left="113" w:right="28"/>
              <w:jc w:val="right"/>
              <w:rPr>
                <w:sz w:val="18"/>
                <w:lang w:val="es-ES_tradnl"/>
              </w:rPr>
            </w:pPr>
            <w:r w:rsidRPr="00F26A56">
              <w:rPr>
                <w:sz w:val="18"/>
                <w:lang w:val="es-ES_tradnl"/>
              </w:rPr>
              <w:t>6 164</w:t>
            </w:r>
          </w:p>
        </w:tc>
        <w:tc>
          <w:tcPr>
            <w:tcW w:w="909" w:type="dxa"/>
            <w:tcBorders>
              <w:bottom w:val="single" w:sz="4" w:space="0" w:color="auto"/>
            </w:tcBorders>
            <w:shd w:val="clear" w:color="auto" w:fill="auto"/>
            <w:vAlign w:val="bottom"/>
          </w:tcPr>
          <w:p w14:paraId="419F36EE" w14:textId="77777777" w:rsidR="000C2F85" w:rsidRPr="00F26A56" w:rsidRDefault="000C2F85" w:rsidP="009E4069">
            <w:pPr>
              <w:pStyle w:val="SingleTxtG"/>
              <w:tabs>
                <w:tab w:val="clear" w:pos="1701"/>
                <w:tab w:val="clear" w:pos="2268"/>
                <w:tab w:val="clear" w:pos="2835"/>
              </w:tabs>
              <w:spacing w:before="40" w:after="40" w:line="220" w:lineRule="exact"/>
              <w:ind w:left="113" w:right="28"/>
              <w:jc w:val="right"/>
              <w:rPr>
                <w:sz w:val="18"/>
                <w:lang w:val="es-ES_tradnl"/>
              </w:rPr>
            </w:pPr>
            <w:r w:rsidRPr="00F26A56">
              <w:rPr>
                <w:sz w:val="18"/>
                <w:lang w:val="es-ES_tradnl"/>
              </w:rPr>
              <w:t>334</w:t>
            </w:r>
          </w:p>
        </w:tc>
        <w:tc>
          <w:tcPr>
            <w:tcW w:w="792" w:type="dxa"/>
            <w:tcBorders>
              <w:bottom w:val="single" w:sz="4" w:space="0" w:color="auto"/>
            </w:tcBorders>
            <w:shd w:val="clear" w:color="auto" w:fill="auto"/>
            <w:vAlign w:val="bottom"/>
          </w:tcPr>
          <w:p w14:paraId="140B144B" w14:textId="77777777" w:rsidR="000C2F85" w:rsidRPr="00F26A56" w:rsidRDefault="000C2F85" w:rsidP="009E4069">
            <w:pPr>
              <w:pStyle w:val="SingleTxtG"/>
              <w:tabs>
                <w:tab w:val="clear" w:pos="1701"/>
                <w:tab w:val="clear" w:pos="2268"/>
                <w:tab w:val="clear" w:pos="2835"/>
              </w:tabs>
              <w:spacing w:before="40" w:after="40" w:line="220" w:lineRule="exact"/>
              <w:ind w:left="113" w:right="28"/>
              <w:jc w:val="right"/>
              <w:rPr>
                <w:sz w:val="18"/>
                <w:lang w:val="es-ES_tradnl"/>
              </w:rPr>
            </w:pPr>
            <w:r w:rsidRPr="00F26A56">
              <w:rPr>
                <w:sz w:val="18"/>
                <w:lang w:val="es-ES_tradnl"/>
              </w:rPr>
              <w:t>5,7</w:t>
            </w:r>
          </w:p>
        </w:tc>
      </w:tr>
      <w:tr w:rsidR="00F810C4" w:rsidRPr="00F810C4" w14:paraId="3A6F4F3E" w14:textId="77777777" w:rsidTr="000F09CA">
        <w:trPr>
          <w:trHeight w:val="240"/>
        </w:trPr>
        <w:tc>
          <w:tcPr>
            <w:tcW w:w="2835" w:type="dxa"/>
            <w:tcBorders>
              <w:top w:val="single" w:sz="4" w:space="0" w:color="auto"/>
              <w:bottom w:val="single" w:sz="12" w:space="0" w:color="auto"/>
            </w:tcBorders>
            <w:shd w:val="clear" w:color="auto" w:fill="auto"/>
          </w:tcPr>
          <w:p w14:paraId="55E8FAC7" w14:textId="77777777" w:rsidR="000C2F85" w:rsidRPr="00F810C4" w:rsidRDefault="000C2F85" w:rsidP="00F810C4">
            <w:pPr>
              <w:pStyle w:val="SingleTxtG"/>
              <w:tabs>
                <w:tab w:val="clear" w:pos="1701"/>
                <w:tab w:val="clear" w:pos="2268"/>
                <w:tab w:val="clear" w:pos="2835"/>
              </w:tabs>
              <w:spacing w:before="80" w:after="80" w:line="220" w:lineRule="exact"/>
              <w:ind w:left="283" w:right="0"/>
              <w:jc w:val="left"/>
              <w:rPr>
                <w:b/>
                <w:bCs/>
                <w:sz w:val="18"/>
                <w:lang w:val="es-ES_tradnl"/>
              </w:rPr>
            </w:pPr>
            <w:r w:rsidRPr="00F810C4">
              <w:rPr>
                <w:b/>
                <w:bCs/>
                <w:sz w:val="18"/>
                <w:lang w:val="es-ES_tradnl"/>
              </w:rPr>
              <w:t>Delitos detectados como consecuencia de la acción policial</w:t>
            </w:r>
          </w:p>
        </w:tc>
        <w:tc>
          <w:tcPr>
            <w:tcW w:w="993" w:type="dxa"/>
            <w:tcBorders>
              <w:top w:val="single" w:sz="4" w:space="0" w:color="auto"/>
              <w:bottom w:val="single" w:sz="12" w:space="0" w:color="auto"/>
            </w:tcBorders>
            <w:shd w:val="clear" w:color="auto" w:fill="auto"/>
            <w:vAlign w:val="bottom"/>
          </w:tcPr>
          <w:p w14:paraId="65E9792F" w14:textId="77777777" w:rsidR="000C2F85" w:rsidRPr="00F810C4" w:rsidRDefault="000C2F85" w:rsidP="009E4069">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350 403</w:t>
            </w:r>
          </w:p>
        </w:tc>
        <w:tc>
          <w:tcPr>
            <w:tcW w:w="992" w:type="dxa"/>
            <w:tcBorders>
              <w:top w:val="single" w:sz="4" w:space="0" w:color="auto"/>
              <w:bottom w:val="single" w:sz="12" w:space="0" w:color="auto"/>
            </w:tcBorders>
            <w:shd w:val="clear" w:color="auto" w:fill="auto"/>
            <w:vAlign w:val="bottom"/>
          </w:tcPr>
          <w:p w14:paraId="48DAF88F" w14:textId="77777777" w:rsidR="000C2F85" w:rsidRPr="00F810C4" w:rsidRDefault="000C2F85" w:rsidP="009E4069">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356 919</w:t>
            </w:r>
          </w:p>
        </w:tc>
        <w:tc>
          <w:tcPr>
            <w:tcW w:w="992" w:type="dxa"/>
            <w:tcBorders>
              <w:top w:val="single" w:sz="4" w:space="0" w:color="auto"/>
              <w:bottom w:val="single" w:sz="12" w:space="0" w:color="auto"/>
            </w:tcBorders>
            <w:shd w:val="clear" w:color="auto" w:fill="auto"/>
            <w:vAlign w:val="bottom"/>
          </w:tcPr>
          <w:p w14:paraId="137E62CA" w14:textId="77777777" w:rsidR="000C2F85" w:rsidRPr="00F810C4" w:rsidRDefault="000C2F85" w:rsidP="009E4069">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355 926</w:t>
            </w:r>
          </w:p>
        </w:tc>
        <w:tc>
          <w:tcPr>
            <w:tcW w:w="992" w:type="dxa"/>
            <w:tcBorders>
              <w:top w:val="single" w:sz="4" w:space="0" w:color="auto"/>
              <w:bottom w:val="single" w:sz="12" w:space="0" w:color="auto"/>
            </w:tcBorders>
            <w:shd w:val="clear" w:color="auto" w:fill="auto"/>
            <w:vAlign w:val="bottom"/>
          </w:tcPr>
          <w:p w14:paraId="72A094E1" w14:textId="77777777" w:rsidR="000C2F85" w:rsidRPr="00F810C4" w:rsidRDefault="000C2F85" w:rsidP="009E4069">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390 021</w:t>
            </w:r>
          </w:p>
        </w:tc>
        <w:tc>
          <w:tcPr>
            <w:tcW w:w="909" w:type="dxa"/>
            <w:tcBorders>
              <w:top w:val="single" w:sz="4" w:space="0" w:color="auto"/>
              <w:bottom w:val="single" w:sz="12" w:space="0" w:color="auto"/>
            </w:tcBorders>
            <w:shd w:val="clear" w:color="auto" w:fill="auto"/>
            <w:vAlign w:val="bottom"/>
          </w:tcPr>
          <w:p w14:paraId="157C701B" w14:textId="77777777" w:rsidR="000C2F85" w:rsidRPr="00F810C4" w:rsidRDefault="000C2F85" w:rsidP="009E4069">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34 095</w:t>
            </w:r>
          </w:p>
        </w:tc>
        <w:tc>
          <w:tcPr>
            <w:tcW w:w="792" w:type="dxa"/>
            <w:tcBorders>
              <w:top w:val="single" w:sz="4" w:space="0" w:color="auto"/>
              <w:bottom w:val="single" w:sz="12" w:space="0" w:color="auto"/>
            </w:tcBorders>
            <w:shd w:val="clear" w:color="auto" w:fill="auto"/>
            <w:vAlign w:val="bottom"/>
          </w:tcPr>
          <w:p w14:paraId="61E572BB" w14:textId="77777777" w:rsidR="000C2F85" w:rsidRPr="00F810C4" w:rsidRDefault="000C2F85" w:rsidP="009E4069">
            <w:pPr>
              <w:pStyle w:val="SingleTxtG"/>
              <w:tabs>
                <w:tab w:val="clear" w:pos="1701"/>
                <w:tab w:val="clear" w:pos="2268"/>
                <w:tab w:val="clear" w:pos="2835"/>
              </w:tabs>
              <w:spacing w:before="80" w:after="80" w:line="220" w:lineRule="exact"/>
              <w:ind w:left="28" w:right="28"/>
              <w:jc w:val="right"/>
              <w:rPr>
                <w:b/>
                <w:bCs/>
                <w:sz w:val="18"/>
                <w:lang w:val="es-ES_tradnl"/>
              </w:rPr>
            </w:pPr>
            <w:r w:rsidRPr="00F810C4">
              <w:rPr>
                <w:b/>
                <w:bCs/>
                <w:sz w:val="18"/>
                <w:lang w:val="es-ES_tradnl"/>
              </w:rPr>
              <w:t>9,6</w:t>
            </w:r>
          </w:p>
        </w:tc>
      </w:tr>
    </w:tbl>
    <w:p w14:paraId="5B3FD929" w14:textId="77777777" w:rsidR="000C2F85" w:rsidRPr="000C2F85" w:rsidRDefault="000C2F85" w:rsidP="00F810C4">
      <w:pPr>
        <w:pStyle w:val="SingleTxtG"/>
        <w:spacing w:before="240"/>
        <w:rPr>
          <w:lang w:val="es-ES_tradnl"/>
        </w:rPr>
      </w:pPr>
      <w:r w:rsidRPr="000C2F85">
        <w:rPr>
          <w:lang w:val="es-ES_tradnl"/>
        </w:rPr>
        <w:t>73.</w:t>
      </w:r>
      <w:r w:rsidRPr="000C2F85">
        <w:rPr>
          <w:lang w:val="es-ES_tradnl"/>
        </w:rPr>
        <w:tab/>
        <w:t xml:space="preserve">En relación con la justicia penal, se han hecho considerables progresos en el examen del sistema de justicia penal y su modernización mediante el Programa del Sistema Integrado de Justicia Penal. Se espera contar con un sistema que dé respuesta a los problemas y deficiencias en toda la cadena de valor de la justicia penal. Estará orientado al fortalecimiento </w:t>
      </w:r>
      <w:r w:rsidRPr="000C2F85">
        <w:rPr>
          <w:lang w:val="es-ES_tradnl"/>
        </w:rPr>
        <w:lastRenderedPageBreak/>
        <w:t xml:space="preserve">de la cooperación y la integración de los organismos encargados de hacer cumplir la ley en la realización del objetivo estratégico del Plan Nacional de Desarrollo consistente en construir comunidades más seguras y crear un sistema de justicia penal resiliente. </w:t>
      </w:r>
    </w:p>
    <w:p w14:paraId="3B7AD95B" w14:textId="3D6ABD77" w:rsidR="000C2F85" w:rsidRPr="000C2F85" w:rsidRDefault="000C2F85" w:rsidP="000C2F85">
      <w:pPr>
        <w:pStyle w:val="SingleTxtG"/>
        <w:rPr>
          <w:lang w:val="es-ES_tradnl"/>
        </w:rPr>
      </w:pPr>
      <w:r w:rsidRPr="000C2F85">
        <w:rPr>
          <w:lang w:val="es-ES_tradnl"/>
        </w:rPr>
        <w:t>74.</w:t>
      </w:r>
      <w:r w:rsidRPr="000C2F85">
        <w:rPr>
          <w:lang w:val="es-ES_tradnl"/>
        </w:rPr>
        <w:tab/>
        <w:t>Sudáfrica también ha prestado especial atención al empoderamiento de las víctimas, un objetivo que sigue promoviendo, así como a velar por que las víctimas y los testigos sean tratados con equidad y estén plenamente respaldados por distintos medios, entre otros nuestra Carta sobre los Derechos de las Víctimas. En relación con la lucha contra la delincuencia, se realizan encuestas a las víctimas para evaluar su percepción al respecto y la satisfacción de los usuarios con los servicios de policía y de los tribunales. La encuesta nacional a víctimas de la delincuencia es una encuesta anual de hogares diseñada para obtener información sobre la dinámica de la delincuencia. Se analiza la percepción pública de las actividades de la policía, la fiscalía, los tribunales y los servicios penitenciarios en la prevención del delito y los abusos. La encuesta nacional a víctimas de la delincuencia es también una fuente complementaria de datos sobre los niveles de delincuencia en Sudáfrica. En la encuesta</w:t>
      </w:r>
      <w:r w:rsidR="0041220F">
        <w:rPr>
          <w:lang w:val="es-ES_tradnl"/>
        </w:rPr>
        <w:t> </w:t>
      </w:r>
      <w:r w:rsidRPr="000C2F85">
        <w:rPr>
          <w:lang w:val="es-ES_tradnl"/>
        </w:rPr>
        <w:t>2016/17</w:t>
      </w:r>
      <w:r w:rsidRPr="00605B48">
        <w:rPr>
          <w:sz w:val="18"/>
          <w:szCs w:val="18"/>
          <w:vertAlign w:val="superscript"/>
          <w:lang w:val="es-ES_tradnl"/>
        </w:rPr>
        <w:footnoteReference w:id="53"/>
      </w:r>
      <w:r w:rsidRPr="000C2F85">
        <w:rPr>
          <w:lang w:val="es-ES_tradnl"/>
        </w:rPr>
        <w:t xml:space="preserve"> se puso de relieve que la confianza de los hogares en los servicios de policía y los tribunales se había ido deteriorando gradualmente con el correr de los años. En la mayoría de los hogares que tenían una percepción negativa de la policía se opinaba que esta no era capaz de recuperar los bienes robados (el 59 %), mientras que quienes estaban insatisfechos con los servicios judiciales estimaban que los tribunales eran demasiado indulgentes con los delincuentes.</w:t>
      </w:r>
    </w:p>
    <w:p w14:paraId="72F13B44" w14:textId="77777777" w:rsidR="000C2F85" w:rsidRPr="000C2F85" w:rsidRDefault="000C2F85" w:rsidP="000F09CA">
      <w:pPr>
        <w:pStyle w:val="H23G"/>
        <w:rPr>
          <w:lang w:val="es-ES_tradnl"/>
        </w:rPr>
      </w:pPr>
      <w:r w:rsidRPr="000C2F85">
        <w:rPr>
          <w:lang w:val="es-ES_tradnl"/>
        </w:rPr>
        <w:tab/>
      </w:r>
      <w:r w:rsidRPr="000C2F85">
        <w:rPr>
          <w:lang w:val="es-ES_tradnl"/>
        </w:rPr>
        <w:tab/>
        <w:t>Asistencia jurídica</w:t>
      </w:r>
    </w:p>
    <w:p w14:paraId="2B7B9D49" w14:textId="1BAEFC20" w:rsidR="000C2F85" w:rsidRPr="000C2F85" w:rsidRDefault="000C2F85" w:rsidP="000C2F85">
      <w:pPr>
        <w:pStyle w:val="SingleTxtG"/>
        <w:rPr>
          <w:lang w:val="es-ES_tradnl"/>
        </w:rPr>
      </w:pPr>
      <w:r w:rsidRPr="000C2F85">
        <w:rPr>
          <w:lang w:val="es-ES_tradnl"/>
        </w:rPr>
        <w:t>75.</w:t>
      </w:r>
      <w:r w:rsidRPr="000C2F85">
        <w:rPr>
          <w:lang w:val="es-ES_tradnl"/>
        </w:rPr>
        <w:tab/>
        <w:t>La Constitución dispone que todos los niños, así como quienes requieran la solución de una controversia ante una corte o un tribunal, las personas acusadas y las privadas de libertad, incluidos los reclusos que cumplen condena, han de contar con representación letrada a cargo del Estado en los casos en que de lo contrario exista el riesgo de que se produzca una seria injusticia. En virtud de la Ley de Asistencia Jurídica de Sudáfrica de</w:t>
      </w:r>
      <w:r w:rsidR="00541906">
        <w:rPr>
          <w:lang w:val="es-ES_tradnl"/>
        </w:rPr>
        <w:t> </w:t>
      </w:r>
      <w:r w:rsidRPr="000C2F85">
        <w:rPr>
          <w:lang w:val="es-ES_tradnl"/>
        </w:rPr>
        <w:t>2014</w:t>
      </w:r>
      <w:r w:rsidRPr="00605B48">
        <w:rPr>
          <w:sz w:val="18"/>
          <w:szCs w:val="18"/>
          <w:vertAlign w:val="superscript"/>
          <w:lang w:val="es-ES_tradnl"/>
        </w:rPr>
        <w:footnoteReference w:id="54"/>
      </w:r>
      <w:r w:rsidRPr="000C2F85">
        <w:rPr>
          <w:lang w:val="es-ES_tradnl"/>
        </w:rPr>
        <w:t xml:space="preserve"> se crea el Servicio de Asistencia Jurídica de Sudáfrica, una entidad pública nacional que se encarga de cumplir esas obligaciones constitucionales</w:t>
      </w:r>
      <w:r w:rsidRPr="00605B48">
        <w:rPr>
          <w:sz w:val="18"/>
          <w:szCs w:val="18"/>
          <w:vertAlign w:val="superscript"/>
          <w:lang w:val="es-ES_tradnl"/>
        </w:rPr>
        <w:footnoteReference w:id="55"/>
      </w:r>
      <w:r w:rsidRPr="000C2F85">
        <w:rPr>
          <w:lang w:val="es-ES_tradnl"/>
        </w:rPr>
        <w:t>. El artículo 34 de la Constitución garantiza el acceso a los tribunales y el derecho a un juicio público y justo</w:t>
      </w:r>
      <w:r w:rsidRPr="00605B48">
        <w:rPr>
          <w:sz w:val="18"/>
          <w:szCs w:val="18"/>
          <w:vertAlign w:val="superscript"/>
          <w:lang w:val="es-ES_tradnl"/>
        </w:rPr>
        <w:footnoteReference w:id="56"/>
      </w:r>
      <w:r w:rsidRPr="000C2F85">
        <w:rPr>
          <w:lang w:val="es-ES_tradnl"/>
        </w:rPr>
        <w:t>. En consonancia con los requisitos que le impone la Constitución y su ley habilitadora, el Servicio de Asistencia Jurídica de Sudáfrica ha determinado que la prestación de asistencia letrada ha de dirigirse de manera prioritaria a:</w:t>
      </w:r>
    </w:p>
    <w:p w14:paraId="404DBD7B" w14:textId="3F922297" w:rsidR="000C2F85" w:rsidRPr="000C2F85" w:rsidRDefault="000C2F85" w:rsidP="000F09CA">
      <w:pPr>
        <w:pStyle w:val="Bullet1G"/>
        <w:rPr>
          <w:lang w:val="es-ES_tradnl"/>
        </w:rPr>
      </w:pPr>
      <w:r w:rsidRPr="000C2F85">
        <w:rPr>
          <w:lang w:val="es-ES_tradnl"/>
        </w:rPr>
        <w:t>Los niños en los procesos civiles que les afecten, cuando de lo contrario pueda producirse una grave injusticia</w:t>
      </w:r>
      <w:r w:rsidR="000F09CA">
        <w:rPr>
          <w:lang w:val="es-ES_tradnl"/>
        </w:rPr>
        <w:t>.</w:t>
      </w:r>
    </w:p>
    <w:p w14:paraId="016AE7DC" w14:textId="67E06C9B" w:rsidR="000C2F85" w:rsidRPr="000C2F85" w:rsidRDefault="000C2F85" w:rsidP="000F09CA">
      <w:pPr>
        <w:pStyle w:val="Bullet1G"/>
        <w:rPr>
          <w:lang w:val="es-ES_tradnl"/>
        </w:rPr>
      </w:pPr>
      <w:r w:rsidRPr="000C2F85">
        <w:rPr>
          <w:lang w:val="es-ES_tradnl"/>
        </w:rPr>
        <w:t>Toda persona privada de libertad (incluidas las condenadas)</w:t>
      </w:r>
      <w:r w:rsidR="000F09CA">
        <w:rPr>
          <w:lang w:val="es-ES_tradnl"/>
        </w:rPr>
        <w:t>.</w:t>
      </w:r>
    </w:p>
    <w:p w14:paraId="7D4DA408" w14:textId="2A801525" w:rsidR="000C2F85" w:rsidRPr="000C2F85" w:rsidRDefault="000C2F85" w:rsidP="000F09CA">
      <w:pPr>
        <w:pStyle w:val="Bullet1G"/>
        <w:rPr>
          <w:lang w:val="es-ES_tradnl"/>
        </w:rPr>
      </w:pPr>
      <w:r w:rsidRPr="000C2F85">
        <w:rPr>
          <w:lang w:val="es-ES_tradnl"/>
        </w:rPr>
        <w:t>Toda persona acusada de un delito</w:t>
      </w:r>
      <w:r w:rsidR="000F09CA">
        <w:rPr>
          <w:lang w:val="es-ES_tradnl"/>
        </w:rPr>
        <w:t>.</w:t>
      </w:r>
    </w:p>
    <w:p w14:paraId="269AC131" w14:textId="404C7E13" w:rsidR="000C2F85" w:rsidRPr="000C2F85" w:rsidRDefault="000C2F85" w:rsidP="000F09CA">
      <w:pPr>
        <w:pStyle w:val="Bullet1G"/>
        <w:rPr>
          <w:lang w:val="es-ES_tradnl"/>
        </w:rPr>
      </w:pPr>
      <w:r w:rsidRPr="000C2F85">
        <w:rPr>
          <w:lang w:val="es-ES_tradnl"/>
        </w:rPr>
        <w:t>Quienes deseen recurrir o apelar una decisión judicial ante un tribunal superior</w:t>
      </w:r>
      <w:r w:rsidR="000F09CA">
        <w:rPr>
          <w:lang w:val="es-ES_tradnl"/>
        </w:rPr>
        <w:t>.</w:t>
      </w:r>
    </w:p>
    <w:p w14:paraId="19F2449A" w14:textId="3D970917" w:rsidR="000C2F85" w:rsidRPr="000C2F85" w:rsidRDefault="000C2F85" w:rsidP="000F09CA">
      <w:pPr>
        <w:pStyle w:val="Bullet1G"/>
        <w:rPr>
          <w:lang w:val="es-ES_tradnl"/>
        </w:rPr>
      </w:pPr>
      <w:r w:rsidRPr="000C2F85">
        <w:rPr>
          <w:lang w:val="es-ES_tradnl"/>
        </w:rPr>
        <w:t>Las mujeres; especialmente en las causas de divorcio, pensión alimentaria y violencia doméstica</w:t>
      </w:r>
      <w:r w:rsidR="000F09CA">
        <w:rPr>
          <w:lang w:val="es-ES_tradnl"/>
        </w:rPr>
        <w:t>.</w:t>
      </w:r>
    </w:p>
    <w:p w14:paraId="7E3E8C93" w14:textId="77777777" w:rsidR="000C2F85" w:rsidRPr="000C2F85" w:rsidRDefault="000C2F85" w:rsidP="000F09CA">
      <w:pPr>
        <w:pStyle w:val="Bullet1G"/>
        <w:rPr>
          <w:lang w:val="es-ES_tradnl"/>
        </w:rPr>
      </w:pPr>
      <w:r w:rsidRPr="000C2F85">
        <w:rPr>
          <w:lang w:val="es-ES_tradnl"/>
        </w:rPr>
        <w:t>Los campesinos sin tierras, especialmente en relación con los desalojos.</w:t>
      </w:r>
    </w:p>
    <w:p w14:paraId="40A3F24A" w14:textId="508EE844" w:rsidR="000C2F85" w:rsidRPr="000C2F85" w:rsidRDefault="000C2F85" w:rsidP="000C2F85">
      <w:pPr>
        <w:pStyle w:val="SingleTxtG"/>
        <w:rPr>
          <w:lang w:val="es-ES_tradnl"/>
        </w:rPr>
      </w:pPr>
      <w:r w:rsidRPr="000C2F85">
        <w:rPr>
          <w:lang w:val="es-ES_tradnl"/>
        </w:rPr>
        <w:t>76.</w:t>
      </w:r>
      <w:r w:rsidRPr="000C2F85">
        <w:rPr>
          <w:lang w:val="es-ES_tradnl"/>
        </w:rPr>
        <w:tab/>
        <w:t xml:space="preserve">En virtud de la legislación habilitadora también se otorga al Servicio de Asistencia Jurídica de Sudáfrica el mandato de prestar u ofrecer asistencia letrada y asesoramiento jurídico, proporcionar representación letrada a las personas con cargo al Estado e impartir </w:t>
      </w:r>
      <w:r w:rsidRPr="000C2F85">
        <w:rPr>
          <w:lang w:val="es-ES_tradnl"/>
        </w:rPr>
        <w:lastRenderedPageBreak/>
        <w:t>capacitación e información sobre las obligaciones y los derechos jurídicos</w:t>
      </w:r>
      <w:r w:rsidRPr="00605B48">
        <w:rPr>
          <w:sz w:val="18"/>
          <w:szCs w:val="18"/>
          <w:vertAlign w:val="superscript"/>
          <w:lang w:val="es-ES_tradnl"/>
        </w:rPr>
        <w:footnoteReference w:id="57"/>
      </w:r>
      <w:r w:rsidRPr="000C2F85">
        <w:rPr>
          <w:lang w:val="es-ES_tradnl"/>
        </w:rPr>
        <w:t>. El Servicio de Asistencia Jurídica de Sudáfrica se financia con cargo al tesoro público</w:t>
      </w:r>
      <w:r w:rsidRPr="00605B48">
        <w:rPr>
          <w:sz w:val="18"/>
          <w:szCs w:val="18"/>
          <w:vertAlign w:val="superscript"/>
          <w:lang w:val="es-ES_tradnl"/>
        </w:rPr>
        <w:footnoteReference w:id="58"/>
      </w:r>
      <w:r w:rsidRPr="000C2F85">
        <w:rPr>
          <w:lang w:val="es-ES_tradnl"/>
        </w:rPr>
        <w:t>. En lo que respecta a la prestación de asistencia jurídica a las personas pobres y vulnerables, las estadísticas de desempeño correspondientes a 2017/18 se indican a continuación</w:t>
      </w:r>
      <w:r w:rsidR="00541906">
        <w:rPr>
          <w:lang w:val="es-ES_tradnl"/>
        </w:rPr>
        <w:t>:</w:t>
      </w:r>
    </w:p>
    <w:p w14:paraId="6C92E9B5" w14:textId="77777777" w:rsidR="000C2F85" w:rsidRPr="000C2F85" w:rsidRDefault="000C2F85" w:rsidP="000F09CA">
      <w:pPr>
        <w:pStyle w:val="Bullet1G"/>
        <w:rPr>
          <w:lang w:val="es-ES_tradnl"/>
        </w:rPr>
      </w:pPr>
      <w:r w:rsidRPr="000C2F85">
        <w:rPr>
          <w:lang w:val="es-ES_tradnl"/>
        </w:rPr>
        <w:t>Se prestó a un total de 731.856 usuarios asistencia letrada en causas civiles y penales, así como asesoramiento jurídico.</w:t>
      </w:r>
    </w:p>
    <w:p w14:paraId="5B1CA303" w14:textId="103C0475" w:rsidR="000C2F85" w:rsidRPr="000C2F85" w:rsidRDefault="000C2F85" w:rsidP="000F09CA">
      <w:pPr>
        <w:pStyle w:val="Bullet1G"/>
        <w:rPr>
          <w:lang w:val="es-ES_tradnl"/>
        </w:rPr>
      </w:pPr>
      <w:r w:rsidRPr="000C2F85">
        <w:rPr>
          <w:lang w:val="es-ES_tradnl"/>
        </w:rPr>
        <w:t>Se prestaron servicios de representación letrada en 426.617 asuntos legales</w:t>
      </w:r>
      <w:r w:rsidR="000F09CA">
        <w:rPr>
          <w:lang w:val="es-ES_tradnl"/>
        </w:rPr>
        <w:t>.</w:t>
      </w:r>
    </w:p>
    <w:p w14:paraId="74A69768" w14:textId="7C33DFA7" w:rsidR="000C2F85" w:rsidRPr="000C2F85" w:rsidRDefault="000C2F85" w:rsidP="000F09CA">
      <w:pPr>
        <w:pStyle w:val="Bullet1G"/>
        <w:rPr>
          <w:lang w:val="es-ES_tradnl"/>
        </w:rPr>
      </w:pPr>
      <w:r w:rsidRPr="000C2F85">
        <w:rPr>
          <w:lang w:val="es-ES_tradnl"/>
        </w:rPr>
        <w:t>Recibieron asistencia en asuntos penales 371.202 usuarios (el 87 %), mientras que 55.415 (el 13 %) recibieron asistencia en asuntos civiles</w:t>
      </w:r>
      <w:r w:rsidR="000F09CA">
        <w:rPr>
          <w:lang w:val="es-ES_tradnl"/>
        </w:rPr>
        <w:t>.</w:t>
      </w:r>
    </w:p>
    <w:p w14:paraId="360B7182" w14:textId="4F2E1719" w:rsidR="000C2F85" w:rsidRPr="000C2F85" w:rsidRDefault="000C2F85" w:rsidP="000F09CA">
      <w:pPr>
        <w:pStyle w:val="Bullet1G"/>
        <w:rPr>
          <w:lang w:val="es-ES_tradnl"/>
        </w:rPr>
      </w:pPr>
      <w:r w:rsidRPr="000C2F85">
        <w:rPr>
          <w:lang w:val="es-ES_tradnl"/>
        </w:rPr>
        <w:t>Veinticinco litigios de gran repercusión</w:t>
      </w:r>
      <w:r w:rsidR="000F09CA">
        <w:rPr>
          <w:lang w:val="es-ES_tradnl"/>
        </w:rPr>
        <w:t>.</w:t>
      </w:r>
    </w:p>
    <w:p w14:paraId="700E6476" w14:textId="44765970" w:rsidR="000C2F85" w:rsidRPr="000C2F85" w:rsidRDefault="000C2F85" w:rsidP="000F09CA">
      <w:pPr>
        <w:pStyle w:val="Bullet1G"/>
        <w:rPr>
          <w:lang w:val="es-ES_tradnl"/>
        </w:rPr>
      </w:pPr>
      <w:r w:rsidRPr="000C2F85">
        <w:rPr>
          <w:lang w:val="es-ES_tradnl"/>
        </w:rPr>
        <w:t>Se prestó asistencia en 1.774 casos para recurrir el fallo o la sentencia ante un tribunal superior</w:t>
      </w:r>
      <w:r w:rsidR="000F09CA">
        <w:rPr>
          <w:lang w:val="es-ES_tradnl"/>
        </w:rPr>
        <w:t>.</w:t>
      </w:r>
    </w:p>
    <w:p w14:paraId="7330F3B5" w14:textId="77777777" w:rsidR="000C2F85" w:rsidRPr="000C2F85" w:rsidRDefault="000C2F85" w:rsidP="000F09CA">
      <w:pPr>
        <w:pStyle w:val="Bullet1G"/>
        <w:rPr>
          <w:lang w:val="es-ES_tradnl"/>
        </w:rPr>
      </w:pPr>
      <w:r w:rsidRPr="000C2F85">
        <w:rPr>
          <w:lang w:val="es-ES_tradnl"/>
        </w:rPr>
        <w:t>El 34 % de los usuarios (46.726 personas) que recibieron asistencia en asuntos penales se encontraban en centros penitenciarios en espera de juicio.</w:t>
      </w:r>
    </w:p>
    <w:p w14:paraId="380255E0" w14:textId="6DE50F75" w:rsidR="000C2F85" w:rsidRPr="000C2F85" w:rsidRDefault="000C2F85" w:rsidP="000F09CA">
      <w:pPr>
        <w:pStyle w:val="Bullet1G"/>
        <w:rPr>
          <w:lang w:val="es-ES_tradnl"/>
        </w:rPr>
      </w:pPr>
      <w:r w:rsidRPr="000C2F85">
        <w:rPr>
          <w:lang w:val="es-ES_tradnl"/>
        </w:rPr>
        <w:t>Se prestó asistencia a 16.350 niños, de los cuales el 62 % (10.141) estaban en conflicto con la ley y el 38 % (6.209) necesitaban asistencia en asuntos de derecho civil</w:t>
      </w:r>
      <w:r w:rsidR="000F09CA">
        <w:rPr>
          <w:lang w:val="es-ES_tradnl"/>
        </w:rPr>
        <w:t>.</w:t>
      </w:r>
    </w:p>
    <w:p w14:paraId="4CA5343D" w14:textId="77777777" w:rsidR="000C2F85" w:rsidRPr="000C2F85" w:rsidRDefault="000C2F85" w:rsidP="000F09CA">
      <w:pPr>
        <w:pStyle w:val="Bullet1G"/>
        <w:rPr>
          <w:lang w:val="es-ES_tradnl"/>
        </w:rPr>
      </w:pPr>
      <w:r w:rsidRPr="000C2F85">
        <w:rPr>
          <w:lang w:val="es-ES_tradnl"/>
        </w:rPr>
        <w:t>Se prestó asesoramiento jurídico a 305.239 usuarios.</w:t>
      </w:r>
    </w:p>
    <w:p w14:paraId="78D1D509" w14:textId="7ACB4DCC" w:rsidR="000C2F85" w:rsidRPr="000C2F85" w:rsidRDefault="000C2F85" w:rsidP="000C2F85">
      <w:pPr>
        <w:pStyle w:val="SingleTxtG"/>
        <w:rPr>
          <w:lang w:val="es-ES_tradnl"/>
        </w:rPr>
      </w:pPr>
      <w:r w:rsidRPr="000C2F85">
        <w:rPr>
          <w:lang w:val="es-ES_tradnl"/>
        </w:rPr>
        <w:t>77.</w:t>
      </w:r>
      <w:r w:rsidRPr="000C2F85">
        <w:rPr>
          <w:lang w:val="es-ES_tradnl"/>
        </w:rPr>
        <w:tab/>
        <w:t xml:space="preserve">En lo que respecta al acceso de los migrantes, refugiados y solicitantes de asilo a los programas de asistencia jurídica, es importante destacar que en la Carta de Derechos de la Constitución se afirma que la mayoría de los derechos se garantizan a </w:t>
      </w:r>
      <w:r w:rsidR="0091550D">
        <w:rPr>
          <w:lang w:val="es-ES_tradnl"/>
        </w:rPr>
        <w:t>“</w:t>
      </w:r>
      <w:r w:rsidRPr="000C2F85">
        <w:rPr>
          <w:lang w:val="es-ES_tradnl"/>
        </w:rPr>
        <w:t>todos</w:t>
      </w:r>
      <w:r w:rsidR="0091550D">
        <w:rPr>
          <w:lang w:val="es-ES_tradnl"/>
        </w:rPr>
        <w:t>”</w:t>
      </w:r>
      <w:r w:rsidRPr="000C2F85">
        <w:rPr>
          <w:lang w:val="es-ES_tradnl"/>
        </w:rPr>
        <w:t>, es decir, no solo a los sudafricanos, sino también a los extranjeros que se encuentran dentro de nuestras fronteras</w:t>
      </w:r>
      <w:r w:rsidRPr="00605B48">
        <w:rPr>
          <w:sz w:val="18"/>
          <w:szCs w:val="18"/>
          <w:vertAlign w:val="superscript"/>
          <w:lang w:val="es-ES_tradnl"/>
        </w:rPr>
        <w:footnoteReference w:id="59"/>
      </w:r>
      <w:r w:rsidRPr="000C2F85">
        <w:rPr>
          <w:lang w:val="es-ES_tradnl"/>
        </w:rPr>
        <w:t>. Por consiguiente, toda persona que viva en Sudáfrica dispone de asistencia letrada si la causa:</w:t>
      </w:r>
    </w:p>
    <w:p w14:paraId="24E6A20C" w14:textId="62248CA1" w:rsidR="000C2F85" w:rsidRPr="000C2F85" w:rsidRDefault="000C2F85" w:rsidP="000F09CA">
      <w:pPr>
        <w:pStyle w:val="Bullet1G"/>
        <w:rPr>
          <w:lang w:val="es-ES_tradnl"/>
        </w:rPr>
      </w:pPr>
      <w:r w:rsidRPr="000C2F85">
        <w:rPr>
          <w:lang w:val="es-ES_tradnl"/>
        </w:rPr>
        <w:t>Es penal</w:t>
      </w:r>
      <w:r w:rsidR="000F09CA">
        <w:rPr>
          <w:lang w:val="es-ES_tradnl"/>
        </w:rPr>
        <w:t>.</w:t>
      </w:r>
    </w:p>
    <w:p w14:paraId="3EE36FDD" w14:textId="7319A187" w:rsidR="000C2F85" w:rsidRPr="000C2F85" w:rsidRDefault="000C2F85" w:rsidP="000F09CA">
      <w:pPr>
        <w:pStyle w:val="Bullet1G"/>
        <w:rPr>
          <w:lang w:val="es-ES_tradnl"/>
        </w:rPr>
      </w:pPr>
      <w:r w:rsidRPr="000C2F85">
        <w:rPr>
          <w:lang w:val="es-ES_tradnl"/>
        </w:rPr>
        <w:t>Afecta a niños</w:t>
      </w:r>
      <w:r w:rsidR="000F09CA">
        <w:rPr>
          <w:lang w:val="es-ES_tradnl"/>
        </w:rPr>
        <w:t>.</w:t>
      </w:r>
    </w:p>
    <w:p w14:paraId="36475265" w14:textId="77777777" w:rsidR="000C2F85" w:rsidRPr="000F09CA" w:rsidRDefault="000C2F85" w:rsidP="000C2F85">
      <w:pPr>
        <w:pStyle w:val="SingleTxtG"/>
        <w:numPr>
          <w:ilvl w:val="0"/>
          <w:numId w:val="42"/>
        </w:numPr>
        <w:tabs>
          <w:tab w:val="left" w:pos="1701"/>
        </w:tabs>
        <w:rPr>
          <w:lang w:val="es-ES_tradnl"/>
        </w:rPr>
      </w:pPr>
      <w:r w:rsidRPr="000C2F85">
        <w:rPr>
          <w:lang w:val="es-ES_tradnl"/>
        </w:rPr>
        <w:t>Afecta a solicitantes de asilo: con arreglo a los capítulos 3 y 4 de la Ley de Refugiados, de 1998, se presta asistencia letrada a quienes estén solicitando asilo o tengan la intención de hacerlo</w:t>
      </w:r>
      <w:r w:rsidRPr="00605B48">
        <w:rPr>
          <w:sz w:val="18"/>
          <w:szCs w:val="18"/>
          <w:vertAlign w:val="superscript"/>
          <w:lang w:val="es-ES_tradnl"/>
        </w:rPr>
        <w:footnoteReference w:id="60"/>
      </w:r>
      <w:r w:rsidRPr="000C2F85">
        <w:rPr>
          <w:lang w:val="es-ES_tradnl"/>
        </w:rPr>
        <w:t>.</w:t>
      </w:r>
    </w:p>
    <w:p w14:paraId="6930AFC0" w14:textId="77777777" w:rsidR="000C2F85" w:rsidRPr="000C2F85" w:rsidRDefault="000C2F85" w:rsidP="000C2F85">
      <w:pPr>
        <w:pStyle w:val="SingleTxtG"/>
        <w:numPr>
          <w:ilvl w:val="0"/>
          <w:numId w:val="41"/>
        </w:numPr>
        <w:tabs>
          <w:tab w:val="left" w:pos="1701"/>
        </w:tabs>
        <w:rPr>
          <w:lang w:val="es-ES_tradnl"/>
        </w:rPr>
      </w:pPr>
      <w:r w:rsidRPr="000C2F85">
        <w:rPr>
          <w:lang w:val="es-ES_tradnl"/>
        </w:rPr>
        <w:t>Tiene el potencial de incidir positivamente en la vida de un gran número de personas indigentes o de repercutir positivamente en la vida de un gran número de personas, además de aquellas a las que se prestan directamente servicios jurídicos.</w:t>
      </w:r>
    </w:p>
    <w:p w14:paraId="0BD34866" w14:textId="77777777" w:rsidR="000C2F85" w:rsidRPr="00C07E04" w:rsidRDefault="000C2F85" w:rsidP="000C2F85">
      <w:pPr>
        <w:pStyle w:val="SingleTxtG"/>
        <w:rPr>
          <w:lang w:val="es-ES_tradnl"/>
        </w:rPr>
      </w:pPr>
      <w:r w:rsidRPr="000C2F85">
        <w:rPr>
          <w:lang w:val="es-ES_tradnl"/>
        </w:rPr>
        <w:t>78.</w:t>
      </w:r>
      <w:r w:rsidRPr="000C2F85">
        <w:rPr>
          <w:lang w:val="es-ES_tradnl"/>
        </w:rPr>
        <w:tab/>
        <w:t>De conformidad con el reglamento de la Ley de Asistencia Jurídica de Sudáfrica, puede prestarse asistencia letrada en causas penales a cualquier persona que haya sido acusada de un delito ante un tribunal sudafricano siempre que dicha persona reúna las condiciones establecidas por el reglamento</w:t>
      </w:r>
      <w:r w:rsidRPr="00605B48">
        <w:rPr>
          <w:sz w:val="18"/>
          <w:szCs w:val="18"/>
          <w:vertAlign w:val="superscript"/>
          <w:lang w:val="es-ES_tradnl"/>
        </w:rPr>
        <w:footnoteReference w:id="61"/>
      </w:r>
      <w:r w:rsidRPr="000C2F85">
        <w:rPr>
          <w:lang w:val="es-ES_tradnl"/>
        </w:rPr>
        <w:t xml:space="preserve">, y las personas físicas disponen de servicios de </w:t>
      </w:r>
      <w:r w:rsidRPr="000C2F85">
        <w:rPr>
          <w:lang w:val="es-ES_tradnl"/>
        </w:rPr>
        <w:lastRenderedPageBreak/>
        <w:t>asistencia jurídica de asesoramiento y representación</w:t>
      </w:r>
      <w:r w:rsidRPr="00605B48">
        <w:rPr>
          <w:sz w:val="18"/>
          <w:szCs w:val="18"/>
          <w:vertAlign w:val="superscript"/>
          <w:lang w:val="es-ES_tradnl"/>
        </w:rPr>
        <w:footnoteReference w:id="62"/>
      </w:r>
      <w:r w:rsidRPr="000C2F85">
        <w:rPr>
          <w:lang w:val="es-ES_tradnl"/>
        </w:rPr>
        <w:t>. Los solicitantes de asilo, los migrantes y los refugiados tendrán derecho a asistencia letrada en causas penales si se les acusa de un delito y se convierten en acusados</w:t>
      </w:r>
      <w:r w:rsidRPr="00605B48">
        <w:rPr>
          <w:sz w:val="18"/>
          <w:szCs w:val="18"/>
          <w:vertAlign w:val="superscript"/>
          <w:lang w:val="es-ES_tradnl"/>
        </w:rPr>
        <w:footnoteReference w:id="63"/>
      </w:r>
      <w:r w:rsidRPr="000C2F85">
        <w:rPr>
          <w:lang w:val="es-ES_tradnl"/>
        </w:rPr>
        <w:t xml:space="preserve"> y estarán en condiciones de obtener asesoramiento jurídico por ser personas físicas. En virtud de la cláusula 19 del reglamento, se puede proporcionar asistencia letrada a los demandantes de asistencia jurídica que soliciten asilo en la República o a quienes tengan la intención de hacerlo en virtud del capítulo 3 o 4 de la Ley de Refugiados de 1998</w:t>
      </w:r>
      <w:r w:rsidRPr="00605B48">
        <w:rPr>
          <w:sz w:val="18"/>
          <w:szCs w:val="18"/>
          <w:vertAlign w:val="superscript"/>
          <w:lang w:val="es-ES_tradnl"/>
        </w:rPr>
        <w:footnoteReference w:id="64"/>
      </w:r>
      <w:r w:rsidRPr="000C2F85">
        <w:rPr>
          <w:lang w:val="es-ES_tradnl"/>
        </w:rPr>
        <w:t>. En la cláusula 10, párrafo 1, del reglamento se establece que se puede proporcionar asistencia letrada para la protección de los derechos constitucionales. Los derechos constitucionales son los contemplados en la Carta de Derechos, e incluyen el derecho al idioma y la cultura, la protección de las comunidades culturales, religiosas y lingüísticas, y los derechos socioeconómicos. En lo que atañe a la prestación de asistencia letrada para la protección de los derechos constitucionales, el Servicio de Asistencia Jurídica de Sudáfrica sopesa determinados factores antes de proporcionarla</w:t>
      </w:r>
      <w:r w:rsidRPr="00605B48">
        <w:rPr>
          <w:sz w:val="18"/>
          <w:szCs w:val="18"/>
          <w:vertAlign w:val="superscript"/>
          <w:lang w:val="es-ES_tradnl"/>
        </w:rPr>
        <w:footnoteReference w:id="65"/>
      </w:r>
      <w:r w:rsidRPr="000C2F85">
        <w:rPr>
          <w:lang w:val="es-ES_tradnl"/>
        </w:rPr>
        <w:t>. El Servicio de Asistencia Jurídica de Sudáfrica puede litigar o financiar la litigación u otras labores jurídicas en causas que tengan el potencial de influir positivamente en la vida de un gran número de personas pobres</w:t>
      </w:r>
      <w:r w:rsidRPr="00605B48">
        <w:rPr>
          <w:sz w:val="18"/>
          <w:szCs w:val="18"/>
          <w:vertAlign w:val="superscript"/>
          <w:lang w:val="es-ES_tradnl"/>
        </w:rPr>
        <w:footnoteReference w:id="66"/>
      </w:r>
      <w:r w:rsidRPr="000C2F85">
        <w:rPr>
          <w:lang w:val="es-ES_tradnl"/>
        </w:rPr>
        <w:t>. En el curso de sus actividades de fomento y protección de los derechos de los solicitantes de asilo, el Servicio de Asistencia Jurídica de Sudáfrica intervino en una serie de asuntos de gran repercusión para garantizar la protección de los derechos de no ciudadanos</w:t>
      </w:r>
      <w:r w:rsidRPr="00605B48">
        <w:rPr>
          <w:sz w:val="18"/>
          <w:szCs w:val="18"/>
          <w:vertAlign w:val="superscript"/>
          <w:lang w:val="es-ES_tradnl"/>
        </w:rPr>
        <w:footnoteReference w:id="67"/>
      </w:r>
      <w:r w:rsidRPr="000C2F85">
        <w:rPr>
          <w:lang w:val="es-ES_tradnl"/>
        </w:rPr>
        <w:t>.</w:t>
      </w:r>
    </w:p>
    <w:p w14:paraId="554C1162" w14:textId="77777777" w:rsidR="000C2F85" w:rsidRPr="00C07E04" w:rsidRDefault="000C2F85" w:rsidP="000C2F85">
      <w:pPr>
        <w:pStyle w:val="SingleTxtG"/>
        <w:rPr>
          <w:lang w:val="es-ES_tradnl"/>
        </w:rPr>
      </w:pPr>
      <w:r w:rsidRPr="000C2F85">
        <w:rPr>
          <w:lang w:val="es-ES_tradnl"/>
        </w:rPr>
        <w:lastRenderedPageBreak/>
        <w:t>79.</w:t>
      </w:r>
      <w:r w:rsidRPr="000C2F85">
        <w:rPr>
          <w:lang w:val="es-ES_tradnl"/>
        </w:rPr>
        <w:tab/>
        <w:t>El Servicio de Asistencia Jurídica de Sudáfrica participa en la promoción y protección de los derechos socioeconómicos, centrándose en los segmentos de población pobres y vulnerables de nuestra sociedad. Muchas de las causas guardaron relación con el derecho de acceso a una vivienda digna</w:t>
      </w:r>
      <w:r w:rsidRPr="00605B48">
        <w:rPr>
          <w:sz w:val="18"/>
          <w:szCs w:val="18"/>
          <w:vertAlign w:val="superscript"/>
          <w:lang w:val="es-ES_tradnl"/>
        </w:rPr>
        <w:footnoteReference w:id="68"/>
      </w:r>
      <w:r w:rsidRPr="000C2F85">
        <w:rPr>
          <w:lang w:val="es-ES_tradnl"/>
        </w:rPr>
        <w:t xml:space="preserve">. En lo que respecta a la protección de los derechos culturales, el Servicio de Asistencia Jurídica de Sudáfrica litigó en la causa </w:t>
      </w:r>
      <w:r w:rsidRPr="000C2F85">
        <w:rPr>
          <w:i/>
          <w:iCs/>
          <w:lang w:val="es-ES_tradnl"/>
        </w:rPr>
        <w:t>Mphephu Maria Ngwenya v Modjaji Florah Mayelane</w:t>
      </w:r>
      <w:r w:rsidRPr="000C2F85">
        <w:rPr>
          <w:lang w:val="es-ES_tradnl"/>
        </w:rPr>
        <w:t xml:space="preserve"> en nombre de una clienta para proteger y promover los derechos de las mujeres casadas con arreglo al derecho consuetudinario y la tradición</w:t>
      </w:r>
      <w:r w:rsidRPr="00605B48">
        <w:rPr>
          <w:sz w:val="18"/>
          <w:szCs w:val="18"/>
          <w:vertAlign w:val="superscript"/>
          <w:lang w:val="es-ES_tradnl"/>
        </w:rPr>
        <w:footnoteReference w:id="69"/>
      </w:r>
      <w:r w:rsidRPr="000C2F85">
        <w:rPr>
          <w:lang w:val="es-ES_tradnl"/>
        </w:rPr>
        <w:t>.</w:t>
      </w:r>
    </w:p>
    <w:p w14:paraId="6243D05D" w14:textId="01E28C37" w:rsidR="000C2F85" w:rsidRPr="000C2F85" w:rsidRDefault="000F09CA" w:rsidP="000F09CA">
      <w:pPr>
        <w:pStyle w:val="H23G"/>
        <w:rPr>
          <w:lang w:val="es-ES_tradnl"/>
        </w:rPr>
      </w:pPr>
      <w:r>
        <w:rPr>
          <w:lang w:val="es-ES_tradnl"/>
        </w:rPr>
        <w:tab/>
      </w:r>
      <w:r w:rsidR="000C2F85" w:rsidRPr="000C2F85">
        <w:rPr>
          <w:lang w:val="es-ES_tradnl"/>
        </w:rPr>
        <w:tab/>
        <w:t>Dirección Independiente de Investigación de Denuncias contra la Policía e</w:t>
      </w:r>
      <w:r>
        <w:rPr>
          <w:lang w:val="es-ES_tradnl"/>
        </w:rPr>
        <w:t> </w:t>
      </w:r>
      <w:r w:rsidR="000C2F85" w:rsidRPr="000C2F85">
        <w:rPr>
          <w:lang w:val="es-ES_tradnl"/>
        </w:rPr>
        <w:t>Inspección</w:t>
      </w:r>
      <w:r>
        <w:rPr>
          <w:lang w:val="es-ES_tradnl"/>
        </w:rPr>
        <w:t> </w:t>
      </w:r>
      <w:r w:rsidR="000C2F85" w:rsidRPr="000C2F85">
        <w:rPr>
          <w:lang w:val="es-ES_tradnl"/>
        </w:rPr>
        <w:t>Judicial del Servicio Penitenciario</w:t>
      </w:r>
    </w:p>
    <w:p w14:paraId="5E9D71F9" w14:textId="77777777" w:rsidR="000C2F85" w:rsidRPr="00C07E04" w:rsidRDefault="000C2F85" w:rsidP="00AB7FF2">
      <w:pPr>
        <w:pStyle w:val="SingleTxtG"/>
        <w:spacing w:after="130"/>
        <w:rPr>
          <w:lang w:val="es-ES_tradnl"/>
        </w:rPr>
      </w:pPr>
      <w:r w:rsidRPr="000C2F85">
        <w:rPr>
          <w:lang w:val="es-ES_tradnl"/>
        </w:rPr>
        <w:t>80.</w:t>
      </w:r>
      <w:r w:rsidRPr="000C2F85">
        <w:rPr>
          <w:lang w:val="es-ES_tradnl"/>
        </w:rPr>
        <w:tab/>
        <w:t>La Ley de la Dirección Independiente de Investigación de Denuncias contra la Policía de 2011</w:t>
      </w:r>
      <w:r w:rsidRPr="00605B48">
        <w:rPr>
          <w:sz w:val="18"/>
          <w:szCs w:val="18"/>
          <w:vertAlign w:val="superscript"/>
          <w:lang w:val="es-ES_tradnl"/>
        </w:rPr>
        <w:footnoteReference w:id="70"/>
      </w:r>
      <w:r w:rsidRPr="000C2F85">
        <w:rPr>
          <w:lang w:val="es-ES_tradnl"/>
        </w:rPr>
        <w:t xml:space="preserve"> establece la creación de esta Dirección. Por otra parte, la Inspección Judicial del Servicio Penitenciario sustituye a la Dirección Independiente de Denuncias. La Ley del Servicio de Policía de Sudáfrica de 1995 estableció las facultades y funciones de la Dirección Independiente de Denuncias</w:t>
      </w:r>
      <w:r w:rsidRPr="00605B48">
        <w:rPr>
          <w:sz w:val="18"/>
          <w:szCs w:val="18"/>
          <w:vertAlign w:val="superscript"/>
          <w:lang w:val="es-ES_tradnl"/>
        </w:rPr>
        <w:footnoteReference w:id="71"/>
      </w:r>
      <w:r w:rsidRPr="000C2F85">
        <w:rPr>
          <w:lang w:val="es-ES_tradnl"/>
        </w:rPr>
        <w:t xml:space="preserve">. El artículo 206, párrafo 6, de la Constitución prevé el establecimiento de un órgano autónomo de denuncias contra la policía. Actúa con independencia del Servicio de Policía de Sudáfrica y los Servicios de Policía Municipal. El mandato de la Dirección Independiente de Investigación de Denuncias contra la Policía es llevar a cabo investigaciones independientes e imparciales de delitos concretos cometidos por agentes del Servicio de Policía de Sudáfrica y los Servicios de Policía Municipal. La Dirección debe investigar, entre otros, los siguientes asuntos: todos los fallecimientos que se produzcan durante una detención policial; los fallecimientos que sean consecuencia de una acción policial; todas las denuncias relativas al disparo de armas de fuego por agentes de policía; violaciones cometidas por agentes de policía, independientemente de que estuviesen o no de servicio; violaciones de personas detenidas por la policía; todas las denuncias de tortura o agresión por parte de agentes de policía en el desempeño de sus funciones. En el período 2016/17, la Dirección Independiente de Investigación de Denuncias concluyó 3.449 investigaciones, lo que representa el 49 % del total de casos recibidos. Entre los casos figuraban: 140 muertes en detención, 115 muertes como consecuencia de la acción policial, </w:t>
      </w:r>
      <w:r w:rsidRPr="000C2F85">
        <w:rPr>
          <w:lang w:val="es-ES_tradnl"/>
        </w:rPr>
        <w:lastRenderedPageBreak/>
        <w:t>61 violaciones presuntamente cometidas por la policía; 5 violaciones cometidas en detención policial, y 66 casos de corrupción policial. Además, la Dirección llevó a cabo 98 campañas de sensibilización en todas las provincias y se distribuyó material de comunicación a los miembros de la comunidad</w:t>
      </w:r>
      <w:r w:rsidRPr="00605B48">
        <w:rPr>
          <w:sz w:val="18"/>
          <w:szCs w:val="18"/>
          <w:vertAlign w:val="superscript"/>
          <w:lang w:val="es-ES_tradnl"/>
        </w:rPr>
        <w:footnoteReference w:id="72"/>
      </w:r>
      <w:r w:rsidRPr="000C2F85">
        <w:rPr>
          <w:lang w:val="es-ES_tradnl"/>
        </w:rPr>
        <w:t>.</w:t>
      </w:r>
    </w:p>
    <w:p w14:paraId="592A56C4" w14:textId="3A2896A4" w:rsidR="000C2F85" w:rsidRPr="000C2F85" w:rsidRDefault="000C2F85" w:rsidP="00AB7FF2">
      <w:pPr>
        <w:pStyle w:val="SingleTxtG"/>
        <w:spacing w:after="130"/>
        <w:rPr>
          <w:lang w:val="es-ES_tradnl"/>
        </w:rPr>
      </w:pPr>
      <w:r w:rsidRPr="000C2F85">
        <w:rPr>
          <w:lang w:val="es-ES_tradnl"/>
        </w:rPr>
        <w:t>81.</w:t>
      </w:r>
      <w:r w:rsidRPr="000C2F85">
        <w:rPr>
          <w:lang w:val="es-ES_tradnl"/>
        </w:rPr>
        <w:tab/>
        <w:t>La Ley de Servicios Penitenciarios de 1998</w:t>
      </w:r>
      <w:r w:rsidRPr="00605B48">
        <w:rPr>
          <w:sz w:val="18"/>
          <w:szCs w:val="18"/>
          <w:vertAlign w:val="superscript"/>
          <w:lang w:val="es-ES_tradnl"/>
        </w:rPr>
        <w:footnoteReference w:id="73"/>
      </w:r>
      <w:r w:rsidRPr="000C2F85">
        <w:rPr>
          <w:lang w:val="es-ES_tradnl"/>
        </w:rPr>
        <w:t xml:space="preserve"> encarna la garantía constitucional del derecho a un trato humano de las personas privadas de libertad, incluido el derecho a no ser sometidas a tortura. La Ley de Modificación de los Servicios Penitenciarios de 2008</w:t>
      </w:r>
      <w:r w:rsidRPr="00605B48">
        <w:rPr>
          <w:sz w:val="18"/>
          <w:szCs w:val="18"/>
          <w:vertAlign w:val="superscript"/>
          <w:lang w:val="es-ES_tradnl"/>
        </w:rPr>
        <w:footnoteReference w:id="74"/>
      </w:r>
      <w:r w:rsidRPr="000C2F85">
        <w:rPr>
          <w:lang w:val="es-ES_tradnl"/>
        </w:rPr>
        <w:t xml:space="preserve"> eliminó el concepto y la práctica de la reclusión en régimen de aislamiento en todos los establecimientos penitenciarios de Sudáfrica. Además, en virtud de esta norma, los funcionarios penitenciarios deben informar inmediatamente de todos los casos en que se utilicen dispositivos mecánicos para inmovilizar a un recluso, como por ejemplo esposas o grilletes. La legislación proporciona un mecanismo para detectar y castigar todos los actos de tortura que se produzcan en establecimientos penitenciarios. Toda persona que afirme haber sido objeto de tortura puede presentar una denuncia al Servicio de Policía de Sudáfrica, a la Dirección Independiente de Investigación de Denuncias contra la Policía, a la Inspección Judicial del Servicio Penitenciario, al Defensor del Pueblo o a la Comisión de Derechos Humanos de Sudáfrica. Asimismo, Sudáfrica se adhiere a las Reglas Nelson Mandela, que ha ayudado a promover en las Naciones Unidas. El Consejo de Ministros de Sudáfrica aprobó estas Reglas en marzo de 2018. Se basan en un conjunto de recomendaciones mínimas</w:t>
      </w:r>
      <w:r w:rsidR="00C07E04">
        <w:rPr>
          <w:lang w:val="es-ES_tradnl"/>
        </w:rPr>
        <w:t> </w:t>
      </w:r>
      <w:r w:rsidRPr="000C2F85">
        <w:rPr>
          <w:lang w:val="es-ES_tradnl"/>
        </w:rPr>
        <w:t>universalmente reconocidas que rigen el tratamiento de los reclusos y que los Estados Miembros de las Naciones Unidas volvieron a comprometerse a observar en diciembre de 2017. En las Reglas Nelson Mandela se señala, entre otras cosas, que no habrá discriminación; que deberán respetarse las creencias religiosas y preceptos morales de los reclusos, y que deberá brindarse representación y protección a los grupos vulnerables entre la población penitenciaria.</w:t>
      </w:r>
    </w:p>
    <w:p w14:paraId="484F79F7" w14:textId="77777777" w:rsidR="000C2F85" w:rsidRPr="000C2F85" w:rsidRDefault="000C2F85" w:rsidP="00AB7FF2">
      <w:pPr>
        <w:pStyle w:val="SingleTxtG"/>
        <w:spacing w:after="130"/>
        <w:rPr>
          <w:lang w:val="es-ES_tradnl"/>
        </w:rPr>
      </w:pPr>
      <w:r w:rsidRPr="000C2F85">
        <w:rPr>
          <w:lang w:val="es-ES_tradnl"/>
        </w:rPr>
        <w:t>82.</w:t>
      </w:r>
      <w:r w:rsidRPr="000C2F85">
        <w:rPr>
          <w:lang w:val="es-ES_tradnl"/>
        </w:rPr>
        <w:tab/>
        <w:t>La Ley de Prevención y Lucha contra la Tortura de Personas de 2013</w:t>
      </w:r>
      <w:r w:rsidRPr="00605B48">
        <w:rPr>
          <w:sz w:val="18"/>
          <w:szCs w:val="18"/>
          <w:vertAlign w:val="superscript"/>
          <w:lang w:val="es-ES_tradnl"/>
        </w:rPr>
        <w:footnoteReference w:id="75"/>
      </w:r>
      <w:r w:rsidRPr="000C2F85">
        <w:rPr>
          <w:lang w:val="es-ES_tradnl"/>
        </w:rPr>
        <w:t xml:space="preserve"> hace efectivas las obligaciones de Sudáfrica dimanantes de la Convención de las Naciones Unidas contra la Tortura y Otros Tratos o Penas Crueles, Inhumanos o Degradantes. Sudáfrica firmó la Convención el 29 de enero de 1993 y la ratificó el 10 de diciembre de 1998.</w:t>
      </w:r>
    </w:p>
    <w:p w14:paraId="2C06CDA0" w14:textId="10375CC8" w:rsidR="000C2F85" w:rsidRPr="000C2F85" w:rsidRDefault="000C2F85" w:rsidP="00AB7FF2">
      <w:pPr>
        <w:pStyle w:val="SingleTxtG"/>
        <w:spacing w:after="130"/>
        <w:rPr>
          <w:lang w:val="es-ES_tradnl"/>
        </w:rPr>
      </w:pPr>
      <w:r w:rsidRPr="000C2F85">
        <w:rPr>
          <w:lang w:val="es-ES_tradnl"/>
        </w:rPr>
        <w:t>83.</w:t>
      </w:r>
      <w:r w:rsidRPr="000C2F85">
        <w:rPr>
          <w:lang w:val="es-ES_tradnl"/>
        </w:rPr>
        <w:tab/>
        <w:t xml:space="preserve">En su preámbulo, la Ley de Prevención y Lucha contra la Tortura de Personas dispone que, habida cuenta de un pasado vergonzoso de graves abusos contra los derechos humanos, incluida la tortura, la República de Sudáfrica se ha comprometido, desde 1994, a impedir y combatir la tortura de personas. Además, esta </w:t>
      </w:r>
      <w:r w:rsidR="00C07E04" w:rsidRPr="000C2F85">
        <w:rPr>
          <w:lang w:val="es-ES_tradnl"/>
        </w:rPr>
        <w:t xml:space="preserve">Ley </w:t>
      </w:r>
      <w:r w:rsidRPr="000C2F85">
        <w:rPr>
          <w:lang w:val="es-ES_tradnl"/>
        </w:rPr>
        <w:t>reconoce los derechos iguales e inalienables de todas las personas como fundamento de la libertad, la dignidad, la justicia y la paz en el mundo. Asimismo, reconoce que la promoción del respeto universal de los derechos humanos y la protección de la dignidad humana son primordiales, tiene el objetivo de que nadie sea sometido a actos de tortura.</w:t>
      </w:r>
    </w:p>
    <w:p w14:paraId="1C0B4540" w14:textId="77777777" w:rsidR="000C2F85" w:rsidRPr="00C07E04" w:rsidRDefault="000C2F85" w:rsidP="00AB7FF2">
      <w:pPr>
        <w:pStyle w:val="SingleTxtG"/>
        <w:spacing w:after="130"/>
        <w:rPr>
          <w:lang w:val="es-ES_tradnl"/>
        </w:rPr>
      </w:pPr>
      <w:r w:rsidRPr="000C2F85">
        <w:rPr>
          <w:lang w:val="es-ES_tradnl"/>
        </w:rPr>
        <w:t>84.</w:t>
      </w:r>
      <w:r w:rsidRPr="000C2F85">
        <w:rPr>
          <w:lang w:val="es-ES_tradnl"/>
        </w:rPr>
        <w:tab/>
        <w:t>La Ley prevé el enjuiciamiento de las personas que cometan delitos de tortura y la imposición de las sanciones correspondientes, que incluyen la reclusión a perpetuidad. Además, prevé la prohibición y la lucha contra la tortura y medidas encaminadas a impedirla, así como la capacitación de las personas que pueden intervenir en la detención preventiva, el interrogatorio o el trato de las personas sometidas a cualquier forma de aprehensión, privación de libertad o encarcelamiento. Otra medida preventiva es la elaboración de programas para promover la conciencia pública acerca de la tortura y las medidas para combatirla. Antes de la promulgación de Ley de Prevención y Lucha contra la Tortura de Personas de 2013, se estableció un conjunto de medidas legislativas y de otra índole para hacer frente a otras formas de tratos o penas crueles, inhumanos o degradantes a personas. Entre estas medidas figura la Ley de Modificación de los Servicios Penitenciarios de 2008</w:t>
      </w:r>
      <w:r w:rsidRPr="00605B48">
        <w:rPr>
          <w:sz w:val="18"/>
          <w:szCs w:val="18"/>
          <w:vertAlign w:val="superscript"/>
          <w:lang w:val="es-ES_tradnl"/>
        </w:rPr>
        <w:footnoteReference w:id="76"/>
      </w:r>
      <w:r w:rsidRPr="000C2F85">
        <w:rPr>
          <w:lang w:val="es-ES_tradnl"/>
        </w:rPr>
        <w:t>.</w:t>
      </w:r>
    </w:p>
    <w:p w14:paraId="776C5EB8" w14:textId="77777777" w:rsidR="000C2F85" w:rsidRPr="000C2F85" w:rsidRDefault="000C2F85" w:rsidP="00AB7FF2">
      <w:pPr>
        <w:pStyle w:val="SingleTxtG"/>
        <w:keepNext/>
        <w:keepLines/>
        <w:rPr>
          <w:lang w:val="es-ES_tradnl"/>
        </w:rPr>
      </w:pPr>
      <w:r w:rsidRPr="000C2F85">
        <w:rPr>
          <w:lang w:val="es-ES_tradnl"/>
        </w:rPr>
        <w:lastRenderedPageBreak/>
        <w:t>85.</w:t>
      </w:r>
      <w:r w:rsidRPr="000C2F85">
        <w:rPr>
          <w:lang w:val="es-ES_tradnl"/>
        </w:rPr>
        <w:tab/>
        <w:t>La Inspección Judicial del Servicio Penitenciario es un órgano de fiscalización esencial cuyo objetivo es garantizar que se respeten, protejan, promuevan y cumplan los derechos de los reclusos que están consagrados en la Constitución, así como en la legislación y las políticas relativas a la materia. El artículo 85, párrafo 1, de la Ley de Servicios Penitenciarios de 1998</w:t>
      </w:r>
      <w:r w:rsidRPr="00605B48">
        <w:rPr>
          <w:sz w:val="18"/>
          <w:szCs w:val="18"/>
          <w:vertAlign w:val="superscript"/>
          <w:lang w:val="es-ES_tradnl"/>
        </w:rPr>
        <w:footnoteReference w:id="77"/>
      </w:r>
      <w:r w:rsidRPr="000C2F85">
        <w:rPr>
          <w:lang w:val="es-ES_tradnl"/>
        </w:rPr>
        <w:t xml:space="preserve"> prevé el establecimiento de una oficina independiente, la Inspección Judicial del Servicio Penitenciario, bajo el control de un juez de vigilancia. El objeto de la Inspección Judicial del Servicio Penitenciario es facilitar la inspección de los centros penitenciarios a fin de que el juez de vigilancia informe sobre el trato de los reclusos en los centros penitenciarios y sobre las condiciones en esos centros.</w:t>
      </w:r>
    </w:p>
    <w:p w14:paraId="137ABB12" w14:textId="6B29D6E5" w:rsidR="000C2F85" w:rsidRPr="000C2F85" w:rsidRDefault="000F09CA" w:rsidP="000F09CA">
      <w:pPr>
        <w:pStyle w:val="H23G"/>
        <w:rPr>
          <w:lang w:val="es-ES_tradnl"/>
        </w:rPr>
      </w:pPr>
      <w:r>
        <w:rPr>
          <w:lang w:val="es-ES_tradnl"/>
        </w:rPr>
        <w:tab/>
      </w:r>
      <w:r w:rsidR="000C2F85" w:rsidRPr="000C2F85">
        <w:rPr>
          <w:lang w:val="es-ES_tradnl"/>
        </w:rPr>
        <w:tab/>
        <w:t>Establecimientos penitenciarios</w:t>
      </w:r>
    </w:p>
    <w:p w14:paraId="66676FB0" w14:textId="77777777" w:rsidR="000C2F85" w:rsidRPr="000C2F85" w:rsidRDefault="000C2F85" w:rsidP="000C2F85">
      <w:pPr>
        <w:pStyle w:val="SingleTxtG"/>
        <w:rPr>
          <w:lang w:val="es-ES_tradnl"/>
        </w:rPr>
      </w:pPr>
      <w:r w:rsidRPr="000C2F85">
        <w:rPr>
          <w:lang w:val="es-ES_tradnl"/>
        </w:rPr>
        <w:t>86.</w:t>
      </w:r>
      <w:r w:rsidRPr="000C2F85">
        <w:rPr>
          <w:lang w:val="es-ES_tradnl"/>
        </w:rPr>
        <w:tab/>
        <w:t>Las condiciones de hacinamiento en nuestros establecimientos penitenciarios siguen siendo un problema. Se está aplicando una estrategia de ocho vías que incluye los siguientes elementos:</w:t>
      </w:r>
    </w:p>
    <w:p w14:paraId="29349E16" w14:textId="4CC76CAA" w:rsidR="000C2F85" w:rsidRPr="000C2F85" w:rsidRDefault="000C2F85" w:rsidP="000F09CA">
      <w:pPr>
        <w:pStyle w:val="Bullet1G"/>
        <w:rPr>
          <w:lang w:val="es-ES_tradnl"/>
        </w:rPr>
      </w:pPr>
      <w:r w:rsidRPr="000C2F85">
        <w:rPr>
          <w:lang w:val="es-ES_tradnl"/>
        </w:rPr>
        <w:t>Gestionar los casos de personas en prisión preventiva por medio del Grupo de Trabajo para una Gestión Individualizada del Sistema de Justicia Integrada, el Comité Intersectorial de Justicia Juvenil, los Comités Provinciales de Mejora de la Eficiencia, el Comité Nacional de Mejora de la Eficiencia y el Comité Nacional de Operaciones</w:t>
      </w:r>
      <w:r w:rsidR="000F09CA">
        <w:rPr>
          <w:lang w:val="es-ES_tradnl"/>
        </w:rPr>
        <w:t>.</w:t>
      </w:r>
    </w:p>
    <w:p w14:paraId="62A18217" w14:textId="3E3C0311" w:rsidR="000C2F85" w:rsidRPr="000C2F85" w:rsidRDefault="000C2F85" w:rsidP="000F09CA">
      <w:pPr>
        <w:pStyle w:val="Bullet1G"/>
        <w:rPr>
          <w:lang w:val="es-ES_tradnl"/>
        </w:rPr>
      </w:pPr>
      <w:r w:rsidRPr="000C2F85">
        <w:rPr>
          <w:lang w:val="es-ES_tradnl"/>
        </w:rPr>
        <w:t>Gestionar los casos de delincuentes condenados mejorando el uso efectivo y adecuado de la conmutación de penas por trabajos comunitarios supervisados, libertad condicional o traslado de centro penitenciario para procurar una distribución más equilibrada de la población carcelaria</w:t>
      </w:r>
      <w:r w:rsidR="000F09CA">
        <w:rPr>
          <w:lang w:val="es-ES_tradnl"/>
        </w:rPr>
        <w:t>.</w:t>
      </w:r>
    </w:p>
    <w:p w14:paraId="69088CDC" w14:textId="2F8547D0" w:rsidR="000C2F85" w:rsidRPr="000C2F85" w:rsidRDefault="000C2F85" w:rsidP="000F09CA">
      <w:pPr>
        <w:pStyle w:val="Bullet1G"/>
        <w:rPr>
          <w:lang w:val="es-ES_tradnl"/>
        </w:rPr>
      </w:pPr>
      <w:r w:rsidRPr="000C2F85">
        <w:rPr>
          <w:lang w:val="es-ES_tradnl"/>
        </w:rPr>
        <w:t>Seguir aplicando el programa de infraestructuras del Departamento de Servicios Penitenciarios para reformar los centros penitenciarios y construir otros nuevos orientados a la rehabilitación a un costo razonable</w:t>
      </w:r>
      <w:r w:rsidR="000F09CA">
        <w:rPr>
          <w:lang w:val="es-ES_tradnl"/>
        </w:rPr>
        <w:t>.</w:t>
      </w:r>
    </w:p>
    <w:p w14:paraId="0810D254" w14:textId="2FF65BF4" w:rsidR="000C2F85" w:rsidRPr="000C2F85" w:rsidRDefault="000C2F85" w:rsidP="000F09CA">
      <w:pPr>
        <w:pStyle w:val="Bullet1G"/>
        <w:rPr>
          <w:lang w:val="es-ES_tradnl"/>
        </w:rPr>
      </w:pPr>
      <w:r w:rsidRPr="000C2F85">
        <w:rPr>
          <w:lang w:val="es-ES_tradnl"/>
        </w:rPr>
        <w:t>Promover el debate en Sudáfrica sobre las razones de la privación de libertad como sanción y alentar un enfoque sobre la imposición de penas apropiadas que se centre en facilitar la rehabilitación</w:t>
      </w:r>
      <w:r w:rsidR="000F09CA">
        <w:rPr>
          <w:lang w:val="es-ES_tradnl"/>
        </w:rPr>
        <w:t>.</w:t>
      </w:r>
    </w:p>
    <w:p w14:paraId="0861A468" w14:textId="77777777" w:rsidR="000C2F85" w:rsidRPr="000C2F85" w:rsidRDefault="000C2F85" w:rsidP="000C2F85">
      <w:pPr>
        <w:pStyle w:val="SingleTxtG"/>
        <w:rPr>
          <w:lang w:val="es-ES_tradnl"/>
        </w:rPr>
      </w:pPr>
      <w:r w:rsidRPr="000C2F85">
        <w:rPr>
          <w:lang w:val="es-ES_tradnl"/>
        </w:rPr>
        <w:t>87.</w:t>
      </w:r>
      <w:r w:rsidRPr="000C2F85">
        <w:rPr>
          <w:lang w:val="es-ES_tradnl"/>
        </w:rPr>
        <w:tab/>
        <w:t>El número total de reclusos en los centros penitenciarios a 31 de marzo de 2018 se indica en el cuadro que figura a continuación.</w:t>
      </w:r>
    </w:p>
    <w:p w14:paraId="24ECCCA0" w14:textId="193279EF" w:rsidR="000C2F85" w:rsidRPr="000C2F85" w:rsidRDefault="000F09CA" w:rsidP="000F09CA">
      <w:pPr>
        <w:pStyle w:val="H23G"/>
        <w:rPr>
          <w:lang w:val="es-ES_tradnl"/>
        </w:rPr>
      </w:pPr>
      <w:r w:rsidRPr="000F09CA">
        <w:rPr>
          <w:b w:val="0"/>
          <w:bCs/>
          <w:lang w:val="es-ES_tradnl"/>
        </w:rPr>
        <w:tab/>
      </w:r>
      <w:r w:rsidR="000C2F85" w:rsidRPr="000F09CA">
        <w:rPr>
          <w:b w:val="0"/>
          <w:bCs/>
          <w:lang w:val="es-ES_tradnl"/>
        </w:rPr>
        <w:tab/>
        <w:t xml:space="preserve">Cuadro 22 </w:t>
      </w:r>
      <w:r w:rsidR="000C2F85" w:rsidRPr="000F09CA">
        <w:rPr>
          <w:b w:val="0"/>
          <w:bCs/>
          <w:lang w:val="es-ES_tradnl"/>
        </w:rPr>
        <w:br/>
      </w:r>
      <w:r w:rsidR="000C2F85" w:rsidRPr="000C2F85">
        <w:rPr>
          <w:lang w:val="es-ES_tradnl"/>
        </w:rPr>
        <w:t>Reclusos en centros penitenciarios (a 31 de marzo de 2018)</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127"/>
        <w:gridCol w:w="1275"/>
        <w:gridCol w:w="1134"/>
        <w:gridCol w:w="993"/>
        <w:gridCol w:w="850"/>
        <w:gridCol w:w="991"/>
      </w:tblGrid>
      <w:tr w:rsidR="000C2F85" w:rsidRPr="000F09CA" w14:paraId="1BA65D4D" w14:textId="77777777" w:rsidTr="000F09CA">
        <w:trPr>
          <w:trHeight w:val="240"/>
          <w:tblHeader/>
        </w:trPr>
        <w:tc>
          <w:tcPr>
            <w:tcW w:w="2127" w:type="dxa"/>
            <w:tcBorders>
              <w:top w:val="single" w:sz="4" w:space="0" w:color="auto"/>
              <w:bottom w:val="single" w:sz="12" w:space="0" w:color="auto"/>
            </w:tcBorders>
            <w:shd w:val="clear" w:color="auto" w:fill="auto"/>
            <w:vAlign w:val="bottom"/>
          </w:tcPr>
          <w:p w14:paraId="2B72DB5C" w14:textId="77777777" w:rsidR="000C2F85" w:rsidRPr="000F09CA" w:rsidRDefault="000C2F85" w:rsidP="000F09CA">
            <w:pPr>
              <w:pStyle w:val="SingleTxtG"/>
              <w:tabs>
                <w:tab w:val="clear" w:pos="1701"/>
                <w:tab w:val="clear" w:pos="2268"/>
                <w:tab w:val="clear" w:pos="2835"/>
              </w:tabs>
              <w:spacing w:before="80" w:after="80" w:line="200" w:lineRule="exact"/>
              <w:ind w:left="0" w:right="0"/>
              <w:jc w:val="left"/>
              <w:rPr>
                <w:i/>
                <w:sz w:val="16"/>
                <w:lang w:val="es-ES_tradnl"/>
              </w:rPr>
            </w:pPr>
            <w:r w:rsidRPr="000F09CA">
              <w:rPr>
                <w:i/>
                <w:iCs/>
                <w:sz w:val="16"/>
                <w:lang w:val="es-ES_tradnl"/>
              </w:rPr>
              <w:t>Región</w:t>
            </w:r>
          </w:p>
        </w:tc>
        <w:tc>
          <w:tcPr>
            <w:tcW w:w="1275" w:type="dxa"/>
            <w:tcBorders>
              <w:top w:val="single" w:sz="4" w:space="0" w:color="auto"/>
              <w:bottom w:val="single" w:sz="12" w:space="0" w:color="auto"/>
            </w:tcBorders>
            <w:shd w:val="clear" w:color="auto" w:fill="auto"/>
            <w:vAlign w:val="bottom"/>
          </w:tcPr>
          <w:p w14:paraId="70562BF7" w14:textId="77777777" w:rsidR="000C2F85" w:rsidRPr="000F09CA" w:rsidRDefault="000C2F85" w:rsidP="000F09CA">
            <w:pPr>
              <w:pStyle w:val="SingleTxtG"/>
              <w:tabs>
                <w:tab w:val="clear" w:pos="1701"/>
                <w:tab w:val="clear" w:pos="2268"/>
                <w:tab w:val="clear" w:pos="2835"/>
              </w:tabs>
              <w:spacing w:before="80" w:after="80" w:line="200" w:lineRule="exact"/>
              <w:ind w:left="57" w:right="28"/>
              <w:jc w:val="right"/>
              <w:rPr>
                <w:i/>
                <w:sz w:val="16"/>
                <w:lang w:val="es-ES_tradnl"/>
              </w:rPr>
            </w:pPr>
            <w:r w:rsidRPr="000F09CA">
              <w:rPr>
                <w:i/>
                <w:iCs/>
                <w:sz w:val="16"/>
                <w:lang w:val="es-ES_tradnl"/>
              </w:rPr>
              <w:t>Plazas aprobadas</w:t>
            </w:r>
          </w:p>
        </w:tc>
        <w:tc>
          <w:tcPr>
            <w:tcW w:w="1134" w:type="dxa"/>
            <w:tcBorders>
              <w:top w:val="single" w:sz="4" w:space="0" w:color="auto"/>
              <w:bottom w:val="single" w:sz="12" w:space="0" w:color="auto"/>
            </w:tcBorders>
            <w:shd w:val="clear" w:color="auto" w:fill="auto"/>
            <w:vAlign w:val="bottom"/>
          </w:tcPr>
          <w:p w14:paraId="34E190E0" w14:textId="77777777" w:rsidR="000C2F85" w:rsidRPr="000F09CA" w:rsidRDefault="000C2F85" w:rsidP="000F09CA">
            <w:pPr>
              <w:pStyle w:val="SingleTxtG"/>
              <w:tabs>
                <w:tab w:val="clear" w:pos="1701"/>
                <w:tab w:val="clear" w:pos="2268"/>
                <w:tab w:val="clear" w:pos="2835"/>
              </w:tabs>
              <w:spacing w:before="80" w:after="80" w:line="200" w:lineRule="exact"/>
              <w:ind w:left="57" w:right="28"/>
              <w:jc w:val="right"/>
              <w:rPr>
                <w:i/>
                <w:sz w:val="16"/>
                <w:lang w:val="es-ES_tradnl"/>
              </w:rPr>
            </w:pPr>
            <w:r w:rsidRPr="000F09CA">
              <w:rPr>
                <w:i/>
                <w:iCs/>
                <w:sz w:val="16"/>
                <w:lang w:val="es-ES_tradnl"/>
              </w:rPr>
              <w:t>Reclusos pendientes de condena</w:t>
            </w:r>
          </w:p>
        </w:tc>
        <w:tc>
          <w:tcPr>
            <w:tcW w:w="993" w:type="dxa"/>
            <w:tcBorders>
              <w:top w:val="single" w:sz="4" w:space="0" w:color="auto"/>
              <w:bottom w:val="single" w:sz="12" w:space="0" w:color="auto"/>
            </w:tcBorders>
            <w:shd w:val="clear" w:color="auto" w:fill="auto"/>
            <w:vAlign w:val="bottom"/>
          </w:tcPr>
          <w:p w14:paraId="4C7FBBD0" w14:textId="77777777" w:rsidR="000C2F85" w:rsidRPr="000F09CA" w:rsidRDefault="000C2F85" w:rsidP="000F09CA">
            <w:pPr>
              <w:pStyle w:val="SingleTxtG"/>
              <w:tabs>
                <w:tab w:val="clear" w:pos="1701"/>
                <w:tab w:val="clear" w:pos="2268"/>
                <w:tab w:val="clear" w:pos="2835"/>
              </w:tabs>
              <w:spacing w:before="80" w:after="80" w:line="200" w:lineRule="exact"/>
              <w:ind w:left="57" w:right="28"/>
              <w:jc w:val="right"/>
              <w:rPr>
                <w:i/>
                <w:sz w:val="16"/>
                <w:lang w:val="es-ES_tradnl"/>
              </w:rPr>
            </w:pPr>
            <w:r w:rsidRPr="000F09CA">
              <w:rPr>
                <w:i/>
                <w:iCs/>
                <w:sz w:val="16"/>
                <w:lang w:val="es-ES_tradnl"/>
              </w:rPr>
              <w:t>Condenados</w:t>
            </w:r>
          </w:p>
        </w:tc>
        <w:tc>
          <w:tcPr>
            <w:tcW w:w="850" w:type="dxa"/>
            <w:tcBorders>
              <w:top w:val="single" w:sz="4" w:space="0" w:color="auto"/>
              <w:bottom w:val="single" w:sz="12" w:space="0" w:color="auto"/>
            </w:tcBorders>
            <w:shd w:val="clear" w:color="auto" w:fill="auto"/>
            <w:vAlign w:val="bottom"/>
          </w:tcPr>
          <w:p w14:paraId="5B54FD9E" w14:textId="77777777" w:rsidR="000C2F85" w:rsidRPr="000F09CA" w:rsidRDefault="000C2F85" w:rsidP="000F09CA">
            <w:pPr>
              <w:pStyle w:val="SingleTxtG"/>
              <w:tabs>
                <w:tab w:val="clear" w:pos="1701"/>
                <w:tab w:val="clear" w:pos="2268"/>
                <w:tab w:val="clear" w:pos="2835"/>
              </w:tabs>
              <w:spacing w:before="80" w:after="80" w:line="200" w:lineRule="exact"/>
              <w:ind w:left="57" w:right="28"/>
              <w:jc w:val="right"/>
              <w:rPr>
                <w:i/>
                <w:sz w:val="16"/>
                <w:lang w:val="es-ES_tradnl"/>
              </w:rPr>
            </w:pPr>
            <w:r w:rsidRPr="000F09CA">
              <w:rPr>
                <w:i/>
                <w:iCs/>
                <w:sz w:val="16"/>
                <w:lang w:val="es-ES_tradnl"/>
              </w:rPr>
              <w:t>Total</w:t>
            </w:r>
          </w:p>
        </w:tc>
        <w:tc>
          <w:tcPr>
            <w:tcW w:w="991" w:type="dxa"/>
            <w:tcBorders>
              <w:top w:val="single" w:sz="4" w:space="0" w:color="auto"/>
              <w:bottom w:val="single" w:sz="12" w:space="0" w:color="auto"/>
            </w:tcBorders>
            <w:shd w:val="clear" w:color="auto" w:fill="auto"/>
            <w:vAlign w:val="bottom"/>
          </w:tcPr>
          <w:p w14:paraId="6692752E" w14:textId="77777777" w:rsidR="000C2F85" w:rsidRPr="000F09CA" w:rsidRDefault="000C2F85" w:rsidP="000F09CA">
            <w:pPr>
              <w:pStyle w:val="SingleTxtG"/>
              <w:tabs>
                <w:tab w:val="clear" w:pos="1701"/>
                <w:tab w:val="clear" w:pos="2268"/>
                <w:tab w:val="clear" w:pos="2835"/>
              </w:tabs>
              <w:spacing w:before="80" w:after="80" w:line="200" w:lineRule="exact"/>
              <w:ind w:left="57" w:right="28"/>
              <w:jc w:val="right"/>
              <w:rPr>
                <w:i/>
                <w:sz w:val="16"/>
                <w:lang w:val="es-ES_tradnl"/>
              </w:rPr>
            </w:pPr>
            <w:r w:rsidRPr="000F09CA">
              <w:rPr>
                <w:i/>
                <w:iCs/>
                <w:sz w:val="16"/>
                <w:lang w:val="es-ES_tradnl"/>
              </w:rPr>
              <w:t>Porcentaje de ocupación</w:t>
            </w:r>
          </w:p>
        </w:tc>
      </w:tr>
      <w:tr w:rsidR="000C2F85" w:rsidRPr="000F09CA" w14:paraId="324B61A6" w14:textId="77777777" w:rsidTr="000F09CA">
        <w:trPr>
          <w:trHeight w:val="240"/>
        </w:trPr>
        <w:tc>
          <w:tcPr>
            <w:tcW w:w="2127" w:type="dxa"/>
            <w:tcBorders>
              <w:top w:val="single" w:sz="12" w:space="0" w:color="auto"/>
            </w:tcBorders>
            <w:shd w:val="clear" w:color="auto" w:fill="auto"/>
          </w:tcPr>
          <w:p w14:paraId="5856028D" w14:textId="77777777" w:rsidR="000C2F85" w:rsidRPr="000F09CA" w:rsidRDefault="000C2F85" w:rsidP="000F09CA">
            <w:pPr>
              <w:pStyle w:val="SingleTxtG"/>
              <w:tabs>
                <w:tab w:val="clear" w:pos="1701"/>
                <w:tab w:val="clear" w:pos="2268"/>
                <w:tab w:val="clear" w:pos="2835"/>
              </w:tabs>
              <w:spacing w:before="40" w:after="40" w:line="220" w:lineRule="exact"/>
              <w:ind w:left="0" w:right="0"/>
              <w:jc w:val="left"/>
              <w:rPr>
                <w:sz w:val="18"/>
                <w:lang w:val="es-ES_tradnl"/>
              </w:rPr>
            </w:pPr>
            <w:r w:rsidRPr="000F09CA">
              <w:rPr>
                <w:sz w:val="18"/>
                <w:lang w:val="es-ES_tradnl"/>
              </w:rPr>
              <w:t>Gauteng</w:t>
            </w:r>
          </w:p>
        </w:tc>
        <w:tc>
          <w:tcPr>
            <w:tcW w:w="1275" w:type="dxa"/>
            <w:tcBorders>
              <w:top w:val="single" w:sz="12" w:space="0" w:color="auto"/>
            </w:tcBorders>
            <w:shd w:val="clear" w:color="auto" w:fill="auto"/>
            <w:vAlign w:val="bottom"/>
          </w:tcPr>
          <w:p w14:paraId="76ACC22C" w14:textId="77777777"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25 421</w:t>
            </w:r>
          </w:p>
        </w:tc>
        <w:tc>
          <w:tcPr>
            <w:tcW w:w="1134" w:type="dxa"/>
            <w:tcBorders>
              <w:top w:val="single" w:sz="12" w:space="0" w:color="auto"/>
            </w:tcBorders>
            <w:shd w:val="clear" w:color="auto" w:fill="auto"/>
            <w:vAlign w:val="bottom"/>
          </w:tcPr>
          <w:p w14:paraId="5CA201DA" w14:textId="77777777" w:rsidR="000C2F85" w:rsidRPr="000F09CA" w:rsidRDefault="000C2F85" w:rsidP="000F09CA">
            <w:pPr>
              <w:pStyle w:val="SingleTxtG"/>
              <w:tabs>
                <w:tab w:val="clear" w:pos="1701"/>
                <w:tab w:val="clear" w:pos="2268"/>
                <w:tab w:val="clear" w:pos="2835"/>
              </w:tabs>
              <w:spacing w:before="40" w:after="40" w:line="220" w:lineRule="exact"/>
              <w:ind w:left="57" w:right="28"/>
              <w:jc w:val="right"/>
              <w:rPr>
                <w:bCs/>
                <w:sz w:val="18"/>
                <w:lang w:val="es-ES_tradnl"/>
              </w:rPr>
            </w:pPr>
            <w:r w:rsidRPr="000F09CA">
              <w:rPr>
                <w:sz w:val="18"/>
                <w:lang w:val="es-ES_tradnl"/>
              </w:rPr>
              <w:t>11 117</w:t>
            </w:r>
          </w:p>
        </w:tc>
        <w:tc>
          <w:tcPr>
            <w:tcW w:w="993" w:type="dxa"/>
            <w:tcBorders>
              <w:top w:val="single" w:sz="12" w:space="0" w:color="auto"/>
            </w:tcBorders>
            <w:shd w:val="clear" w:color="auto" w:fill="auto"/>
            <w:vAlign w:val="bottom"/>
          </w:tcPr>
          <w:p w14:paraId="4E2DE960" w14:textId="77777777" w:rsidR="000C2F85" w:rsidRPr="000F09CA" w:rsidRDefault="000C2F85" w:rsidP="000F09CA">
            <w:pPr>
              <w:pStyle w:val="SingleTxtG"/>
              <w:tabs>
                <w:tab w:val="clear" w:pos="1701"/>
                <w:tab w:val="clear" w:pos="2268"/>
                <w:tab w:val="clear" w:pos="2835"/>
              </w:tabs>
              <w:spacing w:before="40" w:after="40" w:line="220" w:lineRule="exact"/>
              <w:ind w:left="57" w:right="28"/>
              <w:jc w:val="right"/>
              <w:rPr>
                <w:bCs/>
                <w:sz w:val="18"/>
                <w:lang w:val="es-ES_tradnl"/>
              </w:rPr>
            </w:pPr>
            <w:r w:rsidRPr="000F09CA">
              <w:rPr>
                <w:sz w:val="18"/>
                <w:lang w:val="es-ES_tradnl"/>
              </w:rPr>
              <w:t>26 000</w:t>
            </w:r>
          </w:p>
        </w:tc>
        <w:tc>
          <w:tcPr>
            <w:tcW w:w="850" w:type="dxa"/>
            <w:tcBorders>
              <w:top w:val="single" w:sz="12" w:space="0" w:color="auto"/>
            </w:tcBorders>
            <w:shd w:val="clear" w:color="auto" w:fill="auto"/>
            <w:vAlign w:val="bottom"/>
          </w:tcPr>
          <w:p w14:paraId="525EF844" w14:textId="77777777"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37 117</w:t>
            </w:r>
          </w:p>
        </w:tc>
        <w:tc>
          <w:tcPr>
            <w:tcW w:w="991" w:type="dxa"/>
            <w:tcBorders>
              <w:top w:val="single" w:sz="12" w:space="0" w:color="auto"/>
            </w:tcBorders>
            <w:shd w:val="clear" w:color="auto" w:fill="auto"/>
            <w:vAlign w:val="bottom"/>
          </w:tcPr>
          <w:p w14:paraId="2067343A" w14:textId="019138CC"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146,01</w:t>
            </w:r>
          </w:p>
        </w:tc>
      </w:tr>
      <w:tr w:rsidR="000C2F85" w:rsidRPr="000F09CA" w14:paraId="21039E22" w14:textId="77777777" w:rsidTr="000F09CA">
        <w:trPr>
          <w:trHeight w:val="240"/>
        </w:trPr>
        <w:tc>
          <w:tcPr>
            <w:tcW w:w="2127" w:type="dxa"/>
            <w:shd w:val="clear" w:color="auto" w:fill="auto"/>
          </w:tcPr>
          <w:p w14:paraId="10EDE936" w14:textId="77777777" w:rsidR="000C2F85" w:rsidRPr="000F09CA" w:rsidRDefault="000C2F85" w:rsidP="000F09CA">
            <w:pPr>
              <w:pStyle w:val="SingleTxtG"/>
              <w:tabs>
                <w:tab w:val="clear" w:pos="1701"/>
                <w:tab w:val="clear" w:pos="2268"/>
                <w:tab w:val="clear" w:pos="2835"/>
              </w:tabs>
              <w:spacing w:before="40" w:after="40" w:line="220" w:lineRule="exact"/>
              <w:ind w:left="0" w:right="0"/>
              <w:jc w:val="left"/>
              <w:rPr>
                <w:sz w:val="18"/>
                <w:lang w:val="es-ES_tradnl"/>
              </w:rPr>
            </w:pPr>
            <w:r w:rsidRPr="000F09CA">
              <w:rPr>
                <w:sz w:val="18"/>
                <w:lang w:val="es-ES_tradnl"/>
              </w:rPr>
              <w:t>Cabo Occidental</w:t>
            </w:r>
          </w:p>
        </w:tc>
        <w:tc>
          <w:tcPr>
            <w:tcW w:w="1275" w:type="dxa"/>
            <w:shd w:val="clear" w:color="auto" w:fill="auto"/>
            <w:vAlign w:val="bottom"/>
          </w:tcPr>
          <w:p w14:paraId="1218702C" w14:textId="77777777"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20 509</w:t>
            </w:r>
          </w:p>
        </w:tc>
        <w:tc>
          <w:tcPr>
            <w:tcW w:w="1134" w:type="dxa"/>
            <w:shd w:val="clear" w:color="auto" w:fill="auto"/>
            <w:vAlign w:val="bottom"/>
          </w:tcPr>
          <w:p w14:paraId="4E93FA43" w14:textId="77777777"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12 000</w:t>
            </w:r>
          </w:p>
        </w:tc>
        <w:tc>
          <w:tcPr>
            <w:tcW w:w="993" w:type="dxa"/>
            <w:shd w:val="clear" w:color="auto" w:fill="auto"/>
            <w:vAlign w:val="bottom"/>
          </w:tcPr>
          <w:p w14:paraId="1DF4B19C" w14:textId="77777777"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18 157</w:t>
            </w:r>
          </w:p>
        </w:tc>
        <w:tc>
          <w:tcPr>
            <w:tcW w:w="850" w:type="dxa"/>
            <w:shd w:val="clear" w:color="auto" w:fill="auto"/>
            <w:vAlign w:val="bottom"/>
          </w:tcPr>
          <w:p w14:paraId="4F4E7C45" w14:textId="77777777"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30 157</w:t>
            </w:r>
          </w:p>
        </w:tc>
        <w:tc>
          <w:tcPr>
            <w:tcW w:w="991" w:type="dxa"/>
            <w:shd w:val="clear" w:color="auto" w:fill="auto"/>
            <w:vAlign w:val="bottom"/>
          </w:tcPr>
          <w:p w14:paraId="110251AA" w14:textId="1E0F0555"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147,04</w:t>
            </w:r>
          </w:p>
        </w:tc>
      </w:tr>
      <w:tr w:rsidR="000C2F85" w:rsidRPr="000F09CA" w14:paraId="25037855" w14:textId="77777777" w:rsidTr="000F09CA">
        <w:trPr>
          <w:trHeight w:val="240"/>
        </w:trPr>
        <w:tc>
          <w:tcPr>
            <w:tcW w:w="2127" w:type="dxa"/>
            <w:shd w:val="clear" w:color="auto" w:fill="auto"/>
          </w:tcPr>
          <w:p w14:paraId="22D63ABF" w14:textId="77777777" w:rsidR="000C2F85" w:rsidRPr="000F09CA" w:rsidRDefault="000C2F85" w:rsidP="000F09CA">
            <w:pPr>
              <w:pStyle w:val="SingleTxtG"/>
              <w:tabs>
                <w:tab w:val="clear" w:pos="1701"/>
                <w:tab w:val="clear" w:pos="2268"/>
                <w:tab w:val="clear" w:pos="2835"/>
              </w:tabs>
              <w:spacing w:before="40" w:after="40" w:line="220" w:lineRule="exact"/>
              <w:ind w:left="0" w:right="0"/>
              <w:jc w:val="left"/>
              <w:rPr>
                <w:sz w:val="18"/>
                <w:lang w:val="es-ES_tradnl"/>
              </w:rPr>
            </w:pPr>
            <w:r w:rsidRPr="000F09CA">
              <w:rPr>
                <w:sz w:val="18"/>
                <w:lang w:val="es-ES_tradnl"/>
              </w:rPr>
              <w:t>Kwazulu-Natal</w:t>
            </w:r>
          </w:p>
        </w:tc>
        <w:tc>
          <w:tcPr>
            <w:tcW w:w="1275" w:type="dxa"/>
            <w:shd w:val="clear" w:color="auto" w:fill="auto"/>
            <w:vAlign w:val="bottom"/>
          </w:tcPr>
          <w:p w14:paraId="0F98744D" w14:textId="77777777"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20 054</w:t>
            </w:r>
          </w:p>
        </w:tc>
        <w:tc>
          <w:tcPr>
            <w:tcW w:w="1134" w:type="dxa"/>
            <w:shd w:val="clear" w:color="auto" w:fill="auto"/>
            <w:vAlign w:val="bottom"/>
          </w:tcPr>
          <w:p w14:paraId="66B26950" w14:textId="77777777"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6 220</w:t>
            </w:r>
          </w:p>
        </w:tc>
        <w:tc>
          <w:tcPr>
            <w:tcW w:w="993" w:type="dxa"/>
            <w:shd w:val="clear" w:color="auto" w:fill="auto"/>
            <w:vAlign w:val="bottom"/>
          </w:tcPr>
          <w:p w14:paraId="657F1CDE" w14:textId="77777777"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21 712</w:t>
            </w:r>
          </w:p>
        </w:tc>
        <w:tc>
          <w:tcPr>
            <w:tcW w:w="850" w:type="dxa"/>
            <w:shd w:val="clear" w:color="auto" w:fill="auto"/>
            <w:vAlign w:val="bottom"/>
          </w:tcPr>
          <w:p w14:paraId="588365AF" w14:textId="77777777"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27 932</w:t>
            </w:r>
          </w:p>
        </w:tc>
        <w:tc>
          <w:tcPr>
            <w:tcW w:w="991" w:type="dxa"/>
            <w:shd w:val="clear" w:color="auto" w:fill="auto"/>
            <w:vAlign w:val="bottom"/>
          </w:tcPr>
          <w:p w14:paraId="43E0E023" w14:textId="29902266"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139,28</w:t>
            </w:r>
          </w:p>
        </w:tc>
      </w:tr>
      <w:tr w:rsidR="000C2F85" w:rsidRPr="000F09CA" w14:paraId="193DDC4A" w14:textId="77777777" w:rsidTr="000F09CA">
        <w:trPr>
          <w:trHeight w:val="240"/>
        </w:trPr>
        <w:tc>
          <w:tcPr>
            <w:tcW w:w="2127" w:type="dxa"/>
            <w:shd w:val="clear" w:color="auto" w:fill="auto"/>
          </w:tcPr>
          <w:p w14:paraId="112C11A6" w14:textId="77777777" w:rsidR="000C2F85" w:rsidRPr="000F09CA" w:rsidRDefault="000C2F85" w:rsidP="000F09CA">
            <w:pPr>
              <w:pStyle w:val="SingleTxtG"/>
              <w:tabs>
                <w:tab w:val="clear" w:pos="1701"/>
                <w:tab w:val="clear" w:pos="2268"/>
                <w:tab w:val="clear" w:pos="2835"/>
              </w:tabs>
              <w:spacing w:before="40" w:after="40" w:line="220" w:lineRule="exact"/>
              <w:ind w:left="0" w:right="0"/>
              <w:jc w:val="left"/>
              <w:rPr>
                <w:sz w:val="18"/>
                <w:lang w:val="es-ES_tradnl"/>
              </w:rPr>
            </w:pPr>
            <w:r w:rsidRPr="000F09CA">
              <w:rPr>
                <w:sz w:val="18"/>
                <w:lang w:val="es-ES_tradnl"/>
              </w:rPr>
              <w:t>Estado Libre, Cabo Septentrional</w:t>
            </w:r>
          </w:p>
        </w:tc>
        <w:tc>
          <w:tcPr>
            <w:tcW w:w="1275" w:type="dxa"/>
            <w:shd w:val="clear" w:color="auto" w:fill="auto"/>
            <w:vAlign w:val="bottom"/>
          </w:tcPr>
          <w:p w14:paraId="62ADCCB1" w14:textId="77777777"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20 550</w:t>
            </w:r>
          </w:p>
        </w:tc>
        <w:tc>
          <w:tcPr>
            <w:tcW w:w="1134" w:type="dxa"/>
            <w:shd w:val="clear" w:color="auto" w:fill="auto"/>
            <w:vAlign w:val="bottom"/>
          </w:tcPr>
          <w:p w14:paraId="409295C4" w14:textId="77777777"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5 052</w:t>
            </w:r>
          </w:p>
        </w:tc>
        <w:tc>
          <w:tcPr>
            <w:tcW w:w="993" w:type="dxa"/>
            <w:shd w:val="clear" w:color="auto" w:fill="auto"/>
            <w:vAlign w:val="bottom"/>
          </w:tcPr>
          <w:p w14:paraId="52885685" w14:textId="77777777"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18 125</w:t>
            </w:r>
          </w:p>
        </w:tc>
        <w:tc>
          <w:tcPr>
            <w:tcW w:w="850" w:type="dxa"/>
            <w:shd w:val="clear" w:color="auto" w:fill="auto"/>
            <w:vAlign w:val="bottom"/>
          </w:tcPr>
          <w:p w14:paraId="536C0FBF" w14:textId="77777777"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23 177</w:t>
            </w:r>
          </w:p>
        </w:tc>
        <w:tc>
          <w:tcPr>
            <w:tcW w:w="991" w:type="dxa"/>
            <w:shd w:val="clear" w:color="auto" w:fill="auto"/>
            <w:vAlign w:val="bottom"/>
          </w:tcPr>
          <w:p w14:paraId="73A4EDA6" w14:textId="08D54498"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112,78</w:t>
            </w:r>
          </w:p>
        </w:tc>
      </w:tr>
      <w:tr w:rsidR="000C2F85" w:rsidRPr="000F09CA" w14:paraId="40381337" w14:textId="77777777" w:rsidTr="000F09CA">
        <w:trPr>
          <w:trHeight w:val="240"/>
        </w:trPr>
        <w:tc>
          <w:tcPr>
            <w:tcW w:w="2127" w:type="dxa"/>
            <w:shd w:val="clear" w:color="auto" w:fill="auto"/>
          </w:tcPr>
          <w:p w14:paraId="7538B468" w14:textId="77777777" w:rsidR="000C2F85" w:rsidRPr="000F09CA" w:rsidRDefault="000C2F85" w:rsidP="000F09CA">
            <w:pPr>
              <w:pStyle w:val="SingleTxtG"/>
              <w:tabs>
                <w:tab w:val="clear" w:pos="1701"/>
                <w:tab w:val="clear" w:pos="2268"/>
                <w:tab w:val="clear" w:pos="2835"/>
              </w:tabs>
              <w:spacing w:before="40" w:after="40" w:line="220" w:lineRule="exact"/>
              <w:ind w:left="0" w:right="0"/>
              <w:jc w:val="left"/>
              <w:rPr>
                <w:sz w:val="18"/>
                <w:lang w:val="es-ES_tradnl"/>
              </w:rPr>
            </w:pPr>
            <w:r w:rsidRPr="000F09CA">
              <w:rPr>
                <w:sz w:val="18"/>
                <w:lang w:val="es-ES_tradnl"/>
              </w:rPr>
              <w:t>Cabo Oriental</w:t>
            </w:r>
          </w:p>
        </w:tc>
        <w:tc>
          <w:tcPr>
            <w:tcW w:w="1275" w:type="dxa"/>
            <w:shd w:val="clear" w:color="auto" w:fill="auto"/>
            <w:vAlign w:val="bottom"/>
          </w:tcPr>
          <w:p w14:paraId="1B6DFC75" w14:textId="77777777"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13 081</w:t>
            </w:r>
          </w:p>
        </w:tc>
        <w:tc>
          <w:tcPr>
            <w:tcW w:w="1134" w:type="dxa"/>
            <w:shd w:val="clear" w:color="auto" w:fill="auto"/>
            <w:vAlign w:val="bottom"/>
          </w:tcPr>
          <w:p w14:paraId="657AE5F3" w14:textId="77777777"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5 290</w:t>
            </w:r>
          </w:p>
        </w:tc>
        <w:tc>
          <w:tcPr>
            <w:tcW w:w="993" w:type="dxa"/>
            <w:shd w:val="clear" w:color="auto" w:fill="auto"/>
            <w:vAlign w:val="bottom"/>
          </w:tcPr>
          <w:p w14:paraId="36D48620" w14:textId="77777777"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15 547</w:t>
            </w:r>
          </w:p>
        </w:tc>
        <w:tc>
          <w:tcPr>
            <w:tcW w:w="850" w:type="dxa"/>
            <w:shd w:val="clear" w:color="auto" w:fill="auto"/>
            <w:vAlign w:val="bottom"/>
          </w:tcPr>
          <w:p w14:paraId="122A5437" w14:textId="77777777"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20 837</w:t>
            </w:r>
          </w:p>
        </w:tc>
        <w:tc>
          <w:tcPr>
            <w:tcW w:w="991" w:type="dxa"/>
            <w:shd w:val="clear" w:color="auto" w:fill="auto"/>
            <w:vAlign w:val="bottom"/>
          </w:tcPr>
          <w:p w14:paraId="7CED8C9B" w14:textId="5A00F202"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159,29</w:t>
            </w:r>
          </w:p>
        </w:tc>
      </w:tr>
      <w:tr w:rsidR="000C2F85" w:rsidRPr="000F09CA" w14:paraId="3E5F7AB1" w14:textId="77777777" w:rsidTr="000F09CA">
        <w:trPr>
          <w:trHeight w:val="240"/>
        </w:trPr>
        <w:tc>
          <w:tcPr>
            <w:tcW w:w="2127" w:type="dxa"/>
            <w:shd w:val="clear" w:color="auto" w:fill="auto"/>
          </w:tcPr>
          <w:p w14:paraId="4245F707" w14:textId="77777777" w:rsidR="000C2F85" w:rsidRPr="000F09CA" w:rsidRDefault="000C2F85" w:rsidP="000F09CA">
            <w:pPr>
              <w:pStyle w:val="SingleTxtG"/>
              <w:tabs>
                <w:tab w:val="clear" w:pos="1701"/>
                <w:tab w:val="clear" w:pos="2268"/>
                <w:tab w:val="clear" w:pos="2835"/>
              </w:tabs>
              <w:spacing w:before="40" w:after="40" w:line="220" w:lineRule="exact"/>
              <w:ind w:left="0" w:right="0"/>
              <w:jc w:val="left"/>
              <w:rPr>
                <w:sz w:val="18"/>
                <w:lang w:val="es-ES_tradnl"/>
              </w:rPr>
            </w:pPr>
            <w:r w:rsidRPr="000F09CA">
              <w:rPr>
                <w:sz w:val="18"/>
                <w:lang w:val="es-ES_tradnl"/>
              </w:rPr>
              <w:t>Limpopo, Mpumalanga, Provincia Noroccidental</w:t>
            </w:r>
          </w:p>
        </w:tc>
        <w:tc>
          <w:tcPr>
            <w:tcW w:w="1275" w:type="dxa"/>
            <w:shd w:val="clear" w:color="auto" w:fill="auto"/>
            <w:vAlign w:val="bottom"/>
          </w:tcPr>
          <w:p w14:paraId="11229D6A" w14:textId="77777777"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18 296</w:t>
            </w:r>
          </w:p>
        </w:tc>
        <w:tc>
          <w:tcPr>
            <w:tcW w:w="1134" w:type="dxa"/>
            <w:shd w:val="clear" w:color="auto" w:fill="auto"/>
            <w:vAlign w:val="bottom"/>
          </w:tcPr>
          <w:p w14:paraId="77FDA520" w14:textId="77777777"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6 576</w:t>
            </w:r>
          </w:p>
        </w:tc>
        <w:tc>
          <w:tcPr>
            <w:tcW w:w="993" w:type="dxa"/>
            <w:shd w:val="clear" w:color="auto" w:fill="auto"/>
            <w:vAlign w:val="bottom"/>
          </w:tcPr>
          <w:p w14:paraId="58B4B09D" w14:textId="77777777"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18 339</w:t>
            </w:r>
          </w:p>
        </w:tc>
        <w:tc>
          <w:tcPr>
            <w:tcW w:w="850" w:type="dxa"/>
            <w:shd w:val="clear" w:color="auto" w:fill="auto"/>
            <w:vAlign w:val="bottom"/>
          </w:tcPr>
          <w:p w14:paraId="26E857C5" w14:textId="77777777"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24 915</w:t>
            </w:r>
          </w:p>
        </w:tc>
        <w:tc>
          <w:tcPr>
            <w:tcW w:w="991" w:type="dxa"/>
            <w:shd w:val="clear" w:color="auto" w:fill="auto"/>
            <w:vAlign w:val="bottom"/>
          </w:tcPr>
          <w:p w14:paraId="3A7BE726" w14:textId="4E45D8BA"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136,18</w:t>
            </w:r>
          </w:p>
        </w:tc>
      </w:tr>
      <w:tr w:rsidR="000C2F85" w:rsidRPr="000F09CA" w14:paraId="08D4051B" w14:textId="77777777" w:rsidTr="000F09CA">
        <w:trPr>
          <w:trHeight w:val="240"/>
        </w:trPr>
        <w:tc>
          <w:tcPr>
            <w:tcW w:w="2127" w:type="dxa"/>
            <w:tcBorders>
              <w:bottom w:val="single" w:sz="12" w:space="0" w:color="auto"/>
            </w:tcBorders>
            <w:shd w:val="clear" w:color="auto" w:fill="auto"/>
          </w:tcPr>
          <w:p w14:paraId="6FF2A2A1" w14:textId="77777777" w:rsidR="000C2F85" w:rsidRPr="000F09CA" w:rsidRDefault="000C2F85" w:rsidP="000F09CA">
            <w:pPr>
              <w:pStyle w:val="SingleTxtG"/>
              <w:tabs>
                <w:tab w:val="clear" w:pos="1701"/>
                <w:tab w:val="clear" w:pos="2268"/>
                <w:tab w:val="clear" w:pos="2835"/>
              </w:tabs>
              <w:spacing w:before="40" w:after="40" w:line="220" w:lineRule="exact"/>
              <w:ind w:left="0" w:right="0"/>
              <w:jc w:val="left"/>
              <w:rPr>
                <w:sz w:val="18"/>
                <w:lang w:val="es-ES_tradnl"/>
              </w:rPr>
            </w:pPr>
            <w:r w:rsidRPr="000F09CA">
              <w:rPr>
                <w:sz w:val="18"/>
                <w:lang w:val="es-ES_tradnl"/>
              </w:rPr>
              <w:t>Nacional</w:t>
            </w:r>
          </w:p>
        </w:tc>
        <w:tc>
          <w:tcPr>
            <w:tcW w:w="1275" w:type="dxa"/>
            <w:tcBorders>
              <w:bottom w:val="single" w:sz="12" w:space="0" w:color="auto"/>
            </w:tcBorders>
            <w:shd w:val="clear" w:color="auto" w:fill="auto"/>
            <w:vAlign w:val="bottom"/>
          </w:tcPr>
          <w:p w14:paraId="4A55DB85" w14:textId="77777777"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 xml:space="preserve">117 911 </w:t>
            </w:r>
          </w:p>
        </w:tc>
        <w:tc>
          <w:tcPr>
            <w:tcW w:w="1134" w:type="dxa"/>
            <w:tcBorders>
              <w:bottom w:val="single" w:sz="12" w:space="0" w:color="auto"/>
            </w:tcBorders>
            <w:shd w:val="clear" w:color="auto" w:fill="auto"/>
            <w:vAlign w:val="bottom"/>
          </w:tcPr>
          <w:p w14:paraId="5AD35FD9" w14:textId="77777777"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46 255</w:t>
            </w:r>
          </w:p>
        </w:tc>
        <w:tc>
          <w:tcPr>
            <w:tcW w:w="993" w:type="dxa"/>
            <w:tcBorders>
              <w:bottom w:val="single" w:sz="12" w:space="0" w:color="auto"/>
            </w:tcBorders>
            <w:shd w:val="clear" w:color="auto" w:fill="auto"/>
            <w:vAlign w:val="bottom"/>
          </w:tcPr>
          <w:p w14:paraId="7A10DC33" w14:textId="77777777"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117 880</w:t>
            </w:r>
          </w:p>
        </w:tc>
        <w:tc>
          <w:tcPr>
            <w:tcW w:w="850" w:type="dxa"/>
            <w:tcBorders>
              <w:bottom w:val="single" w:sz="12" w:space="0" w:color="auto"/>
            </w:tcBorders>
            <w:shd w:val="clear" w:color="auto" w:fill="auto"/>
            <w:vAlign w:val="bottom"/>
          </w:tcPr>
          <w:p w14:paraId="73DC7E98" w14:textId="77777777"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164 135</w:t>
            </w:r>
          </w:p>
        </w:tc>
        <w:tc>
          <w:tcPr>
            <w:tcW w:w="991" w:type="dxa"/>
            <w:tcBorders>
              <w:bottom w:val="single" w:sz="12" w:space="0" w:color="auto"/>
            </w:tcBorders>
            <w:shd w:val="clear" w:color="auto" w:fill="auto"/>
            <w:vAlign w:val="bottom"/>
          </w:tcPr>
          <w:p w14:paraId="6CF186FA" w14:textId="31955BDA" w:rsidR="000C2F85" w:rsidRPr="000F09CA" w:rsidRDefault="000C2F85" w:rsidP="000F09CA">
            <w:pPr>
              <w:pStyle w:val="SingleTxtG"/>
              <w:tabs>
                <w:tab w:val="clear" w:pos="1701"/>
                <w:tab w:val="clear" w:pos="2268"/>
                <w:tab w:val="clear" w:pos="2835"/>
              </w:tabs>
              <w:spacing w:before="40" w:after="40" w:line="220" w:lineRule="exact"/>
              <w:ind w:left="57" w:right="28"/>
              <w:jc w:val="right"/>
              <w:rPr>
                <w:sz w:val="18"/>
                <w:lang w:val="es-ES_tradnl"/>
              </w:rPr>
            </w:pPr>
            <w:r w:rsidRPr="000F09CA">
              <w:rPr>
                <w:sz w:val="18"/>
                <w:lang w:val="es-ES_tradnl"/>
              </w:rPr>
              <w:t>137,77</w:t>
            </w:r>
          </w:p>
        </w:tc>
      </w:tr>
    </w:tbl>
    <w:p w14:paraId="48D4A005" w14:textId="7C6BEA47" w:rsidR="000C2F85" w:rsidRDefault="000F09CA" w:rsidP="000F09CA">
      <w:pPr>
        <w:pStyle w:val="H23G"/>
        <w:rPr>
          <w:lang w:val="es-ES_tradnl"/>
        </w:rPr>
      </w:pPr>
      <w:r w:rsidRPr="000F09CA">
        <w:rPr>
          <w:b w:val="0"/>
          <w:bCs/>
          <w:lang w:val="es-ES_tradnl"/>
        </w:rPr>
        <w:lastRenderedPageBreak/>
        <w:tab/>
      </w:r>
      <w:r w:rsidR="000C2F85" w:rsidRPr="000F09CA">
        <w:rPr>
          <w:b w:val="0"/>
          <w:bCs/>
          <w:lang w:val="es-ES_tradnl"/>
        </w:rPr>
        <w:tab/>
        <w:t xml:space="preserve">Cuadro 23 </w:t>
      </w:r>
      <w:r w:rsidR="000C2F85" w:rsidRPr="000F09CA">
        <w:rPr>
          <w:b w:val="0"/>
          <w:bCs/>
          <w:lang w:val="es-ES_tradnl"/>
        </w:rPr>
        <w:br/>
      </w:r>
      <w:r w:rsidR="000C2F85" w:rsidRPr="000C2F85">
        <w:rPr>
          <w:lang w:val="es-ES_tradnl"/>
        </w:rPr>
        <w:t>Número de delincuentes condenados por categorías de delitos (tipo de delito), a</w:t>
      </w:r>
      <w:r w:rsidR="008F1CD4">
        <w:rPr>
          <w:lang w:val="es-ES_tradnl"/>
        </w:rPr>
        <w:t> </w:t>
      </w:r>
      <w:r w:rsidR="000C2F85" w:rsidRPr="000C2F85">
        <w:rPr>
          <w:lang w:val="es-ES_tradnl"/>
        </w:rPr>
        <w:t>31</w:t>
      </w:r>
      <w:r w:rsidR="008F1CD4">
        <w:rPr>
          <w:lang w:val="es-ES_tradnl"/>
        </w:rPr>
        <w:t> </w:t>
      </w:r>
      <w:r w:rsidR="000C2F85" w:rsidRPr="000C2F85">
        <w:rPr>
          <w:lang w:val="es-ES_tradnl"/>
        </w:rPr>
        <w:t>de</w:t>
      </w:r>
      <w:r w:rsidR="008F1CD4">
        <w:rPr>
          <w:lang w:val="es-ES_tradnl"/>
        </w:rPr>
        <w:t> </w:t>
      </w:r>
      <w:r w:rsidR="000C2F85" w:rsidRPr="000C2F85">
        <w:rPr>
          <w:lang w:val="es-ES_tradnl"/>
        </w:rPr>
        <w:t>diciembre de 2017</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0F09CA" w:rsidRPr="000F09CA" w14:paraId="4E1015CD" w14:textId="77777777" w:rsidTr="000F09CA">
        <w:trPr>
          <w:trHeight w:val="240"/>
          <w:tblHeader/>
        </w:trPr>
        <w:tc>
          <w:tcPr>
            <w:tcW w:w="3685" w:type="dxa"/>
            <w:tcBorders>
              <w:top w:val="single" w:sz="4" w:space="0" w:color="auto"/>
              <w:bottom w:val="single" w:sz="12" w:space="0" w:color="auto"/>
            </w:tcBorders>
            <w:shd w:val="clear" w:color="auto" w:fill="auto"/>
            <w:vAlign w:val="bottom"/>
          </w:tcPr>
          <w:p w14:paraId="5AEFA44F" w14:textId="7E390A23" w:rsidR="000F09CA" w:rsidRPr="000F09CA" w:rsidRDefault="000F09CA" w:rsidP="000F09CA">
            <w:pPr>
              <w:spacing w:before="80" w:after="80" w:line="200" w:lineRule="exact"/>
              <w:rPr>
                <w:i/>
                <w:sz w:val="16"/>
                <w:lang w:val="es-ES_tradnl"/>
              </w:rPr>
            </w:pPr>
            <w:r w:rsidRPr="000F09CA">
              <w:rPr>
                <w:i/>
                <w:iCs/>
                <w:sz w:val="16"/>
                <w:lang w:val="es-ES_tradnl"/>
              </w:rPr>
              <w:t>Categoría de delito</w:t>
            </w:r>
          </w:p>
        </w:tc>
        <w:tc>
          <w:tcPr>
            <w:tcW w:w="3685" w:type="dxa"/>
            <w:tcBorders>
              <w:top w:val="single" w:sz="4" w:space="0" w:color="auto"/>
              <w:bottom w:val="single" w:sz="12" w:space="0" w:color="auto"/>
            </w:tcBorders>
            <w:shd w:val="clear" w:color="auto" w:fill="auto"/>
            <w:vAlign w:val="bottom"/>
          </w:tcPr>
          <w:p w14:paraId="367F55EC" w14:textId="6D46CF3B" w:rsidR="000F09CA" w:rsidRPr="000F09CA" w:rsidRDefault="000F09CA" w:rsidP="000F09CA">
            <w:pPr>
              <w:spacing w:before="80" w:after="80" w:line="200" w:lineRule="exact"/>
              <w:ind w:left="113" w:right="28"/>
              <w:jc w:val="right"/>
              <w:rPr>
                <w:i/>
                <w:sz w:val="16"/>
                <w:lang w:val="es-ES_tradnl"/>
              </w:rPr>
            </w:pPr>
            <w:r w:rsidRPr="000F09CA">
              <w:rPr>
                <w:i/>
                <w:iCs/>
                <w:sz w:val="16"/>
                <w:lang w:val="es-ES_tradnl"/>
              </w:rPr>
              <w:t>Total</w:t>
            </w:r>
          </w:p>
        </w:tc>
      </w:tr>
      <w:tr w:rsidR="000F09CA" w:rsidRPr="000F09CA" w14:paraId="1AD1F6F9" w14:textId="77777777" w:rsidTr="000F09CA">
        <w:trPr>
          <w:trHeight w:val="240"/>
        </w:trPr>
        <w:tc>
          <w:tcPr>
            <w:tcW w:w="3685" w:type="dxa"/>
            <w:tcBorders>
              <w:top w:val="single" w:sz="12" w:space="0" w:color="auto"/>
            </w:tcBorders>
            <w:shd w:val="clear" w:color="auto" w:fill="auto"/>
          </w:tcPr>
          <w:p w14:paraId="5A2135DC" w14:textId="508907A3" w:rsidR="000F09CA" w:rsidRPr="000F09CA" w:rsidRDefault="000F09CA" w:rsidP="000F09CA">
            <w:pPr>
              <w:spacing w:before="40" w:after="40" w:line="220" w:lineRule="exact"/>
              <w:rPr>
                <w:sz w:val="18"/>
                <w:lang w:val="es-ES_tradnl"/>
              </w:rPr>
            </w:pPr>
            <w:r w:rsidRPr="000F09CA">
              <w:rPr>
                <w:sz w:val="18"/>
                <w:lang w:val="es-ES_tradnl"/>
              </w:rPr>
              <w:t>Agresión</w:t>
            </w:r>
          </w:p>
        </w:tc>
        <w:tc>
          <w:tcPr>
            <w:tcW w:w="3685" w:type="dxa"/>
            <w:tcBorders>
              <w:top w:val="single" w:sz="12" w:space="0" w:color="auto"/>
            </w:tcBorders>
            <w:shd w:val="clear" w:color="auto" w:fill="auto"/>
            <w:vAlign w:val="bottom"/>
          </w:tcPr>
          <w:p w14:paraId="471C1156" w14:textId="33F6E623" w:rsidR="000F09CA" w:rsidRPr="000F09CA" w:rsidRDefault="000F09CA" w:rsidP="000F09CA">
            <w:pPr>
              <w:spacing w:before="40" w:after="40" w:line="220" w:lineRule="exact"/>
              <w:ind w:left="113" w:right="28"/>
              <w:jc w:val="right"/>
              <w:rPr>
                <w:sz w:val="18"/>
                <w:lang w:val="es-ES_tradnl"/>
              </w:rPr>
            </w:pPr>
            <w:r w:rsidRPr="000F09CA">
              <w:rPr>
                <w:sz w:val="18"/>
                <w:lang w:val="es-ES_tradnl"/>
              </w:rPr>
              <w:t>64 795</w:t>
            </w:r>
          </w:p>
        </w:tc>
      </w:tr>
      <w:tr w:rsidR="000F09CA" w:rsidRPr="000F09CA" w14:paraId="7DBC18E2" w14:textId="77777777" w:rsidTr="000F09CA">
        <w:trPr>
          <w:trHeight w:val="240"/>
        </w:trPr>
        <w:tc>
          <w:tcPr>
            <w:tcW w:w="3685" w:type="dxa"/>
            <w:shd w:val="clear" w:color="auto" w:fill="auto"/>
          </w:tcPr>
          <w:p w14:paraId="03FC6310" w14:textId="21E7921A" w:rsidR="000F09CA" w:rsidRPr="000F09CA" w:rsidRDefault="000F09CA" w:rsidP="000F09CA">
            <w:pPr>
              <w:spacing w:before="40" w:after="40" w:line="220" w:lineRule="exact"/>
              <w:rPr>
                <w:sz w:val="18"/>
                <w:lang w:val="es-ES_tradnl"/>
              </w:rPr>
            </w:pPr>
            <w:r w:rsidRPr="000F09CA">
              <w:rPr>
                <w:sz w:val="18"/>
                <w:lang w:val="es-ES_tradnl"/>
              </w:rPr>
              <w:t>Económico</w:t>
            </w:r>
          </w:p>
        </w:tc>
        <w:tc>
          <w:tcPr>
            <w:tcW w:w="3685" w:type="dxa"/>
            <w:shd w:val="clear" w:color="auto" w:fill="auto"/>
            <w:vAlign w:val="bottom"/>
          </w:tcPr>
          <w:p w14:paraId="0470FD8F" w14:textId="4BDCAA90" w:rsidR="000F09CA" w:rsidRPr="000F09CA" w:rsidRDefault="000F09CA" w:rsidP="000F09CA">
            <w:pPr>
              <w:spacing w:before="40" w:after="40" w:line="220" w:lineRule="exact"/>
              <w:ind w:left="113" w:right="28"/>
              <w:jc w:val="right"/>
              <w:rPr>
                <w:sz w:val="18"/>
                <w:lang w:val="es-ES_tradnl"/>
              </w:rPr>
            </w:pPr>
            <w:r w:rsidRPr="000F09CA">
              <w:rPr>
                <w:sz w:val="18"/>
                <w:lang w:val="es-ES_tradnl"/>
              </w:rPr>
              <w:t>22 415</w:t>
            </w:r>
          </w:p>
        </w:tc>
      </w:tr>
      <w:tr w:rsidR="000F09CA" w:rsidRPr="000F09CA" w14:paraId="6360EEBB" w14:textId="77777777" w:rsidTr="000F09CA">
        <w:trPr>
          <w:trHeight w:val="240"/>
        </w:trPr>
        <w:tc>
          <w:tcPr>
            <w:tcW w:w="3685" w:type="dxa"/>
            <w:shd w:val="clear" w:color="auto" w:fill="auto"/>
          </w:tcPr>
          <w:p w14:paraId="34139050" w14:textId="6B883C36" w:rsidR="000F09CA" w:rsidRPr="000F09CA" w:rsidRDefault="000F09CA" w:rsidP="000F09CA">
            <w:pPr>
              <w:spacing w:before="40" w:after="40" w:line="220" w:lineRule="exact"/>
              <w:rPr>
                <w:sz w:val="18"/>
                <w:lang w:val="es-ES_tradnl"/>
              </w:rPr>
            </w:pPr>
            <w:r w:rsidRPr="000F09CA">
              <w:rPr>
                <w:sz w:val="18"/>
                <w:lang w:val="es-ES_tradnl"/>
              </w:rPr>
              <w:t>Estupefacientes</w:t>
            </w:r>
          </w:p>
        </w:tc>
        <w:tc>
          <w:tcPr>
            <w:tcW w:w="3685" w:type="dxa"/>
            <w:shd w:val="clear" w:color="auto" w:fill="auto"/>
            <w:vAlign w:val="bottom"/>
          </w:tcPr>
          <w:p w14:paraId="6D940A6D" w14:textId="647AE504" w:rsidR="000F09CA" w:rsidRPr="000F09CA" w:rsidRDefault="000F09CA" w:rsidP="000F09CA">
            <w:pPr>
              <w:spacing w:before="40" w:after="40" w:line="220" w:lineRule="exact"/>
              <w:ind w:left="113" w:right="28"/>
              <w:jc w:val="right"/>
              <w:rPr>
                <w:sz w:val="18"/>
                <w:lang w:val="es-ES_tradnl"/>
              </w:rPr>
            </w:pPr>
            <w:r w:rsidRPr="000F09CA">
              <w:rPr>
                <w:sz w:val="18"/>
                <w:lang w:val="es-ES_tradnl"/>
              </w:rPr>
              <w:t>2 804</w:t>
            </w:r>
          </w:p>
        </w:tc>
      </w:tr>
      <w:tr w:rsidR="000F09CA" w:rsidRPr="000F09CA" w14:paraId="301C25DA" w14:textId="77777777" w:rsidTr="000F09CA">
        <w:trPr>
          <w:trHeight w:val="240"/>
        </w:trPr>
        <w:tc>
          <w:tcPr>
            <w:tcW w:w="3685" w:type="dxa"/>
            <w:shd w:val="clear" w:color="auto" w:fill="auto"/>
          </w:tcPr>
          <w:p w14:paraId="18B374F2" w14:textId="59B0BEF7" w:rsidR="000F09CA" w:rsidRPr="000F09CA" w:rsidRDefault="000F09CA" w:rsidP="000F09CA">
            <w:pPr>
              <w:spacing w:before="40" w:after="40" w:line="220" w:lineRule="exact"/>
              <w:rPr>
                <w:sz w:val="18"/>
                <w:lang w:val="es-ES_tradnl"/>
              </w:rPr>
            </w:pPr>
            <w:r w:rsidRPr="000F09CA">
              <w:rPr>
                <w:sz w:val="18"/>
                <w:lang w:val="es-ES_tradnl"/>
              </w:rPr>
              <w:t>Sexual</w:t>
            </w:r>
          </w:p>
        </w:tc>
        <w:tc>
          <w:tcPr>
            <w:tcW w:w="3685" w:type="dxa"/>
            <w:shd w:val="clear" w:color="auto" w:fill="auto"/>
            <w:vAlign w:val="bottom"/>
          </w:tcPr>
          <w:p w14:paraId="379A28CE" w14:textId="6C9AF4E0" w:rsidR="000F09CA" w:rsidRPr="000F09CA" w:rsidRDefault="000F09CA" w:rsidP="000F09CA">
            <w:pPr>
              <w:spacing w:before="40" w:after="40" w:line="220" w:lineRule="exact"/>
              <w:ind w:left="113" w:right="28"/>
              <w:jc w:val="right"/>
              <w:rPr>
                <w:sz w:val="18"/>
                <w:lang w:val="es-ES_tradnl"/>
              </w:rPr>
            </w:pPr>
            <w:r w:rsidRPr="000F09CA">
              <w:rPr>
                <w:sz w:val="18"/>
                <w:lang w:val="es-ES_tradnl"/>
              </w:rPr>
              <w:t>21 364</w:t>
            </w:r>
          </w:p>
        </w:tc>
      </w:tr>
      <w:tr w:rsidR="000F09CA" w:rsidRPr="000F09CA" w14:paraId="27207E64" w14:textId="77777777" w:rsidTr="000F09CA">
        <w:trPr>
          <w:trHeight w:val="240"/>
        </w:trPr>
        <w:tc>
          <w:tcPr>
            <w:tcW w:w="3685" w:type="dxa"/>
            <w:tcBorders>
              <w:bottom w:val="single" w:sz="4" w:space="0" w:color="auto"/>
            </w:tcBorders>
            <w:shd w:val="clear" w:color="auto" w:fill="auto"/>
          </w:tcPr>
          <w:p w14:paraId="42E4ECD1" w14:textId="0FB12BD7" w:rsidR="000F09CA" w:rsidRPr="000F09CA" w:rsidRDefault="000F09CA" w:rsidP="000F09CA">
            <w:pPr>
              <w:spacing w:before="40" w:after="40" w:line="220" w:lineRule="exact"/>
              <w:rPr>
                <w:sz w:val="18"/>
                <w:lang w:val="es-ES_tradnl"/>
              </w:rPr>
            </w:pPr>
            <w:r w:rsidRPr="000F09CA">
              <w:rPr>
                <w:sz w:val="18"/>
                <w:lang w:val="es-ES_tradnl"/>
              </w:rPr>
              <w:t>Otros</w:t>
            </w:r>
          </w:p>
        </w:tc>
        <w:tc>
          <w:tcPr>
            <w:tcW w:w="3685" w:type="dxa"/>
            <w:tcBorders>
              <w:bottom w:val="single" w:sz="4" w:space="0" w:color="auto"/>
            </w:tcBorders>
            <w:shd w:val="clear" w:color="auto" w:fill="auto"/>
            <w:vAlign w:val="bottom"/>
          </w:tcPr>
          <w:p w14:paraId="635DF8D9" w14:textId="1AEB9154" w:rsidR="000F09CA" w:rsidRPr="000F09CA" w:rsidRDefault="000F09CA" w:rsidP="000F09CA">
            <w:pPr>
              <w:spacing w:before="40" w:after="40" w:line="220" w:lineRule="exact"/>
              <w:ind w:left="113" w:right="28"/>
              <w:jc w:val="right"/>
              <w:rPr>
                <w:sz w:val="18"/>
                <w:lang w:val="es-ES_tradnl"/>
              </w:rPr>
            </w:pPr>
            <w:r w:rsidRPr="000F09CA">
              <w:rPr>
                <w:sz w:val="18"/>
                <w:lang w:val="es-ES_tradnl"/>
              </w:rPr>
              <w:t>6 134</w:t>
            </w:r>
          </w:p>
        </w:tc>
      </w:tr>
      <w:tr w:rsidR="000F09CA" w:rsidRPr="000F09CA" w14:paraId="29FE31D9" w14:textId="77777777" w:rsidTr="000F09CA">
        <w:trPr>
          <w:trHeight w:val="240"/>
        </w:trPr>
        <w:tc>
          <w:tcPr>
            <w:tcW w:w="3685" w:type="dxa"/>
            <w:tcBorders>
              <w:top w:val="single" w:sz="4" w:space="0" w:color="auto"/>
              <w:bottom w:val="single" w:sz="12" w:space="0" w:color="auto"/>
            </w:tcBorders>
            <w:shd w:val="clear" w:color="auto" w:fill="auto"/>
          </w:tcPr>
          <w:p w14:paraId="249D88D6" w14:textId="5A32FC29" w:rsidR="000F09CA" w:rsidRPr="000F09CA" w:rsidRDefault="000F09CA" w:rsidP="000F09CA">
            <w:pPr>
              <w:spacing w:before="80" w:after="80" w:line="220" w:lineRule="exact"/>
              <w:ind w:left="283"/>
              <w:rPr>
                <w:b/>
                <w:sz w:val="18"/>
                <w:lang w:val="es-ES_tradnl"/>
              </w:rPr>
            </w:pPr>
            <w:r w:rsidRPr="000F09CA">
              <w:rPr>
                <w:b/>
                <w:bCs/>
                <w:sz w:val="18"/>
                <w:lang w:val="es-ES_tradnl"/>
              </w:rPr>
              <w:t>Total</w:t>
            </w:r>
          </w:p>
        </w:tc>
        <w:tc>
          <w:tcPr>
            <w:tcW w:w="3685" w:type="dxa"/>
            <w:tcBorders>
              <w:top w:val="single" w:sz="4" w:space="0" w:color="auto"/>
              <w:bottom w:val="single" w:sz="12" w:space="0" w:color="auto"/>
            </w:tcBorders>
            <w:shd w:val="clear" w:color="auto" w:fill="auto"/>
            <w:vAlign w:val="bottom"/>
          </w:tcPr>
          <w:p w14:paraId="4A9750A9" w14:textId="71009705" w:rsidR="000F09CA" w:rsidRPr="000F09CA" w:rsidRDefault="000F09CA" w:rsidP="000F09CA">
            <w:pPr>
              <w:spacing w:before="80" w:after="80" w:line="220" w:lineRule="exact"/>
              <w:ind w:right="28"/>
              <w:jc w:val="right"/>
              <w:rPr>
                <w:b/>
                <w:sz w:val="18"/>
                <w:lang w:val="es-ES_tradnl"/>
              </w:rPr>
            </w:pPr>
            <w:r w:rsidRPr="000F09CA">
              <w:rPr>
                <w:b/>
                <w:bCs/>
                <w:sz w:val="18"/>
                <w:lang w:val="es-ES_tradnl"/>
              </w:rPr>
              <w:t>117 512</w:t>
            </w:r>
          </w:p>
        </w:tc>
      </w:tr>
    </w:tbl>
    <w:p w14:paraId="5E1CBFCB" w14:textId="748C64AA" w:rsidR="000F09CA" w:rsidRDefault="000F09CA" w:rsidP="000F09CA">
      <w:pPr>
        <w:pStyle w:val="H23G"/>
        <w:rPr>
          <w:lang w:val="es-ES_tradnl"/>
        </w:rPr>
      </w:pPr>
      <w:r w:rsidRPr="000F09CA">
        <w:rPr>
          <w:lang w:val="es-ES_tradnl"/>
        </w:rPr>
        <w:tab/>
      </w:r>
      <w:r w:rsidRPr="000F09CA">
        <w:rPr>
          <w:lang w:val="es-ES_tradnl"/>
        </w:rPr>
        <w:tab/>
        <w:t>Número de delincuentes por categoría de condena</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2694"/>
        <w:gridCol w:w="1841"/>
      </w:tblGrid>
      <w:tr w:rsidR="000F09CA" w:rsidRPr="000F09CA" w14:paraId="61B9FF2B" w14:textId="77777777" w:rsidTr="00782036">
        <w:trPr>
          <w:trHeight w:val="240"/>
          <w:tblHeader/>
        </w:trPr>
        <w:tc>
          <w:tcPr>
            <w:tcW w:w="2835" w:type="dxa"/>
            <w:tcBorders>
              <w:top w:val="single" w:sz="4" w:space="0" w:color="auto"/>
              <w:bottom w:val="single" w:sz="12" w:space="0" w:color="auto"/>
            </w:tcBorders>
            <w:shd w:val="clear" w:color="auto" w:fill="auto"/>
            <w:vAlign w:val="bottom"/>
          </w:tcPr>
          <w:p w14:paraId="10D3ACC3" w14:textId="56563D84" w:rsidR="000F09CA" w:rsidRPr="000F09CA" w:rsidRDefault="000F09CA" w:rsidP="000F09CA">
            <w:pPr>
              <w:spacing w:before="80" w:after="80" w:line="200" w:lineRule="exact"/>
              <w:rPr>
                <w:i/>
                <w:sz w:val="16"/>
                <w:lang w:val="es-ES_tradnl"/>
              </w:rPr>
            </w:pPr>
            <w:r w:rsidRPr="000F09CA">
              <w:rPr>
                <w:i/>
                <w:iCs/>
                <w:sz w:val="16"/>
                <w:lang w:val="es-ES_tradnl"/>
              </w:rPr>
              <w:t>Categorías de condena</w:t>
            </w:r>
          </w:p>
        </w:tc>
        <w:tc>
          <w:tcPr>
            <w:tcW w:w="2694" w:type="dxa"/>
            <w:tcBorders>
              <w:top w:val="single" w:sz="4" w:space="0" w:color="auto"/>
              <w:bottom w:val="single" w:sz="12" w:space="0" w:color="auto"/>
            </w:tcBorders>
            <w:shd w:val="clear" w:color="auto" w:fill="auto"/>
            <w:vAlign w:val="bottom"/>
          </w:tcPr>
          <w:p w14:paraId="2397604D" w14:textId="4582DC2D" w:rsidR="000F09CA" w:rsidRPr="000F09CA" w:rsidRDefault="000F09CA" w:rsidP="000F09CA">
            <w:pPr>
              <w:spacing w:before="80" w:after="80" w:line="200" w:lineRule="exact"/>
              <w:ind w:left="57" w:right="28"/>
              <w:jc w:val="right"/>
              <w:rPr>
                <w:i/>
                <w:sz w:val="16"/>
                <w:lang w:val="es-ES_tradnl"/>
              </w:rPr>
            </w:pPr>
            <w:r w:rsidRPr="000F09CA">
              <w:rPr>
                <w:i/>
                <w:iCs/>
                <w:sz w:val="16"/>
                <w:lang w:val="es-ES_tradnl"/>
              </w:rPr>
              <w:t>Total en 2016</w:t>
            </w:r>
          </w:p>
        </w:tc>
        <w:tc>
          <w:tcPr>
            <w:tcW w:w="1841" w:type="dxa"/>
            <w:tcBorders>
              <w:top w:val="single" w:sz="4" w:space="0" w:color="auto"/>
              <w:bottom w:val="single" w:sz="12" w:space="0" w:color="auto"/>
            </w:tcBorders>
            <w:shd w:val="clear" w:color="auto" w:fill="auto"/>
            <w:vAlign w:val="bottom"/>
          </w:tcPr>
          <w:p w14:paraId="01562AF1" w14:textId="4845816A" w:rsidR="000F09CA" w:rsidRPr="000F09CA" w:rsidRDefault="000F09CA" w:rsidP="000F09CA">
            <w:pPr>
              <w:spacing w:before="80" w:after="80" w:line="200" w:lineRule="exact"/>
              <w:ind w:left="57" w:right="28"/>
              <w:jc w:val="right"/>
              <w:rPr>
                <w:i/>
                <w:sz w:val="16"/>
                <w:lang w:val="es-ES_tradnl"/>
              </w:rPr>
            </w:pPr>
            <w:r w:rsidRPr="000F09CA">
              <w:rPr>
                <w:i/>
                <w:iCs/>
                <w:sz w:val="16"/>
                <w:lang w:val="es-ES_tradnl"/>
              </w:rPr>
              <w:t>Total en 2017</w:t>
            </w:r>
          </w:p>
        </w:tc>
      </w:tr>
      <w:tr w:rsidR="000F09CA" w:rsidRPr="000F09CA" w14:paraId="5EDC00E6" w14:textId="77777777" w:rsidTr="00782036">
        <w:trPr>
          <w:trHeight w:val="240"/>
        </w:trPr>
        <w:tc>
          <w:tcPr>
            <w:tcW w:w="2835" w:type="dxa"/>
            <w:tcBorders>
              <w:top w:val="single" w:sz="12" w:space="0" w:color="auto"/>
            </w:tcBorders>
            <w:shd w:val="clear" w:color="auto" w:fill="auto"/>
          </w:tcPr>
          <w:p w14:paraId="377F077D" w14:textId="2D829BE5" w:rsidR="000F09CA" w:rsidRPr="000F09CA" w:rsidRDefault="000F09CA" w:rsidP="000F09CA">
            <w:pPr>
              <w:spacing w:before="40" w:after="40" w:line="220" w:lineRule="exact"/>
              <w:rPr>
                <w:sz w:val="18"/>
                <w:lang w:val="es-ES_tradnl"/>
              </w:rPr>
            </w:pPr>
            <w:r w:rsidRPr="000F09CA">
              <w:rPr>
                <w:sz w:val="18"/>
                <w:lang w:val="es-ES_tradnl"/>
              </w:rPr>
              <w:t>De 0 a 6 meses</w:t>
            </w:r>
          </w:p>
        </w:tc>
        <w:tc>
          <w:tcPr>
            <w:tcW w:w="2694" w:type="dxa"/>
            <w:tcBorders>
              <w:top w:val="single" w:sz="12" w:space="0" w:color="auto"/>
            </w:tcBorders>
            <w:shd w:val="clear" w:color="auto" w:fill="auto"/>
            <w:vAlign w:val="bottom"/>
          </w:tcPr>
          <w:p w14:paraId="1F4F16CF" w14:textId="06A3789C" w:rsidR="000F09CA" w:rsidRPr="000F09CA" w:rsidRDefault="000F09CA" w:rsidP="000F09CA">
            <w:pPr>
              <w:spacing w:before="40" w:after="40" w:line="220" w:lineRule="exact"/>
              <w:ind w:left="57" w:right="28"/>
              <w:jc w:val="right"/>
              <w:rPr>
                <w:sz w:val="18"/>
                <w:lang w:val="es-ES_tradnl"/>
              </w:rPr>
            </w:pPr>
            <w:r w:rsidRPr="000F09CA">
              <w:rPr>
                <w:sz w:val="18"/>
                <w:lang w:val="es-ES_tradnl"/>
              </w:rPr>
              <w:t>4 594</w:t>
            </w:r>
          </w:p>
        </w:tc>
        <w:tc>
          <w:tcPr>
            <w:tcW w:w="1841" w:type="dxa"/>
            <w:tcBorders>
              <w:top w:val="single" w:sz="12" w:space="0" w:color="auto"/>
            </w:tcBorders>
            <w:shd w:val="clear" w:color="auto" w:fill="auto"/>
            <w:vAlign w:val="bottom"/>
          </w:tcPr>
          <w:p w14:paraId="382AD938" w14:textId="4856B909" w:rsidR="000F09CA" w:rsidRPr="000F09CA" w:rsidRDefault="000F09CA" w:rsidP="000F09CA">
            <w:pPr>
              <w:spacing w:before="40" w:after="40" w:line="220" w:lineRule="exact"/>
              <w:ind w:left="57" w:right="28"/>
              <w:jc w:val="right"/>
              <w:rPr>
                <w:sz w:val="18"/>
                <w:lang w:val="es-ES_tradnl"/>
              </w:rPr>
            </w:pPr>
            <w:r w:rsidRPr="000F09CA">
              <w:rPr>
                <w:sz w:val="18"/>
                <w:lang w:val="es-ES_tradnl"/>
              </w:rPr>
              <w:t>4 278</w:t>
            </w:r>
          </w:p>
        </w:tc>
      </w:tr>
      <w:tr w:rsidR="00782036" w:rsidRPr="000F09CA" w14:paraId="31CA9B09" w14:textId="77777777" w:rsidTr="00782036">
        <w:trPr>
          <w:trHeight w:val="240"/>
        </w:trPr>
        <w:tc>
          <w:tcPr>
            <w:tcW w:w="2835" w:type="dxa"/>
            <w:shd w:val="clear" w:color="auto" w:fill="auto"/>
          </w:tcPr>
          <w:p w14:paraId="391B634D" w14:textId="4205693C" w:rsidR="000F09CA" w:rsidRPr="000F09CA" w:rsidRDefault="000F09CA" w:rsidP="000F09CA">
            <w:pPr>
              <w:spacing w:before="40" w:after="40" w:line="220" w:lineRule="exact"/>
              <w:rPr>
                <w:sz w:val="18"/>
                <w:lang w:val="es-ES_tradnl"/>
              </w:rPr>
            </w:pPr>
            <w:r w:rsidRPr="000F09CA">
              <w:rPr>
                <w:sz w:val="18"/>
                <w:lang w:val="es-ES_tradnl"/>
              </w:rPr>
              <w:t>De 6 a 12 meses</w:t>
            </w:r>
          </w:p>
        </w:tc>
        <w:tc>
          <w:tcPr>
            <w:tcW w:w="2694" w:type="dxa"/>
            <w:shd w:val="clear" w:color="auto" w:fill="auto"/>
            <w:vAlign w:val="bottom"/>
          </w:tcPr>
          <w:p w14:paraId="6ABD6274" w14:textId="64A2E9E7" w:rsidR="000F09CA" w:rsidRPr="000F09CA" w:rsidRDefault="000F09CA" w:rsidP="000F09CA">
            <w:pPr>
              <w:spacing w:before="40" w:after="40" w:line="220" w:lineRule="exact"/>
              <w:ind w:left="57" w:right="28"/>
              <w:jc w:val="right"/>
              <w:rPr>
                <w:sz w:val="18"/>
                <w:lang w:val="es-ES_tradnl"/>
              </w:rPr>
            </w:pPr>
            <w:r w:rsidRPr="000F09CA">
              <w:rPr>
                <w:sz w:val="18"/>
                <w:lang w:val="es-ES_tradnl"/>
              </w:rPr>
              <w:t>3 041</w:t>
            </w:r>
          </w:p>
        </w:tc>
        <w:tc>
          <w:tcPr>
            <w:tcW w:w="1841" w:type="dxa"/>
            <w:shd w:val="clear" w:color="auto" w:fill="auto"/>
            <w:vAlign w:val="bottom"/>
          </w:tcPr>
          <w:p w14:paraId="7E76E20A" w14:textId="58F42B38" w:rsidR="000F09CA" w:rsidRPr="000F09CA" w:rsidRDefault="000F09CA" w:rsidP="000F09CA">
            <w:pPr>
              <w:spacing w:before="40" w:after="40" w:line="220" w:lineRule="exact"/>
              <w:ind w:left="57" w:right="28"/>
              <w:jc w:val="right"/>
              <w:rPr>
                <w:sz w:val="18"/>
                <w:lang w:val="es-ES_tradnl"/>
              </w:rPr>
            </w:pPr>
            <w:r w:rsidRPr="000F09CA">
              <w:rPr>
                <w:sz w:val="18"/>
                <w:lang w:val="es-ES_tradnl"/>
              </w:rPr>
              <w:t>2 871</w:t>
            </w:r>
          </w:p>
        </w:tc>
      </w:tr>
      <w:tr w:rsidR="00782036" w:rsidRPr="000F09CA" w14:paraId="6DBAC683" w14:textId="77777777" w:rsidTr="00782036">
        <w:trPr>
          <w:trHeight w:val="240"/>
        </w:trPr>
        <w:tc>
          <w:tcPr>
            <w:tcW w:w="2835" w:type="dxa"/>
            <w:shd w:val="clear" w:color="auto" w:fill="auto"/>
          </w:tcPr>
          <w:p w14:paraId="44AA766B" w14:textId="2A2AD731" w:rsidR="000F09CA" w:rsidRPr="000F09CA" w:rsidRDefault="000F09CA" w:rsidP="000F09CA">
            <w:pPr>
              <w:spacing w:before="40" w:after="40" w:line="220" w:lineRule="exact"/>
              <w:rPr>
                <w:sz w:val="18"/>
                <w:lang w:val="es-ES_tradnl"/>
              </w:rPr>
            </w:pPr>
            <w:r w:rsidRPr="000F09CA">
              <w:rPr>
                <w:sz w:val="18"/>
                <w:lang w:val="es-ES_tradnl"/>
              </w:rPr>
              <w:t>De 12 a 24 meses</w:t>
            </w:r>
          </w:p>
        </w:tc>
        <w:tc>
          <w:tcPr>
            <w:tcW w:w="2694" w:type="dxa"/>
            <w:shd w:val="clear" w:color="auto" w:fill="auto"/>
            <w:vAlign w:val="bottom"/>
          </w:tcPr>
          <w:p w14:paraId="5A8DD204" w14:textId="488E3018" w:rsidR="000F09CA" w:rsidRPr="000F09CA" w:rsidRDefault="000F09CA" w:rsidP="000F09CA">
            <w:pPr>
              <w:spacing w:before="40" w:after="40" w:line="220" w:lineRule="exact"/>
              <w:ind w:left="57" w:right="28"/>
              <w:jc w:val="right"/>
              <w:rPr>
                <w:sz w:val="18"/>
                <w:lang w:val="es-ES_tradnl"/>
              </w:rPr>
            </w:pPr>
            <w:r w:rsidRPr="000F09CA">
              <w:rPr>
                <w:sz w:val="18"/>
                <w:lang w:val="es-ES_tradnl"/>
              </w:rPr>
              <w:t>2 775</w:t>
            </w:r>
          </w:p>
        </w:tc>
        <w:tc>
          <w:tcPr>
            <w:tcW w:w="1841" w:type="dxa"/>
            <w:shd w:val="clear" w:color="auto" w:fill="auto"/>
            <w:vAlign w:val="bottom"/>
          </w:tcPr>
          <w:p w14:paraId="0DBED9EB" w14:textId="11D7D287" w:rsidR="000F09CA" w:rsidRPr="000F09CA" w:rsidRDefault="000F09CA" w:rsidP="000F09CA">
            <w:pPr>
              <w:spacing w:before="40" w:after="40" w:line="220" w:lineRule="exact"/>
              <w:ind w:left="57" w:right="28"/>
              <w:jc w:val="right"/>
              <w:rPr>
                <w:sz w:val="18"/>
                <w:lang w:val="es-ES_tradnl"/>
              </w:rPr>
            </w:pPr>
            <w:r w:rsidRPr="000F09CA">
              <w:rPr>
                <w:sz w:val="18"/>
                <w:lang w:val="es-ES_tradnl"/>
              </w:rPr>
              <w:t>2 650</w:t>
            </w:r>
          </w:p>
        </w:tc>
      </w:tr>
      <w:tr w:rsidR="00782036" w:rsidRPr="000F09CA" w14:paraId="54CC8797" w14:textId="77777777" w:rsidTr="00782036">
        <w:trPr>
          <w:trHeight w:val="240"/>
        </w:trPr>
        <w:tc>
          <w:tcPr>
            <w:tcW w:w="2835" w:type="dxa"/>
            <w:shd w:val="clear" w:color="auto" w:fill="auto"/>
          </w:tcPr>
          <w:p w14:paraId="315E8DFF" w14:textId="1FB4354D" w:rsidR="000F09CA" w:rsidRPr="000F09CA" w:rsidRDefault="000F09CA" w:rsidP="000F09CA">
            <w:pPr>
              <w:spacing w:before="40" w:after="40" w:line="220" w:lineRule="exact"/>
              <w:rPr>
                <w:sz w:val="18"/>
                <w:lang w:val="es-ES_tradnl"/>
              </w:rPr>
            </w:pPr>
            <w:r w:rsidRPr="000F09CA">
              <w:rPr>
                <w:sz w:val="18"/>
                <w:lang w:val="es-ES_tradnl"/>
              </w:rPr>
              <w:t>2 años</w:t>
            </w:r>
          </w:p>
        </w:tc>
        <w:tc>
          <w:tcPr>
            <w:tcW w:w="2694" w:type="dxa"/>
            <w:shd w:val="clear" w:color="auto" w:fill="auto"/>
            <w:vAlign w:val="bottom"/>
          </w:tcPr>
          <w:p w14:paraId="137A339A" w14:textId="5F6D7D8C" w:rsidR="000F09CA" w:rsidRPr="000F09CA" w:rsidRDefault="000F09CA" w:rsidP="000F09CA">
            <w:pPr>
              <w:spacing w:before="40" w:after="40" w:line="220" w:lineRule="exact"/>
              <w:ind w:left="57" w:right="28"/>
              <w:jc w:val="right"/>
              <w:rPr>
                <w:sz w:val="18"/>
                <w:lang w:val="es-ES_tradnl"/>
              </w:rPr>
            </w:pPr>
            <w:r w:rsidRPr="000F09CA">
              <w:rPr>
                <w:sz w:val="18"/>
                <w:lang w:val="es-ES_tradnl"/>
              </w:rPr>
              <w:t>Se incluyeron entre los condenados a penas de 2 a 3 años</w:t>
            </w:r>
          </w:p>
        </w:tc>
        <w:tc>
          <w:tcPr>
            <w:tcW w:w="1841" w:type="dxa"/>
            <w:shd w:val="clear" w:color="auto" w:fill="auto"/>
            <w:vAlign w:val="bottom"/>
          </w:tcPr>
          <w:p w14:paraId="521A44C1" w14:textId="06765501" w:rsidR="000F09CA" w:rsidRPr="000F09CA" w:rsidRDefault="000F09CA" w:rsidP="000F09CA">
            <w:pPr>
              <w:spacing w:before="40" w:after="40" w:line="220" w:lineRule="exact"/>
              <w:ind w:left="57" w:right="28"/>
              <w:jc w:val="right"/>
              <w:rPr>
                <w:sz w:val="18"/>
                <w:lang w:val="es-ES_tradnl"/>
              </w:rPr>
            </w:pPr>
            <w:r w:rsidRPr="000F09CA">
              <w:rPr>
                <w:sz w:val="18"/>
                <w:lang w:val="es-ES_tradnl"/>
              </w:rPr>
              <w:t>1 771</w:t>
            </w:r>
          </w:p>
        </w:tc>
      </w:tr>
      <w:tr w:rsidR="00782036" w:rsidRPr="000F09CA" w14:paraId="6F2E280E" w14:textId="77777777" w:rsidTr="00782036">
        <w:trPr>
          <w:trHeight w:val="240"/>
        </w:trPr>
        <w:tc>
          <w:tcPr>
            <w:tcW w:w="2835" w:type="dxa"/>
            <w:shd w:val="clear" w:color="auto" w:fill="auto"/>
          </w:tcPr>
          <w:p w14:paraId="457A7FC6" w14:textId="04A7C57C" w:rsidR="000F09CA" w:rsidRPr="000F09CA" w:rsidRDefault="000F09CA" w:rsidP="000F09CA">
            <w:pPr>
              <w:spacing w:before="40" w:after="40" w:line="220" w:lineRule="exact"/>
              <w:rPr>
                <w:sz w:val="18"/>
                <w:lang w:val="es-ES_tradnl"/>
              </w:rPr>
            </w:pPr>
            <w:r w:rsidRPr="000F09CA">
              <w:rPr>
                <w:sz w:val="18"/>
                <w:lang w:val="es-ES_tradnl"/>
              </w:rPr>
              <w:t>De 2 a 3 años</w:t>
            </w:r>
          </w:p>
        </w:tc>
        <w:tc>
          <w:tcPr>
            <w:tcW w:w="2694" w:type="dxa"/>
            <w:shd w:val="clear" w:color="auto" w:fill="auto"/>
            <w:vAlign w:val="bottom"/>
          </w:tcPr>
          <w:p w14:paraId="0784B98E" w14:textId="334FC96A" w:rsidR="000F09CA" w:rsidRPr="000F09CA" w:rsidRDefault="000F09CA" w:rsidP="000F09CA">
            <w:pPr>
              <w:spacing w:before="40" w:after="40" w:line="220" w:lineRule="exact"/>
              <w:ind w:left="57" w:right="28"/>
              <w:jc w:val="right"/>
              <w:rPr>
                <w:sz w:val="18"/>
                <w:lang w:val="es-ES_tradnl"/>
              </w:rPr>
            </w:pPr>
            <w:r w:rsidRPr="000F09CA">
              <w:rPr>
                <w:sz w:val="18"/>
                <w:lang w:val="es-ES_tradnl"/>
              </w:rPr>
              <w:t>8 584</w:t>
            </w:r>
          </w:p>
        </w:tc>
        <w:tc>
          <w:tcPr>
            <w:tcW w:w="1841" w:type="dxa"/>
            <w:shd w:val="clear" w:color="auto" w:fill="auto"/>
            <w:vAlign w:val="bottom"/>
          </w:tcPr>
          <w:p w14:paraId="09CF4246" w14:textId="16EEB729" w:rsidR="000F09CA" w:rsidRPr="000F09CA" w:rsidRDefault="000F09CA" w:rsidP="000F09CA">
            <w:pPr>
              <w:spacing w:before="40" w:after="40" w:line="220" w:lineRule="exact"/>
              <w:ind w:left="57" w:right="28"/>
              <w:jc w:val="right"/>
              <w:rPr>
                <w:sz w:val="18"/>
                <w:lang w:val="es-ES_tradnl"/>
              </w:rPr>
            </w:pPr>
            <w:r w:rsidRPr="000F09CA">
              <w:rPr>
                <w:sz w:val="18"/>
                <w:lang w:val="es-ES_tradnl"/>
              </w:rPr>
              <w:t>7 655</w:t>
            </w:r>
          </w:p>
        </w:tc>
      </w:tr>
      <w:tr w:rsidR="00782036" w:rsidRPr="000F09CA" w14:paraId="0D68B616" w14:textId="77777777" w:rsidTr="00782036">
        <w:trPr>
          <w:trHeight w:val="240"/>
        </w:trPr>
        <w:tc>
          <w:tcPr>
            <w:tcW w:w="2835" w:type="dxa"/>
            <w:shd w:val="clear" w:color="auto" w:fill="auto"/>
          </w:tcPr>
          <w:p w14:paraId="58C39CDE" w14:textId="5EF55697" w:rsidR="000F09CA" w:rsidRPr="000F09CA" w:rsidRDefault="000F09CA" w:rsidP="000F09CA">
            <w:pPr>
              <w:spacing w:before="40" w:after="40" w:line="220" w:lineRule="exact"/>
              <w:rPr>
                <w:sz w:val="18"/>
                <w:lang w:val="es-ES_tradnl"/>
              </w:rPr>
            </w:pPr>
            <w:r w:rsidRPr="000F09CA">
              <w:rPr>
                <w:sz w:val="18"/>
                <w:lang w:val="es-ES_tradnl"/>
              </w:rPr>
              <w:t>De 3 a 5 años</w:t>
            </w:r>
          </w:p>
        </w:tc>
        <w:tc>
          <w:tcPr>
            <w:tcW w:w="2694" w:type="dxa"/>
            <w:shd w:val="clear" w:color="auto" w:fill="auto"/>
            <w:vAlign w:val="bottom"/>
          </w:tcPr>
          <w:p w14:paraId="6365CD2F" w14:textId="0507CFA0" w:rsidR="000F09CA" w:rsidRPr="000F09CA" w:rsidRDefault="000F09CA" w:rsidP="000F09CA">
            <w:pPr>
              <w:spacing w:before="40" w:after="40" w:line="220" w:lineRule="exact"/>
              <w:ind w:left="57" w:right="28"/>
              <w:jc w:val="right"/>
              <w:rPr>
                <w:sz w:val="18"/>
                <w:lang w:val="es-ES_tradnl"/>
              </w:rPr>
            </w:pPr>
            <w:r w:rsidRPr="000F09CA">
              <w:rPr>
                <w:sz w:val="18"/>
                <w:lang w:val="es-ES_tradnl"/>
              </w:rPr>
              <w:t>12 030</w:t>
            </w:r>
          </w:p>
        </w:tc>
        <w:tc>
          <w:tcPr>
            <w:tcW w:w="1841" w:type="dxa"/>
            <w:shd w:val="clear" w:color="auto" w:fill="auto"/>
            <w:vAlign w:val="bottom"/>
          </w:tcPr>
          <w:p w14:paraId="537D6A6D" w14:textId="17B4EEC4" w:rsidR="000F09CA" w:rsidRPr="000F09CA" w:rsidRDefault="000F09CA" w:rsidP="000F09CA">
            <w:pPr>
              <w:spacing w:before="40" w:after="40" w:line="220" w:lineRule="exact"/>
              <w:ind w:left="57" w:right="28"/>
              <w:jc w:val="right"/>
              <w:rPr>
                <w:sz w:val="18"/>
                <w:lang w:val="es-ES_tradnl"/>
              </w:rPr>
            </w:pPr>
            <w:r w:rsidRPr="000F09CA">
              <w:rPr>
                <w:sz w:val="18"/>
                <w:lang w:val="es-ES_tradnl"/>
              </w:rPr>
              <w:t>11 288</w:t>
            </w:r>
          </w:p>
        </w:tc>
      </w:tr>
      <w:tr w:rsidR="00782036" w:rsidRPr="000F09CA" w14:paraId="3325642A" w14:textId="77777777" w:rsidTr="00782036">
        <w:trPr>
          <w:trHeight w:val="240"/>
        </w:trPr>
        <w:tc>
          <w:tcPr>
            <w:tcW w:w="2835" w:type="dxa"/>
            <w:shd w:val="clear" w:color="auto" w:fill="auto"/>
          </w:tcPr>
          <w:p w14:paraId="051E1F58" w14:textId="13388D2D" w:rsidR="000F09CA" w:rsidRPr="000F09CA" w:rsidRDefault="000F09CA" w:rsidP="000F09CA">
            <w:pPr>
              <w:spacing w:before="40" w:after="40" w:line="220" w:lineRule="exact"/>
              <w:rPr>
                <w:sz w:val="18"/>
                <w:lang w:val="es-ES_tradnl"/>
              </w:rPr>
            </w:pPr>
            <w:r w:rsidRPr="000F09CA">
              <w:rPr>
                <w:sz w:val="18"/>
                <w:lang w:val="es-ES_tradnl"/>
              </w:rPr>
              <w:t>De 5 a 7 años</w:t>
            </w:r>
          </w:p>
        </w:tc>
        <w:tc>
          <w:tcPr>
            <w:tcW w:w="2694" w:type="dxa"/>
            <w:shd w:val="clear" w:color="auto" w:fill="auto"/>
            <w:vAlign w:val="bottom"/>
          </w:tcPr>
          <w:p w14:paraId="6FA53308" w14:textId="7B8CC51F" w:rsidR="000F09CA" w:rsidRPr="000F09CA" w:rsidRDefault="000F09CA" w:rsidP="000F09CA">
            <w:pPr>
              <w:spacing w:before="40" w:after="40" w:line="220" w:lineRule="exact"/>
              <w:ind w:left="57" w:right="28"/>
              <w:jc w:val="right"/>
              <w:rPr>
                <w:sz w:val="18"/>
                <w:lang w:val="es-ES_tradnl"/>
              </w:rPr>
            </w:pPr>
            <w:r w:rsidRPr="000F09CA">
              <w:rPr>
                <w:sz w:val="18"/>
                <w:lang w:val="es-ES_tradnl"/>
              </w:rPr>
              <w:t>8 636</w:t>
            </w:r>
          </w:p>
        </w:tc>
        <w:tc>
          <w:tcPr>
            <w:tcW w:w="1841" w:type="dxa"/>
            <w:shd w:val="clear" w:color="auto" w:fill="auto"/>
            <w:vAlign w:val="bottom"/>
          </w:tcPr>
          <w:p w14:paraId="2FA39F5C" w14:textId="627324EE" w:rsidR="000F09CA" w:rsidRPr="000F09CA" w:rsidRDefault="000F09CA" w:rsidP="000F09CA">
            <w:pPr>
              <w:spacing w:before="40" w:after="40" w:line="220" w:lineRule="exact"/>
              <w:ind w:left="57" w:right="28"/>
              <w:jc w:val="right"/>
              <w:rPr>
                <w:sz w:val="18"/>
                <w:lang w:val="es-ES_tradnl"/>
              </w:rPr>
            </w:pPr>
            <w:r w:rsidRPr="000F09CA">
              <w:rPr>
                <w:sz w:val="18"/>
                <w:lang w:val="es-ES_tradnl"/>
              </w:rPr>
              <w:t>8 146</w:t>
            </w:r>
          </w:p>
        </w:tc>
      </w:tr>
      <w:tr w:rsidR="00782036" w:rsidRPr="000F09CA" w14:paraId="664A3210" w14:textId="77777777" w:rsidTr="00782036">
        <w:trPr>
          <w:trHeight w:val="240"/>
        </w:trPr>
        <w:tc>
          <w:tcPr>
            <w:tcW w:w="2835" w:type="dxa"/>
            <w:shd w:val="clear" w:color="auto" w:fill="auto"/>
          </w:tcPr>
          <w:p w14:paraId="3C806DA2" w14:textId="765CA33D" w:rsidR="000F09CA" w:rsidRPr="000F09CA" w:rsidRDefault="000F09CA" w:rsidP="000F09CA">
            <w:pPr>
              <w:spacing w:before="40" w:after="40" w:line="220" w:lineRule="exact"/>
              <w:rPr>
                <w:sz w:val="18"/>
                <w:lang w:val="es-ES_tradnl"/>
              </w:rPr>
            </w:pPr>
            <w:r w:rsidRPr="000F09CA">
              <w:rPr>
                <w:sz w:val="18"/>
                <w:lang w:val="es-ES_tradnl"/>
              </w:rPr>
              <w:t>De 7 a 10 años</w:t>
            </w:r>
          </w:p>
        </w:tc>
        <w:tc>
          <w:tcPr>
            <w:tcW w:w="2694" w:type="dxa"/>
            <w:shd w:val="clear" w:color="auto" w:fill="auto"/>
            <w:vAlign w:val="bottom"/>
          </w:tcPr>
          <w:p w14:paraId="25FAB98B" w14:textId="5AEF40C3" w:rsidR="000F09CA" w:rsidRPr="000F09CA" w:rsidRDefault="000F09CA" w:rsidP="000F09CA">
            <w:pPr>
              <w:spacing w:before="40" w:after="40" w:line="220" w:lineRule="exact"/>
              <w:ind w:left="57" w:right="28"/>
              <w:jc w:val="right"/>
              <w:rPr>
                <w:sz w:val="18"/>
                <w:lang w:val="es-ES_tradnl"/>
              </w:rPr>
            </w:pPr>
            <w:r w:rsidRPr="000F09CA">
              <w:rPr>
                <w:sz w:val="18"/>
                <w:lang w:val="es-ES_tradnl"/>
              </w:rPr>
              <w:t>16 849</w:t>
            </w:r>
          </w:p>
        </w:tc>
        <w:tc>
          <w:tcPr>
            <w:tcW w:w="1841" w:type="dxa"/>
            <w:shd w:val="clear" w:color="auto" w:fill="auto"/>
            <w:vAlign w:val="bottom"/>
          </w:tcPr>
          <w:p w14:paraId="1EACCD3C" w14:textId="27945E5F" w:rsidR="000F09CA" w:rsidRPr="000F09CA" w:rsidRDefault="000F09CA" w:rsidP="000F09CA">
            <w:pPr>
              <w:spacing w:before="40" w:after="40" w:line="220" w:lineRule="exact"/>
              <w:ind w:left="57" w:right="28"/>
              <w:jc w:val="right"/>
              <w:rPr>
                <w:sz w:val="18"/>
                <w:lang w:val="es-ES_tradnl"/>
              </w:rPr>
            </w:pPr>
            <w:r w:rsidRPr="000F09CA">
              <w:rPr>
                <w:sz w:val="18"/>
                <w:lang w:val="es-ES_tradnl"/>
              </w:rPr>
              <w:t>16 585</w:t>
            </w:r>
          </w:p>
        </w:tc>
      </w:tr>
      <w:tr w:rsidR="00782036" w:rsidRPr="000F09CA" w14:paraId="26FA7A39" w14:textId="77777777" w:rsidTr="00782036">
        <w:trPr>
          <w:trHeight w:val="240"/>
        </w:trPr>
        <w:tc>
          <w:tcPr>
            <w:tcW w:w="2835" w:type="dxa"/>
            <w:shd w:val="clear" w:color="auto" w:fill="auto"/>
          </w:tcPr>
          <w:p w14:paraId="476F83A7" w14:textId="01F51AB6" w:rsidR="000F09CA" w:rsidRPr="000F09CA" w:rsidRDefault="000F09CA" w:rsidP="000F09CA">
            <w:pPr>
              <w:spacing w:before="40" w:after="40" w:line="220" w:lineRule="exact"/>
              <w:rPr>
                <w:sz w:val="18"/>
                <w:lang w:val="es-ES_tradnl"/>
              </w:rPr>
            </w:pPr>
            <w:r w:rsidRPr="000F09CA">
              <w:rPr>
                <w:sz w:val="18"/>
                <w:lang w:val="es-ES_tradnl"/>
              </w:rPr>
              <w:t>De 10 a 15 años</w:t>
            </w:r>
          </w:p>
        </w:tc>
        <w:tc>
          <w:tcPr>
            <w:tcW w:w="2694" w:type="dxa"/>
            <w:shd w:val="clear" w:color="auto" w:fill="auto"/>
            <w:vAlign w:val="bottom"/>
          </w:tcPr>
          <w:p w14:paraId="1C1A7077" w14:textId="330E7470" w:rsidR="000F09CA" w:rsidRPr="000F09CA" w:rsidRDefault="000F09CA" w:rsidP="000F09CA">
            <w:pPr>
              <w:spacing w:before="40" w:after="40" w:line="220" w:lineRule="exact"/>
              <w:ind w:left="57" w:right="28"/>
              <w:jc w:val="right"/>
              <w:rPr>
                <w:sz w:val="18"/>
                <w:lang w:val="es-ES_tradnl"/>
              </w:rPr>
            </w:pPr>
            <w:r w:rsidRPr="000F09CA">
              <w:rPr>
                <w:sz w:val="18"/>
                <w:lang w:val="es-ES_tradnl"/>
              </w:rPr>
              <w:t>22 966</w:t>
            </w:r>
          </w:p>
        </w:tc>
        <w:tc>
          <w:tcPr>
            <w:tcW w:w="1841" w:type="dxa"/>
            <w:shd w:val="clear" w:color="auto" w:fill="auto"/>
            <w:vAlign w:val="bottom"/>
          </w:tcPr>
          <w:p w14:paraId="3D59540E" w14:textId="4C95A8A2" w:rsidR="000F09CA" w:rsidRPr="000F09CA" w:rsidRDefault="000F09CA" w:rsidP="000F09CA">
            <w:pPr>
              <w:spacing w:before="40" w:after="40" w:line="220" w:lineRule="exact"/>
              <w:ind w:left="57" w:right="28"/>
              <w:jc w:val="right"/>
              <w:rPr>
                <w:sz w:val="18"/>
                <w:lang w:val="es-ES_tradnl"/>
              </w:rPr>
            </w:pPr>
            <w:r w:rsidRPr="000F09CA">
              <w:rPr>
                <w:sz w:val="18"/>
                <w:lang w:val="es-ES_tradnl"/>
              </w:rPr>
              <w:t>21 973</w:t>
            </w:r>
          </w:p>
        </w:tc>
      </w:tr>
      <w:tr w:rsidR="00782036" w:rsidRPr="000F09CA" w14:paraId="6870A54A" w14:textId="77777777" w:rsidTr="00782036">
        <w:trPr>
          <w:trHeight w:val="240"/>
        </w:trPr>
        <w:tc>
          <w:tcPr>
            <w:tcW w:w="2835" w:type="dxa"/>
            <w:shd w:val="clear" w:color="auto" w:fill="auto"/>
          </w:tcPr>
          <w:p w14:paraId="722FAE14" w14:textId="24732552" w:rsidR="000F09CA" w:rsidRPr="000F09CA" w:rsidRDefault="000F09CA" w:rsidP="000F09CA">
            <w:pPr>
              <w:spacing w:before="40" w:after="40" w:line="220" w:lineRule="exact"/>
              <w:rPr>
                <w:sz w:val="18"/>
                <w:lang w:val="es-ES_tradnl"/>
              </w:rPr>
            </w:pPr>
            <w:r w:rsidRPr="000F09CA">
              <w:rPr>
                <w:sz w:val="18"/>
                <w:lang w:val="es-ES_tradnl"/>
              </w:rPr>
              <w:t>De 15 a 20 años</w:t>
            </w:r>
          </w:p>
        </w:tc>
        <w:tc>
          <w:tcPr>
            <w:tcW w:w="2694" w:type="dxa"/>
            <w:shd w:val="clear" w:color="auto" w:fill="auto"/>
            <w:vAlign w:val="bottom"/>
          </w:tcPr>
          <w:p w14:paraId="2A361926" w14:textId="706B85CA" w:rsidR="000F09CA" w:rsidRPr="000F09CA" w:rsidRDefault="000F09CA" w:rsidP="000F09CA">
            <w:pPr>
              <w:spacing w:before="40" w:after="40" w:line="220" w:lineRule="exact"/>
              <w:ind w:left="57" w:right="28"/>
              <w:jc w:val="right"/>
              <w:rPr>
                <w:sz w:val="18"/>
                <w:lang w:val="es-ES_tradnl"/>
              </w:rPr>
            </w:pPr>
            <w:r w:rsidRPr="000F09CA">
              <w:rPr>
                <w:sz w:val="18"/>
                <w:lang w:val="es-ES_tradnl"/>
              </w:rPr>
              <w:t>13 584</w:t>
            </w:r>
          </w:p>
        </w:tc>
        <w:tc>
          <w:tcPr>
            <w:tcW w:w="1841" w:type="dxa"/>
            <w:shd w:val="clear" w:color="auto" w:fill="auto"/>
            <w:vAlign w:val="bottom"/>
          </w:tcPr>
          <w:p w14:paraId="786F7F39" w14:textId="67F88FC4" w:rsidR="000F09CA" w:rsidRPr="000F09CA" w:rsidRDefault="000F09CA" w:rsidP="000F09CA">
            <w:pPr>
              <w:spacing w:before="40" w:after="40" w:line="220" w:lineRule="exact"/>
              <w:ind w:left="57" w:right="28"/>
              <w:jc w:val="right"/>
              <w:rPr>
                <w:sz w:val="18"/>
                <w:lang w:val="es-ES_tradnl"/>
              </w:rPr>
            </w:pPr>
            <w:r w:rsidRPr="000F09CA">
              <w:rPr>
                <w:sz w:val="18"/>
                <w:lang w:val="es-ES_tradnl"/>
              </w:rPr>
              <w:t>13 120</w:t>
            </w:r>
          </w:p>
        </w:tc>
      </w:tr>
      <w:tr w:rsidR="00782036" w:rsidRPr="000F09CA" w14:paraId="49AA497C" w14:textId="77777777" w:rsidTr="00782036">
        <w:trPr>
          <w:trHeight w:val="240"/>
        </w:trPr>
        <w:tc>
          <w:tcPr>
            <w:tcW w:w="2835" w:type="dxa"/>
            <w:shd w:val="clear" w:color="auto" w:fill="auto"/>
          </w:tcPr>
          <w:p w14:paraId="44820430" w14:textId="45B035EF" w:rsidR="000F09CA" w:rsidRPr="000F09CA" w:rsidRDefault="000F09CA" w:rsidP="000F09CA">
            <w:pPr>
              <w:spacing w:before="40" w:after="40" w:line="220" w:lineRule="exact"/>
              <w:rPr>
                <w:sz w:val="18"/>
                <w:lang w:val="es-ES_tradnl"/>
              </w:rPr>
            </w:pPr>
            <w:r w:rsidRPr="000F09CA">
              <w:rPr>
                <w:sz w:val="18"/>
                <w:lang w:val="es-ES_tradnl"/>
              </w:rPr>
              <w:t>Más de 20 años</w:t>
            </w:r>
          </w:p>
        </w:tc>
        <w:tc>
          <w:tcPr>
            <w:tcW w:w="2694" w:type="dxa"/>
            <w:shd w:val="clear" w:color="auto" w:fill="auto"/>
            <w:vAlign w:val="bottom"/>
          </w:tcPr>
          <w:p w14:paraId="4AE78C63" w14:textId="1411E29A" w:rsidR="000F09CA" w:rsidRPr="000F09CA" w:rsidRDefault="000F09CA" w:rsidP="000F09CA">
            <w:pPr>
              <w:spacing w:before="40" w:after="40" w:line="220" w:lineRule="exact"/>
              <w:ind w:left="57" w:right="28"/>
              <w:jc w:val="right"/>
              <w:rPr>
                <w:sz w:val="18"/>
                <w:lang w:val="es-ES_tradnl"/>
              </w:rPr>
            </w:pPr>
            <w:r w:rsidRPr="000F09CA">
              <w:rPr>
                <w:sz w:val="18"/>
                <w:lang w:val="es-ES_tradnl"/>
              </w:rPr>
              <w:t>10 689</w:t>
            </w:r>
          </w:p>
        </w:tc>
        <w:tc>
          <w:tcPr>
            <w:tcW w:w="1841" w:type="dxa"/>
            <w:shd w:val="clear" w:color="auto" w:fill="auto"/>
            <w:vAlign w:val="bottom"/>
          </w:tcPr>
          <w:p w14:paraId="3001A1D6" w14:textId="0D2EDA15" w:rsidR="000F09CA" w:rsidRPr="000F09CA" w:rsidRDefault="000F09CA" w:rsidP="000F09CA">
            <w:pPr>
              <w:spacing w:before="40" w:after="40" w:line="220" w:lineRule="exact"/>
              <w:ind w:left="57" w:right="28"/>
              <w:jc w:val="right"/>
              <w:rPr>
                <w:sz w:val="18"/>
                <w:lang w:val="es-ES_tradnl"/>
              </w:rPr>
            </w:pPr>
            <w:r w:rsidRPr="000F09CA">
              <w:rPr>
                <w:sz w:val="18"/>
                <w:lang w:val="es-ES_tradnl"/>
              </w:rPr>
              <w:t>11 433</w:t>
            </w:r>
          </w:p>
        </w:tc>
      </w:tr>
      <w:tr w:rsidR="00782036" w:rsidRPr="000F09CA" w14:paraId="6AEA8135" w14:textId="77777777" w:rsidTr="00782036">
        <w:trPr>
          <w:trHeight w:val="240"/>
        </w:trPr>
        <w:tc>
          <w:tcPr>
            <w:tcW w:w="2835" w:type="dxa"/>
            <w:shd w:val="clear" w:color="auto" w:fill="auto"/>
          </w:tcPr>
          <w:p w14:paraId="24D20379" w14:textId="59710A94" w:rsidR="000F09CA" w:rsidRPr="000F09CA" w:rsidRDefault="000F09CA" w:rsidP="000F09CA">
            <w:pPr>
              <w:spacing w:before="40" w:after="40" w:line="220" w:lineRule="exact"/>
              <w:rPr>
                <w:sz w:val="18"/>
                <w:lang w:val="es-ES_tradnl"/>
              </w:rPr>
            </w:pPr>
            <w:r w:rsidRPr="000F09CA">
              <w:rPr>
                <w:sz w:val="18"/>
                <w:lang w:val="es-ES_tradnl"/>
              </w:rPr>
              <w:t>Delincuente reincidente</w:t>
            </w:r>
          </w:p>
        </w:tc>
        <w:tc>
          <w:tcPr>
            <w:tcW w:w="2694" w:type="dxa"/>
            <w:shd w:val="clear" w:color="auto" w:fill="auto"/>
            <w:vAlign w:val="bottom"/>
          </w:tcPr>
          <w:p w14:paraId="27DC023D" w14:textId="60AFBD62" w:rsidR="000F09CA" w:rsidRPr="000F09CA" w:rsidRDefault="000F09CA" w:rsidP="000F09CA">
            <w:pPr>
              <w:spacing w:before="40" w:after="40" w:line="220" w:lineRule="exact"/>
              <w:ind w:left="57" w:right="28"/>
              <w:jc w:val="right"/>
              <w:rPr>
                <w:sz w:val="18"/>
                <w:lang w:val="es-ES_tradnl"/>
              </w:rPr>
            </w:pPr>
            <w:r w:rsidRPr="000F09CA">
              <w:rPr>
                <w:sz w:val="18"/>
                <w:lang w:val="es-ES_tradnl"/>
              </w:rPr>
              <w:t>Se incluyeron entre los condenados a penas de 10 a 15 años</w:t>
            </w:r>
          </w:p>
        </w:tc>
        <w:tc>
          <w:tcPr>
            <w:tcW w:w="1841" w:type="dxa"/>
            <w:shd w:val="clear" w:color="auto" w:fill="auto"/>
            <w:vAlign w:val="bottom"/>
          </w:tcPr>
          <w:p w14:paraId="3E4EAA5D" w14:textId="51014ED6" w:rsidR="000F09CA" w:rsidRPr="000F09CA" w:rsidRDefault="000F09CA" w:rsidP="000F09CA">
            <w:pPr>
              <w:spacing w:before="40" w:after="40" w:line="220" w:lineRule="exact"/>
              <w:ind w:left="57" w:right="28"/>
              <w:jc w:val="right"/>
              <w:rPr>
                <w:sz w:val="18"/>
                <w:lang w:val="es-ES_tradnl"/>
              </w:rPr>
            </w:pPr>
            <w:r w:rsidRPr="000F09CA">
              <w:rPr>
                <w:sz w:val="18"/>
                <w:lang w:val="es-ES_tradnl"/>
              </w:rPr>
              <w:t>181</w:t>
            </w:r>
          </w:p>
        </w:tc>
      </w:tr>
      <w:tr w:rsidR="00782036" w:rsidRPr="000F09CA" w14:paraId="60EF25EC" w14:textId="77777777" w:rsidTr="00782036">
        <w:trPr>
          <w:trHeight w:val="240"/>
        </w:trPr>
        <w:tc>
          <w:tcPr>
            <w:tcW w:w="2835" w:type="dxa"/>
            <w:shd w:val="clear" w:color="auto" w:fill="auto"/>
          </w:tcPr>
          <w:p w14:paraId="416BBCC6" w14:textId="3A3A59B5" w:rsidR="000F09CA" w:rsidRPr="000F09CA" w:rsidRDefault="000F09CA" w:rsidP="000F09CA">
            <w:pPr>
              <w:spacing w:before="40" w:after="40" w:line="220" w:lineRule="exact"/>
              <w:rPr>
                <w:sz w:val="18"/>
                <w:lang w:val="es-ES_tradnl"/>
              </w:rPr>
            </w:pPr>
            <w:r w:rsidRPr="000F09CA">
              <w:rPr>
                <w:sz w:val="18"/>
                <w:lang w:val="es-ES_tradnl"/>
              </w:rPr>
              <w:t>Cadena perpetua</w:t>
            </w:r>
          </w:p>
        </w:tc>
        <w:tc>
          <w:tcPr>
            <w:tcW w:w="2694" w:type="dxa"/>
            <w:shd w:val="clear" w:color="auto" w:fill="auto"/>
            <w:vAlign w:val="bottom"/>
          </w:tcPr>
          <w:p w14:paraId="5D35CEC5" w14:textId="6B905928" w:rsidR="000F09CA" w:rsidRPr="000F09CA" w:rsidRDefault="000F09CA" w:rsidP="000F09CA">
            <w:pPr>
              <w:spacing w:before="40" w:after="40" w:line="220" w:lineRule="exact"/>
              <w:ind w:left="57" w:right="28"/>
              <w:jc w:val="right"/>
              <w:rPr>
                <w:sz w:val="18"/>
                <w:lang w:val="es-ES_tradnl"/>
              </w:rPr>
            </w:pPr>
            <w:r w:rsidRPr="000F09CA">
              <w:rPr>
                <w:sz w:val="18"/>
                <w:lang w:val="es-ES_tradnl"/>
              </w:rPr>
              <w:t>13 820</w:t>
            </w:r>
          </w:p>
        </w:tc>
        <w:tc>
          <w:tcPr>
            <w:tcW w:w="1841" w:type="dxa"/>
            <w:shd w:val="clear" w:color="auto" w:fill="auto"/>
            <w:vAlign w:val="bottom"/>
          </w:tcPr>
          <w:p w14:paraId="744A4969" w14:textId="1BB93CA8" w:rsidR="000F09CA" w:rsidRPr="000F09CA" w:rsidRDefault="000F09CA" w:rsidP="000F09CA">
            <w:pPr>
              <w:spacing w:before="40" w:after="40" w:line="220" w:lineRule="exact"/>
              <w:ind w:left="57" w:right="28"/>
              <w:jc w:val="right"/>
              <w:rPr>
                <w:sz w:val="18"/>
                <w:lang w:val="es-ES_tradnl"/>
              </w:rPr>
            </w:pPr>
            <w:r w:rsidRPr="000F09CA">
              <w:rPr>
                <w:sz w:val="18"/>
                <w:lang w:val="es-ES_tradnl"/>
              </w:rPr>
              <w:t>15 539</w:t>
            </w:r>
          </w:p>
        </w:tc>
      </w:tr>
      <w:tr w:rsidR="000F09CA" w:rsidRPr="000F09CA" w14:paraId="3FEBDE82" w14:textId="77777777" w:rsidTr="00782036">
        <w:trPr>
          <w:trHeight w:val="240"/>
        </w:trPr>
        <w:tc>
          <w:tcPr>
            <w:tcW w:w="2835" w:type="dxa"/>
            <w:tcBorders>
              <w:bottom w:val="single" w:sz="4" w:space="0" w:color="auto"/>
            </w:tcBorders>
            <w:shd w:val="clear" w:color="auto" w:fill="auto"/>
          </w:tcPr>
          <w:p w14:paraId="518EB469" w14:textId="2C58CCE1" w:rsidR="000F09CA" w:rsidRPr="000F09CA" w:rsidRDefault="000F09CA" w:rsidP="000F09CA">
            <w:pPr>
              <w:spacing w:before="40" w:after="40" w:line="220" w:lineRule="exact"/>
              <w:rPr>
                <w:sz w:val="18"/>
                <w:lang w:val="es-ES_tradnl"/>
              </w:rPr>
            </w:pPr>
            <w:r w:rsidRPr="000F09CA">
              <w:rPr>
                <w:sz w:val="18"/>
                <w:lang w:val="es-ES_tradnl"/>
              </w:rPr>
              <w:t>Considerados peligrosos por el tribunal</w:t>
            </w:r>
          </w:p>
        </w:tc>
        <w:tc>
          <w:tcPr>
            <w:tcW w:w="2694" w:type="dxa"/>
            <w:tcBorders>
              <w:bottom w:val="single" w:sz="4" w:space="0" w:color="auto"/>
            </w:tcBorders>
            <w:shd w:val="clear" w:color="auto" w:fill="auto"/>
            <w:vAlign w:val="bottom"/>
          </w:tcPr>
          <w:p w14:paraId="6AAC0CA3" w14:textId="65B89107" w:rsidR="000F09CA" w:rsidRPr="000F09CA" w:rsidRDefault="000F09CA" w:rsidP="000F09CA">
            <w:pPr>
              <w:spacing w:before="40" w:after="40" w:line="220" w:lineRule="exact"/>
              <w:ind w:left="57" w:right="28"/>
              <w:jc w:val="right"/>
              <w:rPr>
                <w:sz w:val="18"/>
                <w:lang w:val="es-ES_tradnl"/>
              </w:rPr>
            </w:pPr>
            <w:r w:rsidRPr="000F09CA">
              <w:rPr>
                <w:sz w:val="18"/>
                <w:lang w:val="es-ES_tradnl"/>
              </w:rPr>
              <w:t>Se incluyeron entre los condenados a penas de 10 a 15 años</w:t>
            </w:r>
          </w:p>
        </w:tc>
        <w:tc>
          <w:tcPr>
            <w:tcW w:w="1841" w:type="dxa"/>
            <w:tcBorders>
              <w:bottom w:val="single" w:sz="4" w:space="0" w:color="auto"/>
            </w:tcBorders>
            <w:shd w:val="clear" w:color="auto" w:fill="auto"/>
            <w:vAlign w:val="bottom"/>
          </w:tcPr>
          <w:p w14:paraId="656DCA04" w14:textId="74A0A9B5" w:rsidR="000F09CA" w:rsidRPr="000F09CA" w:rsidRDefault="000F09CA" w:rsidP="000F09CA">
            <w:pPr>
              <w:spacing w:before="40" w:after="40" w:line="220" w:lineRule="exact"/>
              <w:ind w:left="57" w:right="28"/>
              <w:jc w:val="right"/>
              <w:rPr>
                <w:sz w:val="18"/>
                <w:lang w:val="es-ES_tradnl"/>
              </w:rPr>
            </w:pPr>
            <w:r w:rsidRPr="000F09CA">
              <w:rPr>
                <w:sz w:val="18"/>
                <w:lang w:val="es-ES_tradnl"/>
              </w:rPr>
              <w:t>22</w:t>
            </w:r>
          </w:p>
        </w:tc>
      </w:tr>
      <w:tr w:rsidR="000F09CA" w:rsidRPr="000F09CA" w14:paraId="38D61851" w14:textId="77777777" w:rsidTr="00782036">
        <w:trPr>
          <w:trHeight w:val="240"/>
        </w:trPr>
        <w:tc>
          <w:tcPr>
            <w:tcW w:w="2835" w:type="dxa"/>
            <w:tcBorders>
              <w:top w:val="single" w:sz="4" w:space="0" w:color="auto"/>
              <w:bottom w:val="single" w:sz="12" w:space="0" w:color="auto"/>
            </w:tcBorders>
            <w:shd w:val="clear" w:color="auto" w:fill="auto"/>
          </w:tcPr>
          <w:p w14:paraId="56C40003" w14:textId="529B81BC" w:rsidR="000F09CA" w:rsidRPr="000F09CA" w:rsidRDefault="000F09CA" w:rsidP="000F09CA">
            <w:pPr>
              <w:spacing w:before="80" w:after="80" w:line="220" w:lineRule="exact"/>
              <w:ind w:left="283"/>
              <w:rPr>
                <w:b/>
                <w:sz w:val="18"/>
                <w:lang w:val="es-ES_tradnl"/>
              </w:rPr>
            </w:pPr>
            <w:r w:rsidRPr="000F09CA">
              <w:rPr>
                <w:b/>
                <w:bCs/>
                <w:sz w:val="18"/>
                <w:lang w:val="es-ES_tradnl"/>
              </w:rPr>
              <w:t>Total</w:t>
            </w:r>
          </w:p>
        </w:tc>
        <w:tc>
          <w:tcPr>
            <w:tcW w:w="2694" w:type="dxa"/>
            <w:tcBorders>
              <w:top w:val="single" w:sz="4" w:space="0" w:color="auto"/>
              <w:bottom w:val="single" w:sz="12" w:space="0" w:color="auto"/>
            </w:tcBorders>
            <w:shd w:val="clear" w:color="auto" w:fill="auto"/>
            <w:vAlign w:val="bottom"/>
          </w:tcPr>
          <w:p w14:paraId="38414450" w14:textId="32CCE23D" w:rsidR="000F09CA" w:rsidRPr="000F09CA" w:rsidRDefault="000F09CA" w:rsidP="000F09CA">
            <w:pPr>
              <w:spacing w:before="80" w:after="80" w:line="220" w:lineRule="exact"/>
              <w:ind w:left="57" w:right="28"/>
              <w:jc w:val="right"/>
              <w:rPr>
                <w:b/>
                <w:sz w:val="18"/>
                <w:lang w:val="es-ES_tradnl"/>
              </w:rPr>
            </w:pPr>
            <w:r w:rsidRPr="000F09CA">
              <w:rPr>
                <w:b/>
                <w:bCs/>
                <w:sz w:val="18"/>
                <w:lang w:val="es-ES_tradnl"/>
              </w:rPr>
              <w:t>117 568</w:t>
            </w:r>
          </w:p>
        </w:tc>
        <w:tc>
          <w:tcPr>
            <w:tcW w:w="1841" w:type="dxa"/>
            <w:tcBorders>
              <w:top w:val="single" w:sz="4" w:space="0" w:color="auto"/>
              <w:bottom w:val="single" w:sz="12" w:space="0" w:color="auto"/>
            </w:tcBorders>
            <w:shd w:val="clear" w:color="auto" w:fill="auto"/>
            <w:vAlign w:val="bottom"/>
          </w:tcPr>
          <w:p w14:paraId="3AE68702" w14:textId="791008EF" w:rsidR="000F09CA" w:rsidRPr="000F09CA" w:rsidRDefault="000F09CA" w:rsidP="000F09CA">
            <w:pPr>
              <w:spacing w:before="80" w:after="80" w:line="220" w:lineRule="exact"/>
              <w:ind w:left="57" w:right="28"/>
              <w:jc w:val="right"/>
              <w:rPr>
                <w:b/>
                <w:sz w:val="18"/>
                <w:lang w:val="es-ES_tradnl"/>
              </w:rPr>
            </w:pPr>
            <w:r w:rsidRPr="000F09CA">
              <w:rPr>
                <w:b/>
                <w:bCs/>
                <w:sz w:val="18"/>
                <w:lang w:val="es-ES_tradnl"/>
              </w:rPr>
              <w:t>117 512</w:t>
            </w:r>
          </w:p>
        </w:tc>
      </w:tr>
    </w:tbl>
    <w:p w14:paraId="43C494CA" w14:textId="77777777" w:rsidR="000C2F85" w:rsidRPr="000C2F85" w:rsidRDefault="000C2F85" w:rsidP="000F09CA">
      <w:pPr>
        <w:pStyle w:val="SingleTxtG"/>
        <w:spacing w:before="240"/>
        <w:rPr>
          <w:lang w:val="es-ES_tradnl"/>
        </w:rPr>
      </w:pPr>
      <w:r w:rsidRPr="000C2F85">
        <w:rPr>
          <w:lang w:val="es-ES_tradnl"/>
        </w:rPr>
        <w:t>88.</w:t>
      </w:r>
      <w:r w:rsidRPr="000C2F85">
        <w:rPr>
          <w:lang w:val="es-ES_tradnl"/>
        </w:rPr>
        <w:tab/>
        <w:t>En junio de 2017 unos 11.842 extranjeros estaban recluidos en centros penitenciarios de Sudáfrica. De ellos, 7.345 habían sido condenados y 4.497 estaban a la espera de juicio, en tanto que 1.380 habían sido procesados por permanecer en el país de forma ilegal.</w:t>
      </w:r>
    </w:p>
    <w:p w14:paraId="678CD7D5" w14:textId="77777777" w:rsidR="000C2F85" w:rsidRPr="000C2F85" w:rsidRDefault="000C2F85" w:rsidP="000C2F85">
      <w:pPr>
        <w:pStyle w:val="SingleTxtG"/>
        <w:rPr>
          <w:lang w:val="es-ES_tradnl"/>
        </w:rPr>
      </w:pPr>
      <w:r w:rsidRPr="000C2F85">
        <w:rPr>
          <w:lang w:val="es-ES_tradnl"/>
        </w:rPr>
        <w:t>89.</w:t>
      </w:r>
      <w:r w:rsidRPr="000C2F85">
        <w:rPr>
          <w:lang w:val="es-ES_tradnl"/>
        </w:rPr>
        <w:tab/>
        <w:t>La mayoría de las muertes en los centros penitenciarios obedecen a causas naturales; sin embargo, algunas muertes de personas privadas de libertad se producen por causas no naturales. Estas generalmente corresponden a una de las tres categorías siguientes: homicidios, accidentes y suicidios. En el período 2015/16, se denunciaron 62 muertes de reclusos por causas no naturales, 52 durante el período comprendido entre abril de 2016 y abril de 2017, y 61 en el período 2017/18.</w:t>
      </w:r>
    </w:p>
    <w:p w14:paraId="2140E70A" w14:textId="53395A9A" w:rsidR="000C2F85" w:rsidRPr="000C2F85" w:rsidRDefault="00782036" w:rsidP="00782036">
      <w:pPr>
        <w:pStyle w:val="H23G"/>
        <w:rPr>
          <w:lang w:val="es-ES_tradnl"/>
        </w:rPr>
      </w:pPr>
      <w:r>
        <w:rPr>
          <w:lang w:val="es-ES_tradnl"/>
        </w:rPr>
        <w:tab/>
      </w:r>
      <w:r w:rsidR="000C2F85" w:rsidRPr="000C2F85">
        <w:rPr>
          <w:lang w:val="es-ES_tradnl"/>
        </w:rPr>
        <w:tab/>
        <w:t>Justicia juvenil</w:t>
      </w:r>
    </w:p>
    <w:p w14:paraId="51EC2A3F" w14:textId="77777777" w:rsidR="000C2F85" w:rsidRPr="000C2F85" w:rsidRDefault="000C2F85" w:rsidP="000C2F85">
      <w:pPr>
        <w:pStyle w:val="SingleTxtG"/>
        <w:rPr>
          <w:lang w:val="es-ES_tradnl"/>
        </w:rPr>
      </w:pPr>
      <w:r w:rsidRPr="000C2F85">
        <w:rPr>
          <w:lang w:val="es-ES_tradnl"/>
        </w:rPr>
        <w:t>90.</w:t>
      </w:r>
      <w:r w:rsidRPr="000C2F85">
        <w:rPr>
          <w:lang w:val="es-ES_tradnl"/>
        </w:rPr>
        <w:tab/>
        <w:t>La Ley de Justicia Juvenil de 2008</w:t>
      </w:r>
      <w:r w:rsidRPr="00605B48">
        <w:rPr>
          <w:sz w:val="18"/>
          <w:szCs w:val="18"/>
          <w:vertAlign w:val="superscript"/>
          <w:lang w:val="es-ES_tradnl"/>
        </w:rPr>
        <w:footnoteReference w:id="78"/>
      </w:r>
      <w:r w:rsidRPr="000C2F85">
        <w:rPr>
          <w:lang w:val="es-ES_tradnl"/>
        </w:rPr>
        <w:t xml:space="preserve"> entró en vigor en 2010 con el objetivo de establecer un sistema de justicia juvenil que protegiera los derechos de los niños en conflicto con la ley, de conformidad con los valores fundamentales de la Constitución. Incluye la promoción del espíritu de </w:t>
      </w:r>
      <w:r w:rsidRPr="000C2F85">
        <w:rPr>
          <w:i/>
          <w:iCs/>
          <w:lang w:val="es-ES_tradnl"/>
        </w:rPr>
        <w:t xml:space="preserve">ubuntu </w:t>
      </w:r>
      <w:r w:rsidRPr="000C2F85">
        <w:rPr>
          <w:lang w:val="es-ES_tradnl"/>
        </w:rPr>
        <w:t xml:space="preserve">en el sistema de justicia juvenil mediante el fomento del </w:t>
      </w:r>
      <w:r w:rsidRPr="000C2F85">
        <w:rPr>
          <w:lang w:val="es-ES_tradnl"/>
        </w:rPr>
        <w:lastRenderedPageBreak/>
        <w:t xml:space="preserve">sentido de la dignidad y el valor del niño, y el fortalecimiento en los niños del respeto de los derechos humanos y las libertades fundamentales de los demás haciendo que los niños rindan cuentas de sus actos y protegiendo los intereses de las víctimas y la comunidad. </w:t>
      </w:r>
    </w:p>
    <w:p w14:paraId="6C1D94E4" w14:textId="77777777" w:rsidR="000C2F85" w:rsidRPr="000C2F85" w:rsidRDefault="000C2F85" w:rsidP="000C2F85">
      <w:pPr>
        <w:pStyle w:val="SingleTxtG"/>
        <w:rPr>
          <w:lang w:val="es-ES_tradnl"/>
        </w:rPr>
      </w:pPr>
      <w:r w:rsidRPr="000C2F85">
        <w:rPr>
          <w:lang w:val="es-ES_tradnl"/>
        </w:rPr>
        <w:t>91.</w:t>
      </w:r>
      <w:r w:rsidRPr="000C2F85">
        <w:rPr>
          <w:lang w:val="es-ES_tradnl"/>
        </w:rPr>
        <w:tab/>
        <w:t>Se promueven la reconciliación por medio de respuestas de justicia restaurativa y la participación de los progenitores, las familias y las víctimas y, cuando procede, se alienta a los miembros de las comunidades afectadas por el delito a promover la reintegración de los niños en sus familias y comunidades. La aplicación de la Ley de Justicia Juvenil y el seguimiento de los progresos realizados al respecto exigen la cooperación intersectorial y la colaboración de varios departamentos e instituciones, como el Departamento de Justicia y Desarrollo Constitucional, la Fiscalía Nacional, el Servicio de Policía de Sudáfrica, el Departamento de Servicios Penitenciarios, el Departamento de Desarrollo Social, el Departamento de Educación Básica y el Departamento de Salud. El Servicio de Asistencia Jurídica de Sudáfrica también desempeña una función esencial en la aplicación de la Ley de Justicia Juvenil protegiendo los derechos de los niños en conflicto con la ley.</w:t>
      </w:r>
    </w:p>
    <w:p w14:paraId="45E5DF25" w14:textId="22D82236" w:rsidR="000C2F85" w:rsidRPr="000C2F85" w:rsidRDefault="000C2F85" w:rsidP="00431F76">
      <w:pPr>
        <w:pStyle w:val="SingleTxtG"/>
        <w:spacing w:after="130"/>
        <w:rPr>
          <w:lang w:val="es-ES_tradnl"/>
        </w:rPr>
      </w:pPr>
      <w:r w:rsidRPr="000C2F85">
        <w:rPr>
          <w:lang w:val="es-ES_tradnl"/>
        </w:rPr>
        <w:t>92.</w:t>
      </w:r>
      <w:r w:rsidRPr="000C2F85">
        <w:rPr>
          <w:lang w:val="es-ES_tradnl"/>
        </w:rPr>
        <w:tab/>
        <w:t>Con arreglo a la Ley de Justicia Juvenil, se elaboró un Marco Nacional de Políticas para asegurar un enfoque uniforme, coordinado y cooperativo de todos los departamentos públicos, órganos del Estado e instituciones y promover la cooperación con el sector no gubernamental y la sociedad civil a fin de asegurar la creación de alianzas eficaces para fortalecer el sistema de justicia juvenil. El primer Marco Nacional de Políticas se aprobó en</w:t>
      </w:r>
      <w:r w:rsidR="00577776">
        <w:rPr>
          <w:lang w:val="es-ES_tradnl"/>
        </w:rPr>
        <w:t> </w:t>
      </w:r>
      <w:r w:rsidRPr="000C2F85">
        <w:rPr>
          <w:lang w:val="es-ES_tradnl"/>
        </w:rPr>
        <w:t xml:space="preserve">2010 y la </w:t>
      </w:r>
      <w:r w:rsidR="009C43B5" w:rsidRPr="000C2F85">
        <w:rPr>
          <w:lang w:val="es-ES_tradnl"/>
        </w:rPr>
        <w:t xml:space="preserve">Ley </w:t>
      </w:r>
      <w:r w:rsidRPr="000C2F85">
        <w:rPr>
          <w:lang w:val="es-ES_tradnl"/>
        </w:rPr>
        <w:t>exige que el Ministro lo examine en un plazo de tres años desde su publicación y, al menos, una vez cada cinco años a partir de entonces. El Marco Nacional de Políticas Enmendado de 2018 se presentó en mayo de ese año. Incluye directrices sobre diferentes aspectos clave, entre otros, el fomento de la capacidad en el sector, la comparecencia de niños en la investigación preliminar, la evaluación de los niños, el período previo al juicio, la libertad bajo fianza y el acogimiento familiar, el enjuiciamiento, la imposición de la pena y los servicios de remisión, así como directrices sobre la gestión de los centros únicos de justicia de menores, los centros de atención de la infancia y la juventud (denominados también centros de seguridad para menores) y los centros penitenciarios que alojan a niños.</w:t>
      </w:r>
    </w:p>
    <w:p w14:paraId="1EAE7313" w14:textId="77777777" w:rsidR="000C2F85" w:rsidRPr="000C2F85" w:rsidRDefault="000C2F85" w:rsidP="00431F76">
      <w:pPr>
        <w:pStyle w:val="SingleTxtG"/>
        <w:spacing w:after="130"/>
        <w:rPr>
          <w:lang w:val="es-ES_tradnl"/>
        </w:rPr>
      </w:pPr>
      <w:r w:rsidRPr="000C2F85">
        <w:rPr>
          <w:lang w:val="es-ES_tradnl"/>
        </w:rPr>
        <w:t>93.</w:t>
      </w:r>
      <w:r w:rsidRPr="000C2F85">
        <w:rPr>
          <w:lang w:val="es-ES_tradnl"/>
        </w:rPr>
        <w:tab/>
        <w:t>El número de niños condenados recluidos en centros penitenciarios en 2018 se indica en el cuadro que figura a continuación.</w:t>
      </w:r>
    </w:p>
    <w:p w14:paraId="25815135" w14:textId="5A55AA59" w:rsidR="000C2F85" w:rsidRPr="000C2F85" w:rsidRDefault="00782036" w:rsidP="00782036">
      <w:pPr>
        <w:pStyle w:val="H23G"/>
        <w:rPr>
          <w:lang w:val="es-ES_tradnl"/>
        </w:rPr>
      </w:pPr>
      <w:r w:rsidRPr="00782036">
        <w:rPr>
          <w:b w:val="0"/>
          <w:bCs/>
          <w:lang w:val="es-ES_tradnl"/>
        </w:rPr>
        <w:tab/>
      </w:r>
      <w:r w:rsidR="000C2F85" w:rsidRPr="00782036">
        <w:rPr>
          <w:b w:val="0"/>
          <w:bCs/>
          <w:lang w:val="es-ES_tradnl"/>
        </w:rPr>
        <w:tab/>
        <w:t xml:space="preserve">Cuadro 24 </w:t>
      </w:r>
      <w:r w:rsidR="000C2F85" w:rsidRPr="00782036">
        <w:rPr>
          <w:b w:val="0"/>
          <w:bCs/>
          <w:lang w:val="es-ES_tradnl"/>
        </w:rPr>
        <w:br/>
      </w:r>
      <w:r w:rsidR="000C2F85" w:rsidRPr="000C2F85">
        <w:rPr>
          <w:lang w:val="es-ES_tradnl"/>
        </w:rPr>
        <w:t>Número de niños condenados recluidos en centros penitenciarios (mayo de 2018)</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119"/>
        <w:gridCol w:w="1984"/>
        <w:gridCol w:w="1134"/>
        <w:gridCol w:w="1133"/>
      </w:tblGrid>
      <w:tr w:rsidR="000C2F85" w:rsidRPr="00782036" w14:paraId="28A9CD86" w14:textId="77777777" w:rsidTr="00782036">
        <w:trPr>
          <w:trHeight w:val="240"/>
          <w:tblHeader/>
        </w:trPr>
        <w:tc>
          <w:tcPr>
            <w:tcW w:w="3119" w:type="dxa"/>
            <w:tcBorders>
              <w:top w:val="single" w:sz="4" w:space="0" w:color="auto"/>
              <w:bottom w:val="single" w:sz="12" w:space="0" w:color="auto"/>
            </w:tcBorders>
            <w:shd w:val="clear" w:color="auto" w:fill="auto"/>
            <w:vAlign w:val="bottom"/>
            <w:hideMark/>
          </w:tcPr>
          <w:p w14:paraId="6D1525A8" w14:textId="77777777" w:rsidR="000C2F85" w:rsidRPr="00782036" w:rsidRDefault="000C2F85" w:rsidP="00782036">
            <w:pPr>
              <w:pStyle w:val="SingleTxtG"/>
              <w:tabs>
                <w:tab w:val="clear" w:pos="1701"/>
                <w:tab w:val="clear" w:pos="2268"/>
                <w:tab w:val="clear" w:pos="2835"/>
              </w:tabs>
              <w:spacing w:before="80" w:after="80" w:line="200" w:lineRule="exact"/>
              <w:ind w:left="0" w:right="0"/>
              <w:jc w:val="left"/>
              <w:rPr>
                <w:i/>
                <w:sz w:val="16"/>
                <w:lang w:val="es-ES_tradnl"/>
              </w:rPr>
            </w:pPr>
            <w:r w:rsidRPr="00782036">
              <w:rPr>
                <w:i/>
                <w:iCs/>
                <w:sz w:val="16"/>
                <w:lang w:val="es-ES_tradnl"/>
              </w:rPr>
              <w:t>Región</w:t>
            </w:r>
          </w:p>
        </w:tc>
        <w:tc>
          <w:tcPr>
            <w:tcW w:w="1984" w:type="dxa"/>
            <w:tcBorders>
              <w:top w:val="single" w:sz="4" w:space="0" w:color="auto"/>
              <w:bottom w:val="single" w:sz="12" w:space="0" w:color="auto"/>
            </w:tcBorders>
            <w:shd w:val="clear" w:color="auto" w:fill="auto"/>
            <w:vAlign w:val="bottom"/>
            <w:hideMark/>
          </w:tcPr>
          <w:p w14:paraId="5F52A234" w14:textId="77777777" w:rsidR="000C2F85" w:rsidRPr="00782036" w:rsidRDefault="000C2F85" w:rsidP="00782036">
            <w:pPr>
              <w:pStyle w:val="SingleTxtG"/>
              <w:tabs>
                <w:tab w:val="clear" w:pos="1701"/>
                <w:tab w:val="clear" w:pos="2268"/>
                <w:tab w:val="clear" w:pos="2835"/>
              </w:tabs>
              <w:spacing w:before="80" w:after="80" w:line="200" w:lineRule="exact"/>
              <w:ind w:left="57" w:right="28"/>
              <w:jc w:val="right"/>
              <w:rPr>
                <w:i/>
                <w:sz w:val="16"/>
                <w:lang w:val="es-ES_tradnl"/>
              </w:rPr>
            </w:pPr>
            <w:r w:rsidRPr="00782036">
              <w:rPr>
                <w:i/>
                <w:iCs/>
                <w:sz w:val="16"/>
                <w:lang w:val="es-ES_tradnl"/>
              </w:rPr>
              <w:t>Base de referencia promedio de marzo de 2018</w:t>
            </w:r>
          </w:p>
        </w:tc>
        <w:tc>
          <w:tcPr>
            <w:tcW w:w="1134" w:type="dxa"/>
            <w:tcBorders>
              <w:top w:val="single" w:sz="4" w:space="0" w:color="auto"/>
              <w:bottom w:val="single" w:sz="12" w:space="0" w:color="auto"/>
            </w:tcBorders>
            <w:shd w:val="clear" w:color="auto" w:fill="auto"/>
            <w:vAlign w:val="bottom"/>
            <w:hideMark/>
          </w:tcPr>
          <w:p w14:paraId="00258E9E" w14:textId="77777777" w:rsidR="000C2F85" w:rsidRPr="00782036" w:rsidRDefault="000C2F85" w:rsidP="00782036">
            <w:pPr>
              <w:pStyle w:val="SingleTxtG"/>
              <w:tabs>
                <w:tab w:val="clear" w:pos="1701"/>
                <w:tab w:val="clear" w:pos="2268"/>
                <w:tab w:val="clear" w:pos="2835"/>
              </w:tabs>
              <w:spacing w:before="80" w:after="80" w:line="200" w:lineRule="exact"/>
              <w:ind w:left="57" w:right="28"/>
              <w:jc w:val="right"/>
              <w:rPr>
                <w:i/>
                <w:sz w:val="16"/>
                <w:lang w:val="es-ES_tradnl"/>
              </w:rPr>
            </w:pPr>
            <w:r w:rsidRPr="00782036">
              <w:rPr>
                <w:i/>
                <w:iCs/>
                <w:sz w:val="16"/>
                <w:lang w:val="es-ES_tradnl"/>
              </w:rPr>
              <w:t>Abril de 2018</w:t>
            </w:r>
          </w:p>
        </w:tc>
        <w:tc>
          <w:tcPr>
            <w:tcW w:w="1133" w:type="dxa"/>
            <w:tcBorders>
              <w:top w:val="single" w:sz="4" w:space="0" w:color="auto"/>
              <w:bottom w:val="single" w:sz="12" w:space="0" w:color="auto"/>
            </w:tcBorders>
            <w:shd w:val="clear" w:color="auto" w:fill="auto"/>
            <w:vAlign w:val="bottom"/>
            <w:hideMark/>
          </w:tcPr>
          <w:p w14:paraId="3BDD0230" w14:textId="77777777" w:rsidR="000C2F85" w:rsidRPr="00782036" w:rsidRDefault="000C2F85" w:rsidP="00782036">
            <w:pPr>
              <w:pStyle w:val="SingleTxtG"/>
              <w:tabs>
                <w:tab w:val="clear" w:pos="1701"/>
                <w:tab w:val="clear" w:pos="2268"/>
                <w:tab w:val="clear" w:pos="2835"/>
              </w:tabs>
              <w:spacing w:before="80" w:after="80" w:line="200" w:lineRule="exact"/>
              <w:ind w:left="57" w:right="28"/>
              <w:jc w:val="right"/>
              <w:rPr>
                <w:i/>
                <w:sz w:val="16"/>
                <w:lang w:val="es-ES_tradnl"/>
              </w:rPr>
            </w:pPr>
            <w:r w:rsidRPr="00782036">
              <w:rPr>
                <w:i/>
                <w:iCs/>
                <w:sz w:val="16"/>
                <w:lang w:val="es-ES_tradnl"/>
              </w:rPr>
              <w:t>Mayo de 2018</w:t>
            </w:r>
          </w:p>
        </w:tc>
      </w:tr>
      <w:tr w:rsidR="000C2F85" w:rsidRPr="00782036" w14:paraId="613C024A" w14:textId="77777777" w:rsidTr="00782036">
        <w:trPr>
          <w:trHeight w:val="240"/>
        </w:trPr>
        <w:tc>
          <w:tcPr>
            <w:tcW w:w="3119" w:type="dxa"/>
            <w:tcBorders>
              <w:top w:val="single" w:sz="12" w:space="0" w:color="auto"/>
            </w:tcBorders>
            <w:shd w:val="clear" w:color="auto" w:fill="auto"/>
            <w:hideMark/>
          </w:tcPr>
          <w:p w14:paraId="153E46A1" w14:textId="77777777" w:rsidR="000C2F85" w:rsidRPr="00782036" w:rsidRDefault="000C2F85" w:rsidP="00782036">
            <w:pPr>
              <w:pStyle w:val="SingleTxtG"/>
              <w:tabs>
                <w:tab w:val="clear" w:pos="1701"/>
                <w:tab w:val="clear" w:pos="2268"/>
                <w:tab w:val="clear" w:pos="2835"/>
              </w:tabs>
              <w:spacing w:before="40" w:after="40" w:line="220" w:lineRule="exact"/>
              <w:ind w:left="0" w:right="0"/>
              <w:jc w:val="left"/>
              <w:rPr>
                <w:sz w:val="18"/>
                <w:lang w:val="es-ES_tradnl"/>
              </w:rPr>
            </w:pPr>
            <w:r w:rsidRPr="00782036">
              <w:rPr>
                <w:sz w:val="18"/>
                <w:lang w:val="es-ES_tradnl"/>
              </w:rPr>
              <w:t>Gauteng</w:t>
            </w:r>
          </w:p>
        </w:tc>
        <w:tc>
          <w:tcPr>
            <w:tcW w:w="1984" w:type="dxa"/>
            <w:tcBorders>
              <w:top w:val="single" w:sz="12" w:space="0" w:color="auto"/>
            </w:tcBorders>
            <w:shd w:val="clear" w:color="auto" w:fill="auto"/>
            <w:vAlign w:val="bottom"/>
            <w:hideMark/>
          </w:tcPr>
          <w:p w14:paraId="112843C4" w14:textId="77777777" w:rsidR="000C2F85" w:rsidRPr="00782036" w:rsidRDefault="000C2F85" w:rsidP="00431F76">
            <w:pPr>
              <w:pStyle w:val="SingleTxtG"/>
              <w:tabs>
                <w:tab w:val="clear" w:pos="1701"/>
                <w:tab w:val="clear" w:pos="2268"/>
                <w:tab w:val="clear" w:pos="2835"/>
              </w:tabs>
              <w:spacing w:before="40" w:after="40" w:line="220" w:lineRule="exact"/>
              <w:ind w:left="57" w:right="28"/>
              <w:jc w:val="right"/>
              <w:rPr>
                <w:sz w:val="18"/>
                <w:lang w:val="es-ES_tradnl"/>
              </w:rPr>
            </w:pPr>
            <w:r w:rsidRPr="00782036">
              <w:rPr>
                <w:sz w:val="18"/>
                <w:lang w:val="es-ES_tradnl"/>
              </w:rPr>
              <w:t>7</w:t>
            </w:r>
          </w:p>
        </w:tc>
        <w:tc>
          <w:tcPr>
            <w:tcW w:w="1134" w:type="dxa"/>
            <w:tcBorders>
              <w:top w:val="single" w:sz="12" w:space="0" w:color="auto"/>
            </w:tcBorders>
            <w:shd w:val="clear" w:color="auto" w:fill="auto"/>
            <w:vAlign w:val="bottom"/>
            <w:hideMark/>
          </w:tcPr>
          <w:p w14:paraId="50BC6F4C" w14:textId="77777777" w:rsidR="000C2F85" w:rsidRPr="00782036" w:rsidRDefault="000C2F85" w:rsidP="00431F76">
            <w:pPr>
              <w:pStyle w:val="SingleTxtG"/>
              <w:tabs>
                <w:tab w:val="clear" w:pos="1701"/>
                <w:tab w:val="clear" w:pos="2268"/>
                <w:tab w:val="clear" w:pos="2835"/>
              </w:tabs>
              <w:spacing w:before="40" w:after="40" w:line="220" w:lineRule="exact"/>
              <w:ind w:left="57" w:right="28"/>
              <w:jc w:val="right"/>
              <w:rPr>
                <w:sz w:val="18"/>
                <w:lang w:val="es-ES_tradnl"/>
              </w:rPr>
            </w:pPr>
            <w:r w:rsidRPr="00782036">
              <w:rPr>
                <w:sz w:val="18"/>
                <w:lang w:val="es-ES_tradnl"/>
              </w:rPr>
              <w:t>6</w:t>
            </w:r>
          </w:p>
        </w:tc>
        <w:tc>
          <w:tcPr>
            <w:tcW w:w="1133" w:type="dxa"/>
            <w:tcBorders>
              <w:top w:val="single" w:sz="12" w:space="0" w:color="auto"/>
            </w:tcBorders>
            <w:shd w:val="clear" w:color="auto" w:fill="auto"/>
            <w:vAlign w:val="bottom"/>
            <w:hideMark/>
          </w:tcPr>
          <w:p w14:paraId="6806A02E" w14:textId="77777777" w:rsidR="000C2F85" w:rsidRPr="00782036" w:rsidRDefault="000C2F85" w:rsidP="00431F76">
            <w:pPr>
              <w:pStyle w:val="SingleTxtG"/>
              <w:tabs>
                <w:tab w:val="clear" w:pos="1701"/>
                <w:tab w:val="clear" w:pos="2268"/>
                <w:tab w:val="clear" w:pos="2835"/>
              </w:tabs>
              <w:spacing w:before="40" w:after="40" w:line="220" w:lineRule="exact"/>
              <w:ind w:left="57" w:right="28"/>
              <w:jc w:val="right"/>
              <w:rPr>
                <w:sz w:val="18"/>
                <w:lang w:val="es-ES_tradnl"/>
              </w:rPr>
            </w:pPr>
            <w:r w:rsidRPr="00782036">
              <w:rPr>
                <w:sz w:val="18"/>
                <w:lang w:val="es-ES_tradnl"/>
              </w:rPr>
              <w:t>5</w:t>
            </w:r>
          </w:p>
        </w:tc>
      </w:tr>
      <w:tr w:rsidR="000C2F85" w:rsidRPr="00782036" w14:paraId="509933E9" w14:textId="77777777" w:rsidTr="00782036">
        <w:trPr>
          <w:trHeight w:val="240"/>
        </w:trPr>
        <w:tc>
          <w:tcPr>
            <w:tcW w:w="3119" w:type="dxa"/>
            <w:shd w:val="clear" w:color="auto" w:fill="auto"/>
            <w:hideMark/>
          </w:tcPr>
          <w:p w14:paraId="5630BB34" w14:textId="77777777" w:rsidR="000C2F85" w:rsidRPr="00782036" w:rsidRDefault="000C2F85" w:rsidP="00782036">
            <w:pPr>
              <w:pStyle w:val="SingleTxtG"/>
              <w:tabs>
                <w:tab w:val="clear" w:pos="1701"/>
                <w:tab w:val="clear" w:pos="2268"/>
                <w:tab w:val="clear" w:pos="2835"/>
              </w:tabs>
              <w:spacing w:before="40" w:after="40" w:line="220" w:lineRule="exact"/>
              <w:ind w:left="0" w:right="0"/>
              <w:jc w:val="left"/>
              <w:rPr>
                <w:sz w:val="18"/>
                <w:lang w:val="es-ES_tradnl"/>
              </w:rPr>
            </w:pPr>
            <w:r w:rsidRPr="00782036">
              <w:rPr>
                <w:sz w:val="18"/>
                <w:lang w:val="es-ES_tradnl"/>
              </w:rPr>
              <w:t>Cabo Occidental</w:t>
            </w:r>
          </w:p>
        </w:tc>
        <w:tc>
          <w:tcPr>
            <w:tcW w:w="1984" w:type="dxa"/>
            <w:shd w:val="clear" w:color="auto" w:fill="auto"/>
            <w:vAlign w:val="bottom"/>
            <w:hideMark/>
          </w:tcPr>
          <w:p w14:paraId="268AB06E" w14:textId="77777777" w:rsidR="000C2F85" w:rsidRPr="00782036" w:rsidRDefault="000C2F85" w:rsidP="00431F76">
            <w:pPr>
              <w:pStyle w:val="SingleTxtG"/>
              <w:tabs>
                <w:tab w:val="clear" w:pos="1701"/>
                <w:tab w:val="clear" w:pos="2268"/>
                <w:tab w:val="clear" w:pos="2835"/>
              </w:tabs>
              <w:spacing w:before="40" w:after="40" w:line="220" w:lineRule="exact"/>
              <w:ind w:left="57" w:right="28"/>
              <w:jc w:val="right"/>
              <w:rPr>
                <w:sz w:val="18"/>
                <w:lang w:val="es-ES_tradnl"/>
              </w:rPr>
            </w:pPr>
            <w:r w:rsidRPr="00782036">
              <w:rPr>
                <w:sz w:val="18"/>
                <w:lang w:val="es-ES_tradnl"/>
              </w:rPr>
              <w:t>12</w:t>
            </w:r>
          </w:p>
        </w:tc>
        <w:tc>
          <w:tcPr>
            <w:tcW w:w="1134" w:type="dxa"/>
            <w:shd w:val="clear" w:color="auto" w:fill="auto"/>
            <w:vAlign w:val="bottom"/>
            <w:hideMark/>
          </w:tcPr>
          <w:p w14:paraId="319F2D13" w14:textId="77777777" w:rsidR="000C2F85" w:rsidRPr="00782036" w:rsidRDefault="000C2F85" w:rsidP="00431F76">
            <w:pPr>
              <w:pStyle w:val="SingleTxtG"/>
              <w:tabs>
                <w:tab w:val="clear" w:pos="1701"/>
                <w:tab w:val="clear" w:pos="2268"/>
                <w:tab w:val="clear" w:pos="2835"/>
              </w:tabs>
              <w:spacing w:before="40" w:after="40" w:line="220" w:lineRule="exact"/>
              <w:ind w:left="57" w:right="28"/>
              <w:jc w:val="right"/>
              <w:rPr>
                <w:sz w:val="18"/>
                <w:lang w:val="es-ES_tradnl"/>
              </w:rPr>
            </w:pPr>
            <w:r w:rsidRPr="00782036">
              <w:rPr>
                <w:sz w:val="18"/>
                <w:lang w:val="es-ES_tradnl"/>
              </w:rPr>
              <w:t>10</w:t>
            </w:r>
          </w:p>
        </w:tc>
        <w:tc>
          <w:tcPr>
            <w:tcW w:w="1133" w:type="dxa"/>
            <w:shd w:val="clear" w:color="auto" w:fill="auto"/>
            <w:vAlign w:val="bottom"/>
            <w:hideMark/>
          </w:tcPr>
          <w:p w14:paraId="429105D2" w14:textId="77777777" w:rsidR="000C2F85" w:rsidRPr="00782036" w:rsidRDefault="000C2F85" w:rsidP="00431F76">
            <w:pPr>
              <w:pStyle w:val="SingleTxtG"/>
              <w:tabs>
                <w:tab w:val="clear" w:pos="1701"/>
                <w:tab w:val="clear" w:pos="2268"/>
                <w:tab w:val="clear" w:pos="2835"/>
              </w:tabs>
              <w:spacing w:before="40" w:after="40" w:line="220" w:lineRule="exact"/>
              <w:ind w:left="57" w:right="28"/>
              <w:jc w:val="right"/>
              <w:rPr>
                <w:sz w:val="18"/>
                <w:lang w:val="es-ES_tradnl"/>
              </w:rPr>
            </w:pPr>
            <w:r w:rsidRPr="00782036">
              <w:rPr>
                <w:sz w:val="18"/>
                <w:lang w:val="es-ES_tradnl"/>
              </w:rPr>
              <w:t>10</w:t>
            </w:r>
          </w:p>
        </w:tc>
      </w:tr>
      <w:tr w:rsidR="000C2F85" w:rsidRPr="00782036" w14:paraId="0BD641AD" w14:textId="77777777" w:rsidTr="00782036">
        <w:trPr>
          <w:trHeight w:val="240"/>
        </w:trPr>
        <w:tc>
          <w:tcPr>
            <w:tcW w:w="3119" w:type="dxa"/>
            <w:shd w:val="clear" w:color="auto" w:fill="auto"/>
            <w:hideMark/>
          </w:tcPr>
          <w:p w14:paraId="20695DB2" w14:textId="77777777" w:rsidR="000C2F85" w:rsidRPr="00782036" w:rsidRDefault="000C2F85" w:rsidP="00782036">
            <w:pPr>
              <w:pStyle w:val="SingleTxtG"/>
              <w:tabs>
                <w:tab w:val="clear" w:pos="1701"/>
                <w:tab w:val="clear" w:pos="2268"/>
                <w:tab w:val="clear" w:pos="2835"/>
              </w:tabs>
              <w:spacing w:before="40" w:after="40" w:line="220" w:lineRule="exact"/>
              <w:ind w:left="0" w:right="0"/>
              <w:jc w:val="left"/>
              <w:rPr>
                <w:sz w:val="18"/>
                <w:lang w:val="es-ES_tradnl"/>
              </w:rPr>
            </w:pPr>
            <w:r w:rsidRPr="00782036">
              <w:rPr>
                <w:sz w:val="18"/>
                <w:lang w:val="es-ES_tradnl"/>
              </w:rPr>
              <w:t>Kwazulu-Natal</w:t>
            </w:r>
          </w:p>
        </w:tc>
        <w:tc>
          <w:tcPr>
            <w:tcW w:w="1984" w:type="dxa"/>
            <w:shd w:val="clear" w:color="auto" w:fill="auto"/>
            <w:vAlign w:val="bottom"/>
            <w:hideMark/>
          </w:tcPr>
          <w:p w14:paraId="053C264C" w14:textId="77777777" w:rsidR="000C2F85" w:rsidRPr="00782036" w:rsidRDefault="000C2F85" w:rsidP="00431F76">
            <w:pPr>
              <w:pStyle w:val="SingleTxtG"/>
              <w:tabs>
                <w:tab w:val="clear" w:pos="1701"/>
                <w:tab w:val="clear" w:pos="2268"/>
                <w:tab w:val="clear" w:pos="2835"/>
              </w:tabs>
              <w:spacing w:before="40" w:after="40" w:line="220" w:lineRule="exact"/>
              <w:ind w:left="57" w:right="28"/>
              <w:jc w:val="right"/>
              <w:rPr>
                <w:sz w:val="18"/>
                <w:lang w:val="es-ES_tradnl"/>
              </w:rPr>
            </w:pPr>
            <w:r w:rsidRPr="00782036">
              <w:rPr>
                <w:sz w:val="18"/>
                <w:lang w:val="es-ES_tradnl"/>
              </w:rPr>
              <w:t>46</w:t>
            </w:r>
          </w:p>
        </w:tc>
        <w:tc>
          <w:tcPr>
            <w:tcW w:w="1134" w:type="dxa"/>
            <w:shd w:val="clear" w:color="auto" w:fill="auto"/>
            <w:vAlign w:val="bottom"/>
            <w:hideMark/>
          </w:tcPr>
          <w:p w14:paraId="6F95E0A9" w14:textId="77777777" w:rsidR="000C2F85" w:rsidRPr="00782036" w:rsidRDefault="000C2F85" w:rsidP="00431F76">
            <w:pPr>
              <w:pStyle w:val="SingleTxtG"/>
              <w:tabs>
                <w:tab w:val="clear" w:pos="1701"/>
                <w:tab w:val="clear" w:pos="2268"/>
                <w:tab w:val="clear" w:pos="2835"/>
              </w:tabs>
              <w:spacing w:before="40" w:after="40" w:line="220" w:lineRule="exact"/>
              <w:ind w:left="57" w:right="28"/>
              <w:jc w:val="right"/>
              <w:rPr>
                <w:sz w:val="18"/>
                <w:lang w:val="es-ES_tradnl"/>
              </w:rPr>
            </w:pPr>
            <w:r w:rsidRPr="00782036">
              <w:rPr>
                <w:sz w:val="18"/>
                <w:lang w:val="es-ES_tradnl"/>
              </w:rPr>
              <w:t>49</w:t>
            </w:r>
          </w:p>
        </w:tc>
        <w:tc>
          <w:tcPr>
            <w:tcW w:w="1133" w:type="dxa"/>
            <w:shd w:val="clear" w:color="auto" w:fill="auto"/>
            <w:vAlign w:val="bottom"/>
            <w:hideMark/>
          </w:tcPr>
          <w:p w14:paraId="63D8B64B" w14:textId="77777777" w:rsidR="000C2F85" w:rsidRPr="00782036" w:rsidRDefault="000C2F85" w:rsidP="00431F76">
            <w:pPr>
              <w:pStyle w:val="SingleTxtG"/>
              <w:tabs>
                <w:tab w:val="clear" w:pos="1701"/>
                <w:tab w:val="clear" w:pos="2268"/>
                <w:tab w:val="clear" w:pos="2835"/>
              </w:tabs>
              <w:spacing w:before="40" w:after="40" w:line="220" w:lineRule="exact"/>
              <w:ind w:left="57" w:right="28"/>
              <w:jc w:val="right"/>
              <w:rPr>
                <w:sz w:val="18"/>
                <w:lang w:val="es-ES_tradnl"/>
              </w:rPr>
            </w:pPr>
            <w:r w:rsidRPr="00782036">
              <w:rPr>
                <w:sz w:val="18"/>
                <w:lang w:val="es-ES_tradnl"/>
              </w:rPr>
              <w:t>51</w:t>
            </w:r>
          </w:p>
        </w:tc>
      </w:tr>
      <w:tr w:rsidR="000C2F85" w:rsidRPr="00782036" w14:paraId="4FB72AA7" w14:textId="77777777" w:rsidTr="00782036">
        <w:trPr>
          <w:trHeight w:val="240"/>
        </w:trPr>
        <w:tc>
          <w:tcPr>
            <w:tcW w:w="3119" w:type="dxa"/>
            <w:shd w:val="clear" w:color="auto" w:fill="auto"/>
            <w:hideMark/>
          </w:tcPr>
          <w:p w14:paraId="35A248F0" w14:textId="77777777" w:rsidR="000C2F85" w:rsidRPr="00782036" w:rsidRDefault="000C2F85" w:rsidP="00782036">
            <w:pPr>
              <w:pStyle w:val="SingleTxtG"/>
              <w:tabs>
                <w:tab w:val="clear" w:pos="1701"/>
                <w:tab w:val="clear" w:pos="2268"/>
                <w:tab w:val="clear" w:pos="2835"/>
              </w:tabs>
              <w:spacing w:before="40" w:after="40" w:line="220" w:lineRule="exact"/>
              <w:ind w:left="0" w:right="0"/>
              <w:jc w:val="left"/>
              <w:rPr>
                <w:sz w:val="18"/>
                <w:lang w:val="es-ES_tradnl"/>
              </w:rPr>
            </w:pPr>
            <w:r w:rsidRPr="00782036">
              <w:rPr>
                <w:sz w:val="18"/>
                <w:lang w:val="es-ES_tradnl"/>
              </w:rPr>
              <w:t>Estado Libre, Cabo Septentrional</w:t>
            </w:r>
          </w:p>
        </w:tc>
        <w:tc>
          <w:tcPr>
            <w:tcW w:w="1984" w:type="dxa"/>
            <w:shd w:val="clear" w:color="auto" w:fill="auto"/>
            <w:vAlign w:val="bottom"/>
            <w:hideMark/>
          </w:tcPr>
          <w:p w14:paraId="2DD4F6C8" w14:textId="77777777" w:rsidR="000C2F85" w:rsidRPr="00782036" w:rsidRDefault="000C2F85" w:rsidP="00431F76">
            <w:pPr>
              <w:pStyle w:val="SingleTxtG"/>
              <w:tabs>
                <w:tab w:val="clear" w:pos="1701"/>
                <w:tab w:val="clear" w:pos="2268"/>
                <w:tab w:val="clear" w:pos="2835"/>
              </w:tabs>
              <w:spacing w:before="40" w:after="40" w:line="220" w:lineRule="exact"/>
              <w:ind w:left="57" w:right="28"/>
              <w:jc w:val="right"/>
              <w:rPr>
                <w:sz w:val="18"/>
                <w:lang w:val="es-ES_tradnl"/>
              </w:rPr>
            </w:pPr>
            <w:r w:rsidRPr="00782036">
              <w:rPr>
                <w:sz w:val="18"/>
                <w:lang w:val="es-ES_tradnl"/>
              </w:rPr>
              <w:t>39</w:t>
            </w:r>
          </w:p>
        </w:tc>
        <w:tc>
          <w:tcPr>
            <w:tcW w:w="1134" w:type="dxa"/>
            <w:shd w:val="clear" w:color="auto" w:fill="auto"/>
            <w:vAlign w:val="bottom"/>
            <w:hideMark/>
          </w:tcPr>
          <w:p w14:paraId="5E0C1718" w14:textId="77777777" w:rsidR="000C2F85" w:rsidRPr="00782036" w:rsidRDefault="000C2F85" w:rsidP="00431F76">
            <w:pPr>
              <w:pStyle w:val="SingleTxtG"/>
              <w:tabs>
                <w:tab w:val="clear" w:pos="1701"/>
                <w:tab w:val="clear" w:pos="2268"/>
                <w:tab w:val="clear" w:pos="2835"/>
              </w:tabs>
              <w:spacing w:before="40" w:after="40" w:line="220" w:lineRule="exact"/>
              <w:ind w:left="57" w:right="28"/>
              <w:jc w:val="right"/>
              <w:rPr>
                <w:sz w:val="18"/>
                <w:lang w:val="es-ES_tradnl"/>
              </w:rPr>
            </w:pPr>
            <w:r w:rsidRPr="00782036">
              <w:rPr>
                <w:sz w:val="18"/>
                <w:lang w:val="es-ES_tradnl"/>
              </w:rPr>
              <w:t>42</w:t>
            </w:r>
          </w:p>
        </w:tc>
        <w:tc>
          <w:tcPr>
            <w:tcW w:w="1133" w:type="dxa"/>
            <w:shd w:val="clear" w:color="auto" w:fill="auto"/>
            <w:vAlign w:val="bottom"/>
            <w:hideMark/>
          </w:tcPr>
          <w:p w14:paraId="10DED5A7" w14:textId="77777777" w:rsidR="000C2F85" w:rsidRPr="00782036" w:rsidRDefault="000C2F85" w:rsidP="00431F76">
            <w:pPr>
              <w:pStyle w:val="SingleTxtG"/>
              <w:tabs>
                <w:tab w:val="clear" w:pos="1701"/>
                <w:tab w:val="clear" w:pos="2268"/>
                <w:tab w:val="clear" w:pos="2835"/>
              </w:tabs>
              <w:spacing w:before="40" w:after="40" w:line="220" w:lineRule="exact"/>
              <w:ind w:left="57" w:right="28"/>
              <w:jc w:val="right"/>
              <w:rPr>
                <w:sz w:val="18"/>
                <w:lang w:val="es-ES_tradnl"/>
              </w:rPr>
            </w:pPr>
            <w:r w:rsidRPr="00782036">
              <w:rPr>
                <w:sz w:val="18"/>
                <w:lang w:val="es-ES_tradnl"/>
              </w:rPr>
              <w:t>41</w:t>
            </w:r>
          </w:p>
        </w:tc>
      </w:tr>
      <w:tr w:rsidR="000C2F85" w:rsidRPr="00782036" w14:paraId="04A55BE5" w14:textId="77777777" w:rsidTr="00782036">
        <w:trPr>
          <w:trHeight w:val="240"/>
        </w:trPr>
        <w:tc>
          <w:tcPr>
            <w:tcW w:w="3119" w:type="dxa"/>
            <w:shd w:val="clear" w:color="auto" w:fill="auto"/>
            <w:hideMark/>
          </w:tcPr>
          <w:p w14:paraId="40EC3158" w14:textId="77777777" w:rsidR="000C2F85" w:rsidRPr="00782036" w:rsidRDefault="000C2F85" w:rsidP="00782036">
            <w:pPr>
              <w:pStyle w:val="SingleTxtG"/>
              <w:tabs>
                <w:tab w:val="clear" w:pos="1701"/>
                <w:tab w:val="clear" w:pos="2268"/>
                <w:tab w:val="clear" w:pos="2835"/>
              </w:tabs>
              <w:spacing w:before="40" w:after="40" w:line="220" w:lineRule="exact"/>
              <w:ind w:left="0" w:right="0"/>
              <w:jc w:val="left"/>
              <w:rPr>
                <w:sz w:val="18"/>
                <w:lang w:val="es-ES_tradnl"/>
              </w:rPr>
            </w:pPr>
            <w:r w:rsidRPr="00782036">
              <w:rPr>
                <w:sz w:val="18"/>
                <w:lang w:val="es-ES_tradnl"/>
              </w:rPr>
              <w:t>Cabo Oriental</w:t>
            </w:r>
          </w:p>
        </w:tc>
        <w:tc>
          <w:tcPr>
            <w:tcW w:w="1984" w:type="dxa"/>
            <w:shd w:val="clear" w:color="auto" w:fill="auto"/>
            <w:vAlign w:val="bottom"/>
            <w:hideMark/>
          </w:tcPr>
          <w:p w14:paraId="402DCD4B" w14:textId="77777777" w:rsidR="000C2F85" w:rsidRPr="00782036" w:rsidRDefault="000C2F85" w:rsidP="00431F76">
            <w:pPr>
              <w:pStyle w:val="SingleTxtG"/>
              <w:tabs>
                <w:tab w:val="clear" w:pos="1701"/>
                <w:tab w:val="clear" w:pos="2268"/>
                <w:tab w:val="clear" w:pos="2835"/>
              </w:tabs>
              <w:spacing w:before="40" w:after="40" w:line="220" w:lineRule="exact"/>
              <w:ind w:left="57" w:right="28"/>
              <w:jc w:val="right"/>
              <w:rPr>
                <w:sz w:val="18"/>
                <w:lang w:val="es-ES_tradnl"/>
              </w:rPr>
            </w:pPr>
            <w:r w:rsidRPr="00782036">
              <w:rPr>
                <w:sz w:val="18"/>
                <w:lang w:val="es-ES_tradnl"/>
              </w:rPr>
              <w:t>11</w:t>
            </w:r>
          </w:p>
        </w:tc>
        <w:tc>
          <w:tcPr>
            <w:tcW w:w="1134" w:type="dxa"/>
            <w:shd w:val="clear" w:color="auto" w:fill="auto"/>
            <w:vAlign w:val="bottom"/>
            <w:hideMark/>
          </w:tcPr>
          <w:p w14:paraId="3829854C" w14:textId="77777777" w:rsidR="000C2F85" w:rsidRPr="00782036" w:rsidRDefault="000C2F85" w:rsidP="00431F76">
            <w:pPr>
              <w:pStyle w:val="SingleTxtG"/>
              <w:tabs>
                <w:tab w:val="clear" w:pos="1701"/>
                <w:tab w:val="clear" w:pos="2268"/>
                <w:tab w:val="clear" w:pos="2835"/>
              </w:tabs>
              <w:spacing w:before="40" w:after="40" w:line="220" w:lineRule="exact"/>
              <w:ind w:left="57" w:right="28"/>
              <w:jc w:val="right"/>
              <w:rPr>
                <w:sz w:val="18"/>
                <w:lang w:val="es-ES_tradnl"/>
              </w:rPr>
            </w:pPr>
            <w:r w:rsidRPr="00782036">
              <w:rPr>
                <w:sz w:val="18"/>
                <w:lang w:val="es-ES_tradnl"/>
              </w:rPr>
              <w:t>12</w:t>
            </w:r>
          </w:p>
        </w:tc>
        <w:tc>
          <w:tcPr>
            <w:tcW w:w="1133" w:type="dxa"/>
            <w:shd w:val="clear" w:color="auto" w:fill="auto"/>
            <w:vAlign w:val="bottom"/>
            <w:hideMark/>
          </w:tcPr>
          <w:p w14:paraId="2BEB804A" w14:textId="77777777" w:rsidR="000C2F85" w:rsidRPr="00782036" w:rsidRDefault="000C2F85" w:rsidP="00431F76">
            <w:pPr>
              <w:pStyle w:val="SingleTxtG"/>
              <w:tabs>
                <w:tab w:val="clear" w:pos="1701"/>
                <w:tab w:val="clear" w:pos="2268"/>
                <w:tab w:val="clear" w:pos="2835"/>
              </w:tabs>
              <w:spacing w:before="40" w:after="40" w:line="220" w:lineRule="exact"/>
              <w:ind w:left="57" w:right="28"/>
              <w:jc w:val="right"/>
              <w:rPr>
                <w:sz w:val="18"/>
                <w:lang w:val="es-ES_tradnl"/>
              </w:rPr>
            </w:pPr>
            <w:r w:rsidRPr="00782036">
              <w:rPr>
                <w:sz w:val="18"/>
                <w:lang w:val="es-ES_tradnl"/>
              </w:rPr>
              <w:t>10</w:t>
            </w:r>
          </w:p>
        </w:tc>
      </w:tr>
      <w:tr w:rsidR="000C2F85" w:rsidRPr="00782036" w14:paraId="20FE8449" w14:textId="77777777" w:rsidTr="00782036">
        <w:trPr>
          <w:trHeight w:val="240"/>
        </w:trPr>
        <w:tc>
          <w:tcPr>
            <w:tcW w:w="3119" w:type="dxa"/>
            <w:shd w:val="clear" w:color="auto" w:fill="auto"/>
            <w:hideMark/>
          </w:tcPr>
          <w:p w14:paraId="56C31ED5" w14:textId="77777777" w:rsidR="000C2F85" w:rsidRPr="00782036" w:rsidRDefault="000C2F85" w:rsidP="00782036">
            <w:pPr>
              <w:pStyle w:val="SingleTxtG"/>
              <w:tabs>
                <w:tab w:val="clear" w:pos="1701"/>
                <w:tab w:val="clear" w:pos="2268"/>
                <w:tab w:val="clear" w:pos="2835"/>
              </w:tabs>
              <w:spacing w:before="40" w:after="40" w:line="220" w:lineRule="exact"/>
              <w:ind w:left="0" w:right="0"/>
              <w:jc w:val="left"/>
              <w:rPr>
                <w:sz w:val="18"/>
                <w:lang w:val="es-ES_tradnl"/>
              </w:rPr>
            </w:pPr>
            <w:r w:rsidRPr="00782036">
              <w:rPr>
                <w:sz w:val="18"/>
                <w:lang w:val="es-ES_tradnl"/>
              </w:rPr>
              <w:t>Limpopo, Mpumalanga, Provincia Noroccidental</w:t>
            </w:r>
          </w:p>
        </w:tc>
        <w:tc>
          <w:tcPr>
            <w:tcW w:w="1984" w:type="dxa"/>
            <w:shd w:val="clear" w:color="auto" w:fill="auto"/>
            <w:vAlign w:val="bottom"/>
            <w:hideMark/>
          </w:tcPr>
          <w:p w14:paraId="1682A587" w14:textId="77777777" w:rsidR="000C2F85" w:rsidRPr="00782036" w:rsidRDefault="000C2F85" w:rsidP="00431F76">
            <w:pPr>
              <w:pStyle w:val="SingleTxtG"/>
              <w:tabs>
                <w:tab w:val="clear" w:pos="1701"/>
                <w:tab w:val="clear" w:pos="2268"/>
                <w:tab w:val="clear" w:pos="2835"/>
              </w:tabs>
              <w:spacing w:before="40" w:after="40" w:line="220" w:lineRule="exact"/>
              <w:ind w:left="57" w:right="28"/>
              <w:jc w:val="right"/>
              <w:rPr>
                <w:sz w:val="18"/>
                <w:lang w:val="es-ES_tradnl"/>
              </w:rPr>
            </w:pPr>
            <w:r w:rsidRPr="00782036">
              <w:rPr>
                <w:sz w:val="18"/>
                <w:lang w:val="es-ES_tradnl"/>
              </w:rPr>
              <w:t>6</w:t>
            </w:r>
          </w:p>
        </w:tc>
        <w:tc>
          <w:tcPr>
            <w:tcW w:w="1134" w:type="dxa"/>
            <w:shd w:val="clear" w:color="auto" w:fill="auto"/>
            <w:vAlign w:val="bottom"/>
            <w:hideMark/>
          </w:tcPr>
          <w:p w14:paraId="2D14DED9" w14:textId="77777777" w:rsidR="000C2F85" w:rsidRPr="00782036" w:rsidRDefault="000C2F85" w:rsidP="00431F76">
            <w:pPr>
              <w:pStyle w:val="SingleTxtG"/>
              <w:tabs>
                <w:tab w:val="clear" w:pos="1701"/>
                <w:tab w:val="clear" w:pos="2268"/>
                <w:tab w:val="clear" w:pos="2835"/>
              </w:tabs>
              <w:spacing w:before="40" w:after="40" w:line="220" w:lineRule="exact"/>
              <w:ind w:left="57" w:right="28"/>
              <w:jc w:val="right"/>
              <w:rPr>
                <w:sz w:val="18"/>
                <w:lang w:val="es-ES_tradnl"/>
              </w:rPr>
            </w:pPr>
            <w:r w:rsidRPr="00782036">
              <w:rPr>
                <w:sz w:val="18"/>
                <w:lang w:val="es-ES_tradnl"/>
              </w:rPr>
              <w:t>6</w:t>
            </w:r>
          </w:p>
        </w:tc>
        <w:tc>
          <w:tcPr>
            <w:tcW w:w="1133" w:type="dxa"/>
            <w:shd w:val="clear" w:color="auto" w:fill="auto"/>
            <w:vAlign w:val="bottom"/>
            <w:hideMark/>
          </w:tcPr>
          <w:p w14:paraId="14B5E428" w14:textId="77777777" w:rsidR="000C2F85" w:rsidRPr="00782036" w:rsidRDefault="000C2F85" w:rsidP="00431F76">
            <w:pPr>
              <w:pStyle w:val="SingleTxtG"/>
              <w:tabs>
                <w:tab w:val="clear" w:pos="1701"/>
                <w:tab w:val="clear" w:pos="2268"/>
                <w:tab w:val="clear" w:pos="2835"/>
              </w:tabs>
              <w:spacing w:before="40" w:after="40" w:line="220" w:lineRule="exact"/>
              <w:ind w:left="57" w:right="28"/>
              <w:jc w:val="right"/>
              <w:rPr>
                <w:sz w:val="18"/>
                <w:lang w:val="es-ES_tradnl"/>
              </w:rPr>
            </w:pPr>
            <w:r w:rsidRPr="00782036">
              <w:rPr>
                <w:sz w:val="18"/>
                <w:lang w:val="es-ES_tradnl"/>
              </w:rPr>
              <w:t>7</w:t>
            </w:r>
          </w:p>
        </w:tc>
      </w:tr>
      <w:tr w:rsidR="000C2F85" w:rsidRPr="00782036" w14:paraId="69937A01" w14:textId="77777777" w:rsidTr="00782036">
        <w:trPr>
          <w:trHeight w:val="240"/>
        </w:trPr>
        <w:tc>
          <w:tcPr>
            <w:tcW w:w="3119" w:type="dxa"/>
            <w:shd w:val="clear" w:color="auto" w:fill="auto"/>
            <w:hideMark/>
          </w:tcPr>
          <w:p w14:paraId="5F25AF5F" w14:textId="77777777" w:rsidR="000C2F85" w:rsidRPr="00782036" w:rsidRDefault="000C2F85" w:rsidP="00782036">
            <w:pPr>
              <w:pStyle w:val="SingleTxtG"/>
              <w:tabs>
                <w:tab w:val="clear" w:pos="1701"/>
                <w:tab w:val="clear" w:pos="2268"/>
                <w:tab w:val="clear" w:pos="2835"/>
              </w:tabs>
              <w:spacing w:before="40" w:after="40" w:line="220" w:lineRule="exact"/>
              <w:ind w:left="0" w:right="0"/>
              <w:jc w:val="left"/>
              <w:rPr>
                <w:sz w:val="18"/>
                <w:lang w:val="es-ES_tradnl"/>
              </w:rPr>
            </w:pPr>
            <w:r w:rsidRPr="00782036">
              <w:rPr>
                <w:sz w:val="18"/>
                <w:lang w:val="es-ES_tradnl"/>
              </w:rPr>
              <w:t>Promedio nacional de personas condenadas</w:t>
            </w:r>
          </w:p>
        </w:tc>
        <w:tc>
          <w:tcPr>
            <w:tcW w:w="1984" w:type="dxa"/>
            <w:shd w:val="clear" w:color="auto" w:fill="auto"/>
            <w:vAlign w:val="bottom"/>
            <w:hideMark/>
          </w:tcPr>
          <w:p w14:paraId="43C5BAF5" w14:textId="77777777" w:rsidR="000C2F85" w:rsidRPr="00782036" w:rsidRDefault="000C2F85" w:rsidP="00431F76">
            <w:pPr>
              <w:pStyle w:val="SingleTxtG"/>
              <w:tabs>
                <w:tab w:val="clear" w:pos="1701"/>
                <w:tab w:val="clear" w:pos="2268"/>
                <w:tab w:val="clear" w:pos="2835"/>
              </w:tabs>
              <w:spacing w:before="40" w:after="40" w:line="220" w:lineRule="exact"/>
              <w:ind w:left="57" w:right="28"/>
              <w:jc w:val="right"/>
              <w:rPr>
                <w:sz w:val="18"/>
                <w:lang w:val="es-ES_tradnl"/>
              </w:rPr>
            </w:pPr>
            <w:r w:rsidRPr="00782036">
              <w:rPr>
                <w:sz w:val="18"/>
                <w:lang w:val="es-ES_tradnl"/>
              </w:rPr>
              <w:t>121</w:t>
            </w:r>
          </w:p>
        </w:tc>
        <w:tc>
          <w:tcPr>
            <w:tcW w:w="1134" w:type="dxa"/>
            <w:shd w:val="clear" w:color="auto" w:fill="auto"/>
            <w:vAlign w:val="bottom"/>
            <w:hideMark/>
          </w:tcPr>
          <w:p w14:paraId="13A234FB" w14:textId="77777777" w:rsidR="000C2F85" w:rsidRPr="00782036" w:rsidRDefault="000C2F85" w:rsidP="00431F76">
            <w:pPr>
              <w:pStyle w:val="SingleTxtG"/>
              <w:tabs>
                <w:tab w:val="clear" w:pos="1701"/>
                <w:tab w:val="clear" w:pos="2268"/>
                <w:tab w:val="clear" w:pos="2835"/>
              </w:tabs>
              <w:spacing w:before="40" w:after="40" w:line="220" w:lineRule="exact"/>
              <w:ind w:left="57" w:right="28"/>
              <w:jc w:val="right"/>
              <w:rPr>
                <w:sz w:val="18"/>
                <w:lang w:val="es-ES_tradnl"/>
              </w:rPr>
            </w:pPr>
            <w:r w:rsidRPr="00782036">
              <w:rPr>
                <w:sz w:val="18"/>
                <w:lang w:val="es-ES_tradnl"/>
              </w:rPr>
              <w:t>125</w:t>
            </w:r>
          </w:p>
        </w:tc>
        <w:tc>
          <w:tcPr>
            <w:tcW w:w="1133" w:type="dxa"/>
            <w:shd w:val="clear" w:color="auto" w:fill="auto"/>
            <w:vAlign w:val="bottom"/>
            <w:hideMark/>
          </w:tcPr>
          <w:p w14:paraId="50D72AD8" w14:textId="77777777" w:rsidR="000C2F85" w:rsidRPr="00782036" w:rsidRDefault="000C2F85" w:rsidP="00431F76">
            <w:pPr>
              <w:pStyle w:val="SingleTxtG"/>
              <w:tabs>
                <w:tab w:val="clear" w:pos="1701"/>
                <w:tab w:val="clear" w:pos="2268"/>
                <w:tab w:val="clear" w:pos="2835"/>
              </w:tabs>
              <w:spacing w:before="40" w:after="40" w:line="220" w:lineRule="exact"/>
              <w:ind w:left="57" w:right="28"/>
              <w:jc w:val="right"/>
              <w:rPr>
                <w:sz w:val="18"/>
                <w:lang w:val="es-ES_tradnl"/>
              </w:rPr>
            </w:pPr>
            <w:r w:rsidRPr="00782036">
              <w:rPr>
                <w:sz w:val="18"/>
                <w:lang w:val="es-ES_tradnl"/>
              </w:rPr>
              <w:t>124</w:t>
            </w:r>
          </w:p>
        </w:tc>
      </w:tr>
      <w:tr w:rsidR="000C2F85" w:rsidRPr="00782036" w14:paraId="77CF2883" w14:textId="77777777" w:rsidTr="00431F76">
        <w:trPr>
          <w:trHeight w:val="240"/>
        </w:trPr>
        <w:tc>
          <w:tcPr>
            <w:tcW w:w="3119" w:type="dxa"/>
            <w:tcBorders>
              <w:bottom w:val="single" w:sz="4" w:space="0" w:color="auto"/>
            </w:tcBorders>
            <w:shd w:val="clear" w:color="auto" w:fill="auto"/>
            <w:hideMark/>
          </w:tcPr>
          <w:p w14:paraId="59BC7AE3" w14:textId="77777777" w:rsidR="000C2F85" w:rsidRPr="00782036" w:rsidRDefault="000C2F85" w:rsidP="00782036">
            <w:pPr>
              <w:pStyle w:val="SingleTxtG"/>
              <w:tabs>
                <w:tab w:val="clear" w:pos="1701"/>
                <w:tab w:val="clear" w:pos="2268"/>
                <w:tab w:val="clear" w:pos="2835"/>
              </w:tabs>
              <w:spacing w:before="40" w:after="40" w:line="220" w:lineRule="exact"/>
              <w:ind w:left="0" w:right="0"/>
              <w:jc w:val="left"/>
              <w:rPr>
                <w:sz w:val="18"/>
                <w:lang w:val="es-ES_tradnl"/>
              </w:rPr>
            </w:pPr>
            <w:r w:rsidRPr="00782036">
              <w:rPr>
                <w:sz w:val="18"/>
                <w:lang w:val="es-ES_tradnl"/>
              </w:rPr>
              <w:t>Promedio mensual de personas condenadas</w:t>
            </w:r>
          </w:p>
        </w:tc>
        <w:tc>
          <w:tcPr>
            <w:tcW w:w="1984" w:type="dxa"/>
            <w:tcBorders>
              <w:bottom w:val="single" w:sz="4" w:space="0" w:color="auto"/>
            </w:tcBorders>
            <w:shd w:val="clear" w:color="auto" w:fill="auto"/>
            <w:vAlign w:val="bottom"/>
            <w:hideMark/>
          </w:tcPr>
          <w:p w14:paraId="2EC34057" w14:textId="77777777" w:rsidR="000C2F85" w:rsidRPr="00782036" w:rsidRDefault="000C2F85" w:rsidP="00431F76">
            <w:pPr>
              <w:pStyle w:val="SingleTxtG"/>
              <w:tabs>
                <w:tab w:val="clear" w:pos="1701"/>
                <w:tab w:val="clear" w:pos="2268"/>
                <w:tab w:val="clear" w:pos="2835"/>
              </w:tabs>
              <w:spacing w:before="40" w:after="40" w:line="220" w:lineRule="exact"/>
              <w:ind w:left="57" w:right="28"/>
              <w:jc w:val="right"/>
              <w:rPr>
                <w:sz w:val="18"/>
                <w:lang w:val="es-ES_tradnl"/>
              </w:rPr>
            </w:pPr>
            <w:r w:rsidRPr="00782036">
              <w:rPr>
                <w:sz w:val="18"/>
                <w:lang w:val="es-ES_tradnl"/>
              </w:rPr>
              <w:t>118 067</w:t>
            </w:r>
          </w:p>
        </w:tc>
        <w:tc>
          <w:tcPr>
            <w:tcW w:w="1134" w:type="dxa"/>
            <w:tcBorders>
              <w:bottom w:val="single" w:sz="4" w:space="0" w:color="auto"/>
            </w:tcBorders>
            <w:shd w:val="clear" w:color="auto" w:fill="auto"/>
            <w:vAlign w:val="bottom"/>
            <w:hideMark/>
          </w:tcPr>
          <w:p w14:paraId="13881656" w14:textId="77777777" w:rsidR="000C2F85" w:rsidRPr="00782036" w:rsidRDefault="000C2F85" w:rsidP="00431F76">
            <w:pPr>
              <w:pStyle w:val="SingleTxtG"/>
              <w:tabs>
                <w:tab w:val="clear" w:pos="1701"/>
                <w:tab w:val="clear" w:pos="2268"/>
                <w:tab w:val="clear" w:pos="2835"/>
              </w:tabs>
              <w:spacing w:before="40" w:after="40" w:line="220" w:lineRule="exact"/>
              <w:ind w:left="57" w:right="28"/>
              <w:jc w:val="right"/>
              <w:rPr>
                <w:sz w:val="18"/>
                <w:lang w:val="es-ES_tradnl"/>
              </w:rPr>
            </w:pPr>
            <w:r w:rsidRPr="00782036">
              <w:rPr>
                <w:sz w:val="18"/>
                <w:lang w:val="es-ES_tradnl"/>
              </w:rPr>
              <w:t>117 788</w:t>
            </w:r>
          </w:p>
        </w:tc>
        <w:tc>
          <w:tcPr>
            <w:tcW w:w="1133" w:type="dxa"/>
            <w:tcBorders>
              <w:bottom w:val="single" w:sz="4" w:space="0" w:color="auto"/>
            </w:tcBorders>
            <w:shd w:val="clear" w:color="auto" w:fill="auto"/>
            <w:vAlign w:val="bottom"/>
            <w:hideMark/>
          </w:tcPr>
          <w:p w14:paraId="66CD94B7" w14:textId="77777777" w:rsidR="000C2F85" w:rsidRPr="00782036" w:rsidRDefault="000C2F85" w:rsidP="00431F76">
            <w:pPr>
              <w:pStyle w:val="SingleTxtG"/>
              <w:tabs>
                <w:tab w:val="clear" w:pos="1701"/>
                <w:tab w:val="clear" w:pos="2268"/>
                <w:tab w:val="clear" w:pos="2835"/>
              </w:tabs>
              <w:spacing w:before="40" w:after="40" w:line="220" w:lineRule="exact"/>
              <w:ind w:left="57" w:right="28"/>
              <w:jc w:val="right"/>
              <w:rPr>
                <w:sz w:val="18"/>
                <w:lang w:val="es-ES_tradnl"/>
              </w:rPr>
            </w:pPr>
            <w:r w:rsidRPr="00782036">
              <w:rPr>
                <w:sz w:val="18"/>
                <w:lang w:val="es-ES_tradnl"/>
              </w:rPr>
              <w:t xml:space="preserve"> </w:t>
            </w:r>
          </w:p>
        </w:tc>
      </w:tr>
      <w:tr w:rsidR="000C2F85" w:rsidRPr="00431F76" w14:paraId="25A05E7E" w14:textId="77777777" w:rsidTr="00431F76">
        <w:trPr>
          <w:trHeight w:val="240"/>
        </w:trPr>
        <w:tc>
          <w:tcPr>
            <w:tcW w:w="3119" w:type="dxa"/>
            <w:tcBorders>
              <w:top w:val="single" w:sz="4" w:space="0" w:color="auto"/>
              <w:bottom w:val="single" w:sz="4" w:space="0" w:color="auto"/>
            </w:tcBorders>
            <w:shd w:val="clear" w:color="auto" w:fill="auto"/>
            <w:hideMark/>
          </w:tcPr>
          <w:p w14:paraId="61522957" w14:textId="77777777" w:rsidR="000C2F85" w:rsidRPr="00431F76" w:rsidRDefault="000C2F85" w:rsidP="00431F76">
            <w:pPr>
              <w:pStyle w:val="SingleTxtG"/>
              <w:tabs>
                <w:tab w:val="clear" w:pos="1701"/>
                <w:tab w:val="clear" w:pos="2268"/>
                <w:tab w:val="clear" w:pos="2835"/>
              </w:tabs>
              <w:spacing w:before="80" w:after="80" w:line="220" w:lineRule="exact"/>
              <w:ind w:left="283" w:right="0"/>
              <w:jc w:val="left"/>
              <w:rPr>
                <w:b/>
                <w:sz w:val="18"/>
                <w:lang w:val="es-ES_tradnl"/>
              </w:rPr>
            </w:pPr>
            <w:r w:rsidRPr="00431F76">
              <w:rPr>
                <w:b/>
                <w:sz w:val="18"/>
                <w:lang w:val="es-ES_tradnl"/>
              </w:rPr>
              <w:t xml:space="preserve">Total de reclusos </w:t>
            </w:r>
          </w:p>
        </w:tc>
        <w:tc>
          <w:tcPr>
            <w:tcW w:w="1984" w:type="dxa"/>
            <w:tcBorders>
              <w:top w:val="single" w:sz="4" w:space="0" w:color="auto"/>
              <w:bottom w:val="single" w:sz="4" w:space="0" w:color="auto"/>
            </w:tcBorders>
            <w:shd w:val="clear" w:color="auto" w:fill="auto"/>
            <w:vAlign w:val="bottom"/>
            <w:hideMark/>
          </w:tcPr>
          <w:p w14:paraId="2808E345" w14:textId="77777777" w:rsidR="000C2F85" w:rsidRPr="00431F76" w:rsidRDefault="000C2F85" w:rsidP="00431F76">
            <w:pPr>
              <w:pStyle w:val="SingleTxtG"/>
              <w:tabs>
                <w:tab w:val="clear" w:pos="1701"/>
                <w:tab w:val="clear" w:pos="2268"/>
                <w:tab w:val="clear" w:pos="2835"/>
              </w:tabs>
              <w:spacing w:before="80" w:after="80" w:line="220" w:lineRule="exact"/>
              <w:ind w:left="0" w:right="28"/>
              <w:jc w:val="right"/>
              <w:rPr>
                <w:b/>
                <w:sz w:val="18"/>
                <w:lang w:val="es-ES_tradnl"/>
              </w:rPr>
            </w:pPr>
            <w:r w:rsidRPr="00431F76">
              <w:rPr>
                <w:b/>
                <w:sz w:val="18"/>
                <w:lang w:val="es-ES_tradnl"/>
              </w:rPr>
              <w:t>164 111</w:t>
            </w:r>
          </w:p>
        </w:tc>
        <w:tc>
          <w:tcPr>
            <w:tcW w:w="1134" w:type="dxa"/>
            <w:tcBorders>
              <w:top w:val="single" w:sz="4" w:space="0" w:color="auto"/>
              <w:bottom w:val="single" w:sz="4" w:space="0" w:color="auto"/>
            </w:tcBorders>
            <w:shd w:val="clear" w:color="auto" w:fill="auto"/>
            <w:vAlign w:val="bottom"/>
            <w:hideMark/>
          </w:tcPr>
          <w:p w14:paraId="7803A0C9" w14:textId="77777777" w:rsidR="000C2F85" w:rsidRPr="00431F76" w:rsidRDefault="000C2F85" w:rsidP="00431F76">
            <w:pPr>
              <w:pStyle w:val="SingleTxtG"/>
              <w:tabs>
                <w:tab w:val="clear" w:pos="1701"/>
                <w:tab w:val="clear" w:pos="2268"/>
                <w:tab w:val="clear" w:pos="2835"/>
              </w:tabs>
              <w:spacing w:before="80" w:after="80" w:line="220" w:lineRule="exact"/>
              <w:ind w:left="0" w:right="28"/>
              <w:jc w:val="right"/>
              <w:rPr>
                <w:b/>
                <w:sz w:val="18"/>
                <w:lang w:val="es-ES_tradnl"/>
              </w:rPr>
            </w:pPr>
            <w:r w:rsidRPr="00431F76">
              <w:rPr>
                <w:b/>
                <w:sz w:val="18"/>
                <w:lang w:val="es-ES_tradnl"/>
              </w:rPr>
              <w:t>163 518</w:t>
            </w:r>
          </w:p>
        </w:tc>
        <w:tc>
          <w:tcPr>
            <w:tcW w:w="1133" w:type="dxa"/>
            <w:tcBorders>
              <w:top w:val="single" w:sz="4" w:space="0" w:color="auto"/>
              <w:bottom w:val="single" w:sz="4" w:space="0" w:color="auto"/>
            </w:tcBorders>
            <w:shd w:val="clear" w:color="auto" w:fill="auto"/>
            <w:vAlign w:val="bottom"/>
            <w:hideMark/>
          </w:tcPr>
          <w:p w14:paraId="3E3C2D3D" w14:textId="77777777" w:rsidR="000C2F85" w:rsidRPr="00431F76" w:rsidRDefault="000C2F85" w:rsidP="00431F76">
            <w:pPr>
              <w:pStyle w:val="SingleTxtG"/>
              <w:tabs>
                <w:tab w:val="clear" w:pos="1701"/>
                <w:tab w:val="clear" w:pos="2268"/>
                <w:tab w:val="clear" w:pos="2835"/>
              </w:tabs>
              <w:spacing w:before="80" w:after="80" w:line="220" w:lineRule="exact"/>
              <w:ind w:left="0" w:right="28"/>
              <w:jc w:val="right"/>
              <w:rPr>
                <w:b/>
                <w:sz w:val="18"/>
                <w:lang w:val="es-ES_tradnl"/>
              </w:rPr>
            </w:pPr>
            <w:r w:rsidRPr="00431F76">
              <w:rPr>
                <w:b/>
                <w:sz w:val="18"/>
                <w:lang w:val="es-ES_tradnl"/>
              </w:rPr>
              <w:t xml:space="preserve"> </w:t>
            </w:r>
          </w:p>
        </w:tc>
      </w:tr>
      <w:tr w:rsidR="000C2F85" w:rsidRPr="00782036" w14:paraId="5CA2A2A6" w14:textId="77777777" w:rsidTr="00431F76">
        <w:trPr>
          <w:trHeight w:val="240"/>
        </w:trPr>
        <w:tc>
          <w:tcPr>
            <w:tcW w:w="3119" w:type="dxa"/>
            <w:tcBorders>
              <w:top w:val="single" w:sz="4" w:space="0" w:color="auto"/>
            </w:tcBorders>
            <w:shd w:val="clear" w:color="auto" w:fill="auto"/>
            <w:hideMark/>
          </w:tcPr>
          <w:p w14:paraId="1455DFBE" w14:textId="77777777" w:rsidR="000C2F85" w:rsidRPr="00782036" w:rsidRDefault="000C2F85" w:rsidP="00782036">
            <w:pPr>
              <w:pStyle w:val="SingleTxtG"/>
              <w:tabs>
                <w:tab w:val="clear" w:pos="1701"/>
                <w:tab w:val="clear" w:pos="2268"/>
                <w:tab w:val="clear" w:pos="2835"/>
              </w:tabs>
              <w:spacing w:before="40" w:after="40" w:line="220" w:lineRule="exact"/>
              <w:ind w:left="0" w:right="0"/>
              <w:jc w:val="left"/>
              <w:rPr>
                <w:sz w:val="18"/>
                <w:lang w:val="es-ES_tradnl"/>
              </w:rPr>
            </w:pPr>
            <w:r w:rsidRPr="00782036">
              <w:rPr>
                <w:sz w:val="18"/>
                <w:lang w:val="es-ES_tradnl"/>
              </w:rPr>
              <w:t xml:space="preserve">Porcentaje de niños condenados respecto del total de delincuentes condenados </w:t>
            </w:r>
          </w:p>
        </w:tc>
        <w:tc>
          <w:tcPr>
            <w:tcW w:w="1984" w:type="dxa"/>
            <w:tcBorders>
              <w:top w:val="single" w:sz="4" w:space="0" w:color="auto"/>
            </w:tcBorders>
            <w:shd w:val="clear" w:color="auto" w:fill="auto"/>
            <w:vAlign w:val="bottom"/>
            <w:hideMark/>
          </w:tcPr>
          <w:p w14:paraId="3D7538F1" w14:textId="77777777" w:rsidR="000C2F85" w:rsidRPr="00782036" w:rsidRDefault="000C2F85" w:rsidP="00431F76">
            <w:pPr>
              <w:pStyle w:val="SingleTxtG"/>
              <w:tabs>
                <w:tab w:val="clear" w:pos="1701"/>
                <w:tab w:val="clear" w:pos="2268"/>
                <w:tab w:val="clear" w:pos="2835"/>
              </w:tabs>
              <w:spacing w:before="40" w:after="40" w:line="220" w:lineRule="exact"/>
              <w:ind w:left="57" w:right="28"/>
              <w:jc w:val="right"/>
              <w:rPr>
                <w:sz w:val="18"/>
                <w:lang w:val="es-ES_tradnl"/>
              </w:rPr>
            </w:pPr>
            <w:r w:rsidRPr="00782036">
              <w:rPr>
                <w:sz w:val="18"/>
                <w:lang w:val="es-ES_tradnl"/>
              </w:rPr>
              <w:t>0,10</w:t>
            </w:r>
          </w:p>
        </w:tc>
        <w:tc>
          <w:tcPr>
            <w:tcW w:w="1134" w:type="dxa"/>
            <w:tcBorders>
              <w:top w:val="single" w:sz="4" w:space="0" w:color="auto"/>
            </w:tcBorders>
            <w:shd w:val="clear" w:color="auto" w:fill="auto"/>
            <w:vAlign w:val="bottom"/>
            <w:hideMark/>
          </w:tcPr>
          <w:p w14:paraId="551642E0" w14:textId="77777777" w:rsidR="000C2F85" w:rsidRPr="00782036" w:rsidRDefault="000C2F85" w:rsidP="00431F76">
            <w:pPr>
              <w:pStyle w:val="SingleTxtG"/>
              <w:tabs>
                <w:tab w:val="clear" w:pos="1701"/>
                <w:tab w:val="clear" w:pos="2268"/>
                <w:tab w:val="clear" w:pos="2835"/>
              </w:tabs>
              <w:spacing w:before="40" w:after="40" w:line="220" w:lineRule="exact"/>
              <w:ind w:left="57" w:right="28"/>
              <w:jc w:val="right"/>
              <w:rPr>
                <w:sz w:val="18"/>
                <w:lang w:val="es-ES_tradnl"/>
              </w:rPr>
            </w:pPr>
            <w:r w:rsidRPr="00782036">
              <w:rPr>
                <w:sz w:val="18"/>
                <w:lang w:val="es-ES_tradnl"/>
              </w:rPr>
              <w:t>0,11</w:t>
            </w:r>
          </w:p>
        </w:tc>
        <w:tc>
          <w:tcPr>
            <w:tcW w:w="1133" w:type="dxa"/>
            <w:tcBorders>
              <w:top w:val="single" w:sz="4" w:space="0" w:color="auto"/>
            </w:tcBorders>
            <w:shd w:val="clear" w:color="auto" w:fill="auto"/>
            <w:vAlign w:val="bottom"/>
            <w:hideMark/>
          </w:tcPr>
          <w:p w14:paraId="52107699" w14:textId="77777777" w:rsidR="000C2F85" w:rsidRPr="00782036" w:rsidRDefault="000C2F85" w:rsidP="00431F76">
            <w:pPr>
              <w:pStyle w:val="SingleTxtG"/>
              <w:tabs>
                <w:tab w:val="clear" w:pos="1701"/>
                <w:tab w:val="clear" w:pos="2268"/>
                <w:tab w:val="clear" w:pos="2835"/>
              </w:tabs>
              <w:spacing w:before="40" w:after="40" w:line="220" w:lineRule="exact"/>
              <w:ind w:left="57" w:right="28"/>
              <w:jc w:val="right"/>
              <w:rPr>
                <w:sz w:val="18"/>
                <w:lang w:val="es-ES_tradnl"/>
              </w:rPr>
            </w:pPr>
            <w:r w:rsidRPr="00782036">
              <w:rPr>
                <w:sz w:val="18"/>
                <w:lang w:val="es-ES_tradnl"/>
              </w:rPr>
              <w:t xml:space="preserve"> </w:t>
            </w:r>
          </w:p>
        </w:tc>
      </w:tr>
      <w:tr w:rsidR="000C2F85" w:rsidRPr="00782036" w14:paraId="760ABE73" w14:textId="77777777" w:rsidTr="00782036">
        <w:trPr>
          <w:trHeight w:val="240"/>
        </w:trPr>
        <w:tc>
          <w:tcPr>
            <w:tcW w:w="3119" w:type="dxa"/>
            <w:tcBorders>
              <w:bottom w:val="single" w:sz="12" w:space="0" w:color="auto"/>
            </w:tcBorders>
            <w:shd w:val="clear" w:color="auto" w:fill="auto"/>
            <w:hideMark/>
          </w:tcPr>
          <w:p w14:paraId="664696B0" w14:textId="77777777" w:rsidR="000C2F85" w:rsidRPr="00782036" w:rsidRDefault="000C2F85" w:rsidP="00782036">
            <w:pPr>
              <w:pStyle w:val="SingleTxtG"/>
              <w:tabs>
                <w:tab w:val="clear" w:pos="1701"/>
                <w:tab w:val="clear" w:pos="2268"/>
                <w:tab w:val="clear" w:pos="2835"/>
              </w:tabs>
              <w:spacing w:before="40" w:after="40" w:line="220" w:lineRule="exact"/>
              <w:ind w:left="0" w:right="0"/>
              <w:jc w:val="left"/>
              <w:rPr>
                <w:sz w:val="18"/>
                <w:lang w:val="es-ES_tradnl"/>
              </w:rPr>
            </w:pPr>
            <w:r w:rsidRPr="00782036">
              <w:rPr>
                <w:sz w:val="18"/>
                <w:lang w:val="es-ES_tradnl"/>
              </w:rPr>
              <w:t>Porcentaje de niños condenados respecto del total de reclusos</w:t>
            </w:r>
          </w:p>
        </w:tc>
        <w:tc>
          <w:tcPr>
            <w:tcW w:w="1984" w:type="dxa"/>
            <w:tcBorders>
              <w:bottom w:val="single" w:sz="12" w:space="0" w:color="auto"/>
            </w:tcBorders>
            <w:shd w:val="clear" w:color="auto" w:fill="auto"/>
            <w:vAlign w:val="bottom"/>
            <w:hideMark/>
          </w:tcPr>
          <w:p w14:paraId="3D0FDCB7" w14:textId="77777777" w:rsidR="000C2F85" w:rsidRPr="00782036" w:rsidRDefault="000C2F85" w:rsidP="00431F76">
            <w:pPr>
              <w:pStyle w:val="SingleTxtG"/>
              <w:tabs>
                <w:tab w:val="clear" w:pos="1701"/>
                <w:tab w:val="clear" w:pos="2268"/>
                <w:tab w:val="clear" w:pos="2835"/>
              </w:tabs>
              <w:spacing w:before="40" w:after="40" w:line="220" w:lineRule="exact"/>
              <w:ind w:left="57" w:right="28"/>
              <w:jc w:val="right"/>
              <w:rPr>
                <w:sz w:val="18"/>
                <w:lang w:val="es-ES_tradnl"/>
              </w:rPr>
            </w:pPr>
            <w:r w:rsidRPr="00782036">
              <w:rPr>
                <w:sz w:val="18"/>
                <w:lang w:val="es-ES_tradnl"/>
              </w:rPr>
              <w:t>0,07</w:t>
            </w:r>
          </w:p>
        </w:tc>
        <w:tc>
          <w:tcPr>
            <w:tcW w:w="1134" w:type="dxa"/>
            <w:tcBorders>
              <w:bottom w:val="single" w:sz="12" w:space="0" w:color="auto"/>
            </w:tcBorders>
            <w:shd w:val="clear" w:color="auto" w:fill="auto"/>
            <w:vAlign w:val="bottom"/>
            <w:hideMark/>
          </w:tcPr>
          <w:p w14:paraId="24933F36" w14:textId="77777777" w:rsidR="000C2F85" w:rsidRPr="00782036" w:rsidRDefault="000C2F85" w:rsidP="00431F76">
            <w:pPr>
              <w:pStyle w:val="SingleTxtG"/>
              <w:tabs>
                <w:tab w:val="clear" w:pos="1701"/>
                <w:tab w:val="clear" w:pos="2268"/>
                <w:tab w:val="clear" w:pos="2835"/>
              </w:tabs>
              <w:spacing w:before="40" w:after="40" w:line="220" w:lineRule="exact"/>
              <w:ind w:left="57" w:right="28"/>
              <w:jc w:val="right"/>
              <w:rPr>
                <w:sz w:val="18"/>
                <w:lang w:val="es-ES_tradnl"/>
              </w:rPr>
            </w:pPr>
            <w:r w:rsidRPr="00782036">
              <w:rPr>
                <w:sz w:val="18"/>
                <w:lang w:val="es-ES_tradnl"/>
              </w:rPr>
              <w:t>0,08</w:t>
            </w:r>
          </w:p>
        </w:tc>
        <w:tc>
          <w:tcPr>
            <w:tcW w:w="1133" w:type="dxa"/>
            <w:tcBorders>
              <w:bottom w:val="single" w:sz="12" w:space="0" w:color="auto"/>
            </w:tcBorders>
            <w:shd w:val="clear" w:color="auto" w:fill="auto"/>
            <w:vAlign w:val="bottom"/>
            <w:hideMark/>
          </w:tcPr>
          <w:p w14:paraId="3FECAF38" w14:textId="77777777" w:rsidR="000C2F85" w:rsidRPr="00782036" w:rsidRDefault="000C2F85" w:rsidP="00431F76">
            <w:pPr>
              <w:pStyle w:val="SingleTxtG"/>
              <w:tabs>
                <w:tab w:val="clear" w:pos="1701"/>
                <w:tab w:val="clear" w:pos="2268"/>
                <w:tab w:val="clear" w:pos="2835"/>
              </w:tabs>
              <w:spacing w:before="40" w:after="40" w:line="220" w:lineRule="exact"/>
              <w:ind w:left="57" w:right="28"/>
              <w:jc w:val="right"/>
              <w:rPr>
                <w:sz w:val="18"/>
                <w:lang w:val="es-ES_tradnl"/>
              </w:rPr>
            </w:pPr>
            <w:r w:rsidRPr="00782036">
              <w:rPr>
                <w:sz w:val="18"/>
                <w:lang w:val="es-ES_tradnl"/>
              </w:rPr>
              <w:t xml:space="preserve"> </w:t>
            </w:r>
          </w:p>
        </w:tc>
      </w:tr>
    </w:tbl>
    <w:p w14:paraId="4D10151C" w14:textId="2862885F" w:rsidR="000C2F85" w:rsidRPr="000C2F85" w:rsidRDefault="00782036" w:rsidP="00782036">
      <w:pPr>
        <w:pStyle w:val="H23G"/>
        <w:rPr>
          <w:lang w:val="es-ES_tradnl"/>
        </w:rPr>
      </w:pPr>
      <w:r>
        <w:rPr>
          <w:lang w:val="es-ES_tradnl"/>
        </w:rPr>
        <w:lastRenderedPageBreak/>
        <w:tab/>
      </w:r>
      <w:r w:rsidR="000C2F85" w:rsidRPr="000C2F85">
        <w:rPr>
          <w:lang w:val="es-ES_tradnl"/>
        </w:rPr>
        <w:tab/>
        <w:t>Instituciones del Estado que apoyan la democracia constitucional</w:t>
      </w:r>
    </w:p>
    <w:p w14:paraId="7D06B6D3" w14:textId="77777777" w:rsidR="000C2F85" w:rsidRPr="000C2F85" w:rsidRDefault="000C2F85" w:rsidP="000C2F85">
      <w:pPr>
        <w:pStyle w:val="SingleTxtG"/>
        <w:rPr>
          <w:lang w:val="es-ES_tradnl"/>
        </w:rPr>
      </w:pPr>
      <w:r w:rsidRPr="000C2F85">
        <w:rPr>
          <w:lang w:val="es-ES_tradnl"/>
        </w:rPr>
        <w:t>94.</w:t>
      </w:r>
      <w:r w:rsidRPr="000C2F85">
        <w:rPr>
          <w:lang w:val="es-ES_tradnl"/>
        </w:rPr>
        <w:tab/>
        <w:t>El capítulo 9 de la Constitución hace referencia a las siguientes instituciones estatales creadas para fortalecer la democracia constitucional en Sudáfrica: El Defensor del Pueblo, la Comisión de Derechos Humanos de Sudáfrica, la Comisión de Promoción y Protección de los Derechos de las Comunidades Culturales, Religiosas y Lingüísticas, la Comisión para la Igualdad de Género, el Auditor General, la Comisión Electoral y el Organismo Independiente de Comunicaciones de Sudáfrica. La Constitución dispone que estas instituciones sean independientes y solo estén sujetas a la Constitución y las leyes. Con arreglo al artículo 181, párrafo 2, de la Constitución, esas instituciones están facultadas para actuar de manera imparcial y sin temores, favoritismos ni prejuicios. Ninguna persona ni órgano del Estado puede perturbar el funcionamiento de estas instituciones, que deben rendir cuentas a la Asamblea Nacional.</w:t>
      </w:r>
    </w:p>
    <w:p w14:paraId="05A0ACD3" w14:textId="730370EF" w:rsidR="000C2F85" w:rsidRPr="000C2F85" w:rsidRDefault="000C2F85" w:rsidP="00AB7FF2">
      <w:pPr>
        <w:pStyle w:val="SingleTxtG"/>
        <w:rPr>
          <w:lang w:val="es-ES_tradnl"/>
        </w:rPr>
      </w:pPr>
      <w:r w:rsidRPr="000C2F85">
        <w:rPr>
          <w:lang w:val="es-ES_tradnl"/>
        </w:rPr>
        <w:t>95.</w:t>
      </w:r>
      <w:r w:rsidRPr="000C2F85">
        <w:rPr>
          <w:lang w:val="es-ES_tradnl"/>
        </w:rPr>
        <w:tab/>
        <w:t>La Comisión de Derechos Humanos de Sudáfrica se creó para apoyar la democracia constitucional a través de la promoción, la protección y la vigilancia de la consecución de los derechos humanos de todas las personas en Sudáfrica, sin temores, favoritismos ni prejuicios. El mandato de la Comisión figura en el artículo 184 de la Constitución. En el plano internacional, la Comisión de Derechos Humanos de Sudáfrica está reconocida por la Oficina del Alto Comisionado de las Naciones Unidas para los Derechos Humanos como institución nacional de derechos humanos de categoría A. Por tanto, la Comisión se ha adherido a los Principios de París, que hacen hincapié en el carácter independiente de las instituciones nacionales de derechos humanos y la manera en que la Comisión ha de llevar a cabo su labor. Durante el período 2017/18, la Comisión de Derechos Humanos de Sudáfrica respondió a denuncias de violaciones de los derechos humanos, de las cuales las cinco principales categorías fueron: igualdad (14 %); atención sanitaria, alimentos, agua y seguridad social (9</w:t>
      </w:r>
      <w:r w:rsidR="00DE13C0">
        <w:rPr>
          <w:lang w:val="es-ES_tradnl"/>
        </w:rPr>
        <w:t> </w:t>
      </w:r>
      <w:r w:rsidRPr="000C2F85">
        <w:rPr>
          <w:lang w:val="es-ES_tradnl"/>
        </w:rPr>
        <w:t>%); actuación administrativa justa (9 %); relaciones laborales (8 %), y dignidad humana (8 %). La Comisión también ha desempeñado un papel fundamental en la institución de la litigación con repercusiones estratégicas</w:t>
      </w:r>
      <w:r w:rsidRPr="00605B48">
        <w:rPr>
          <w:sz w:val="18"/>
          <w:szCs w:val="18"/>
          <w:vertAlign w:val="superscript"/>
          <w:lang w:val="es-ES_tradnl"/>
        </w:rPr>
        <w:footnoteReference w:id="79"/>
      </w:r>
      <w:r w:rsidRPr="000C2F85">
        <w:rPr>
          <w:lang w:val="es-ES_tradnl"/>
        </w:rPr>
        <w:t xml:space="preserve">. </w:t>
      </w:r>
    </w:p>
    <w:p w14:paraId="0012CAFC" w14:textId="77777777" w:rsidR="000C2F85" w:rsidRPr="000C2F85" w:rsidRDefault="000C2F85" w:rsidP="00AB7FF2">
      <w:pPr>
        <w:pStyle w:val="SingleTxtG"/>
        <w:spacing w:after="130"/>
        <w:rPr>
          <w:lang w:val="es-ES_tradnl"/>
        </w:rPr>
      </w:pPr>
      <w:r w:rsidRPr="000C2F85">
        <w:rPr>
          <w:lang w:val="es-ES_tradnl"/>
        </w:rPr>
        <w:t>96.</w:t>
      </w:r>
      <w:r w:rsidRPr="000C2F85">
        <w:rPr>
          <w:lang w:val="es-ES_tradnl"/>
        </w:rPr>
        <w:tab/>
        <w:t>Asimismo, la Comisión de Derechos Humanos de Sudáfrica llevó a cabo varias investigaciones sobre presuntas violaciones de los derechos a la igualdad y la dignidad, así como sobre discurso de odio</w:t>
      </w:r>
      <w:r w:rsidRPr="00605B48">
        <w:rPr>
          <w:sz w:val="18"/>
          <w:szCs w:val="18"/>
          <w:vertAlign w:val="superscript"/>
          <w:lang w:val="es-ES_tradnl"/>
        </w:rPr>
        <w:footnoteReference w:id="80"/>
      </w:r>
      <w:r w:rsidRPr="000C2F85">
        <w:rPr>
          <w:lang w:val="es-ES_tradnl"/>
        </w:rPr>
        <w:t>, y el 20 de marzo de 2018 publicó su informe sobre la audiencia nacional acerca de la situación de los derechos humanos de los pueblos khoi y san en Sudáfrica. El informe siguió las audiencias de investigación de los derechos humanos de las comunidades khoi y san que había llevado a cabo la Comisión de Derechos Humanos de Sudáfrica en las provincias de Gauteng, el Cabo Occidental y el Cabo Septentrional entre 2015 y 2017</w:t>
      </w:r>
      <w:r w:rsidRPr="00605B48">
        <w:rPr>
          <w:sz w:val="18"/>
          <w:szCs w:val="18"/>
          <w:vertAlign w:val="superscript"/>
          <w:lang w:val="es-ES_tradnl"/>
        </w:rPr>
        <w:footnoteReference w:id="81"/>
      </w:r>
      <w:r w:rsidRPr="000C2F85">
        <w:rPr>
          <w:lang w:val="es-ES_tradnl"/>
        </w:rPr>
        <w:t xml:space="preserve">. La Comisión ha celebrado una serie de audiencias nacionales y provinciales sobre determinadas cuestiones de interés: los días 14 y 15 de noviembre de 2017, la audiencia nacional de investigación sobre la situación de la atención de la salud mental en Sudáfrica; los días 7 y 8 de febrero de 2018, la audiencia nacional de investigación sobre la cohesión social, la xenofobia y la migración; los días 19 y 20 de marzo de 2018, la audiencia provincial en la Provincia Noroccidental sobre la falta de medidas de seguridad en las escuelas para niños con necesidades especiales de la provincia, y el 28 de marzo de 2018, la investigación pública de alto nivel sobre las tierras y los efectos del uso de las tierras rurales y las </w:t>
      </w:r>
      <w:r w:rsidRPr="000C2F85">
        <w:rPr>
          <w:lang w:val="es-ES_tradnl"/>
        </w:rPr>
        <w:lastRenderedPageBreak/>
        <w:t xml:space="preserve">modalidades de propiedad en los derechos humanos, sobre la base de que la reforma agraria también es un componente esencial de la realización progresiva de los derechos humanos. </w:t>
      </w:r>
    </w:p>
    <w:p w14:paraId="6C01DF17" w14:textId="77777777" w:rsidR="000C2F85" w:rsidRPr="00DE13C0" w:rsidRDefault="000C2F85" w:rsidP="00AB7FF2">
      <w:pPr>
        <w:pStyle w:val="SingleTxtG"/>
        <w:spacing w:after="130"/>
        <w:rPr>
          <w:lang w:val="es-ES_tradnl"/>
        </w:rPr>
      </w:pPr>
      <w:r w:rsidRPr="000C2F85">
        <w:rPr>
          <w:lang w:val="es-ES_tradnl"/>
        </w:rPr>
        <w:t>97.</w:t>
      </w:r>
      <w:r w:rsidRPr="000C2F85">
        <w:rPr>
          <w:lang w:val="es-ES_tradnl"/>
        </w:rPr>
        <w:tab/>
        <w:t>La Comisión para la Igualdad de Género de Sudáfrica se estableció de conformidad con el artículo 187 de la Constitución con el fin de promover el respeto de la igualdad de género y de su protección, desarrollo y consecución. La Comisión tiene el mandato de promover el respeto de la igualdad de género y la protección, el desarrollo y el logro de esta, por lo que debe supervisar, investigar, estudiar, educar, ejercer presión, asesorar al Parlamento e informar sobre cuestiones relativas a la igualdad de género, así como vigilar el cumplimiento de los instrumentos regionales e internacionales. Además, el mandato de la Comisión para la Igualdad de Género de Sudáfrica dimana de la Ley de Igualdad de 2000</w:t>
      </w:r>
      <w:r w:rsidRPr="00605B48">
        <w:rPr>
          <w:sz w:val="18"/>
          <w:szCs w:val="18"/>
          <w:vertAlign w:val="superscript"/>
          <w:lang w:val="es-ES_tradnl"/>
        </w:rPr>
        <w:footnoteReference w:id="82"/>
      </w:r>
      <w:r w:rsidRPr="000C2F85">
        <w:rPr>
          <w:lang w:val="es-ES_tradnl"/>
        </w:rPr>
        <w:t>, que permite a la Comisión ayudar a los demandantes a iniciar actuaciones ante el Tribunal de Igualdad, llevar a cabo investigaciones y formular recomendaciones acerca de la persistencia de infracciones de la Ley de Promoción de la Igualdad y Prevención de la Discriminación Injusta</w:t>
      </w:r>
      <w:r w:rsidRPr="00605B48">
        <w:rPr>
          <w:sz w:val="18"/>
          <w:szCs w:val="18"/>
          <w:vertAlign w:val="superscript"/>
          <w:lang w:val="es-ES_tradnl"/>
        </w:rPr>
        <w:footnoteReference w:id="83"/>
      </w:r>
      <w:r w:rsidRPr="000C2F85">
        <w:rPr>
          <w:lang w:val="es-ES_tradnl"/>
        </w:rPr>
        <w:t>.</w:t>
      </w:r>
    </w:p>
    <w:p w14:paraId="1ED86261" w14:textId="77777777" w:rsidR="000C2F85" w:rsidRPr="000C2F85" w:rsidRDefault="000C2F85" w:rsidP="00AB7FF2">
      <w:pPr>
        <w:pStyle w:val="SingleTxtG"/>
        <w:spacing w:after="130"/>
        <w:rPr>
          <w:lang w:val="es-ES_tradnl"/>
        </w:rPr>
      </w:pPr>
      <w:r w:rsidRPr="000C2F85">
        <w:rPr>
          <w:lang w:val="es-ES_tradnl"/>
        </w:rPr>
        <w:t>98.</w:t>
      </w:r>
      <w:r w:rsidRPr="000C2F85">
        <w:rPr>
          <w:lang w:val="es-ES_tradnl"/>
        </w:rPr>
        <w:tab/>
        <w:t>En 2016/17, la Comisión preparó un informe de investigación sobre el cambio en la composición de género en las instituciones del sector privado, celebró audiencias sobre el cambio en la composición de género con las universidades de Kwa-Zulu Natal, Ciudad del Cabo y Witwatersrand, elaboró un informe sobre la situación de las políticas y prácticas de género utilizando el barómetro de género y centrándose en el sector de la minería; aportó información sobre 16 comunicaciones, y realizó informes de evaluación sobre la representación de la mujer en los partidos políticos en la administración local, la aplicación del Plan de Acción Nacional sobre la Violencia de Género y la aplicación de la Carta de las Víctimas</w:t>
      </w:r>
      <w:r w:rsidRPr="00605B48">
        <w:rPr>
          <w:sz w:val="18"/>
          <w:szCs w:val="18"/>
          <w:vertAlign w:val="superscript"/>
          <w:lang w:val="es-ES_tradnl"/>
        </w:rPr>
        <w:footnoteReference w:id="84"/>
      </w:r>
      <w:r w:rsidRPr="000C2F85">
        <w:rPr>
          <w:lang w:val="es-ES_tradnl"/>
        </w:rPr>
        <w:t xml:space="preserve">. En el mismo período, la Comisión respondió a 756 denuncias de violaciones de la igualdad de género y llevó a cabo 136 actividades de divulgación, promoción y asesoramiento jurídico en todo el país. También realizó investigaciones centradas en la transformación del poder judicial, la salud materna, la despenalización del trabajo sexual y el cambio en la composición de género en el sector de la minería. Además, la Comisión participó en programas conjuntos coordinados con entidades de personas lesbianas, gais, bisexuales, transgénero e intersexuales (LGBTI) y otras instituciones de apoyo a la democracia constitucional. </w:t>
      </w:r>
    </w:p>
    <w:p w14:paraId="6E42EF70" w14:textId="77777777" w:rsidR="000C2F85" w:rsidRPr="000C2F85" w:rsidRDefault="000C2F85" w:rsidP="00AB7FF2">
      <w:pPr>
        <w:pStyle w:val="SingleTxtG"/>
        <w:spacing w:after="130"/>
        <w:rPr>
          <w:lang w:val="es-ES_tradnl"/>
        </w:rPr>
      </w:pPr>
      <w:r w:rsidRPr="000C2F85">
        <w:rPr>
          <w:lang w:val="es-ES_tradnl"/>
        </w:rPr>
        <w:t>99.</w:t>
      </w:r>
      <w:r w:rsidRPr="000C2F85">
        <w:rPr>
          <w:lang w:val="es-ES_tradnl"/>
        </w:rPr>
        <w:tab/>
        <w:t>En el artículo 185 de la Constitución se establece que los objetivos primordiales de la Comisión de Promoción y Protección de los Derechos de las Comunidades Culturales, Religiosas y Lingüísticas son promover el respeto de los derechos de estas comunidades, fomentar y desarrollar la paz, la amistad, la humanidad, la tolerancia y la unidad nacional entre las comunidades culturales, religiosas y lingüísticas, sobre la base de la igualdad, la no discriminación y la libertad de asociación, y recomendar el establecimiento o el reconocimiento, de conformidad con la legislación nacional, de un consejo cultural o consejos de otro tipo para una o más comunidades en Sudáfrica. Según lo dispuesto en la legislación nacional, la Comisión posee las facultades necesarias para alcanzar sus principales objetivos, entre ellas las de supervisar, realizar investigaciones y estudios, educar, ejercer presión, asesorar e informar sobre cuestiones relativas a los derechos de las comunidades culturales, religiosas y lingüísticas. La Comisión puede denunciar cualquier cuestión que entre dentro de sus competencias y funciones a la Comisión de Derechos Humanos de Sudáfrica para que esta la investigue. La Comisión cuenta además con facultades y funciones adicionales, también previstas por la legislación nacional. En el ejercicio 2016/17, la Comisión de Promoción y Protección de los Derechos de las Comunidades Culturales, Religiosas y Lingüísticas publicó su informe sobre la comercialización de la religión y el abuso del sistema de creencias, que se presentó a una Comisión Parlamentaria. La recepción del informe suscitó algunas inquietudes y la Comisión está a la espera de la decisión del Tribunal Constitucional sobre la constitucionalidad de sus recomendaciones.</w:t>
      </w:r>
    </w:p>
    <w:p w14:paraId="18E8917A" w14:textId="77777777" w:rsidR="000C2F85" w:rsidRPr="000C2F85" w:rsidRDefault="000C2F85" w:rsidP="00AB7FF2">
      <w:pPr>
        <w:pStyle w:val="SingleTxtG"/>
        <w:keepNext/>
        <w:keepLines/>
        <w:rPr>
          <w:lang w:val="es-ES_tradnl"/>
        </w:rPr>
      </w:pPr>
      <w:r w:rsidRPr="000C2F85">
        <w:rPr>
          <w:lang w:val="es-ES_tradnl"/>
        </w:rPr>
        <w:lastRenderedPageBreak/>
        <w:t>100.</w:t>
      </w:r>
      <w:r w:rsidRPr="000C2F85">
        <w:rPr>
          <w:lang w:val="es-ES_tradnl"/>
        </w:rPr>
        <w:tab/>
        <w:t>El artículo 182 de la Constitución prevé el establecimiento del cargo de Defensor del Pueblo. Este está facultado, conforme a lo dispuesto en la legislación nacional, para investigar toda conducta en la gestión de los asuntos públicos o la administración pública en cualquier esfera de gobierno que se sospeche o presuma inadecuada o que pueda dar lugar a irregularidades o daños; denunciar esa conducta, y adoptar las medidas correctivas correspondientes. El Defensor del Pueblo tiene las facultades y funciones adicionales previstas por la legislación nacional. No puede investigar decisiones judiciales y debe estar a disposición de todas las personas y comunidades.</w:t>
      </w:r>
    </w:p>
    <w:p w14:paraId="2D21BD7A" w14:textId="77777777" w:rsidR="000C2F85" w:rsidRPr="000C2F85" w:rsidRDefault="000C2F85" w:rsidP="000C2F85">
      <w:pPr>
        <w:pStyle w:val="SingleTxtG"/>
        <w:rPr>
          <w:lang w:val="es-ES_tradnl"/>
        </w:rPr>
      </w:pPr>
      <w:r w:rsidRPr="000C2F85">
        <w:rPr>
          <w:lang w:val="es-ES_tradnl"/>
        </w:rPr>
        <w:t>101.</w:t>
      </w:r>
      <w:r w:rsidRPr="000C2F85">
        <w:rPr>
          <w:lang w:val="es-ES_tradnl"/>
        </w:rPr>
        <w:tab/>
        <w:t xml:space="preserve">El Defensor del Pueblo es nombrado por el Presidente, por recomendación de la Asamblea Nacional. La gran repercusión de las investigaciones que lleva a cabo el Defensor del Pueblo ha dado lugar a muchas impugnaciones judiciales, como las detalladas en el </w:t>
      </w:r>
      <w:r w:rsidRPr="000C2F85">
        <w:rPr>
          <w:i/>
          <w:iCs/>
          <w:lang w:val="es-ES_tradnl"/>
        </w:rPr>
        <w:t>State Capture Report</w:t>
      </w:r>
      <w:r w:rsidRPr="000C2F85">
        <w:rPr>
          <w:lang w:val="es-ES_tradnl"/>
        </w:rPr>
        <w:t xml:space="preserve"> (informe sobre la apropiación del Estado por grupos de interés), que analiza las denuncias de corrupción estatal. En el período 2016/17, la Oficina del Defensor del Pueblo tramitó 10.787 de los 16.397 casos presentados. De los casos tramitados, 606 quedaban fuera del mandato del Defensor del Pueblo, mientras que 929 se remitieron a otras instituciones competentes para su resolución. En el 49 % de los casos resueltos se falló a favor de la parte demandante. Se publicaron 17 informes de investigación que se referían a cuestiones tales como el acoso a denunciantes de irregularidades, problemas con indemnizaciones a trabajadores, cuestiones de gobernanza que afectaban a administraciones locales, y dificultades de las pequeñas empresas.</w:t>
      </w:r>
    </w:p>
    <w:p w14:paraId="026EC817" w14:textId="6524B6D9" w:rsidR="000C2F85" w:rsidRPr="000C2F85" w:rsidRDefault="005819B5" w:rsidP="005819B5">
      <w:pPr>
        <w:pStyle w:val="H23G"/>
        <w:rPr>
          <w:lang w:val="es-ES_tradnl"/>
        </w:rPr>
      </w:pPr>
      <w:r>
        <w:rPr>
          <w:lang w:val="es-ES_tradnl"/>
        </w:rPr>
        <w:tab/>
      </w:r>
      <w:r w:rsidR="000C2F85" w:rsidRPr="000C2F85">
        <w:rPr>
          <w:lang w:val="es-ES_tradnl"/>
        </w:rPr>
        <w:tab/>
        <w:t>Otros actores importantes (medios de comunicación y organizaciones de la sociedad</w:t>
      </w:r>
      <w:r>
        <w:rPr>
          <w:lang w:val="es-ES_tradnl"/>
        </w:rPr>
        <w:t> </w:t>
      </w:r>
      <w:r w:rsidR="000C2F85" w:rsidRPr="000C2F85">
        <w:rPr>
          <w:lang w:val="es-ES_tradnl"/>
        </w:rPr>
        <w:t>civil)</w:t>
      </w:r>
    </w:p>
    <w:p w14:paraId="6EFEDADE" w14:textId="77777777" w:rsidR="000C2F85" w:rsidRPr="000C2F85" w:rsidRDefault="000C2F85" w:rsidP="000C2F85">
      <w:pPr>
        <w:pStyle w:val="SingleTxtG"/>
        <w:rPr>
          <w:lang w:val="es-ES_tradnl"/>
        </w:rPr>
      </w:pPr>
      <w:r w:rsidRPr="000C2F85">
        <w:rPr>
          <w:lang w:val="es-ES_tradnl"/>
        </w:rPr>
        <w:t>102.</w:t>
      </w:r>
      <w:r w:rsidRPr="000C2F85">
        <w:rPr>
          <w:lang w:val="es-ES_tradnl"/>
        </w:rPr>
        <w:tab/>
        <w:t>Se considera que la sociedad civil desempeña un importante papel en cualquier país que desee consolidar su democracia. La sociedad civil, que por definición funciona fuera del ámbito del Estado y es independiente del mercado, es también conocida como el tercer sector. Las organizaciones de la sociedad civil son diversas en carácter y propósito. Sin embargo, hay un hilo común que las une, y es que existen en la vida pública para promover el bien público. De hecho, la fortaleza de la sociedad civil de un país se utiliza con frecuencia como medida para determinar la solidez de su democracia. Las organizaciones de la sociedad civil se definen como la sociedad civil organizada y pueden adoptar muchas formas. Algunas son entidades informales y otras formales, como las organizaciones no gubernamentales (ONG), las organizaciones comunitarias y las organizaciones confesionales, entre otras muchas. Esto sucede cuando un grupo de personas se unen con un propósito común, por ejemplo, para cumplir un mandato especial impulsado por la necesidad. Sudáfrica tiene organizaciones de la sociedad civil dinámicas y vibrantes en diversos sectores.</w:t>
      </w:r>
    </w:p>
    <w:p w14:paraId="421F5F8D" w14:textId="77777777" w:rsidR="000C2F85" w:rsidRPr="000C2F85" w:rsidRDefault="000C2F85" w:rsidP="000C2F85">
      <w:pPr>
        <w:pStyle w:val="SingleTxtG"/>
        <w:rPr>
          <w:lang w:val="es-ES_tradnl"/>
        </w:rPr>
      </w:pPr>
      <w:r w:rsidRPr="000C2F85">
        <w:rPr>
          <w:lang w:val="es-ES_tradnl"/>
        </w:rPr>
        <w:t>103.</w:t>
      </w:r>
      <w:r w:rsidRPr="000C2F85">
        <w:rPr>
          <w:lang w:val="es-ES_tradnl"/>
        </w:rPr>
        <w:tab/>
        <w:t>En Sudáfrica la libertad de expresión está consagrada en el artículo 16 de la Constitución. Como norma general, toda ley que tenga por objeto restringir la libertad de expresión tiene que ajustarse a lo dispuesto en el artículo 36 de la Constitución (cláusula limitativa) y, en particular, no debe llegar a extremos tales que anulen ese derecho. Los medios de comunicación son uno de los principales mecanismos interesados en la difusión de los derechos humanos, ya que denuncian las violaciones de esos derechos y a quienes las cometen y, en general promueven la causa de los derechos humanos. Los medios de comunicación de Sudáfrica, incluidas las redes sociales, son muy activos y a diario informan sobre distintos derechos humanos, en particular los derechos económicos, sociales y culturales</w:t>
      </w:r>
      <w:r w:rsidRPr="00605B48">
        <w:rPr>
          <w:sz w:val="18"/>
          <w:szCs w:val="18"/>
          <w:vertAlign w:val="superscript"/>
          <w:lang w:val="es-ES_tradnl"/>
        </w:rPr>
        <w:footnoteReference w:id="85"/>
      </w:r>
      <w:r w:rsidRPr="000C2F85">
        <w:rPr>
          <w:lang w:val="es-ES_tradnl"/>
        </w:rPr>
        <w:t>.</w:t>
      </w:r>
    </w:p>
    <w:p w14:paraId="48A17A2A" w14:textId="62571F56" w:rsidR="000C2F85" w:rsidRPr="000C2F85" w:rsidRDefault="000C2F85" w:rsidP="0046506B">
      <w:pPr>
        <w:pStyle w:val="SingleTxtG"/>
        <w:spacing w:after="130"/>
        <w:rPr>
          <w:lang w:val="es-ES_tradnl"/>
        </w:rPr>
      </w:pPr>
      <w:r w:rsidRPr="000C2F85">
        <w:rPr>
          <w:lang w:val="es-ES_tradnl"/>
        </w:rPr>
        <w:lastRenderedPageBreak/>
        <w:t>104.</w:t>
      </w:r>
      <w:r w:rsidRPr="000C2F85">
        <w:rPr>
          <w:lang w:val="es-ES_tradnl"/>
        </w:rPr>
        <w:tab/>
        <w:t>Hay tres tipos de emisoras de radio, a saber: las públicas, comerciales y las comunitarias. El sector de la radiodifusión está dominado por la South African Broadcasting Corporation (SABC), que cuenta con 19 emisoras de radio</w:t>
      </w:r>
      <w:r w:rsidRPr="00605B48">
        <w:rPr>
          <w:sz w:val="18"/>
          <w:szCs w:val="18"/>
          <w:vertAlign w:val="superscript"/>
          <w:lang w:val="es-ES_tradnl"/>
        </w:rPr>
        <w:footnoteReference w:id="86"/>
      </w:r>
      <w:r w:rsidRPr="000C2F85">
        <w:rPr>
          <w:lang w:val="es-ES_tradnl"/>
        </w:rPr>
        <w:t>. El aumento de la programación en lenguas indígenas, en particular en el espacio de la radio comunitaria, ha estimulado el crecimiento del sector. Según el estudio de medios y productos de comunicación (AMPS) de</w:t>
      </w:r>
      <w:r w:rsidR="0046506B">
        <w:rPr>
          <w:lang w:val="es-ES_tradnl"/>
        </w:rPr>
        <w:t> </w:t>
      </w:r>
      <w:r w:rsidRPr="000C2F85">
        <w:rPr>
          <w:lang w:val="es-ES_tradnl"/>
        </w:rPr>
        <w:t>2015, las emisoras de radio comunitarias representaban el 25,6 % del total de la cuota del mercado radiofónico. El Organismo de Comunicaciones Independientes de Sudáfrica (ICASA) informó de que en 2013 había 193 licencias para radios comunitarias en Sudáfrica, pero que solo se mantenían en activo 164. Hay 11,1 millones de hogares con televisión en Sudáfrica y 3 tipos de emisoras de televisión: públicas, privadas comerciales y comunitarias. La SABC tiene tres canales de televisión terrestre (SABC 1, 2 y 3) y una audiencia de</w:t>
      </w:r>
      <w:r w:rsidR="0046506B">
        <w:rPr>
          <w:lang w:val="es-ES_tradnl"/>
        </w:rPr>
        <w:t> </w:t>
      </w:r>
      <w:r w:rsidRPr="000C2F85">
        <w:rPr>
          <w:lang w:val="es-ES_tradnl"/>
        </w:rPr>
        <w:t>33.472.000 personas, que representa el 69,3 % del total de telespectadores. E.tv es la única emisora de televisión terrestre comercial en abierto que es de propiedad privada. Cuenta con una audiencia de 26.073.000 personas, lo que representa el 22,3 % de la audiencia televisiva total. MultiChoice es la principal proveedora de servicios de pago de televisión y radiodifusión por satélite, y propietaria de M-Net (Pty) Ltd, una emisora de televisión terrestre con un canal de pago, M-Net, y la Red de Servicios Comunitarios (CSN), dirigida a comunidades con intereses especiales y especializada en deportes, así como el paquete de canales de televisión digital por satélite de DSTV. La audiencia actual de M-Net es de 1,97</w:t>
      </w:r>
      <w:r w:rsidR="0046506B">
        <w:rPr>
          <w:lang w:val="es-ES_tradnl"/>
        </w:rPr>
        <w:t> </w:t>
      </w:r>
      <w:r w:rsidRPr="000C2F85">
        <w:rPr>
          <w:lang w:val="es-ES_tradnl"/>
        </w:rPr>
        <w:t>millones de personas y la de DSTV, de 4,76 millones. En Sudáfrica existen cinco emisoras de televisión comunitarias con licencia: Soweto TV (con una audiencia de</w:t>
      </w:r>
      <w:r w:rsidR="0046506B">
        <w:rPr>
          <w:lang w:val="es-ES_tradnl"/>
        </w:rPr>
        <w:t> </w:t>
      </w:r>
      <w:r w:rsidRPr="000C2F85">
        <w:rPr>
          <w:lang w:val="es-ES_tradnl"/>
        </w:rPr>
        <w:t>2.774.000 personas), 1KZNTV (806.000 personas), Tshwane TV (518.000 personas), Bay</w:t>
      </w:r>
      <w:r w:rsidR="0046506B">
        <w:rPr>
          <w:lang w:val="es-ES_tradnl"/>
        </w:rPr>
        <w:t> </w:t>
      </w:r>
      <w:r w:rsidRPr="000C2F85">
        <w:rPr>
          <w:lang w:val="es-ES_tradnl"/>
        </w:rPr>
        <w:t>TV (449.000 personas), y CTV (299.000 personas).</w:t>
      </w:r>
    </w:p>
    <w:p w14:paraId="75D88435" w14:textId="77777777" w:rsidR="000C2F85" w:rsidRPr="000C2F85" w:rsidRDefault="000C2F85" w:rsidP="0046506B">
      <w:pPr>
        <w:pStyle w:val="SingleTxtG"/>
        <w:spacing w:after="130"/>
        <w:rPr>
          <w:lang w:val="es-ES_tradnl"/>
        </w:rPr>
      </w:pPr>
      <w:r w:rsidRPr="000C2F85">
        <w:rPr>
          <w:lang w:val="es-ES_tradnl"/>
        </w:rPr>
        <w:t>105.</w:t>
      </w:r>
      <w:r w:rsidRPr="000C2F85">
        <w:rPr>
          <w:lang w:val="es-ES_tradnl"/>
        </w:rPr>
        <w:tab/>
        <w:t>En lo referente a la propiedad de periódicos y revistas, el sector de los medios de comunicación impresos está dominado por un reducido número de grandes empresas que poseen y controlan numerosos periódicos nacionales, periódicos locales y revistas en todo el país. Hay varios periódicos de propiedad independiente. Sin embargo, la mayoría pertenecen a alguno de los cuatro grandes grupos editoriales: Tiso Blackstar Group, Naspers (Media 24), Independent News and Media y Caxton/CTP. A nivel nacional el número de lectores de periódicos asciende a 17,5 millones, y el de revistas, a 18,1 millones.</w:t>
      </w:r>
    </w:p>
    <w:p w14:paraId="0E54D520" w14:textId="77777777" w:rsidR="000C2F85" w:rsidRPr="000C2F85" w:rsidRDefault="000C2F85" w:rsidP="005819B5">
      <w:pPr>
        <w:pStyle w:val="HChG"/>
        <w:rPr>
          <w:lang w:val="es-ES_tradnl"/>
        </w:rPr>
      </w:pPr>
      <w:r w:rsidRPr="000C2F85">
        <w:rPr>
          <w:lang w:val="es-ES_tradnl"/>
        </w:rPr>
        <w:tab/>
        <w:t>II.</w:t>
      </w:r>
      <w:r w:rsidRPr="000C2F85">
        <w:rPr>
          <w:lang w:val="es-ES_tradnl"/>
        </w:rPr>
        <w:tab/>
        <w:t xml:space="preserve">Marco general para la promoción y protección de los derechos humanos </w:t>
      </w:r>
    </w:p>
    <w:p w14:paraId="6780E771" w14:textId="77777777" w:rsidR="000C2F85" w:rsidRPr="000C2F85" w:rsidRDefault="000C2F85" w:rsidP="005819B5">
      <w:pPr>
        <w:pStyle w:val="H1G"/>
        <w:rPr>
          <w:lang w:val="es-ES_tradnl"/>
        </w:rPr>
      </w:pPr>
      <w:r w:rsidRPr="000C2F85">
        <w:rPr>
          <w:lang w:val="es-ES_tradnl"/>
        </w:rPr>
        <w:tab/>
        <w:t>A.</w:t>
      </w:r>
      <w:r w:rsidRPr="000C2F85">
        <w:rPr>
          <w:lang w:val="es-ES_tradnl"/>
        </w:rPr>
        <w:tab/>
        <w:t>Aceptación de las normas internacionales de derechos humanos</w:t>
      </w:r>
    </w:p>
    <w:p w14:paraId="573BCA71" w14:textId="6A41DC2D" w:rsidR="000C2F85" w:rsidRPr="000C2F85" w:rsidRDefault="000C2F85" w:rsidP="0046506B">
      <w:pPr>
        <w:pStyle w:val="SingleTxtG"/>
        <w:spacing w:after="130"/>
        <w:rPr>
          <w:lang w:val="es-ES_tradnl"/>
        </w:rPr>
      </w:pPr>
      <w:r w:rsidRPr="000C2F85">
        <w:rPr>
          <w:lang w:val="es-ES_tradnl"/>
        </w:rPr>
        <w:t>106.</w:t>
      </w:r>
      <w:r w:rsidRPr="000C2F85">
        <w:rPr>
          <w:lang w:val="es-ES_tradnl"/>
        </w:rPr>
        <w:tab/>
        <w:t xml:space="preserve">Sudáfrica es parte en la mayoría de los principales instrumentos de derechos humanos de las Naciones Unidas, entre ellos el Pacto Internacional de Derechos Civiles y Políticos, el Pacto Internacional de Derechos Económicos, Sociales y Culturales,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y la Convención sobre los Derechos de las Personas con Discapacidad. </w:t>
      </w:r>
    </w:p>
    <w:p w14:paraId="2BD23C93" w14:textId="0FA3E068" w:rsidR="000C2F85" w:rsidRPr="000C2F85" w:rsidRDefault="000C2F85" w:rsidP="0046506B">
      <w:pPr>
        <w:pStyle w:val="SingleTxtG"/>
        <w:spacing w:after="130"/>
        <w:rPr>
          <w:b/>
          <w:lang w:val="es-ES_tradnl"/>
        </w:rPr>
      </w:pPr>
      <w:r w:rsidRPr="000C2F85">
        <w:rPr>
          <w:lang w:val="es-ES_tradnl"/>
        </w:rPr>
        <w:t>107.</w:t>
      </w:r>
      <w:r w:rsidRPr="000C2F85">
        <w:rPr>
          <w:lang w:val="es-ES_tradnl"/>
        </w:rPr>
        <w:tab/>
        <w:t xml:space="preserve">Sudáfrica también tiene obligaciones internacionales consistentes en informar a los órganos creados en virtud de tratados en relación con diversos acuerdos multilaterales. </w:t>
      </w:r>
    </w:p>
    <w:p w14:paraId="3B6A9FFB" w14:textId="77777777" w:rsidR="000C2F85" w:rsidRPr="0046506B" w:rsidRDefault="000C2F85" w:rsidP="0046506B">
      <w:pPr>
        <w:pStyle w:val="SingleTxtG"/>
        <w:spacing w:after="130"/>
        <w:rPr>
          <w:lang w:val="es-ES_tradnl"/>
        </w:rPr>
      </w:pPr>
      <w:r w:rsidRPr="000C2F85">
        <w:rPr>
          <w:lang w:val="es-ES_tradnl"/>
        </w:rPr>
        <w:t>108.</w:t>
      </w:r>
      <w:r w:rsidRPr="000C2F85">
        <w:rPr>
          <w:lang w:val="es-ES_tradnl"/>
        </w:rPr>
        <w:tab/>
        <w:t>La Constitución prevé la negociación y firma de acuerdos internacionales cuya responsabilidad compete al poder ejecutivo nacional</w:t>
      </w:r>
      <w:r w:rsidRPr="00605B48">
        <w:rPr>
          <w:sz w:val="18"/>
          <w:szCs w:val="18"/>
          <w:vertAlign w:val="superscript"/>
          <w:lang w:val="es-ES_tradnl"/>
        </w:rPr>
        <w:footnoteReference w:id="87"/>
      </w:r>
      <w:r w:rsidRPr="000C2F85">
        <w:rPr>
          <w:lang w:val="es-ES_tradnl"/>
        </w:rPr>
        <w:t xml:space="preserve">. Para que un acuerdo internacional pase a ser ley en la República de Sudáfrica, debe ser promulgado como tal por la legislación nacional, es decir, incorporado al derecho interno. Además, la Constitución establece que el derecho internacional consuetudinario tiene fuerza de ley en la República de Sudáfrica, a </w:t>
      </w:r>
      <w:r w:rsidRPr="000C2F85">
        <w:rPr>
          <w:lang w:val="es-ES_tradnl"/>
        </w:rPr>
        <w:lastRenderedPageBreak/>
        <w:t>menos que sea incompatible con la Constitución o con una ley del Parlamento, y se exhorta a los tribunales a que, al interpretar una disposición legislativa, concedan preferencia a toda interpretación razonable de la legislación que sea compatible con el derecho internacional respecto de cualquier otra interpretación distinta que no lo sea</w:t>
      </w:r>
      <w:r w:rsidRPr="00605B48">
        <w:rPr>
          <w:sz w:val="18"/>
          <w:szCs w:val="18"/>
          <w:vertAlign w:val="superscript"/>
          <w:lang w:val="es-ES_tradnl"/>
        </w:rPr>
        <w:footnoteReference w:id="88"/>
      </w:r>
      <w:r w:rsidRPr="000C2F85">
        <w:rPr>
          <w:lang w:val="es-ES_tradnl"/>
        </w:rPr>
        <w:t>.</w:t>
      </w:r>
    </w:p>
    <w:p w14:paraId="04882C17" w14:textId="77777777" w:rsidR="000C2F85" w:rsidRPr="000C2F85" w:rsidRDefault="000C2F85" w:rsidP="0046506B">
      <w:pPr>
        <w:pStyle w:val="SingleTxtG"/>
        <w:spacing w:after="130"/>
        <w:rPr>
          <w:b/>
          <w:lang w:val="es-ES_tradnl"/>
        </w:rPr>
      </w:pPr>
      <w:r w:rsidRPr="000C2F85">
        <w:rPr>
          <w:lang w:val="es-ES_tradnl"/>
        </w:rPr>
        <w:t>109.</w:t>
      </w:r>
      <w:r w:rsidRPr="000C2F85">
        <w:rPr>
          <w:lang w:val="es-ES_tradnl"/>
        </w:rPr>
        <w:tab/>
        <w:t>Sudáfrica revisa regularmente sus reservas o declaraciones relativas a los instrumentos fundamentales de derechos humanos de las Naciones Unidas. En el siguiente cuadro se enumeran las principales convenciones y protocolos internacionales de derechos humanos.</w:t>
      </w:r>
    </w:p>
    <w:p w14:paraId="771021E7" w14:textId="7E40A57B" w:rsidR="000C2F85" w:rsidRPr="000C2F85" w:rsidRDefault="000C2F85" w:rsidP="0036646A">
      <w:pPr>
        <w:pStyle w:val="H23G"/>
        <w:ind w:left="0" w:right="-1" w:firstLine="0"/>
        <w:rPr>
          <w:lang w:val="es-ES_tradnl"/>
        </w:rPr>
      </w:pPr>
      <w:r w:rsidRPr="005819B5">
        <w:rPr>
          <w:b w:val="0"/>
          <w:bCs/>
          <w:lang w:val="es-ES_tradnl"/>
        </w:rPr>
        <w:t xml:space="preserve">Cuadro 25 </w:t>
      </w:r>
      <w:r w:rsidRPr="005819B5">
        <w:rPr>
          <w:b w:val="0"/>
          <w:bCs/>
          <w:lang w:val="es-ES_tradnl"/>
        </w:rPr>
        <w:br/>
      </w:r>
      <w:r w:rsidRPr="000C2F85">
        <w:rPr>
          <w:lang w:val="es-ES_tradnl"/>
        </w:rPr>
        <w:t>Principales convenciones y protocolos internacionales de derechos humanos con reservas o declaraciones</w:t>
      </w:r>
    </w:p>
    <w:tbl>
      <w:tblPr>
        <w:tblW w:w="9639" w:type="dxa"/>
        <w:tblBorders>
          <w:top w:val="single" w:sz="4" w:space="0" w:color="auto"/>
        </w:tblBorders>
        <w:tblLayout w:type="fixed"/>
        <w:tblCellMar>
          <w:left w:w="0" w:type="dxa"/>
          <w:right w:w="113" w:type="dxa"/>
        </w:tblCellMar>
        <w:tblLook w:val="04A0" w:firstRow="1" w:lastRow="0" w:firstColumn="1" w:lastColumn="0" w:noHBand="0" w:noVBand="1"/>
      </w:tblPr>
      <w:tblGrid>
        <w:gridCol w:w="2604"/>
        <w:gridCol w:w="1571"/>
        <w:gridCol w:w="5464"/>
      </w:tblGrid>
      <w:tr w:rsidR="000C2F85" w:rsidRPr="005819B5" w14:paraId="6423E1DA" w14:textId="77777777" w:rsidTr="00671FD0">
        <w:trPr>
          <w:trHeight w:val="240"/>
          <w:tblHeader/>
        </w:trPr>
        <w:tc>
          <w:tcPr>
            <w:tcW w:w="1991" w:type="dxa"/>
            <w:tcBorders>
              <w:top w:val="single" w:sz="4" w:space="0" w:color="auto"/>
              <w:bottom w:val="single" w:sz="12" w:space="0" w:color="auto"/>
            </w:tcBorders>
            <w:shd w:val="clear" w:color="auto" w:fill="auto"/>
            <w:vAlign w:val="bottom"/>
          </w:tcPr>
          <w:p w14:paraId="40F199EC" w14:textId="77777777" w:rsidR="000C2F85" w:rsidRPr="005819B5" w:rsidRDefault="000C2F85" w:rsidP="0046506B">
            <w:pPr>
              <w:pStyle w:val="SingleTxtG"/>
              <w:keepNext/>
              <w:keepLines/>
              <w:tabs>
                <w:tab w:val="clear" w:pos="1701"/>
                <w:tab w:val="clear" w:pos="2268"/>
                <w:tab w:val="clear" w:pos="2835"/>
              </w:tabs>
              <w:spacing w:before="80" w:after="80" w:line="200" w:lineRule="exact"/>
              <w:ind w:left="0" w:right="0"/>
              <w:jc w:val="left"/>
              <w:rPr>
                <w:i/>
                <w:sz w:val="16"/>
                <w:lang w:val="es-ES_tradnl"/>
              </w:rPr>
            </w:pPr>
            <w:r w:rsidRPr="005819B5">
              <w:rPr>
                <w:i/>
                <w:iCs/>
                <w:sz w:val="16"/>
                <w:lang w:val="es-ES_tradnl"/>
              </w:rPr>
              <w:t>Convención</w:t>
            </w:r>
          </w:p>
        </w:tc>
        <w:tc>
          <w:tcPr>
            <w:tcW w:w="1201" w:type="dxa"/>
            <w:tcBorders>
              <w:top w:val="single" w:sz="4" w:space="0" w:color="auto"/>
              <w:bottom w:val="single" w:sz="12" w:space="0" w:color="auto"/>
            </w:tcBorders>
            <w:shd w:val="clear" w:color="auto" w:fill="auto"/>
            <w:vAlign w:val="bottom"/>
          </w:tcPr>
          <w:p w14:paraId="0FAAC815" w14:textId="77777777" w:rsidR="000C2F85" w:rsidRPr="005819B5" w:rsidRDefault="000C2F85" w:rsidP="0046506B">
            <w:pPr>
              <w:pStyle w:val="SingleTxtG"/>
              <w:keepNext/>
              <w:keepLines/>
              <w:tabs>
                <w:tab w:val="clear" w:pos="1701"/>
                <w:tab w:val="clear" w:pos="2268"/>
                <w:tab w:val="clear" w:pos="2835"/>
              </w:tabs>
              <w:spacing w:before="80" w:after="80" w:line="200" w:lineRule="exact"/>
              <w:ind w:left="0" w:right="0"/>
              <w:jc w:val="left"/>
              <w:rPr>
                <w:i/>
                <w:sz w:val="16"/>
                <w:lang w:val="es-ES_tradnl"/>
              </w:rPr>
            </w:pPr>
            <w:r w:rsidRPr="005819B5">
              <w:rPr>
                <w:i/>
                <w:iCs/>
                <w:sz w:val="16"/>
                <w:lang w:val="es-ES_tradnl"/>
              </w:rPr>
              <w:t>Ratificación</w:t>
            </w:r>
          </w:p>
        </w:tc>
        <w:tc>
          <w:tcPr>
            <w:tcW w:w="4178" w:type="dxa"/>
            <w:tcBorders>
              <w:top w:val="single" w:sz="4" w:space="0" w:color="auto"/>
              <w:bottom w:val="single" w:sz="12" w:space="0" w:color="auto"/>
            </w:tcBorders>
            <w:shd w:val="clear" w:color="auto" w:fill="auto"/>
            <w:vAlign w:val="bottom"/>
          </w:tcPr>
          <w:p w14:paraId="25CA7CD6" w14:textId="77777777" w:rsidR="000C2F85" w:rsidRPr="005819B5" w:rsidRDefault="000C2F85" w:rsidP="0046506B">
            <w:pPr>
              <w:pStyle w:val="SingleTxtG"/>
              <w:keepNext/>
              <w:keepLines/>
              <w:tabs>
                <w:tab w:val="clear" w:pos="1701"/>
                <w:tab w:val="clear" w:pos="2268"/>
                <w:tab w:val="clear" w:pos="2835"/>
              </w:tabs>
              <w:spacing w:before="80" w:after="80" w:line="200" w:lineRule="exact"/>
              <w:ind w:left="0" w:right="0"/>
              <w:jc w:val="left"/>
              <w:rPr>
                <w:i/>
                <w:sz w:val="16"/>
                <w:lang w:val="es-ES_tradnl"/>
              </w:rPr>
            </w:pPr>
            <w:r w:rsidRPr="005819B5">
              <w:rPr>
                <w:i/>
                <w:iCs/>
                <w:sz w:val="16"/>
                <w:lang w:val="es-ES_tradnl"/>
              </w:rPr>
              <w:t>Reservas o declaraciones</w:t>
            </w:r>
          </w:p>
        </w:tc>
      </w:tr>
      <w:tr w:rsidR="000C2F85" w:rsidRPr="005819B5" w14:paraId="0D3A6956" w14:textId="77777777" w:rsidTr="00671FD0">
        <w:trPr>
          <w:trHeight w:hRule="exact" w:val="113"/>
          <w:tblHeader/>
        </w:trPr>
        <w:tc>
          <w:tcPr>
            <w:tcW w:w="1991" w:type="dxa"/>
            <w:tcBorders>
              <w:top w:val="single" w:sz="12" w:space="0" w:color="auto"/>
            </w:tcBorders>
            <w:shd w:val="clear" w:color="auto" w:fill="auto"/>
          </w:tcPr>
          <w:p w14:paraId="4F9C464E" w14:textId="77777777" w:rsidR="000C2F85" w:rsidRPr="005819B5" w:rsidRDefault="000C2F85" w:rsidP="0046506B">
            <w:pPr>
              <w:pStyle w:val="SingleTxtG"/>
              <w:keepNext/>
              <w:keepLines/>
              <w:tabs>
                <w:tab w:val="clear" w:pos="1701"/>
                <w:tab w:val="clear" w:pos="2268"/>
                <w:tab w:val="clear" w:pos="2835"/>
              </w:tabs>
              <w:spacing w:before="40"/>
              <w:ind w:left="0" w:right="0"/>
              <w:jc w:val="left"/>
              <w:rPr>
                <w:lang w:val="es-ES_tradnl"/>
              </w:rPr>
            </w:pPr>
          </w:p>
        </w:tc>
        <w:tc>
          <w:tcPr>
            <w:tcW w:w="1201" w:type="dxa"/>
            <w:tcBorders>
              <w:top w:val="single" w:sz="12" w:space="0" w:color="auto"/>
            </w:tcBorders>
            <w:shd w:val="clear" w:color="auto" w:fill="auto"/>
          </w:tcPr>
          <w:p w14:paraId="3941FD92" w14:textId="77777777" w:rsidR="000C2F85" w:rsidRPr="005819B5" w:rsidRDefault="000C2F85" w:rsidP="0046506B">
            <w:pPr>
              <w:pStyle w:val="SingleTxtG"/>
              <w:keepNext/>
              <w:keepLines/>
              <w:tabs>
                <w:tab w:val="clear" w:pos="1701"/>
                <w:tab w:val="clear" w:pos="2268"/>
                <w:tab w:val="clear" w:pos="2835"/>
              </w:tabs>
              <w:spacing w:before="40"/>
              <w:ind w:left="0" w:right="0"/>
              <w:jc w:val="left"/>
              <w:rPr>
                <w:lang w:val="es-ES_tradnl"/>
              </w:rPr>
            </w:pPr>
          </w:p>
        </w:tc>
        <w:tc>
          <w:tcPr>
            <w:tcW w:w="4178" w:type="dxa"/>
            <w:tcBorders>
              <w:top w:val="single" w:sz="12" w:space="0" w:color="auto"/>
            </w:tcBorders>
            <w:shd w:val="clear" w:color="auto" w:fill="auto"/>
          </w:tcPr>
          <w:p w14:paraId="33A99EB6" w14:textId="77777777" w:rsidR="000C2F85" w:rsidRPr="005819B5" w:rsidRDefault="000C2F85" w:rsidP="0046506B">
            <w:pPr>
              <w:pStyle w:val="SingleTxtG"/>
              <w:keepNext/>
              <w:keepLines/>
              <w:tabs>
                <w:tab w:val="clear" w:pos="1701"/>
                <w:tab w:val="clear" w:pos="2268"/>
                <w:tab w:val="clear" w:pos="2835"/>
              </w:tabs>
              <w:spacing w:before="40"/>
              <w:ind w:left="0" w:right="0"/>
              <w:jc w:val="left"/>
              <w:rPr>
                <w:lang w:val="es-ES_tradnl"/>
              </w:rPr>
            </w:pPr>
          </w:p>
        </w:tc>
      </w:tr>
      <w:tr w:rsidR="000C2F85" w:rsidRPr="005819B5" w14:paraId="4FD80E8F" w14:textId="77777777" w:rsidTr="0036646A">
        <w:trPr>
          <w:trHeight w:val="240"/>
        </w:trPr>
        <w:tc>
          <w:tcPr>
            <w:tcW w:w="1991" w:type="dxa"/>
            <w:shd w:val="clear" w:color="auto" w:fill="auto"/>
          </w:tcPr>
          <w:p w14:paraId="14E7CB15" w14:textId="77777777"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Pacto Internacional de Derechos Civiles y Políticos</w:t>
            </w:r>
          </w:p>
        </w:tc>
        <w:tc>
          <w:tcPr>
            <w:tcW w:w="1201" w:type="dxa"/>
            <w:shd w:val="clear" w:color="auto" w:fill="auto"/>
          </w:tcPr>
          <w:p w14:paraId="1B669902" w14:textId="6249A5C8"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10 de diciembre de</w:t>
            </w:r>
            <w:r w:rsidR="0036646A">
              <w:rPr>
                <w:lang w:val="es-ES_tradnl"/>
              </w:rPr>
              <w:t> </w:t>
            </w:r>
            <w:r w:rsidRPr="005819B5">
              <w:rPr>
                <w:lang w:val="es-ES_tradnl"/>
              </w:rPr>
              <w:t>1998</w:t>
            </w:r>
          </w:p>
        </w:tc>
        <w:tc>
          <w:tcPr>
            <w:tcW w:w="4178" w:type="dxa"/>
            <w:shd w:val="clear" w:color="auto" w:fill="auto"/>
          </w:tcPr>
          <w:p w14:paraId="4A0893EE" w14:textId="77777777"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Declaración</w:t>
            </w:r>
          </w:p>
          <w:p w14:paraId="461FDFC3" w14:textId="70FB4248"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 xml:space="preserve">Artículo 41: </w:t>
            </w:r>
            <w:r w:rsidR="0091550D">
              <w:rPr>
                <w:lang w:val="es-ES_tradnl"/>
              </w:rPr>
              <w:t>“</w:t>
            </w:r>
            <w:r w:rsidRPr="005819B5">
              <w:rPr>
                <w:lang w:val="es-ES_tradnl"/>
              </w:rPr>
              <w:t>Con arreglo al artículo 41 del Pacto, la República de Sudáfrica declara que reconoce la competencia del Comité de Derechos Humanos para recibir y examinar las comunicaciones en que un Estado parte alegue que otro Estado parte no cumple las obligaciones que le impone el Pacto</w:t>
            </w:r>
            <w:r w:rsidR="0091550D">
              <w:rPr>
                <w:lang w:val="es-ES_tradnl"/>
              </w:rPr>
              <w:t>”</w:t>
            </w:r>
            <w:r w:rsidRPr="005819B5">
              <w:rPr>
                <w:lang w:val="es-ES_tradnl"/>
              </w:rPr>
              <w:t>.</w:t>
            </w:r>
          </w:p>
        </w:tc>
      </w:tr>
      <w:tr w:rsidR="000C2F85" w:rsidRPr="005819B5" w14:paraId="278717B3" w14:textId="77777777" w:rsidTr="0036646A">
        <w:trPr>
          <w:trHeight w:val="240"/>
        </w:trPr>
        <w:tc>
          <w:tcPr>
            <w:tcW w:w="1991" w:type="dxa"/>
            <w:shd w:val="clear" w:color="auto" w:fill="auto"/>
          </w:tcPr>
          <w:p w14:paraId="2EB3722C" w14:textId="77777777"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Protocolos Facultativos primero y Segundo del Pacto Internacional de Derechos Civiles y Políticos</w:t>
            </w:r>
          </w:p>
        </w:tc>
        <w:tc>
          <w:tcPr>
            <w:tcW w:w="1201" w:type="dxa"/>
            <w:shd w:val="clear" w:color="auto" w:fill="auto"/>
          </w:tcPr>
          <w:p w14:paraId="352FBCE1" w14:textId="77777777"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10 de diciembre de 1998</w:t>
            </w:r>
          </w:p>
        </w:tc>
        <w:tc>
          <w:tcPr>
            <w:tcW w:w="4178" w:type="dxa"/>
            <w:shd w:val="clear" w:color="auto" w:fill="auto"/>
          </w:tcPr>
          <w:p w14:paraId="036DD4BD" w14:textId="77777777"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No se aplica</w:t>
            </w:r>
          </w:p>
        </w:tc>
      </w:tr>
      <w:tr w:rsidR="000C2F85" w:rsidRPr="005819B5" w14:paraId="02BA125D" w14:textId="77777777" w:rsidTr="0036646A">
        <w:trPr>
          <w:trHeight w:val="240"/>
        </w:trPr>
        <w:tc>
          <w:tcPr>
            <w:tcW w:w="1991" w:type="dxa"/>
            <w:shd w:val="clear" w:color="auto" w:fill="auto"/>
          </w:tcPr>
          <w:p w14:paraId="04A4FAFC" w14:textId="77777777"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 xml:space="preserve">Convención Internacional sobre la Eliminación de Todas las Formas de Discriminación Racial </w:t>
            </w:r>
          </w:p>
        </w:tc>
        <w:tc>
          <w:tcPr>
            <w:tcW w:w="1201" w:type="dxa"/>
            <w:shd w:val="clear" w:color="auto" w:fill="auto"/>
          </w:tcPr>
          <w:p w14:paraId="483D3790" w14:textId="77777777"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10 de diciembre de 1998</w:t>
            </w:r>
          </w:p>
        </w:tc>
        <w:tc>
          <w:tcPr>
            <w:tcW w:w="4178" w:type="dxa"/>
            <w:shd w:val="clear" w:color="auto" w:fill="auto"/>
          </w:tcPr>
          <w:p w14:paraId="6F897AFB" w14:textId="77777777"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Declaración</w:t>
            </w:r>
          </w:p>
          <w:p w14:paraId="083FF010" w14:textId="6D90B108" w:rsidR="000C2F85" w:rsidRPr="005819B5" w:rsidRDefault="0091550D" w:rsidP="005819B5">
            <w:pPr>
              <w:pStyle w:val="SingleTxtG"/>
              <w:tabs>
                <w:tab w:val="clear" w:pos="1701"/>
                <w:tab w:val="clear" w:pos="2268"/>
                <w:tab w:val="clear" w:pos="2835"/>
              </w:tabs>
              <w:spacing w:before="40"/>
              <w:ind w:left="0" w:right="0"/>
              <w:jc w:val="left"/>
              <w:rPr>
                <w:lang w:val="es-ES_tradnl"/>
              </w:rPr>
            </w:pPr>
            <w:r>
              <w:rPr>
                <w:lang w:val="es-ES_tradnl"/>
              </w:rPr>
              <w:t>“</w:t>
            </w:r>
            <w:r w:rsidR="000C2F85" w:rsidRPr="005819B5">
              <w:rPr>
                <w:lang w:val="es-ES_tradnl"/>
              </w:rPr>
              <w:t>La República de Sudáfrica:</w:t>
            </w:r>
          </w:p>
          <w:p w14:paraId="17E9597A" w14:textId="1D9E0B66" w:rsidR="000C2F85" w:rsidRPr="005819B5" w:rsidRDefault="0036646A" w:rsidP="00DF548A">
            <w:pPr>
              <w:pStyle w:val="SingleTxtG"/>
              <w:tabs>
                <w:tab w:val="clear" w:pos="1701"/>
                <w:tab w:val="clear" w:pos="2268"/>
                <w:tab w:val="clear" w:pos="2835"/>
                <w:tab w:val="left" w:pos="324"/>
                <w:tab w:val="left" w:pos="635"/>
              </w:tabs>
              <w:spacing w:before="40"/>
              <w:ind w:left="0" w:right="0"/>
              <w:jc w:val="left"/>
              <w:rPr>
                <w:lang w:val="es-ES_tradnl"/>
              </w:rPr>
            </w:pPr>
            <w:r>
              <w:rPr>
                <w:lang w:val="es-ES_tradnl"/>
              </w:rPr>
              <w:tab/>
            </w:r>
            <w:r w:rsidR="000C2F85" w:rsidRPr="005819B5">
              <w:rPr>
                <w:lang w:val="es-ES_tradnl"/>
              </w:rPr>
              <w:t>a)</w:t>
            </w:r>
            <w:r>
              <w:rPr>
                <w:lang w:val="es-ES_tradnl"/>
              </w:rPr>
              <w:tab/>
            </w:r>
            <w:r w:rsidR="000C2F85" w:rsidRPr="005819B5">
              <w:rPr>
                <w:lang w:val="es-ES_tradnl"/>
              </w:rPr>
              <w:t>Declara que, a los efectos del artículo 14, párrafo 1 de la Convención, reconoce la competencia del Comité para la Eliminación de la Discriminación Racial para recibir y examinar las comunicaciones de particulares o grupos de particulares en la jurisdicción de la República que aleguen ser víctimas de una violación por la República de algunos de los derechos enunciados en la Convención tras haber agotado todos los recursos internos</w:t>
            </w:r>
            <w:r>
              <w:rPr>
                <w:lang w:val="es-ES_tradnl"/>
              </w:rPr>
              <w:t>;</w:t>
            </w:r>
            <w:r w:rsidR="000C2F85" w:rsidRPr="005819B5">
              <w:rPr>
                <w:lang w:val="es-ES_tradnl"/>
              </w:rPr>
              <w:t xml:space="preserve"> y</w:t>
            </w:r>
          </w:p>
          <w:p w14:paraId="6E1A519E" w14:textId="23DD9EC5" w:rsidR="000C2F85" w:rsidRPr="005819B5" w:rsidRDefault="0036646A" w:rsidP="00DF548A">
            <w:pPr>
              <w:pStyle w:val="SingleTxtG"/>
              <w:tabs>
                <w:tab w:val="clear" w:pos="1701"/>
                <w:tab w:val="clear" w:pos="2268"/>
                <w:tab w:val="clear" w:pos="2835"/>
                <w:tab w:val="left" w:pos="324"/>
                <w:tab w:val="left" w:pos="635"/>
              </w:tabs>
              <w:spacing w:before="40"/>
              <w:ind w:left="0" w:right="0"/>
              <w:jc w:val="left"/>
              <w:rPr>
                <w:lang w:val="es-ES_tradnl"/>
              </w:rPr>
            </w:pPr>
            <w:r>
              <w:rPr>
                <w:lang w:val="es-ES_tradnl"/>
              </w:rPr>
              <w:tab/>
            </w:r>
            <w:r w:rsidR="000C2F85" w:rsidRPr="005819B5">
              <w:rPr>
                <w:lang w:val="es-ES_tradnl"/>
              </w:rPr>
              <w:t>b)</w:t>
            </w:r>
            <w:r>
              <w:rPr>
                <w:lang w:val="es-ES_tradnl"/>
              </w:rPr>
              <w:tab/>
            </w:r>
            <w:r w:rsidR="000C2F85" w:rsidRPr="005819B5">
              <w:rPr>
                <w:lang w:val="es-ES_tradnl"/>
              </w:rPr>
              <w:t>Indica que, a los efectos del artículo 14, párrafo 2, de la Convención, la Comisión de Derechos Humanos de Sudáfrica es, en el ordenamiento jurídico nacional de la República, el órgano que será competente para recibir y examinar peticiones de personas o grupos de personas en la jurisdicción de la República que aleguen ser víctimas de la violación de cualquiera de los derechos enunciados en la Convención</w:t>
            </w:r>
            <w:r>
              <w:rPr>
                <w:lang w:val="es-ES_tradnl"/>
              </w:rPr>
              <w:t>.</w:t>
            </w:r>
            <w:r w:rsidR="0091550D">
              <w:rPr>
                <w:lang w:val="es-ES_tradnl"/>
              </w:rPr>
              <w:t>”</w:t>
            </w:r>
          </w:p>
        </w:tc>
      </w:tr>
      <w:tr w:rsidR="000C2F85" w:rsidRPr="005819B5" w14:paraId="78DA3A55" w14:textId="77777777" w:rsidTr="0036646A">
        <w:trPr>
          <w:trHeight w:val="240"/>
        </w:trPr>
        <w:tc>
          <w:tcPr>
            <w:tcW w:w="1991" w:type="dxa"/>
            <w:shd w:val="clear" w:color="auto" w:fill="auto"/>
          </w:tcPr>
          <w:p w14:paraId="375F25EB" w14:textId="77777777"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Convención sobre la Eliminación de Todas las Formas de Discriminación contra la Mujer</w:t>
            </w:r>
          </w:p>
        </w:tc>
        <w:tc>
          <w:tcPr>
            <w:tcW w:w="1201" w:type="dxa"/>
            <w:shd w:val="clear" w:color="auto" w:fill="auto"/>
          </w:tcPr>
          <w:p w14:paraId="583E81B0" w14:textId="77777777"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15 de diciembre de 1995</w:t>
            </w:r>
          </w:p>
        </w:tc>
        <w:tc>
          <w:tcPr>
            <w:tcW w:w="4178" w:type="dxa"/>
            <w:shd w:val="clear" w:color="auto" w:fill="auto"/>
          </w:tcPr>
          <w:p w14:paraId="71021B32" w14:textId="665CDC59"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No se aplica</w:t>
            </w:r>
          </w:p>
        </w:tc>
      </w:tr>
      <w:tr w:rsidR="000C2F85" w:rsidRPr="005819B5" w14:paraId="286B54CF" w14:textId="77777777" w:rsidTr="0036646A">
        <w:trPr>
          <w:trHeight w:val="240"/>
        </w:trPr>
        <w:tc>
          <w:tcPr>
            <w:tcW w:w="1991" w:type="dxa"/>
            <w:shd w:val="clear" w:color="auto" w:fill="auto"/>
          </w:tcPr>
          <w:p w14:paraId="66FCC1BE" w14:textId="77777777"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Protocolo Facultativo de la Convención sobre la Eliminación de Todas las Formas de Discriminación contra la Mujer</w:t>
            </w:r>
          </w:p>
        </w:tc>
        <w:tc>
          <w:tcPr>
            <w:tcW w:w="1201" w:type="dxa"/>
            <w:shd w:val="clear" w:color="auto" w:fill="auto"/>
          </w:tcPr>
          <w:p w14:paraId="09A18166" w14:textId="6F8603C3"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6 de mayo de</w:t>
            </w:r>
            <w:r w:rsidR="002D24BD">
              <w:rPr>
                <w:lang w:val="es-ES_tradnl"/>
              </w:rPr>
              <w:t> </w:t>
            </w:r>
            <w:r w:rsidRPr="005819B5">
              <w:rPr>
                <w:lang w:val="es-ES_tradnl"/>
              </w:rPr>
              <w:t>2002</w:t>
            </w:r>
          </w:p>
        </w:tc>
        <w:tc>
          <w:tcPr>
            <w:tcW w:w="4178" w:type="dxa"/>
            <w:shd w:val="clear" w:color="auto" w:fill="auto"/>
          </w:tcPr>
          <w:p w14:paraId="13EDE4B3" w14:textId="77777777"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No se aplica</w:t>
            </w:r>
          </w:p>
        </w:tc>
      </w:tr>
      <w:tr w:rsidR="000C2F85" w:rsidRPr="005819B5" w14:paraId="3EC1661E" w14:textId="77777777" w:rsidTr="0036646A">
        <w:trPr>
          <w:trHeight w:val="240"/>
        </w:trPr>
        <w:tc>
          <w:tcPr>
            <w:tcW w:w="1991" w:type="dxa"/>
            <w:shd w:val="clear" w:color="auto" w:fill="auto"/>
          </w:tcPr>
          <w:p w14:paraId="38A1625D" w14:textId="77777777" w:rsidR="000C2F85" w:rsidRPr="005819B5" w:rsidRDefault="000C2F85" w:rsidP="00AB7FF2">
            <w:pPr>
              <w:pStyle w:val="SingleTxtG"/>
              <w:keepNext/>
              <w:keepLines/>
              <w:tabs>
                <w:tab w:val="clear" w:pos="1701"/>
                <w:tab w:val="clear" w:pos="2268"/>
                <w:tab w:val="clear" w:pos="2835"/>
              </w:tabs>
              <w:spacing w:before="40"/>
              <w:ind w:left="0" w:right="0"/>
              <w:jc w:val="left"/>
              <w:rPr>
                <w:lang w:val="es-ES_tradnl"/>
              </w:rPr>
            </w:pPr>
            <w:r w:rsidRPr="005819B5">
              <w:rPr>
                <w:lang w:val="es-ES_tradnl"/>
              </w:rPr>
              <w:lastRenderedPageBreak/>
              <w:t>Convención contra la Tortura y Otros Tratos o Penas Crueles, Inhumanos o Degradantes</w:t>
            </w:r>
          </w:p>
        </w:tc>
        <w:tc>
          <w:tcPr>
            <w:tcW w:w="1201" w:type="dxa"/>
            <w:shd w:val="clear" w:color="auto" w:fill="auto"/>
          </w:tcPr>
          <w:p w14:paraId="22476979" w14:textId="77777777" w:rsidR="000C2F85" w:rsidRPr="005819B5" w:rsidRDefault="000C2F85" w:rsidP="00AB7FF2">
            <w:pPr>
              <w:pStyle w:val="SingleTxtG"/>
              <w:keepNext/>
              <w:keepLines/>
              <w:tabs>
                <w:tab w:val="clear" w:pos="1701"/>
                <w:tab w:val="clear" w:pos="2268"/>
                <w:tab w:val="clear" w:pos="2835"/>
              </w:tabs>
              <w:spacing w:before="40"/>
              <w:ind w:left="0" w:right="0"/>
              <w:jc w:val="left"/>
              <w:rPr>
                <w:lang w:val="es-ES_tradnl"/>
              </w:rPr>
            </w:pPr>
            <w:r w:rsidRPr="005819B5">
              <w:rPr>
                <w:lang w:val="es-ES_tradnl"/>
              </w:rPr>
              <w:t>10 de diciembre de 1998</w:t>
            </w:r>
          </w:p>
        </w:tc>
        <w:tc>
          <w:tcPr>
            <w:tcW w:w="4178" w:type="dxa"/>
            <w:shd w:val="clear" w:color="auto" w:fill="auto"/>
          </w:tcPr>
          <w:p w14:paraId="28A5F8B6" w14:textId="77777777" w:rsidR="000C2F85" w:rsidRPr="005819B5" w:rsidRDefault="000C2F85" w:rsidP="00AB7FF2">
            <w:pPr>
              <w:pStyle w:val="SingleTxtG"/>
              <w:keepNext/>
              <w:keepLines/>
              <w:tabs>
                <w:tab w:val="clear" w:pos="1701"/>
                <w:tab w:val="clear" w:pos="2268"/>
                <w:tab w:val="clear" w:pos="2835"/>
              </w:tabs>
              <w:spacing w:before="40"/>
              <w:ind w:left="0" w:right="0"/>
              <w:jc w:val="left"/>
              <w:rPr>
                <w:lang w:val="es-ES_tradnl"/>
              </w:rPr>
            </w:pPr>
            <w:r w:rsidRPr="005819B5">
              <w:rPr>
                <w:lang w:val="es-ES_tradnl"/>
              </w:rPr>
              <w:t>Declaración</w:t>
            </w:r>
          </w:p>
          <w:p w14:paraId="024328FA" w14:textId="0D9C7C53" w:rsidR="000C2F85" w:rsidRPr="005819B5" w:rsidRDefault="0091550D" w:rsidP="00AB7FF2">
            <w:pPr>
              <w:pStyle w:val="SingleTxtG"/>
              <w:keepNext/>
              <w:keepLines/>
              <w:tabs>
                <w:tab w:val="clear" w:pos="1701"/>
                <w:tab w:val="clear" w:pos="2268"/>
                <w:tab w:val="clear" w:pos="2835"/>
              </w:tabs>
              <w:spacing w:before="40"/>
              <w:ind w:left="0" w:right="0"/>
              <w:jc w:val="left"/>
              <w:rPr>
                <w:lang w:val="es-ES_tradnl"/>
              </w:rPr>
            </w:pPr>
            <w:r>
              <w:rPr>
                <w:lang w:val="es-ES_tradnl"/>
              </w:rPr>
              <w:t>“</w:t>
            </w:r>
            <w:r w:rsidR="000C2F85" w:rsidRPr="005819B5">
              <w:rPr>
                <w:lang w:val="es-ES_tradnl"/>
              </w:rPr>
              <w:t>[La República de Sudáfrica declara que] reconoce, a los efectos del artículo 30 de la Convención, la competencia de la Corte Internacional de Justicia para resolver una diferencia entre dos o más Estados partes sobre la interpretación o la aplicación de la Convención, respectivamente</w:t>
            </w:r>
            <w:r w:rsidR="00B1605B">
              <w:rPr>
                <w:lang w:val="es-ES_tradnl"/>
              </w:rPr>
              <w:t>.</w:t>
            </w:r>
            <w:r>
              <w:rPr>
                <w:lang w:val="es-ES_tradnl"/>
              </w:rPr>
              <w:t>”</w:t>
            </w:r>
          </w:p>
          <w:p w14:paraId="65879D8A" w14:textId="77777777" w:rsidR="000C2F85" w:rsidRPr="005819B5" w:rsidRDefault="000C2F85" w:rsidP="00AB7FF2">
            <w:pPr>
              <w:pStyle w:val="SingleTxtG"/>
              <w:keepNext/>
              <w:keepLines/>
              <w:tabs>
                <w:tab w:val="clear" w:pos="1701"/>
                <w:tab w:val="clear" w:pos="2268"/>
                <w:tab w:val="clear" w:pos="2835"/>
              </w:tabs>
              <w:spacing w:before="40"/>
              <w:ind w:left="0" w:right="0"/>
              <w:jc w:val="left"/>
              <w:rPr>
                <w:lang w:val="es-ES_tradnl"/>
              </w:rPr>
            </w:pPr>
            <w:r w:rsidRPr="005819B5">
              <w:rPr>
                <w:lang w:val="es-ES_tradnl"/>
              </w:rPr>
              <w:t>Declaraciones sobre los artículos 21 y 22</w:t>
            </w:r>
          </w:p>
          <w:p w14:paraId="1EB3A31C" w14:textId="2DA2B060" w:rsidR="000C2F85" w:rsidRPr="005819B5" w:rsidRDefault="0091550D" w:rsidP="00AB7FF2">
            <w:pPr>
              <w:pStyle w:val="SingleTxtG"/>
              <w:keepNext/>
              <w:keepLines/>
              <w:tabs>
                <w:tab w:val="clear" w:pos="1701"/>
                <w:tab w:val="clear" w:pos="2268"/>
                <w:tab w:val="clear" w:pos="2835"/>
              </w:tabs>
              <w:spacing w:before="40"/>
              <w:ind w:left="0" w:right="0"/>
              <w:jc w:val="left"/>
              <w:rPr>
                <w:lang w:val="es-ES_tradnl"/>
              </w:rPr>
            </w:pPr>
            <w:r>
              <w:rPr>
                <w:lang w:val="es-ES_tradnl"/>
              </w:rPr>
              <w:t>“</w:t>
            </w:r>
            <w:r w:rsidR="000C2F85" w:rsidRPr="005819B5">
              <w:rPr>
                <w:lang w:val="es-ES_tradnl"/>
              </w:rPr>
              <w:t>La República de Sudáfrica declara que:</w:t>
            </w:r>
          </w:p>
          <w:p w14:paraId="6C8529D5" w14:textId="6BCAAF2C" w:rsidR="000C2F85" w:rsidRPr="005819B5" w:rsidRDefault="000C2F85" w:rsidP="00AB7FF2">
            <w:pPr>
              <w:pStyle w:val="Bullet1G"/>
              <w:keepNext/>
              <w:keepLines/>
              <w:ind w:left="227" w:right="57"/>
              <w:rPr>
                <w:lang w:val="es-ES_tradnl"/>
              </w:rPr>
            </w:pPr>
            <w:r w:rsidRPr="005819B5">
              <w:rPr>
                <w:lang w:val="es-ES_tradnl"/>
              </w:rPr>
              <w:t>Reconoce, con arreglo al artículo 21 de la Convención, la competencia del Comité contra la Tortura para recibir y examinar comunicaciones en que un Estado parte alegue que otro Estado parte no cumple las obligaciones que le impone la Convención</w:t>
            </w:r>
            <w:r w:rsidR="00B1605B">
              <w:rPr>
                <w:lang w:val="es-ES_tradnl"/>
              </w:rPr>
              <w:t>.</w:t>
            </w:r>
          </w:p>
          <w:p w14:paraId="4BA2C737" w14:textId="2E86344B" w:rsidR="000C2F85" w:rsidRPr="005819B5" w:rsidRDefault="000C2F85" w:rsidP="00AB7FF2">
            <w:pPr>
              <w:pStyle w:val="Bullet1G"/>
              <w:keepNext/>
              <w:keepLines/>
              <w:ind w:left="227" w:right="57"/>
              <w:rPr>
                <w:lang w:val="es-ES_tradnl"/>
              </w:rPr>
            </w:pPr>
            <w:r w:rsidRPr="005819B5">
              <w:rPr>
                <w:lang w:val="es-ES_tradnl"/>
              </w:rPr>
              <w:t>Reconoce, con arreglo al artículo 22 de la Convención, la competencia del Comité contra la Tortura para recibir y examinar comunicaciones enviadas por personas sometidas a su jurisdicción, o en su nombre, que aleguen ser víctimas de tortura por un Estado parte</w:t>
            </w:r>
            <w:r w:rsidR="00B1605B">
              <w:rPr>
                <w:lang w:val="es-ES_tradnl"/>
              </w:rPr>
              <w:t>.</w:t>
            </w:r>
            <w:r w:rsidR="0091550D">
              <w:rPr>
                <w:lang w:val="es-ES_tradnl"/>
              </w:rPr>
              <w:t>”</w:t>
            </w:r>
          </w:p>
        </w:tc>
      </w:tr>
      <w:tr w:rsidR="000C2F85" w:rsidRPr="005819B5" w14:paraId="41DD7E61" w14:textId="77777777" w:rsidTr="0036646A">
        <w:trPr>
          <w:trHeight w:val="240"/>
        </w:trPr>
        <w:tc>
          <w:tcPr>
            <w:tcW w:w="1991" w:type="dxa"/>
            <w:shd w:val="clear" w:color="auto" w:fill="auto"/>
          </w:tcPr>
          <w:p w14:paraId="1C775E46" w14:textId="77777777"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Convención sobre los Derechos del Niño</w:t>
            </w:r>
          </w:p>
        </w:tc>
        <w:tc>
          <w:tcPr>
            <w:tcW w:w="1201" w:type="dxa"/>
            <w:shd w:val="clear" w:color="auto" w:fill="auto"/>
          </w:tcPr>
          <w:p w14:paraId="2A6860F3" w14:textId="6971210A"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16 de junio de</w:t>
            </w:r>
            <w:r w:rsidR="00B1605B">
              <w:rPr>
                <w:lang w:val="es-ES_tradnl"/>
              </w:rPr>
              <w:t> </w:t>
            </w:r>
            <w:r w:rsidRPr="005819B5">
              <w:rPr>
                <w:lang w:val="es-ES_tradnl"/>
              </w:rPr>
              <w:t>1998</w:t>
            </w:r>
          </w:p>
        </w:tc>
        <w:tc>
          <w:tcPr>
            <w:tcW w:w="4178" w:type="dxa"/>
            <w:shd w:val="clear" w:color="auto" w:fill="auto"/>
          </w:tcPr>
          <w:p w14:paraId="015C02A1" w14:textId="77777777"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No se aplica</w:t>
            </w:r>
          </w:p>
        </w:tc>
      </w:tr>
      <w:tr w:rsidR="000C2F85" w:rsidRPr="005819B5" w14:paraId="6DEC0C97" w14:textId="77777777" w:rsidTr="0036646A">
        <w:trPr>
          <w:trHeight w:val="240"/>
        </w:trPr>
        <w:tc>
          <w:tcPr>
            <w:tcW w:w="1991" w:type="dxa"/>
            <w:shd w:val="clear" w:color="auto" w:fill="auto"/>
          </w:tcPr>
          <w:p w14:paraId="6946294D" w14:textId="77777777"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Protocolo Facultativo de la Convención sobre los Derechos del Niño relativo a la venta de niños, la prostitución infantil y la utilización de niños en la pornografía</w:t>
            </w:r>
          </w:p>
          <w:p w14:paraId="43AB6103" w14:textId="77777777"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Protocolo Facultativo de la Convención sobre los Derechos del Niño relativo a la participación de niños en los conflictos armados</w:t>
            </w:r>
          </w:p>
        </w:tc>
        <w:tc>
          <w:tcPr>
            <w:tcW w:w="1201" w:type="dxa"/>
            <w:shd w:val="clear" w:color="auto" w:fill="auto"/>
          </w:tcPr>
          <w:p w14:paraId="20B59B77" w14:textId="019550C9"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30 de junio de</w:t>
            </w:r>
            <w:r w:rsidR="00B1605B">
              <w:rPr>
                <w:lang w:val="es-ES_tradnl"/>
              </w:rPr>
              <w:t> </w:t>
            </w:r>
            <w:r w:rsidRPr="005819B5">
              <w:rPr>
                <w:lang w:val="es-ES_tradnl"/>
              </w:rPr>
              <w:t>2003</w:t>
            </w:r>
          </w:p>
          <w:p w14:paraId="7219E2DE" w14:textId="77777777"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24 de septiembre de 2009</w:t>
            </w:r>
          </w:p>
        </w:tc>
        <w:tc>
          <w:tcPr>
            <w:tcW w:w="4178" w:type="dxa"/>
            <w:shd w:val="clear" w:color="auto" w:fill="auto"/>
          </w:tcPr>
          <w:p w14:paraId="66215927" w14:textId="77777777"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Declaración presentada al Comité de los Derechos del Niño:</w:t>
            </w:r>
          </w:p>
          <w:p w14:paraId="28662CC6" w14:textId="7964B2D5" w:rsidR="000C2F85" w:rsidRPr="005819B5" w:rsidRDefault="00DF548A" w:rsidP="00DF548A">
            <w:pPr>
              <w:pStyle w:val="SingleTxtG"/>
              <w:tabs>
                <w:tab w:val="clear" w:pos="1701"/>
                <w:tab w:val="clear" w:pos="2268"/>
                <w:tab w:val="clear" w:pos="2835"/>
                <w:tab w:val="left" w:pos="345"/>
                <w:tab w:val="left" w:pos="649"/>
              </w:tabs>
              <w:spacing w:before="40"/>
              <w:ind w:left="0" w:right="0"/>
              <w:jc w:val="left"/>
              <w:rPr>
                <w:lang w:val="es-ES_tradnl"/>
              </w:rPr>
            </w:pPr>
            <w:r>
              <w:rPr>
                <w:lang w:val="es-ES_tradnl"/>
              </w:rPr>
              <w:tab/>
            </w:r>
            <w:r w:rsidR="0091550D">
              <w:rPr>
                <w:lang w:val="es-ES_tradnl"/>
              </w:rPr>
              <w:t>“</w:t>
            </w:r>
            <w:r w:rsidR="000C2F85" w:rsidRPr="005819B5">
              <w:rPr>
                <w:lang w:val="es-ES_tradnl"/>
              </w:rPr>
              <w:t>a)</w:t>
            </w:r>
            <w:r w:rsidR="00B1605B">
              <w:rPr>
                <w:lang w:val="es-ES_tradnl"/>
              </w:rPr>
              <w:tab/>
            </w:r>
            <w:r w:rsidR="000C2F85" w:rsidRPr="005819B5">
              <w:rPr>
                <w:lang w:val="es-ES_tradnl"/>
              </w:rPr>
              <w:t>Los efectivos de las Fuerzas de Defensa Nacional de Sudáfrica son voluntarios y, por lo tanto, no hay servicio militar obligatorio en esas Fuerzas;</w:t>
            </w:r>
          </w:p>
          <w:p w14:paraId="72D06837" w14:textId="28F0D17A" w:rsidR="000C2F85" w:rsidRPr="005819B5" w:rsidRDefault="00B1605B" w:rsidP="00DF548A">
            <w:pPr>
              <w:pStyle w:val="SingleTxtG"/>
              <w:tabs>
                <w:tab w:val="clear" w:pos="1701"/>
                <w:tab w:val="clear" w:pos="2268"/>
                <w:tab w:val="clear" w:pos="2835"/>
                <w:tab w:val="left" w:pos="345"/>
                <w:tab w:val="left" w:pos="649"/>
              </w:tabs>
              <w:spacing w:before="40"/>
              <w:ind w:left="0" w:right="0"/>
              <w:jc w:val="left"/>
              <w:rPr>
                <w:lang w:val="es-ES_tradnl"/>
              </w:rPr>
            </w:pPr>
            <w:r>
              <w:rPr>
                <w:lang w:val="es-ES_tradnl"/>
              </w:rPr>
              <w:tab/>
            </w:r>
            <w:r w:rsidR="000C2F85" w:rsidRPr="005819B5">
              <w:rPr>
                <w:lang w:val="es-ES_tradnl"/>
              </w:rPr>
              <w:t>b)</w:t>
            </w:r>
            <w:r>
              <w:rPr>
                <w:lang w:val="es-ES_tradnl"/>
              </w:rPr>
              <w:tab/>
            </w:r>
            <w:r w:rsidR="000C2F85" w:rsidRPr="005819B5">
              <w:rPr>
                <w:lang w:val="es-ES_tradnl"/>
              </w:rPr>
              <w:t>El proceso de reclutamiento en la Fuerza de Defensa Nacional de Sudáfrica se inicia mediante anuncios en los periódicos nacionales y se establece la edad mínima de 18 años como requisito legal;</w:t>
            </w:r>
          </w:p>
          <w:p w14:paraId="403B0057" w14:textId="1E5BF59F" w:rsidR="000C2F85" w:rsidRPr="005819B5" w:rsidRDefault="00B1605B" w:rsidP="00DF548A">
            <w:pPr>
              <w:pStyle w:val="SingleTxtG"/>
              <w:tabs>
                <w:tab w:val="clear" w:pos="1701"/>
                <w:tab w:val="clear" w:pos="2268"/>
                <w:tab w:val="clear" w:pos="2835"/>
                <w:tab w:val="left" w:pos="345"/>
                <w:tab w:val="left" w:pos="649"/>
              </w:tabs>
              <w:spacing w:before="40"/>
              <w:ind w:left="0" w:right="0"/>
              <w:jc w:val="left"/>
              <w:rPr>
                <w:lang w:val="es-ES_tradnl"/>
              </w:rPr>
            </w:pPr>
            <w:r>
              <w:rPr>
                <w:lang w:val="es-ES_tradnl"/>
              </w:rPr>
              <w:tab/>
            </w:r>
            <w:r w:rsidR="000C2F85" w:rsidRPr="005819B5">
              <w:rPr>
                <w:lang w:val="es-ES_tradnl"/>
              </w:rPr>
              <w:t>c)</w:t>
            </w:r>
            <w:r>
              <w:rPr>
                <w:lang w:val="es-ES_tradnl"/>
              </w:rPr>
              <w:tab/>
            </w:r>
            <w:r w:rsidR="000C2F85" w:rsidRPr="005819B5">
              <w:rPr>
                <w:lang w:val="es-ES_tradnl"/>
              </w:rPr>
              <w:t>El alistamiento de todos los reclutas se lleva cabo en público;</w:t>
            </w:r>
          </w:p>
          <w:p w14:paraId="3288D4E9" w14:textId="3BB5E4FE" w:rsidR="000C2F85" w:rsidRPr="005819B5" w:rsidRDefault="00B1605B" w:rsidP="00DF548A">
            <w:pPr>
              <w:pStyle w:val="SingleTxtG"/>
              <w:tabs>
                <w:tab w:val="clear" w:pos="1701"/>
                <w:tab w:val="clear" w:pos="2268"/>
                <w:tab w:val="clear" w:pos="2835"/>
                <w:tab w:val="left" w:pos="345"/>
                <w:tab w:val="left" w:pos="649"/>
              </w:tabs>
              <w:spacing w:before="40"/>
              <w:ind w:left="0" w:right="0"/>
              <w:jc w:val="left"/>
              <w:rPr>
                <w:lang w:val="es-ES_tradnl"/>
              </w:rPr>
            </w:pPr>
            <w:r>
              <w:rPr>
                <w:lang w:val="es-ES_tradnl"/>
              </w:rPr>
              <w:tab/>
            </w:r>
            <w:r w:rsidR="000C2F85" w:rsidRPr="005819B5">
              <w:rPr>
                <w:lang w:val="es-ES_tradnl"/>
              </w:rPr>
              <w:t>d)</w:t>
            </w:r>
            <w:r>
              <w:rPr>
                <w:lang w:val="es-ES_tradnl"/>
              </w:rPr>
              <w:tab/>
            </w:r>
            <w:r w:rsidR="000C2F85" w:rsidRPr="005819B5">
              <w:rPr>
                <w:lang w:val="es-ES_tradnl"/>
              </w:rPr>
              <w:t>Todos los reclutas deben presentar un documento nacional de identidad que indique su fecha de nacimiento y, cuando proceda, el historial académico</w:t>
            </w:r>
            <w:r>
              <w:rPr>
                <w:lang w:val="es-ES_tradnl"/>
              </w:rPr>
              <w:t>;</w:t>
            </w:r>
            <w:r w:rsidR="000C2F85" w:rsidRPr="005819B5">
              <w:rPr>
                <w:lang w:val="es-ES_tradnl"/>
              </w:rPr>
              <w:t xml:space="preserve"> y</w:t>
            </w:r>
          </w:p>
          <w:p w14:paraId="465CB72D" w14:textId="53E01FA7" w:rsidR="000C2F85" w:rsidRPr="005819B5" w:rsidRDefault="00B1605B" w:rsidP="00DF548A">
            <w:pPr>
              <w:pStyle w:val="SingleTxtG"/>
              <w:tabs>
                <w:tab w:val="clear" w:pos="1701"/>
                <w:tab w:val="clear" w:pos="2268"/>
                <w:tab w:val="clear" w:pos="2835"/>
                <w:tab w:val="left" w:pos="345"/>
                <w:tab w:val="left" w:pos="649"/>
              </w:tabs>
              <w:spacing w:before="40"/>
              <w:ind w:left="0" w:right="0"/>
              <w:jc w:val="left"/>
              <w:rPr>
                <w:lang w:val="es-ES_tradnl"/>
              </w:rPr>
            </w:pPr>
            <w:r>
              <w:rPr>
                <w:lang w:val="es-ES_tradnl"/>
              </w:rPr>
              <w:tab/>
            </w:r>
            <w:r w:rsidR="000C2F85" w:rsidRPr="005819B5">
              <w:rPr>
                <w:lang w:val="es-ES_tradnl"/>
              </w:rPr>
              <w:t>e)</w:t>
            </w:r>
            <w:r>
              <w:rPr>
                <w:lang w:val="es-ES_tradnl"/>
              </w:rPr>
              <w:tab/>
            </w:r>
            <w:r w:rsidR="000C2F85" w:rsidRPr="005819B5">
              <w:rPr>
                <w:lang w:val="es-ES_tradnl"/>
              </w:rPr>
              <w:t>Se efectúa un riguroso examen médico a todos los reclutas, en el que se pondría de manifiesto cualquier síntoma de prepubertad, y de manera sistemática se rechaza a todo recluta que sea considerado menor de edad</w:t>
            </w:r>
            <w:r>
              <w:rPr>
                <w:lang w:val="es-ES_tradnl"/>
              </w:rPr>
              <w:t>.</w:t>
            </w:r>
            <w:r w:rsidR="0091550D">
              <w:rPr>
                <w:lang w:val="es-ES_tradnl"/>
              </w:rPr>
              <w:t>”</w:t>
            </w:r>
          </w:p>
        </w:tc>
      </w:tr>
      <w:tr w:rsidR="000C2F85" w:rsidRPr="005819B5" w14:paraId="6D0B1431" w14:textId="77777777" w:rsidTr="0036646A">
        <w:trPr>
          <w:trHeight w:val="240"/>
        </w:trPr>
        <w:tc>
          <w:tcPr>
            <w:tcW w:w="1991" w:type="dxa"/>
            <w:shd w:val="clear" w:color="auto" w:fill="auto"/>
          </w:tcPr>
          <w:p w14:paraId="13ABF57E" w14:textId="77777777"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Convención sobre los Derechos de las Personas con Discapacidad</w:t>
            </w:r>
          </w:p>
        </w:tc>
        <w:tc>
          <w:tcPr>
            <w:tcW w:w="1201" w:type="dxa"/>
            <w:shd w:val="clear" w:color="auto" w:fill="auto"/>
          </w:tcPr>
          <w:p w14:paraId="46F5A755" w14:textId="77777777"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30 de noviembre de 2007</w:t>
            </w:r>
          </w:p>
        </w:tc>
        <w:tc>
          <w:tcPr>
            <w:tcW w:w="4178" w:type="dxa"/>
            <w:shd w:val="clear" w:color="auto" w:fill="auto"/>
          </w:tcPr>
          <w:p w14:paraId="5921496F" w14:textId="77777777"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No se aplica</w:t>
            </w:r>
          </w:p>
        </w:tc>
      </w:tr>
      <w:tr w:rsidR="000C2F85" w:rsidRPr="005819B5" w14:paraId="519DD7B6" w14:textId="77777777" w:rsidTr="0036646A">
        <w:trPr>
          <w:trHeight w:val="240"/>
        </w:trPr>
        <w:tc>
          <w:tcPr>
            <w:tcW w:w="1991" w:type="dxa"/>
            <w:shd w:val="clear" w:color="auto" w:fill="auto"/>
          </w:tcPr>
          <w:p w14:paraId="5D129914" w14:textId="77777777"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Protocolo Facultativo de la Convención sobre los Derechos de las Personas con Discapacidad</w:t>
            </w:r>
          </w:p>
        </w:tc>
        <w:tc>
          <w:tcPr>
            <w:tcW w:w="1201" w:type="dxa"/>
            <w:shd w:val="clear" w:color="auto" w:fill="auto"/>
          </w:tcPr>
          <w:p w14:paraId="2D878915" w14:textId="77777777"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30 de noviembre de 2007</w:t>
            </w:r>
          </w:p>
        </w:tc>
        <w:tc>
          <w:tcPr>
            <w:tcW w:w="4178" w:type="dxa"/>
            <w:shd w:val="clear" w:color="auto" w:fill="auto"/>
          </w:tcPr>
          <w:p w14:paraId="43A2A4EC" w14:textId="77777777"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No se aplica</w:t>
            </w:r>
          </w:p>
        </w:tc>
      </w:tr>
      <w:tr w:rsidR="000C2F85" w:rsidRPr="005819B5" w14:paraId="4F9776C1" w14:textId="77777777" w:rsidTr="0036646A">
        <w:trPr>
          <w:trHeight w:val="240"/>
        </w:trPr>
        <w:tc>
          <w:tcPr>
            <w:tcW w:w="1991" w:type="dxa"/>
            <w:shd w:val="clear" w:color="auto" w:fill="auto"/>
          </w:tcPr>
          <w:p w14:paraId="2F694320" w14:textId="77777777" w:rsidR="000C2F85" w:rsidRPr="005819B5" w:rsidRDefault="000C2F85" w:rsidP="00AB7FF2">
            <w:pPr>
              <w:pStyle w:val="SingleTxtG"/>
              <w:keepNext/>
              <w:keepLines/>
              <w:tabs>
                <w:tab w:val="clear" w:pos="1701"/>
                <w:tab w:val="clear" w:pos="2268"/>
                <w:tab w:val="clear" w:pos="2835"/>
              </w:tabs>
              <w:spacing w:before="40"/>
              <w:ind w:left="0" w:right="0"/>
              <w:jc w:val="left"/>
              <w:rPr>
                <w:lang w:val="es-ES_tradnl"/>
              </w:rPr>
            </w:pPr>
            <w:r w:rsidRPr="005819B5">
              <w:rPr>
                <w:lang w:val="es-ES_tradnl"/>
              </w:rPr>
              <w:lastRenderedPageBreak/>
              <w:t>Pacto Internacional de Derechos Económicos, Sociales y Culturales</w:t>
            </w:r>
          </w:p>
        </w:tc>
        <w:tc>
          <w:tcPr>
            <w:tcW w:w="1201" w:type="dxa"/>
            <w:shd w:val="clear" w:color="auto" w:fill="auto"/>
          </w:tcPr>
          <w:p w14:paraId="7440EC94" w14:textId="0B5CB420" w:rsidR="000C2F85" w:rsidRPr="005819B5" w:rsidRDefault="000C2F85" w:rsidP="00AB7FF2">
            <w:pPr>
              <w:pStyle w:val="SingleTxtG"/>
              <w:keepNext/>
              <w:keepLines/>
              <w:tabs>
                <w:tab w:val="clear" w:pos="1701"/>
                <w:tab w:val="clear" w:pos="2268"/>
                <w:tab w:val="clear" w:pos="2835"/>
              </w:tabs>
              <w:spacing w:before="40"/>
              <w:ind w:left="0" w:right="0"/>
              <w:jc w:val="left"/>
              <w:rPr>
                <w:lang w:val="es-ES_tradnl"/>
              </w:rPr>
            </w:pPr>
            <w:r w:rsidRPr="005819B5">
              <w:rPr>
                <w:lang w:val="es-ES_tradnl"/>
              </w:rPr>
              <w:t>12 de enero de</w:t>
            </w:r>
            <w:r w:rsidR="00B1605B">
              <w:rPr>
                <w:lang w:val="es-ES_tradnl"/>
              </w:rPr>
              <w:t> </w:t>
            </w:r>
            <w:r w:rsidRPr="005819B5">
              <w:rPr>
                <w:lang w:val="es-ES_tradnl"/>
              </w:rPr>
              <w:t>2015</w:t>
            </w:r>
          </w:p>
        </w:tc>
        <w:tc>
          <w:tcPr>
            <w:tcW w:w="4178" w:type="dxa"/>
            <w:shd w:val="clear" w:color="auto" w:fill="auto"/>
          </w:tcPr>
          <w:p w14:paraId="79C0CE51" w14:textId="77777777" w:rsidR="000C2F85" w:rsidRPr="005819B5" w:rsidRDefault="000C2F85" w:rsidP="00AB7FF2">
            <w:pPr>
              <w:pStyle w:val="SingleTxtG"/>
              <w:keepNext/>
              <w:keepLines/>
              <w:tabs>
                <w:tab w:val="clear" w:pos="1701"/>
                <w:tab w:val="clear" w:pos="2268"/>
                <w:tab w:val="clear" w:pos="2835"/>
              </w:tabs>
              <w:spacing w:before="40"/>
              <w:ind w:left="0" w:right="0"/>
              <w:jc w:val="left"/>
              <w:rPr>
                <w:lang w:val="es-ES_tradnl"/>
              </w:rPr>
            </w:pPr>
            <w:r w:rsidRPr="005819B5">
              <w:rPr>
                <w:lang w:val="es-ES_tradnl"/>
              </w:rPr>
              <w:t>Declaración</w:t>
            </w:r>
          </w:p>
          <w:p w14:paraId="74B7F0A2" w14:textId="3146B5E1" w:rsidR="000C2F85" w:rsidRPr="005819B5" w:rsidRDefault="000C2F85" w:rsidP="00AB7FF2">
            <w:pPr>
              <w:pStyle w:val="SingleTxtG"/>
              <w:keepNext/>
              <w:keepLines/>
              <w:tabs>
                <w:tab w:val="clear" w:pos="1701"/>
                <w:tab w:val="clear" w:pos="2268"/>
                <w:tab w:val="clear" w:pos="2835"/>
              </w:tabs>
              <w:spacing w:before="40"/>
              <w:ind w:left="0" w:right="0"/>
              <w:jc w:val="left"/>
              <w:rPr>
                <w:lang w:val="es-ES_tradnl"/>
              </w:rPr>
            </w:pPr>
            <w:r w:rsidRPr="005819B5">
              <w:rPr>
                <w:lang w:val="es-ES_tradnl"/>
              </w:rPr>
              <w:t xml:space="preserve">Artículos 13 y 14: </w:t>
            </w:r>
            <w:r w:rsidR="0091550D">
              <w:rPr>
                <w:lang w:val="es-ES_tradnl"/>
              </w:rPr>
              <w:t>“</w:t>
            </w:r>
            <w:r w:rsidRPr="005819B5">
              <w:rPr>
                <w:lang w:val="es-ES_tradnl"/>
              </w:rPr>
              <w:t>Sudáfrica hará efectivo gradualmente el derecho a la educación previsto en el artículo 13, párrafo</w:t>
            </w:r>
            <w:r w:rsidR="00B1605B">
              <w:rPr>
                <w:lang w:val="es-ES_tradnl"/>
              </w:rPr>
              <w:t xml:space="preserve"> </w:t>
            </w:r>
            <w:r w:rsidRPr="005819B5">
              <w:rPr>
                <w:lang w:val="es-ES_tradnl"/>
              </w:rPr>
              <w:t>2 a), y el artículo 14, en el marco de su Política Nacional de Educación y con arreglo a los recursos disponibles</w:t>
            </w:r>
            <w:r w:rsidR="0091550D">
              <w:rPr>
                <w:lang w:val="es-ES_tradnl"/>
              </w:rPr>
              <w:t>”</w:t>
            </w:r>
            <w:r w:rsidRPr="005819B5">
              <w:rPr>
                <w:lang w:val="es-ES_tradnl"/>
              </w:rPr>
              <w:t>.</w:t>
            </w:r>
          </w:p>
        </w:tc>
      </w:tr>
      <w:tr w:rsidR="000C2F85" w:rsidRPr="005819B5" w14:paraId="2D6C215B" w14:textId="77777777" w:rsidTr="0036646A">
        <w:trPr>
          <w:trHeight w:val="240"/>
        </w:trPr>
        <w:tc>
          <w:tcPr>
            <w:tcW w:w="1991" w:type="dxa"/>
            <w:shd w:val="clear" w:color="auto" w:fill="auto"/>
          </w:tcPr>
          <w:p w14:paraId="00B3A65B" w14:textId="77777777"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Convención Internacional sobre la Protección de los Derechos de Todos los Trabajadores Migratorios y de Sus Familiares</w:t>
            </w:r>
          </w:p>
        </w:tc>
        <w:tc>
          <w:tcPr>
            <w:tcW w:w="1201" w:type="dxa"/>
            <w:shd w:val="clear" w:color="auto" w:fill="auto"/>
          </w:tcPr>
          <w:p w14:paraId="0701952E" w14:textId="77777777"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No se aplica</w:t>
            </w:r>
          </w:p>
        </w:tc>
        <w:tc>
          <w:tcPr>
            <w:tcW w:w="4178" w:type="dxa"/>
            <w:shd w:val="clear" w:color="auto" w:fill="auto"/>
          </w:tcPr>
          <w:p w14:paraId="62C4A7F4" w14:textId="77777777"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No se aplica</w:t>
            </w:r>
          </w:p>
        </w:tc>
      </w:tr>
      <w:tr w:rsidR="000C2F85" w:rsidRPr="005819B5" w14:paraId="00058501" w14:textId="77777777" w:rsidTr="0036646A">
        <w:trPr>
          <w:trHeight w:val="240"/>
        </w:trPr>
        <w:tc>
          <w:tcPr>
            <w:tcW w:w="1991" w:type="dxa"/>
            <w:tcBorders>
              <w:bottom w:val="single" w:sz="12" w:space="0" w:color="auto"/>
            </w:tcBorders>
            <w:shd w:val="clear" w:color="auto" w:fill="auto"/>
          </w:tcPr>
          <w:p w14:paraId="28487CD2" w14:textId="77777777"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Protocolo Facultativo de la Convención contra la Tortura y Otros Tratos o Penas Crueles, Inhumanos o Degradantes</w:t>
            </w:r>
          </w:p>
        </w:tc>
        <w:tc>
          <w:tcPr>
            <w:tcW w:w="1201" w:type="dxa"/>
            <w:tcBorders>
              <w:bottom w:val="single" w:sz="12" w:space="0" w:color="auto"/>
            </w:tcBorders>
            <w:shd w:val="clear" w:color="auto" w:fill="auto"/>
          </w:tcPr>
          <w:p w14:paraId="7FE9592E" w14:textId="77777777"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Proceso de ratificación en curso. Conclusión prevista en el ejercicio 2018/19</w:t>
            </w:r>
          </w:p>
        </w:tc>
        <w:tc>
          <w:tcPr>
            <w:tcW w:w="4178" w:type="dxa"/>
            <w:tcBorders>
              <w:bottom w:val="single" w:sz="12" w:space="0" w:color="auto"/>
            </w:tcBorders>
            <w:shd w:val="clear" w:color="auto" w:fill="auto"/>
          </w:tcPr>
          <w:p w14:paraId="360F3232" w14:textId="77777777" w:rsidR="000C2F85" w:rsidRPr="005819B5" w:rsidRDefault="000C2F85" w:rsidP="005819B5">
            <w:pPr>
              <w:pStyle w:val="SingleTxtG"/>
              <w:tabs>
                <w:tab w:val="clear" w:pos="1701"/>
                <w:tab w:val="clear" w:pos="2268"/>
                <w:tab w:val="clear" w:pos="2835"/>
              </w:tabs>
              <w:spacing w:before="40"/>
              <w:ind w:left="0" w:right="0"/>
              <w:jc w:val="left"/>
              <w:rPr>
                <w:lang w:val="es-ES_tradnl"/>
              </w:rPr>
            </w:pPr>
            <w:r w:rsidRPr="005819B5">
              <w:rPr>
                <w:lang w:val="es-ES_tradnl"/>
              </w:rPr>
              <w:t>No se aplica</w:t>
            </w:r>
          </w:p>
        </w:tc>
      </w:tr>
    </w:tbl>
    <w:p w14:paraId="6ECC2CDC" w14:textId="00BC3D01" w:rsidR="000C2F85" w:rsidRPr="000C2F85" w:rsidRDefault="000C2F85" w:rsidP="005819B5">
      <w:pPr>
        <w:pStyle w:val="SingleTxtG"/>
        <w:spacing w:before="120"/>
        <w:rPr>
          <w:lang w:val="es-ES_tradnl"/>
        </w:rPr>
      </w:pPr>
      <w:r w:rsidRPr="000C2F85">
        <w:rPr>
          <w:lang w:val="es-ES_tradnl"/>
        </w:rPr>
        <w:t>110.</w:t>
      </w:r>
      <w:r w:rsidRPr="000C2F85">
        <w:rPr>
          <w:lang w:val="es-ES_tradnl"/>
        </w:rPr>
        <w:tab/>
        <w:t>Sudáfrica es miembro de la Organización Internacional del Trabajo (OIT) y ha ratificado 27 de sus convenios, de los cuales 25 están en vigor y 2 han sido denunciados.</w:t>
      </w:r>
    </w:p>
    <w:p w14:paraId="29E1E84A" w14:textId="77777777" w:rsidR="000C2F85" w:rsidRPr="000C2F85" w:rsidRDefault="000C2F85" w:rsidP="005819B5">
      <w:pPr>
        <w:pStyle w:val="H1G"/>
        <w:rPr>
          <w:lang w:val="es-ES_tradnl"/>
        </w:rPr>
      </w:pPr>
      <w:r w:rsidRPr="000C2F85">
        <w:rPr>
          <w:lang w:val="es-ES_tradnl"/>
        </w:rPr>
        <w:tab/>
        <w:t>B.</w:t>
      </w:r>
      <w:r w:rsidRPr="000C2F85">
        <w:rPr>
          <w:lang w:val="es-ES_tradnl"/>
        </w:rPr>
        <w:tab/>
        <w:t>Marco jurídico para la protección de los derechos humanos a nivel nacional</w:t>
      </w:r>
    </w:p>
    <w:p w14:paraId="5A992397" w14:textId="77777777" w:rsidR="000C2F85" w:rsidRPr="000C2F85" w:rsidRDefault="000C2F85" w:rsidP="000C2F85">
      <w:pPr>
        <w:pStyle w:val="SingleTxtG"/>
        <w:rPr>
          <w:lang w:val="es-ES_tradnl"/>
        </w:rPr>
      </w:pPr>
      <w:r w:rsidRPr="000C2F85">
        <w:rPr>
          <w:lang w:val="es-ES_tradnl"/>
        </w:rPr>
        <w:t>111.</w:t>
      </w:r>
      <w:r w:rsidRPr="000C2F85">
        <w:rPr>
          <w:lang w:val="es-ES_tradnl"/>
        </w:rPr>
        <w:tab/>
        <w:t>Debido a su historia, Sudáfrica defiende firmemente la protección y promoción de los derechos humanos, no solo dentro del país, sino también en el continente y en todo el mundo. Sudáfrica considera de especial importancia desempeñar una función activa en la promoción de los derechos humanos a nivel mundial. Esto se ve confirmado por el objetivo central de nuestra política exterior, cuya meta es crear una Sudáfrica mejor en un África mejor y un mundo mejor y más seguro. Nuestra dedicación a la promoción de los derechos humanos está consagrada en nuestra Constitución, en la Carta de Derechos, y constituye la base de nuestro compromiso de promover la paz, la justicia, los derechos humanos y el estado de derecho.</w:t>
      </w:r>
    </w:p>
    <w:p w14:paraId="3FF74759" w14:textId="77777777" w:rsidR="000C2F85" w:rsidRPr="000C2F85" w:rsidRDefault="000C2F85" w:rsidP="000C2F85">
      <w:pPr>
        <w:pStyle w:val="SingleTxtG"/>
        <w:rPr>
          <w:lang w:val="es-ES_tradnl"/>
        </w:rPr>
      </w:pPr>
      <w:r w:rsidRPr="000C2F85">
        <w:rPr>
          <w:lang w:val="es-ES_tradnl"/>
        </w:rPr>
        <w:t>112.</w:t>
      </w:r>
      <w:r w:rsidRPr="000C2F85">
        <w:rPr>
          <w:lang w:val="es-ES_tradnl"/>
        </w:rPr>
        <w:tab/>
        <w:t>El Gobierno está decidido a promover el estado de derecho a fin de hacer realidad los derechos consagrados en la Constitución. Nuestros tribunales velan por el fomento de los valores fundacionales de Sudáfrica, como la dignidad humana, la igualdad y la supremacía de la Constitución. Sudáfrica ha hecho progresos considerables en la protección y promoción de los derechos civiles y políticos, así como de los derechos económicos y sociales, desde la instauración de la democracia. Desde 1994, Sudáfrica ha demostrado su compromiso con la paz mundial, la seguridad y la justicia. Ante el legado de nuestro pasado, Sudáfrica ha adoptado una serie de medidas positivas para subsanar antiguas divisiones y ha creado una sociedad basada en los valores democráticos, la justicia social y los derechos humanos fundamentales.</w:t>
      </w:r>
    </w:p>
    <w:p w14:paraId="0C7905F7" w14:textId="77777777" w:rsidR="000C2F85" w:rsidRPr="000C2F85" w:rsidRDefault="000C2F85" w:rsidP="000C2F85">
      <w:pPr>
        <w:pStyle w:val="SingleTxtG"/>
        <w:rPr>
          <w:iCs/>
          <w:lang w:val="es-ES_tradnl"/>
        </w:rPr>
      </w:pPr>
      <w:r w:rsidRPr="000C2F85">
        <w:rPr>
          <w:lang w:val="es-ES_tradnl"/>
        </w:rPr>
        <w:t>113.</w:t>
      </w:r>
      <w:r w:rsidRPr="000C2F85">
        <w:rPr>
          <w:lang w:val="es-ES_tradnl"/>
        </w:rPr>
        <w:tab/>
        <w:t xml:space="preserve">Se han tomado diversas medidas legislativas, normativas y de otra índole para la realización plena de los derechos civiles y políticos, así como de los derechos socioeconómicos y culturales. Además, nuestros tribunales siguen dictando sentencias y elaborando jurisprudencia para mejorar y proteger esos derechos y ofrecer orientación sobre su interpretación. Sudáfrica ha avanzado en el desmantelamiento de los tres pilares principales del legado del </w:t>
      </w:r>
      <w:r w:rsidRPr="000C2F85">
        <w:rPr>
          <w:i/>
          <w:iCs/>
          <w:lang w:val="es-ES_tradnl"/>
        </w:rPr>
        <w:t>apartheid</w:t>
      </w:r>
      <w:r w:rsidRPr="000C2F85">
        <w:rPr>
          <w:lang w:val="es-ES_tradnl"/>
        </w:rPr>
        <w:t>: la desigualdad, el desempleo y la pobreza. El Gobierno aplicó un enfoque transformador a fin de procurar el pleno disfrute de todos los derechos consagrados en la Carta de Derechos de las Naciones Unidas y en la Constitución de la República de Sudáfrica, en particular.</w:t>
      </w:r>
    </w:p>
    <w:p w14:paraId="19E68609" w14:textId="77777777" w:rsidR="000C2F85" w:rsidRPr="000C2F85" w:rsidRDefault="000C2F85" w:rsidP="000C2F85">
      <w:pPr>
        <w:pStyle w:val="SingleTxtG"/>
        <w:rPr>
          <w:iCs/>
          <w:lang w:val="es-ES_tradnl"/>
        </w:rPr>
      </w:pPr>
      <w:r w:rsidRPr="000C2F85">
        <w:rPr>
          <w:lang w:val="es-ES_tradnl"/>
        </w:rPr>
        <w:t>114.</w:t>
      </w:r>
      <w:r w:rsidRPr="000C2F85">
        <w:rPr>
          <w:lang w:val="es-ES_tradnl"/>
        </w:rPr>
        <w:tab/>
        <w:t xml:space="preserve">Dentro de este amplio marco de transformación, las cuestiones principales son la construcción de una nueva nación basada en los valores fundamentales de la Constitución, a saber, la dignidad humana, el logro de la igualdad y la promoción de los derechos humanos </w:t>
      </w:r>
      <w:r w:rsidRPr="000C2F85">
        <w:rPr>
          <w:lang w:val="es-ES_tradnl"/>
        </w:rPr>
        <w:lastRenderedPageBreak/>
        <w:t xml:space="preserve">y las libertades fundamentales, la no discriminación por motivos de raza o sexo, la supremacía de la Constitución y el estado de derecho. </w:t>
      </w:r>
    </w:p>
    <w:p w14:paraId="3BB0CEAD" w14:textId="77777777" w:rsidR="000C2F85" w:rsidRPr="007F0892" w:rsidRDefault="000C2F85" w:rsidP="000C2F85">
      <w:pPr>
        <w:pStyle w:val="SingleTxtG"/>
        <w:rPr>
          <w:lang w:val="es-ES_tradnl"/>
        </w:rPr>
      </w:pPr>
      <w:r w:rsidRPr="000C2F85">
        <w:rPr>
          <w:lang w:val="es-ES_tradnl"/>
        </w:rPr>
        <w:t>115.</w:t>
      </w:r>
      <w:r w:rsidRPr="000C2F85">
        <w:rPr>
          <w:lang w:val="es-ES_tradnl"/>
        </w:rPr>
        <w:tab/>
        <w:t>Los avances para los grupos anteriormente desfavorecidos han sido objeto de especial atención, así como el cumplimiento de los derechos socioeconómicos justiciables constitucionalmente. La aplicación de un amplio conjunto de medidas de bienestar social, relacionadas, por ejemplo, con la vivienda, el suministro de agua y electricidad y las infraestructuras de saneamiento para personas antes excluidas, ha sido una prioridad. La prestación de atención primaria de la salud, educación y asistencia social a millones de nuestros ciudadanos ha sido igualmente importante. Sudáfrica ha promulgado una serie de leyes para dar cumplimiento a la Constitución</w:t>
      </w:r>
      <w:r w:rsidRPr="00605B48">
        <w:rPr>
          <w:sz w:val="18"/>
          <w:szCs w:val="18"/>
          <w:vertAlign w:val="superscript"/>
          <w:lang w:val="es-ES_tradnl"/>
        </w:rPr>
        <w:footnoteReference w:id="89"/>
      </w:r>
      <w:r w:rsidRPr="000C2F85">
        <w:rPr>
          <w:lang w:val="es-ES_tradnl"/>
        </w:rPr>
        <w:t>.</w:t>
      </w:r>
    </w:p>
    <w:p w14:paraId="08F5A0A9" w14:textId="53373BAF" w:rsidR="000C2F85" w:rsidRPr="000C2F85" w:rsidRDefault="000C2F85" w:rsidP="000C2F85">
      <w:pPr>
        <w:pStyle w:val="SingleTxtG"/>
        <w:rPr>
          <w:bCs/>
          <w:iCs/>
          <w:lang w:val="es-ES_tradnl"/>
        </w:rPr>
      </w:pPr>
      <w:r w:rsidRPr="000C2F85">
        <w:rPr>
          <w:lang w:val="es-ES_tradnl"/>
        </w:rPr>
        <w:t>116.</w:t>
      </w:r>
      <w:r w:rsidRPr="000C2F85">
        <w:rPr>
          <w:lang w:val="es-ES_tradnl"/>
        </w:rPr>
        <w:tab/>
        <w:t>El capítulo 2 de nuestra Constitución contiene la Carta de Derechos de Sudáfrica. Esta parte de la Constitución es la que ha atraído mayor interés y ha tenido mayor repercusión en los sudafricanos en los últimos años. El derecho a la igualdad y a la protección contra la discriminación está firmemente arraigado en el artículo 9 de nuestra Constitución</w:t>
      </w:r>
      <w:r w:rsidRPr="00605B48">
        <w:rPr>
          <w:sz w:val="18"/>
          <w:szCs w:val="18"/>
          <w:vertAlign w:val="superscript"/>
          <w:lang w:val="es-ES_tradnl"/>
        </w:rPr>
        <w:footnoteReference w:id="90"/>
      </w:r>
      <w:r w:rsidRPr="000C2F85">
        <w:rPr>
          <w:lang w:val="es-ES_tradnl"/>
        </w:rPr>
        <w:t xml:space="preserve">. El artículo 9 es una cláusula de igualdad, que prohíbe la discriminación injusta por determinados </w:t>
      </w:r>
      <w:r w:rsidR="0091550D">
        <w:rPr>
          <w:lang w:val="es-ES_tradnl"/>
        </w:rPr>
        <w:t>“</w:t>
      </w:r>
      <w:r w:rsidRPr="000C2F85">
        <w:rPr>
          <w:lang w:val="es-ES_tradnl"/>
        </w:rPr>
        <w:t>motivos enumerados</w:t>
      </w:r>
      <w:r w:rsidR="0091550D">
        <w:rPr>
          <w:lang w:val="es-ES_tradnl"/>
        </w:rPr>
        <w:t>”</w:t>
      </w:r>
      <w:r w:rsidRPr="000C2F85">
        <w:rPr>
          <w:lang w:val="es-ES_tradnl"/>
        </w:rPr>
        <w:t>. Así, la discriminación por uno de los motivos enumerados en el artículo 9, párrafo 3, se considera discriminación injusta, a menos que se demuestre lo contrario. Los motivos enumerados son los siguientes: raza, color, origen étnico, género, sexo, embarazo, orientación sexual, estado civil, edad, discapacidad, religión, conciencia y creencia, cultura e idioma, ascendencia y origen social.</w:t>
      </w:r>
    </w:p>
    <w:p w14:paraId="522136C1" w14:textId="77777777" w:rsidR="000C2F85" w:rsidRPr="005C4836" w:rsidRDefault="000C2F85" w:rsidP="000C2F85">
      <w:pPr>
        <w:pStyle w:val="SingleTxtG"/>
        <w:rPr>
          <w:lang w:val="es-ES_tradnl"/>
        </w:rPr>
      </w:pPr>
      <w:r w:rsidRPr="000C2F85">
        <w:rPr>
          <w:lang w:val="es-ES_tradnl"/>
        </w:rPr>
        <w:t>117.</w:t>
      </w:r>
      <w:r w:rsidRPr="000C2F85">
        <w:rPr>
          <w:lang w:val="es-ES_tradnl"/>
        </w:rPr>
        <w:tab/>
        <w:t>La Carta de Derechos se aplica a toda la legislación y tiene carácter vinculante para el poder legislativo, el poder ejecutivo, el poder judicial y todos los órganos del Estado. Una disposición de la Carta de Derechos es de naturaleza obligatoria para una persona física o jurídica en la medida en que sea aplicable, teniendo en cuenta la naturaleza del derecho y la índole de cualquier obligación impuesta por el derecho</w:t>
      </w:r>
      <w:r w:rsidRPr="00605B48">
        <w:rPr>
          <w:sz w:val="18"/>
          <w:szCs w:val="18"/>
          <w:vertAlign w:val="superscript"/>
          <w:lang w:val="es-ES_tradnl"/>
        </w:rPr>
        <w:footnoteReference w:id="91"/>
      </w:r>
      <w:r w:rsidRPr="000C2F85">
        <w:rPr>
          <w:lang w:val="es-ES_tradnl"/>
        </w:rPr>
        <w:t xml:space="preserve">. Al interpretar la Carta de Derechos, los juzgados, tribunales y foros tienen que promover los valores que sustentan una sociedad abierta y democrática basada en la dignidad humana, la igualdad y la libertad; han de tener en cuenta el derecho internacional, y pueden examinar el derecho extranjero. La Carta de Derechos no niega la existencia de otros derechos y libertades reconocidos o conferidos por el derecho anglosajón </w:t>
      </w:r>
      <w:r w:rsidRPr="000B6DDC">
        <w:rPr>
          <w:i/>
          <w:iCs/>
          <w:lang w:val="es-ES_tradnl"/>
        </w:rPr>
        <w:t>(common law)</w:t>
      </w:r>
      <w:r w:rsidRPr="000C2F85">
        <w:rPr>
          <w:lang w:val="es-ES_tradnl"/>
        </w:rPr>
        <w:t>, el derecho consuetudinario ni la legislación, en la medida en que sean compatibles con la Carta de Derechos</w:t>
      </w:r>
      <w:r w:rsidRPr="00605B48">
        <w:rPr>
          <w:sz w:val="18"/>
          <w:szCs w:val="18"/>
          <w:vertAlign w:val="superscript"/>
          <w:lang w:val="es-ES_tradnl"/>
        </w:rPr>
        <w:footnoteReference w:id="92"/>
      </w:r>
      <w:r w:rsidRPr="000C2F85">
        <w:rPr>
          <w:lang w:val="es-ES_tradnl"/>
        </w:rPr>
        <w:t>.</w:t>
      </w:r>
    </w:p>
    <w:p w14:paraId="5F3E6F44" w14:textId="4913C517" w:rsidR="000C2F85" w:rsidRPr="000C2F85" w:rsidRDefault="000C2F85" w:rsidP="000C2F85">
      <w:pPr>
        <w:pStyle w:val="SingleTxtG"/>
        <w:rPr>
          <w:bCs/>
          <w:iCs/>
          <w:lang w:val="es-ES_tradnl"/>
        </w:rPr>
      </w:pPr>
      <w:r w:rsidRPr="000C2F85">
        <w:rPr>
          <w:lang w:val="es-ES_tradnl"/>
        </w:rPr>
        <w:t>118.</w:t>
      </w:r>
      <w:r w:rsidRPr="000C2F85">
        <w:rPr>
          <w:lang w:val="es-ES_tradnl"/>
        </w:rPr>
        <w:tab/>
        <w:t xml:space="preserve">La Carta de Derechos garantiza los derechos civiles y políticos, así como los derechos socioeconómicos. En relación con las obligaciones positivas impuestas al Estado acerca de los derechos socioeconómicos, quedan matizadas por la frase que figura en el artículo 26, </w:t>
      </w:r>
      <w:r w:rsidRPr="000C2F85">
        <w:rPr>
          <w:lang w:val="es-ES_tradnl"/>
        </w:rPr>
        <w:lastRenderedPageBreak/>
        <w:t xml:space="preserve">párrafo 2, y el artículo 27, párrafo 2, y que obliga al Estado a adoptar esas medidas únicamente </w:t>
      </w:r>
      <w:r w:rsidR="0091550D">
        <w:rPr>
          <w:lang w:val="es-ES_tradnl"/>
        </w:rPr>
        <w:t>“</w:t>
      </w:r>
      <w:r w:rsidRPr="000C2F85">
        <w:rPr>
          <w:lang w:val="es-ES_tradnl"/>
        </w:rPr>
        <w:t>dentro de los recursos de que disponga, para alcanzar la realización progresiva de ese derecho</w:t>
      </w:r>
      <w:r w:rsidR="0091550D">
        <w:rPr>
          <w:lang w:val="es-ES_tradnl"/>
        </w:rPr>
        <w:t>”</w:t>
      </w:r>
      <w:r w:rsidRPr="000C2F85">
        <w:rPr>
          <w:lang w:val="es-ES_tradnl"/>
        </w:rPr>
        <w:t>. El aspecto positivo de la dimensión socioeconómica se cumple o se hace efectivo mediante la acción del Estado a lo largo de un período (es decir, progresivamente). Esta circunstancia no diluye la obligación del Estado de adoptar de forma las medidas que estén a su alcance, y otras lo antes posible. Así pues, incumbe al Estado demostrar que está avanzando hacia la plena realización del derecho. Los derechos socioeconómicos quedan condicionados además por el hecho de que están disponibles únicamente en la medida en que lo permiten los recursos del Estado. Un aspecto importante del derecho es que el Estado ha de ser capaz de justificar adecuadamente su uso de los recursos. Cabe subrayar que la escasez de recursos no exime al Estado de su obligación de hacer efectivos los derechos sobre la base de un criterio de razonabilidad.</w:t>
      </w:r>
    </w:p>
    <w:p w14:paraId="793F65C8" w14:textId="725DE4E0" w:rsidR="000C2F85" w:rsidRPr="005C4836" w:rsidRDefault="000C2F85" w:rsidP="000C2F85">
      <w:pPr>
        <w:pStyle w:val="SingleTxtG"/>
        <w:rPr>
          <w:lang w:val="es-ES_tradnl"/>
        </w:rPr>
      </w:pPr>
      <w:r w:rsidRPr="000C2F85">
        <w:rPr>
          <w:lang w:val="es-ES_tradnl"/>
        </w:rPr>
        <w:t>119.</w:t>
      </w:r>
      <w:r w:rsidRPr="000C2F85">
        <w:rPr>
          <w:lang w:val="es-ES_tradnl"/>
        </w:rPr>
        <w:tab/>
        <w:t xml:space="preserve">Es importante destacar que en la Carta de Derechos de la Constitución se afirma que la mayoría de los derechos se garantizan a </w:t>
      </w:r>
      <w:r w:rsidR="0091550D">
        <w:rPr>
          <w:lang w:val="es-ES_tradnl"/>
        </w:rPr>
        <w:t>“</w:t>
      </w:r>
      <w:r w:rsidRPr="000C2F85">
        <w:rPr>
          <w:lang w:val="es-ES_tradnl"/>
        </w:rPr>
        <w:t>todos</w:t>
      </w:r>
      <w:r w:rsidR="0091550D">
        <w:rPr>
          <w:lang w:val="es-ES_tradnl"/>
        </w:rPr>
        <w:t>”</w:t>
      </w:r>
      <w:r w:rsidRPr="000C2F85">
        <w:rPr>
          <w:lang w:val="es-ES_tradnl"/>
        </w:rPr>
        <w:t>, es decir, no solo a los sudafricanos, sino también a los extranjeros que se encuentran dentro de nuestras fronteras</w:t>
      </w:r>
      <w:r w:rsidRPr="00605B48">
        <w:rPr>
          <w:sz w:val="18"/>
          <w:szCs w:val="18"/>
          <w:vertAlign w:val="superscript"/>
          <w:lang w:val="es-ES_tradnl"/>
        </w:rPr>
        <w:footnoteReference w:id="93"/>
      </w:r>
      <w:r w:rsidRPr="000C2F85">
        <w:rPr>
          <w:lang w:val="es-ES_tradnl"/>
        </w:rPr>
        <w:t>.</w:t>
      </w:r>
    </w:p>
    <w:p w14:paraId="1030A0F2" w14:textId="412ED971" w:rsidR="000C2F85" w:rsidRPr="000C2F85" w:rsidRDefault="000C2F85" w:rsidP="000C2F85">
      <w:pPr>
        <w:pStyle w:val="SingleTxtG"/>
        <w:rPr>
          <w:bCs/>
          <w:lang w:val="es-ES_tradnl"/>
        </w:rPr>
      </w:pPr>
      <w:r w:rsidRPr="000C2F85">
        <w:rPr>
          <w:lang w:val="es-ES_tradnl"/>
        </w:rPr>
        <w:t>120.</w:t>
      </w:r>
      <w:r w:rsidRPr="000C2F85">
        <w:rPr>
          <w:lang w:val="es-ES_tradnl"/>
        </w:rPr>
        <w:tab/>
        <w:t xml:space="preserve">El creciente </w:t>
      </w:r>
      <w:r w:rsidRPr="000C2F85">
        <w:rPr>
          <w:i/>
          <w:iCs/>
          <w:lang w:val="es-ES_tradnl"/>
        </w:rPr>
        <w:t>corpus</w:t>
      </w:r>
      <w:r w:rsidRPr="000C2F85">
        <w:rPr>
          <w:lang w:val="es-ES_tradnl"/>
        </w:rPr>
        <w:t xml:space="preserve"> de jurisprudencia constitucional de Sudáfrica da fe del ejercicio del mandato del poder judicial de promover y proteger los derechos humanos. El Tribunal Constitucional ha dictado numerosas sentencias innovadoras en las esferas de los derechos civiles, políticos y socioeconómicos. En la causa </w:t>
      </w:r>
      <w:r w:rsidRPr="000C2F85">
        <w:rPr>
          <w:i/>
          <w:iCs/>
          <w:lang w:val="es-ES_tradnl"/>
        </w:rPr>
        <w:t>S v Makwanyane</w:t>
      </w:r>
      <w:r w:rsidRPr="00605B48">
        <w:rPr>
          <w:sz w:val="18"/>
          <w:szCs w:val="18"/>
          <w:vertAlign w:val="superscript"/>
          <w:lang w:val="es-ES_tradnl"/>
        </w:rPr>
        <w:footnoteReference w:id="94"/>
      </w:r>
      <w:r w:rsidRPr="000C2F85">
        <w:rPr>
          <w:lang w:val="es-ES_tradnl"/>
        </w:rPr>
        <w:t xml:space="preserve">, en la que se trataba de la constitucionalidad de la pena de muerte, el Tribunal describió el derecho a la vida y a la dignidad como </w:t>
      </w:r>
      <w:r w:rsidR="0091550D">
        <w:rPr>
          <w:lang w:val="es-ES_tradnl"/>
        </w:rPr>
        <w:t>“</w:t>
      </w:r>
      <w:r w:rsidRPr="000C2F85">
        <w:rPr>
          <w:lang w:val="es-ES_tradnl"/>
        </w:rPr>
        <w:t>el más importante de todos los derechos humanos y la fuente de todos los demás derechos individuales</w:t>
      </w:r>
      <w:r w:rsidR="0091550D">
        <w:rPr>
          <w:lang w:val="es-ES_tradnl"/>
        </w:rPr>
        <w:t>”</w:t>
      </w:r>
      <w:r w:rsidRPr="000C2F85">
        <w:rPr>
          <w:lang w:val="es-ES_tradnl"/>
        </w:rPr>
        <w:t xml:space="preserve"> de la Carta de Derechos</w:t>
      </w:r>
      <w:r w:rsidRPr="00605B48">
        <w:rPr>
          <w:sz w:val="18"/>
          <w:szCs w:val="18"/>
          <w:vertAlign w:val="superscript"/>
          <w:lang w:val="es-ES_tradnl"/>
        </w:rPr>
        <w:footnoteReference w:id="95"/>
      </w:r>
      <w:r w:rsidRPr="000C2F85">
        <w:rPr>
          <w:lang w:val="es-ES_tradnl"/>
        </w:rPr>
        <w:t xml:space="preserve">. En la causa </w:t>
      </w:r>
      <w:r w:rsidRPr="000C2F85">
        <w:rPr>
          <w:i/>
          <w:iCs/>
          <w:lang w:val="es-ES_tradnl"/>
        </w:rPr>
        <w:t>Ferreira v Levin NO</w:t>
      </w:r>
      <w:r w:rsidRPr="00605B48">
        <w:rPr>
          <w:sz w:val="18"/>
          <w:szCs w:val="18"/>
          <w:vertAlign w:val="superscript"/>
          <w:lang w:val="es-ES_tradnl"/>
        </w:rPr>
        <w:footnoteReference w:id="96"/>
      </w:r>
      <w:r w:rsidRPr="000C2F85">
        <w:rPr>
          <w:lang w:val="es-ES_tradnl"/>
        </w:rPr>
        <w:t xml:space="preserve">, el Tribunal se refirió al derecho a la libertad y la seguridad de la persona. En </w:t>
      </w:r>
      <w:r w:rsidRPr="000C2F85">
        <w:rPr>
          <w:i/>
          <w:iCs/>
          <w:lang w:val="es-ES_tradnl"/>
        </w:rPr>
        <w:t>Bernstein v Bester NO</w:t>
      </w:r>
      <w:r w:rsidRPr="00605B48">
        <w:rPr>
          <w:sz w:val="18"/>
          <w:szCs w:val="18"/>
          <w:vertAlign w:val="superscript"/>
          <w:lang w:val="es-ES_tradnl"/>
        </w:rPr>
        <w:footnoteReference w:id="97"/>
      </w:r>
      <w:r w:rsidRPr="000C2F85">
        <w:rPr>
          <w:i/>
          <w:iCs/>
          <w:lang w:val="es-ES_tradnl"/>
        </w:rPr>
        <w:t>,</w:t>
      </w:r>
      <w:r w:rsidRPr="000C2F85">
        <w:rPr>
          <w:lang w:val="es-ES_tradnl"/>
        </w:rPr>
        <w:t xml:space="preserve"> examinó el derecho a la privacidad. En </w:t>
      </w:r>
      <w:r w:rsidRPr="000C2F85">
        <w:rPr>
          <w:i/>
          <w:iCs/>
          <w:lang w:val="es-ES_tradnl"/>
        </w:rPr>
        <w:t>National Coalition for Gay and Lesbian Equality v Minister of Home Affairs</w:t>
      </w:r>
      <w:r w:rsidRPr="00605B48">
        <w:rPr>
          <w:sz w:val="18"/>
          <w:szCs w:val="18"/>
          <w:vertAlign w:val="superscript"/>
          <w:lang w:val="es-ES_tradnl"/>
        </w:rPr>
        <w:footnoteReference w:id="98"/>
      </w:r>
      <w:r w:rsidRPr="000C2F85">
        <w:rPr>
          <w:lang w:val="es-ES_tradnl"/>
        </w:rPr>
        <w:t xml:space="preserve">, el Tribunal Constitucional sostuvo que las parejas homosexuales tienen derecho a gozar de las mismas ventajas en materia de inmigración que las que se otorgan a las parejas casadas. Son muchas las sentencias históricas relativas a los derechos socioeconómicos que cabe mencionar, entre ellas las de las causas </w:t>
      </w:r>
      <w:r w:rsidRPr="000C2F85">
        <w:rPr>
          <w:i/>
          <w:iCs/>
          <w:lang w:val="es-ES_tradnl"/>
        </w:rPr>
        <w:t>Government of the Republic of South Africa v Grootboom</w:t>
      </w:r>
      <w:r w:rsidRPr="00605B48">
        <w:rPr>
          <w:sz w:val="18"/>
          <w:szCs w:val="18"/>
          <w:vertAlign w:val="superscript"/>
          <w:lang w:val="es-ES_tradnl"/>
        </w:rPr>
        <w:footnoteReference w:id="99"/>
      </w:r>
      <w:r w:rsidRPr="000C2F85">
        <w:rPr>
          <w:lang w:val="es-ES_tradnl"/>
        </w:rPr>
        <w:t xml:space="preserve">, </w:t>
      </w:r>
      <w:r w:rsidRPr="000C2F85">
        <w:rPr>
          <w:i/>
          <w:iCs/>
          <w:lang w:val="es-ES_tradnl"/>
        </w:rPr>
        <w:t>Soobramoney v Minister of Health, KwaZulu</w:t>
      </w:r>
      <w:r w:rsidR="005C4836">
        <w:rPr>
          <w:i/>
          <w:iCs/>
          <w:lang w:val="es-ES_tradnl"/>
        </w:rPr>
        <w:noBreakHyphen/>
      </w:r>
      <w:r w:rsidRPr="000C2F85">
        <w:rPr>
          <w:i/>
          <w:iCs/>
          <w:lang w:val="es-ES_tradnl"/>
        </w:rPr>
        <w:t>Natal</w:t>
      </w:r>
      <w:r w:rsidRPr="00605B48">
        <w:rPr>
          <w:sz w:val="18"/>
          <w:szCs w:val="18"/>
          <w:vertAlign w:val="superscript"/>
          <w:lang w:val="es-ES_tradnl"/>
        </w:rPr>
        <w:footnoteReference w:id="100"/>
      </w:r>
      <w:r w:rsidRPr="000C2F85">
        <w:rPr>
          <w:lang w:val="es-ES_tradnl"/>
        </w:rPr>
        <w:t xml:space="preserve">, </w:t>
      </w:r>
      <w:r w:rsidRPr="000C2F85">
        <w:rPr>
          <w:i/>
          <w:iCs/>
          <w:lang w:val="es-ES_tradnl"/>
        </w:rPr>
        <w:t>Minister of Health v Treatment Action Campaign</w:t>
      </w:r>
      <w:r w:rsidRPr="00605B48">
        <w:rPr>
          <w:sz w:val="18"/>
          <w:szCs w:val="18"/>
          <w:vertAlign w:val="superscript"/>
          <w:lang w:val="es-ES_tradnl"/>
        </w:rPr>
        <w:footnoteReference w:id="101"/>
      </w:r>
      <w:r w:rsidRPr="000C2F85">
        <w:rPr>
          <w:lang w:val="es-ES_tradnl"/>
        </w:rPr>
        <w:t xml:space="preserve"> y </w:t>
      </w:r>
      <w:r w:rsidRPr="000C2F85">
        <w:rPr>
          <w:i/>
          <w:iCs/>
          <w:lang w:val="es-ES_tradnl"/>
        </w:rPr>
        <w:t>Khosa v Minister of Social Development</w:t>
      </w:r>
      <w:r w:rsidRPr="00605B48">
        <w:rPr>
          <w:sz w:val="18"/>
          <w:szCs w:val="18"/>
          <w:vertAlign w:val="superscript"/>
          <w:lang w:val="es-ES_tradnl"/>
        </w:rPr>
        <w:footnoteReference w:id="102"/>
      </w:r>
      <w:r w:rsidRPr="000C2F85">
        <w:rPr>
          <w:lang w:val="es-ES_tradnl"/>
        </w:rPr>
        <w:t>.</w:t>
      </w:r>
    </w:p>
    <w:p w14:paraId="349B1DFC" w14:textId="77777777" w:rsidR="000C2F85" w:rsidRPr="000C2F85" w:rsidRDefault="000C2F85" w:rsidP="000C2F85">
      <w:pPr>
        <w:pStyle w:val="SingleTxtG"/>
        <w:rPr>
          <w:bCs/>
          <w:lang w:val="es-ES_tradnl"/>
        </w:rPr>
      </w:pPr>
      <w:r w:rsidRPr="000C2F85">
        <w:rPr>
          <w:lang w:val="es-ES_tradnl"/>
        </w:rPr>
        <w:t>121.</w:t>
      </w:r>
      <w:r w:rsidRPr="000C2F85">
        <w:rPr>
          <w:lang w:val="es-ES_tradnl"/>
        </w:rPr>
        <w:tab/>
        <w:t>Cuando los tribunales determinan que se ha vulnerado un derecho humano, están facultados para imponer diferentes soluciones, como declarar nula la ley, política o conducta de que se trate y dictar un mandamiento (por el cual el infractor debe adoptar medidas para rectificar la vulneración con supervisión judicial) o una reparación declaratoria.</w:t>
      </w:r>
    </w:p>
    <w:p w14:paraId="3DDA1D9F" w14:textId="791F9126" w:rsidR="000C2F85" w:rsidRPr="000C2F85" w:rsidRDefault="000C2F85" w:rsidP="000C2F85">
      <w:pPr>
        <w:pStyle w:val="SingleTxtG"/>
        <w:rPr>
          <w:lang w:val="es-ES_tradnl"/>
        </w:rPr>
      </w:pPr>
      <w:r w:rsidRPr="000C2F85">
        <w:rPr>
          <w:lang w:val="es-ES_tradnl"/>
        </w:rPr>
        <w:t>122.</w:t>
      </w:r>
      <w:r w:rsidRPr="000C2F85">
        <w:rPr>
          <w:lang w:val="es-ES_tradnl"/>
        </w:rPr>
        <w:tab/>
        <w:t xml:space="preserve">Otras leyes importantes son las tres leyes de </w:t>
      </w:r>
      <w:r w:rsidR="0091550D">
        <w:rPr>
          <w:lang w:val="es-ES_tradnl"/>
        </w:rPr>
        <w:t>“</w:t>
      </w:r>
      <w:r w:rsidRPr="000C2F85">
        <w:rPr>
          <w:lang w:val="es-ES_tradnl"/>
        </w:rPr>
        <w:t>derechos humanos</w:t>
      </w:r>
      <w:r w:rsidR="0091550D">
        <w:rPr>
          <w:lang w:val="es-ES_tradnl"/>
        </w:rPr>
        <w:t>”</w:t>
      </w:r>
      <w:r w:rsidRPr="000C2F85">
        <w:rPr>
          <w:lang w:val="es-ES_tradnl"/>
        </w:rPr>
        <w:t>, a saber, Ley de Promoción del Acceso a la Información</w:t>
      </w:r>
      <w:r w:rsidRPr="00605B48">
        <w:rPr>
          <w:sz w:val="18"/>
          <w:szCs w:val="18"/>
          <w:vertAlign w:val="superscript"/>
          <w:lang w:val="es-ES_tradnl"/>
        </w:rPr>
        <w:footnoteReference w:id="103"/>
      </w:r>
      <w:r w:rsidRPr="000C2F85">
        <w:rPr>
          <w:lang w:val="es-ES_tradnl"/>
        </w:rPr>
        <w:t>; la Ley de Promoción del Acceso a la Justicia Administrativa</w:t>
      </w:r>
      <w:r w:rsidRPr="00605B48">
        <w:rPr>
          <w:sz w:val="18"/>
          <w:szCs w:val="18"/>
          <w:vertAlign w:val="superscript"/>
          <w:lang w:val="es-ES_tradnl"/>
        </w:rPr>
        <w:footnoteReference w:id="104"/>
      </w:r>
      <w:r w:rsidRPr="000C2F85">
        <w:rPr>
          <w:lang w:val="es-ES_tradnl"/>
        </w:rPr>
        <w:t>, y la Ley de Promoción de la Igualdad y Prevención de la Discriminación Injusta. Las tres leyes de derechos humanos están previstas en la Constitución y desarrollan los derechos constitucionales al acceso a la información, a la justicia administrativa y a la igualdad.</w:t>
      </w:r>
    </w:p>
    <w:p w14:paraId="73AF24C4" w14:textId="77777777" w:rsidR="000C2F85" w:rsidRPr="000C2F85" w:rsidRDefault="000C2F85" w:rsidP="005819B5">
      <w:pPr>
        <w:pStyle w:val="H1G"/>
        <w:rPr>
          <w:lang w:val="es-ES_tradnl"/>
        </w:rPr>
      </w:pPr>
      <w:r w:rsidRPr="000C2F85">
        <w:rPr>
          <w:lang w:val="es-ES_tradnl"/>
        </w:rPr>
        <w:lastRenderedPageBreak/>
        <w:tab/>
        <w:t>C.</w:t>
      </w:r>
      <w:r w:rsidRPr="000C2F85">
        <w:rPr>
          <w:lang w:val="es-ES_tradnl"/>
        </w:rPr>
        <w:tab/>
        <w:t>Marco de promoción de los derechos humanos a nivel nacional</w:t>
      </w:r>
    </w:p>
    <w:p w14:paraId="21226266" w14:textId="3D5888B0" w:rsidR="000C2F85" w:rsidRPr="000C2F85" w:rsidRDefault="000C2F85" w:rsidP="000C2F85">
      <w:pPr>
        <w:pStyle w:val="SingleTxtG"/>
        <w:rPr>
          <w:lang w:val="es-ES_tradnl"/>
        </w:rPr>
      </w:pPr>
      <w:r w:rsidRPr="000C2F85">
        <w:rPr>
          <w:lang w:val="es-ES_tradnl"/>
        </w:rPr>
        <w:t>123.</w:t>
      </w:r>
      <w:r w:rsidRPr="000C2F85">
        <w:rPr>
          <w:lang w:val="es-ES_tradnl"/>
        </w:rPr>
        <w:tab/>
        <w:t>Con el advenimiento de la democracia a Sudáfrica en 1994, la cultura de los derechos humanos se convirtió en la piedra angular del nuevo régimen constitucional, y un amplio conjunto de derechos humanos, incluidos los socioeconómicos, se integró en una Carta de Derechos y se incorporó y repitió en el texto final de la Constitución de 1996</w:t>
      </w:r>
      <w:r w:rsidRPr="00605B48">
        <w:rPr>
          <w:sz w:val="18"/>
          <w:szCs w:val="18"/>
          <w:vertAlign w:val="superscript"/>
          <w:lang w:val="es-ES_tradnl"/>
        </w:rPr>
        <w:footnoteReference w:id="105"/>
      </w:r>
      <w:r w:rsidRPr="000C2F85">
        <w:rPr>
          <w:lang w:val="es-ES_tradnl"/>
        </w:rPr>
        <w:t>. La inclusión de derechos civiles y políticos, así como socioeconómicos plenamente justiciables en nuestra Constitución fue el factor más importante para el logro de la libertad, la dignidad y la igualdad.</w:t>
      </w:r>
    </w:p>
    <w:p w14:paraId="3F25ABCF" w14:textId="77777777" w:rsidR="000C2F85" w:rsidRPr="000C2F85" w:rsidRDefault="000C2F85" w:rsidP="000C2F85">
      <w:pPr>
        <w:pStyle w:val="SingleTxtG"/>
        <w:rPr>
          <w:lang w:val="es-ES_tradnl"/>
        </w:rPr>
      </w:pPr>
      <w:r w:rsidRPr="000C2F85">
        <w:rPr>
          <w:lang w:val="es-ES_tradnl"/>
        </w:rPr>
        <w:t>124.</w:t>
      </w:r>
      <w:r w:rsidRPr="000C2F85">
        <w:rPr>
          <w:lang w:val="es-ES_tradnl"/>
        </w:rPr>
        <w:tab/>
        <w:t xml:space="preserve">Además de la Constitución, las políticas gubernamentales tienen por objeto dar expresión a las disposiciones del enfoque global del Plan Nacional de Desarrollo, que se elaboró y puso en marcha en 2013, con el fin de trazar una perspectiva a largo plazo para la erradicación de la pobreza y la reducción de la desigualdad a más tardar en 2030. La realización de los derechos socioeconómicos es una parte fundamental del Plan Nacional de Desarrollo. El actual Marco Estratégico de Mediano Plazo para el período 2014 a 2019 constituye la primera fase de ejecución quinquenal del Plan. </w:t>
      </w:r>
    </w:p>
    <w:p w14:paraId="233D0C5A" w14:textId="77777777" w:rsidR="000C2F85" w:rsidRPr="000C2F85" w:rsidRDefault="000C2F85" w:rsidP="000C2F85">
      <w:pPr>
        <w:pStyle w:val="SingleTxtG"/>
        <w:rPr>
          <w:lang w:val="es-ES_tradnl"/>
        </w:rPr>
      </w:pPr>
      <w:r w:rsidRPr="000C2F85">
        <w:rPr>
          <w:lang w:val="es-ES_tradnl"/>
        </w:rPr>
        <w:t>125.</w:t>
      </w:r>
      <w:r w:rsidRPr="000C2F85">
        <w:rPr>
          <w:lang w:val="es-ES_tradnl"/>
        </w:rPr>
        <w:tab/>
        <w:t>El Marco Estratégico de Mediano Plazo se estructura en torno a 14 resultados prioritarios que abarcan las esferas de atención enunciadas en el Plan Nacional de Desarrollo y el mandato electoral del Gobierno, a saber: educación, salud, seguridad, crecimiento económico y empleo, desarrollo de competencias, infraestructura, desarrollo rural, asentamientos humanos, administración local, medio ambiente, relaciones internacionales, sector público, protección social, construcción nacional y cohesión social.</w:t>
      </w:r>
    </w:p>
    <w:p w14:paraId="780F9E9A" w14:textId="463EC9D5" w:rsidR="000C2F85" w:rsidRPr="000C2F85" w:rsidRDefault="000C2F85" w:rsidP="000C2F85">
      <w:pPr>
        <w:pStyle w:val="SingleTxtG"/>
        <w:rPr>
          <w:iCs/>
          <w:lang w:val="es-ES_tradnl"/>
        </w:rPr>
      </w:pPr>
      <w:r w:rsidRPr="000C2F85">
        <w:rPr>
          <w:lang w:val="es-ES_tradnl"/>
        </w:rPr>
        <w:t>126.</w:t>
      </w:r>
      <w:r w:rsidRPr="000C2F85">
        <w:rPr>
          <w:lang w:val="es-ES_tradnl"/>
        </w:rPr>
        <w:tab/>
        <w:t>Se destacan especialmente las siguientes esferas relativas a los derechos humanos</w:t>
      </w:r>
      <w:r w:rsidR="005C4836">
        <w:rPr>
          <w:lang w:val="es-ES_tradnl"/>
        </w:rPr>
        <w:t>.</w:t>
      </w:r>
    </w:p>
    <w:p w14:paraId="0A4465D8" w14:textId="5A15A7FE" w:rsidR="000C2F85" w:rsidRPr="000C2F85" w:rsidRDefault="005819B5" w:rsidP="005819B5">
      <w:pPr>
        <w:pStyle w:val="H23G"/>
        <w:rPr>
          <w:lang w:val="es-ES_tradnl"/>
        </w:rPr>
      </w:pPr>
      <w:r>
        <w:rPr>
          <w:lang w:val="es-ES_tradnl"/>
        </w:rPr>
        <w:tab/>
      </w:r>
      <w:r w:rsidR="000C2F85" w:rsidRPr="000C2F85">
        <w:rPr>
          <w:lang w:val="es-ES_tradnl"/>
        </w:rPr>
        <w:tab/>
        <w:t>Migrantes</w:t>
      </w:r>
    </w:p>
    <w:p w14:paraId="7D03D885" w14:textId="77777777" w:rsidR="000C2F85" w:rsidRPr="000C2F85" w:rsidRDefault="000C2F85" w:rsidP="000C2F85">
      <w:pPr>
        <w:pStyle w:val="SingleTxtG"/>
        <w:rPr>
          <w:lang w:val="es-ES_tradnl"/>
        </w:rPr>
      </w:pPr>
      <w:r w:rsidRPr="000C2F85">
        <w:rPr>
          <w:lang w:val="es-ES_tradnl"/>
        </w:rPr>
        <w:t>127.</w:t>
      </w:r>
      <w:r w:rsidRPr="000C2F85">
        <w:rPr>
          <w:lang w:val="es-ES_tradnl"/>
        </w:rPr>
        <w:tab/>
        <w:t>En la Ley de Refugiados de 1998</w:t>
      </w:r>
      <w:r w:rsidRPr="00605B48">
        <w:rPr>
          <w:sz w:val="18"/>
          <w:szCs w:val="18"/>
          <w:vertAlign w:val="superscript"/>
          <w:lang w:val="es-ES_tradnl"/>
        </w:rPr>
        <w:footnoteReference w:id="106"/>
      </w:r>
      <w:r w:rsidRPr="000C2F85">
        <w:rPr>
          <w:lang w:val="es-ES_tradnl"/>
        </w:rPr>
        <w:t xml:space="preserve"> se prevé el acogimiento en Sudáfrica de los refugiados y solicitantes de asilo y se establecen sus derechos y obligaciones. Mientras se tramita su solicitud y siempre que posean un documento acreditativo válido, los solicitantes de asilo pueden circular libremente y tienen derecho a trabajar y estudiar, así como a los servicios de salud básicos. Los refugiados tienen derecho a solicitar certificados de nacimiento para sus hijos nacidos en Sudáfrica, documentos de identidad y documentos de viaje, con la única limitación de no poder viajar al país de origen. Durante su estancia en el territorio de Sudáfrica, los solicitantes de asilo tienen además los siguientes derechos: reconocimiento oficial por escrito de la condición de solicitante de asilo, en espera de que se resuelva su solicitud; el derecho a permanecer en Sudáfrica durante el trámite de la solicitud de asilo; el derecho a no ser detenidos ilegalmente, y los derechos consagrados en la Constitución que sean aplicables a los solicitantes de asilo.</w:t>
      </w:r>
    </w:p>
    <w:p w14:paraId="17966A58" w14:textId="0BDAAC1E" w:rsidR="000C2F85" w:rsidRPr="000C2F85" w:rsidRDefault="005819B5" w:rsidP="005819B5">
      <w:pPr>
        <w:pStyle w:val="H23G"/>
        <w:rPr>
          <w:lang w:val="es-ES_tradnl"/>
        </w:rPr>
      </w:pPr>
      <w:r>
        <w:rPr>
          <w:lang w:val="es-ES_tradnl"/>
        </w:rPr>
        <w:tab/>
      </w:r>
      <w:r w:rsidR="000C2F85" w:rsidRPr="000C2F85">
        <w:rPr>
          <w:lang w:val="es-ES_tradnl"/>
        </w:rPr>
        <w:tab/>
        <w:t>Niños</w:t>
      </w:r>
    </w:p>
    <w:p w14:paraId="007A678C" w14:textId="77777777" w:rsidR="000C2F85" w:rsidRPr="005C4836" w:rsidRDefault="000C2F85" w:rsidP="000C2F85">
      <w:pPr>
        <w:pStyle w:val="SingleTxtG"/>
        <w:rPr>
          <w:lang w:val="es-ES_tradnl"/>
        </w:rPr>
      </w:pPr>
      <w:r w:rsidRPr="000C2F85">
        <w:rPr>
          <w:lang w:val="es-ES_tradnl"/>
        </w:rPr>
        <w:t>128.</w:t>
      </w:r>
      <w:r w:rsidRPr="000C2F85">
        <w:rPr>
          <w:lang w:val="es-ES_tradnl"/>
        </w:rPr>
        <w:tab/>
        <w:t>La Ley de Justicia de Menores de 2008</w:t>
      </w:r>
      <w:r w:rsidRPr="00605B48">
        <w:rPr>
          <w:sz w:val="18"/>
          <w:szCs w:val="18"/>
          <w:vertAlign w:val="superscript"/>
          <w:lang w:val="es-ES_tradnl"/>
        </w:rPr>
        <w:footnoteReference w:id="107"/>
      </w:r>
      <w:r w:rsidRPr="000C2F85">
        <w:rPr>
          <w:lang w:val="es-ES_tradnl"/>
        </w:rPr>
        <w:t xml:space="preserve"> y los reglamentos dictados de conformidad con esta afianzan el principio del interés superior del niño y, por consiguiente, propugnan una protección especial para estos casos. Esas directrices y procedimientos de protección tienen por objeto garantizar el interés superior del niño cuando este se encuentra en conflicto con la ley. La dignidad y el bienestar del niño han de protegerse en todo momento durante la detención y las etapas preliminares previas a la remisión de la causa a un tribunal, así como durante el período en que el caso esté siendo examinado por el tribunal y durante el juicio. La Ley de Justicia de Menores consagra el concepto de justicia restaurativa en el sistema de justicia penal</w:t>
      </w:r>
      <w:r w:rsidRPr="00605B48">
        <w:rPr>
          <w:sz w:val="18"/>
          <w:szCs w:val="18"/>
          <w:vertAlign w:val="superscript"/>
          <w:lang w:val="es-ES_tradnl"/>
        </w:rPr>
        <w:footnoteReference w:id="108"/>
      </w:r>
      <w:r w:rsidRPr="000C2F85">
        <w:rPr>
          <w:lang w:val="es-ES_tradnl"/>
        </w:rPr>
        <w:t>.</w:t>
      </w:r>
    </w:p>
    <w:p w14:paraId="72E31476" w14:textId="514747CD" w:rsidR="000C2F85" w:rsidRPr="000C2F85" w:rsidRDefault="000C2F85" w:rsidP="000C2F85">
      <w:pPr>
        <w:pStyle w:val="SingleTxtG"/>
        <w:rPr>
          <w:lang w:val="es-ES_tradnl"/>
        </w:rPr>
      </w:pPr>
      <w:r w:rsidRPr="000C2F85">
        <w:rPr>
          <w:lang w:val="es-ES_tradnl"/>
        </w:rPr>
        <w:lastRenderedPageBreak/>
        <w:t>129.</w:t>
      </w:r>
      <w:r w:rsidRPr="000C2F85">
        <w:rPr>
          <w:lang w:val="es-ES_tradnl"/>
        </w:rPr>
        <w:tab/>
        <w:t>A fin de reforzar la protección de los niños, entre otras cosas, en 2007 se promulgó la Ley por la que se Modifica la Legislación Penal (Delitos Sexuales y Asuntos Conexos) de</w:t>
      </w:r>
      <w:r w:rsidR="005C4836">
        <w:rPr>
          <w:lang w:val="es-ES_tradnl"/>
        </w:rPr>
        <w:t> </w:t>
      </w:r>
      <w:r w:rsidRPr="000C2F85">
        <w:rPr>
          <w:lang w:val="es-ES_tradnl"/>
        </w:rPr>
        <w:t>2007</w:t>
      </w:r>
      <w:r w:rsidRPr="00605B48">
        <w:rPr>
          <w:sz w:val="18"/>
          <w:szCs w:val="18"/>
          <w:vertAlign w:val="superscript"/>
          <w:lang w:val="es-ES_tradnl"/>
        </w:rPr>
        <w:footnoteReference w:id="109"/>
      </w:r>
      <w:r w:rsidRPr="000C2F85">
        <w:rPr>
          <w:lang w:val="es-ES_tradnl"/>
        </w:rPr>
        <w:t xml:space="preserve">. En esta </w:t>
      </w:r>
      <w:r w:rsidR="005C4836" w:rsidRPr="000C2F85">
        <w:rPr>
          <w:lang w:val="es-ES_tradnl"/>
        </w:rPr>
        <w:t xml:space="preserve">Ley </w:t>
      </w:r>
      <w:r w:rsidRPr="000C2F85">
        <w:rPr>
          <w:lang w:val="es-ES_tradnl"/>
        </w:rPr>
        <w:t>se amplían las definiciones de algunos delitos, como la violación, y se refuerza la protección a los niños. Se introdujeron y aplicaron también varios marcos de política nuevos, como el Marco de Política Nacional para la Justicia de Menores, el Marco de Política Nacional para la Justicia Restaurativa (que incluye el establecimiento de vínculos con la justicia tradicional), la Estrategia para la Prevención Social del Delito y el Marco de Política para la Acreditación de los Servicios de Remisión. El Gobierno ha aprobado también el Plan de Acción para Combatir la Violencia contra las Mujeres y los Niños. Además, la Ley por la que se Modifica la Legislación Penal (Imposición de Penas), de 2007</w:t>
      </w:r>
      <w:r w:rsidRPr="00605B48">
        <w:rPr>
          <w:sz w:val="18"/>
          <w:szCs w:val="18"/>
          <w:vertAlign w:val="superscript"/>
          <w:lang w:val="es-ES_tradnl"/>
        </w:rPr>
        <w:footnoteReference w:id="110"/>
      </w:r>
      <w:r w:rsidRPr="000C2F85">
        <w:rPr>
          <w:lang w:val="es-ES_tradnl"/>
        </w:rPr>
        <w:t>, tiene por objeto regular la imposición de penas mínimas discrecionales por determinados delitos grave, así como establecer que determinadas circunstancias no sean consideradas razones justificadas o imperiosas atenuantes de la pena por violación.</w:t>
      </w:r>
    </w:p>
    <w:p w14:paraId="0C94F253" w14:textId="5F09C381" w:rsidR="000C2F85" w:rsidRPr="000C2F85" w:rsidRDefault="005819B5" w:rsidP="005819B5">
      <w:pPr>
        <w:pStyle w:val="H23G"/>
        <w:rPr>
          <w:lang w:val="es-ES_tradnl"/>
        </w:rPr>
      </w:pPr>
      <w:r>
        <w:rPr>
          <w:lang w:val="es-ES_tradnl"/>
        </w:rPr>
        <w:tab/>
      </w:r>
      <w:r w:rsidR="000C2F85" w:rsidRPr="000C2F85">
        <w:rPr>
          <w:lang w:val="es-ES_tradnl"/>
        </w:rPr>
        <w:tab/>
        <w:t>Trata de personas</w:t>
      </w:r>
    </w:p>
    <w:p w14:paraId="4921181E" w14:textId="14C391C0" w:rsidR="000C2F85" w:rsidRPr="000C2F85" w:rsidRDefault="000C2F85" w:rsidP="000C2F85">
      <w:pPr>
        <w:pStyle w:val="SingleTxtG"/>
        <w:rPr>
          <w:iCs/>
          <w:lang w:val="es-ES_tradnl"/>
        </w:rPr>
      </w:pPr>
      <w:r w:rsidRPr="000C2F85">
        <w:rPr>
          <w:lang w:val="es-ES_tradnl"/>
        </w:rPr>
        <w:t>130.</w:t>
      </w:r>
      <w:r w:rsidRPr="000C2F85">
        <w:rPr>
          <w:lang w:val="es-ES_tradnl"/>
        </w:rPr>
        <w:tab/>
        <w:t>Reconociendo que la trata de personas es un delito transnacional, Sudáfrica ha ratificado instrumentos internacionales y regionales que facilitan las medidas de colaboración transnacional orientadas a combatir la trata de mujeres y niños</w:t>
      </w:r>
      <w:r w:rsidRPr="00605B48">
        <w:rPr>
          <w:sz w:val="18"/>
          <w:szCs w:val="18"/>
          <w:vertAlign w:val="superscript"/>
          <w:lang w:val="es-ES_tradnl"/>
        </w:rPr>
        <w:footnoteReference w:id="111"/>
      </w:r>
      <w:r w:rsidRPr="000C2F85">
        <w:rPr>
          <w:lang w:val="es-ES_tradnl"/>
        </w:rPr>
        <w:t>. La Ley de Prevención y Lucha contra la Trata de Personas de 2013</w:t>
      </w:r>
      <w:r w:rsidRPr="00605B48">
        <w:rPr>
          <w:sz w:val="18"/>
          <w:szCs w:val="18"/>
          <w:vertAlign w:val="superscript"/>
          <w:lang w:val="es-ES_tradnl"/>
        </w:rPr>
        <w:footnoteReference w:id="112"/>
      </w:r>
      <w:r w:rsidRPr="000C2F85">
        <w:rPr>
          <w:lang w:val="es-ES_tradnl"/>
        </w:rPr>
        <w:t xml:space="preserve"> es una ley integral sobre la cuestión de la trata, que antes se abordaba en forma fragmentaria en distintas leyes. Además de tipificar delitos muy concretos para penalizar la trata de personas, esta </w:t>
      </w:r>
      <w:r w:rsidR="005C4836" w:rsidRPr="000C2F85">
        <w:rPr>
          <w:lang w:val="es-ES_tradnl"/>
        </w:rPr>
        <w:t xml:space="preserve">Ley </w:t>
      </w:r>
      <w:r w:rsidRPr="000C2F85">
        <w:rPr>
          <w:lang w:val="es-ES_tradnl"/>
        </w:rPr>
        <w:t xml:space="preserve">también tiene especialmente en cuenta la difícil situación de las víctimas y les otorga el derecho a reclamar a los condenados por trata una indemnización por daños y perjuicios, lesiones físicas y psicológicas sufridas y pérdida de ingresos, entre otras cosas. Se trata de una </w:t>
      </w:r>
      <w:r w:rsidR="005C4836" w:rsidRPr="000C2F85">
        <w:rPr>
          <w:lang w:val="es-ES_tradnl"/>
        </w:rPr>
        <w:t xml:space="preserve">Ley </w:t>
      </w:r>
      <w:r w:rsidRPr="000C2F85">
        <w:rPr>
          <w:lang w:val="es-ES_tradnl"/>
        </w:rPr>
        <w:t>vanguardista, ya que contiene algunos elementos recientemente incorporados al derecho de los derechos humanos; por ejemplo, que la legislación no debe servir tan solo para enjuiciar a los autores de delitos y prevenir la reincidencia, sino que también debe tener presentes las necesidades de la víctima en lo relativo al resarcimiento. En ese sentido, también se recoge el espíritu y el propósito de la observación general núm. 3 sobre la tortura, del Comité contra la Tortura, en la que se señala que la reparación abarca cinco elementos insoslayables, a saber, la restitución, la rehabilitación, la indemnización, la satisfacción y las garantías de no repetición</w:t>
      </w:r>
      <w:r w:rsidRPr="00605B48">
        <w:rPr>
          <w:sz w:val="18"/>
          <w:szCs w:val="18"/>
          <w:vertAlign w:val="superscript"/>
          <w:lang w:val="es-ES_tradnl"/>
        </w:rPr>
        <w:footnoteReference w:id="113"/>
      </w:r>
      <w:r w:rsidRPr="000C2F85">
        <w:rPr>
          <w:lang w:val="es-ES_tradnl"/>
        </w:rPr>
        <w:t xml:space="preserve">. La </w:t>
      </w:r>
      <w:r w:rsidR="00107DAD" w:rsidRPr="000C2F85">
        <w:rPr>
          <w:lang w:val="es-ES_tradnl"/>
        </w:rPr>
        <w:t xml:space="preserve">Ley </w:t>
      </w:r>
      <w:r w:rsidRPr="000C2F85">
        <w:rPr>
          <w:lang w:val="es-ES_tradnl"/>
        </w:rPr>
        <w:t>aborda globalmente la trata de personas en todas sus formas y, en particular, prevé la protección y la prestación de asistencia a las víctimas de la trata</w:t>
      </w:r>
      <w:r w:rsidRPr="00605B48">
        <w:rPr>
          <w:sz w:val="18"/>
          <w:szCs w:val="18"/>
          <w:vertAlign w:val="superscript"/>
          <w:lang w:val="es-ES_tradnl"/>
        </w:rPr>
        <w:footnoteReference w:id="114"/>
      </w:r>
      <w:r w:rsidRPr="000C2F85">
        <w:rPr>
          <w:lang w:val="es-ES_tradnl"/>
        </w:rPr>
        <w:t>.</w:t>
      </w:r>
    </w:p>
    <w:p w14:paraId="15A7190F" w14:textId="149E0614" w:rsidR="000C2F85" w:rsidRPr="000C2F85" w:rsidRDefault="005819B5" w:rsidP="005819B5">
      <w:pPr>
        <w:pStyle w:val="H23G"/>
        <w:rPr>
          <w:lang w:val="es-ES_tradnl"/>
        </w:rPr>
      </w:pPr>
      <w:r>
        <w:rPr>
          <w:lang w:val="es-ES_tradnl"/>
        </w:rPr>
        <w:tab/>
      </w:r>
      <w:r w:rsidR="000C2F85" w:rsidRPr="000C2F85">
        <w:rPr>
          <w:lang w:val="es-ES_tradnl"/>
        </w:rPr>
        <w:tab/>
        <w:t>Igualdad de género</w:t>
      </w:r>
    </w:p>
    <w:p w14:paraId="467905FA" w14:textId="77777777" w:rsidR="000C2F85" w:rsidRPr="000C2F85" w:rsidRDefault="000C2F85" w:rsidP="000C2F85">
      <w:pPr>
        <w:pStyle w:val="SingleTxtG"/>
        <w:rPr>
          <w:lang w:val="es-ES_tradnl"/>
        </w:rPr>
      </w:pPr>
      <w:r w:rsidRPr="000C2F85">
        <w:rPr>
          <w:lang w:val="es-ES_tradnl"/>
        </w:rPr>
        <w:t>131.</w:t>
      </w:r>
      <w:r w:rsidRPr="000C2F85">
        <w:rPr>
          <w:lang w:val="es-ES_tradnl"/>
        </w:rPr>
        <w:tab/>
        <w:t xml:space="preserve">El empoderamiento de la mujer y el logro de la igualdad de género en Sudáfrica suponen también hacer frente al legado del </w:t>
      </w:r>
      <w:r w:rsidRPr="000C2F85">
        <w:rPr>
          <w:i/>
          <w:iCs/>
          <w:lang w:val="es-ES_tradnl"/>
        </w:rPr>
        <w:t xml:space="preserve">apartheid </w:t>
      </w:r>
      <w:r w:rsidRPr="000C2F85">
        <w:rPr>
          <w:lang w:val="es-ES_tradnl"/>
        </w:rPr>
        <w:t xml:space="preserve">y transformar la sociedad, en particular las relaciones de poder entre las mujeres, los hombres, las instituciones y las leyes. Asimismo, implica hacer frente a la opresión por razón de género, el patriarcado, la discriminación por </w:t>
      </w:r>
      <w:r w:rsidRPr="000C2F85">
        <w:rPr>
          <w:lang w:val="es-ES_tradnl"/>
        </w:rPr>
        <w:lastRenderedPageBreak/>
        <w:t>motivos de sexo y edad, así como la opresión estructural, y crear un entorno propicio que permita a las mujeres asumir el control de sus vidas. El Gobierno está firmemente decidido a velar por la igualdad de derechos entre mujeres y hombres. La Constitución garantiza la igualdad entre hombres y mujeres y prohíbe la discriminación por los motivos que en ella se enumeran. En consonancia con su compromiso con la igualdad de género, Sudáfrica elaboró un Marco de Política Nacional para el Empoderamiento de la Mujer y la Igualdad de Género, que ha orientado el adelanto de las mujeres y las niñas en el país. El Gobierno también elaboró un Marco de Política de Género para la Administración Local, así como el Marco Estratégico Nacional para el Empoderamiento Económico de la Mujer, entre otras políticas y estrategias sectoriales que guían la transversalización de los aspectos de género en la labor del Gobierno.</w:t>
      </w:r>
    </w:p>
    <w:p w14:paraId="2BE72422" w14:textId="5ACB9FF0" w:rsidR="000C2F85" w:rsidRPr="000C2F85" w:rsidRDefault="000C2F85" w:rsidP="000C2F85">
      <w:pPr>
        <w:pStyle w:val="SingleTxtG"/>
        <w:rPr>
          <w:lang w:val="es-ES_tradnl"/>
        </w:rPr>
      </w:pPr>
      <w:r w:rsidRPr="000C2F85">
        <w:rPr>
          <w:lang w:val="es-ES_tradnl"/>
        </w:rPr>
        <w:t>132.</w:t>
      </w:r>
      <w:r w:rsidRPr="000C2F85">
        <w:rPr>
          <w:lang w:val="es-ES_tradnl"/>
        </w:rPr>
        <w:tab/>
        <w:t xml:space="preserve">En lo que respecta al marco legislativo, prácticamente todas las leyes anteriores a 1994 que discriminaban a la mujer han sido derogadas. Por ejemplo, la Ley de Reconocimiento de los Matrimonios Consuetudinarios de 1998 derogó las disposiciones de la Ley de Administración de la Población Negra de 1927, según la cual las mujeres africanas tenían siempre la condición jurídica de menores. En la </w:t>
      </w:r>
      <w:r w:rsidR="00A73A9A" w:rsidRPr="000C2F85">
        <w:rPr>
          <w:lang w:val="es-ES_tradnl"/>
        </w:rPr>
        <w:t xml:space="preserve">Ley </w:t>
      </w:r>
      <w:r w:rsidRPr="000C2F85">
        <w:rPr>
          <w:lang w:val="es-ES_tradnl"/>
        </w:rPr>
        <w:t>se establece la igualdad formal entre la mujer y el hombre en los matrimonios consuetudinarios. Asimismo, se prevé la igualdad de condición y capacidad de los cónyuges unidos en matrimonio consuetudinario y se otorga a la esposa la capacidad de adquirir bienes y disponer de ellos, celebrar contratos y litigar, además de todos los derechos y facultades que le reconociera el derecho consuetudinario. Además, la entrada en vigor de la ley supuso la derogación de los artículos 22 y 27, párrafo</w:t>
      </w:r>
      <w:r w:rsidR="00A73A9A">
        <w:rPr>
          <w:lang w:val="es-ES_tradnl"/>
        </w:rPr>
        <w:t> </w:t>
      </w:r>
      <w:r w:rsidRPr="000C2F85">
        <w:rPr>
          <w:lang w:val="es-ES_tradnl"/>
        </w:rPr>
        <w:t>3, de la Ley de KwaZulu sobre el Código de Derecho Zulú, según los cuales, en esa provincia el marido no era solo el cabeza de familia, sino que también tenía la potestad marital. En Sudáfrica la promoción de los derechos de la mujer se sustenta en diversas disposiciones legislativas que tienen como fundamento normativo la Constitución.</w:t>
      </w:r>
    </w:p>
    <w:p w14:paraId="5D61FDCC" w14:textId="77777777" w:rsidR="000C2F85" w:rsidRPr="000C2F85" w:rsidRDefault="000C2F85" w:rsidP="000C2F85">
      <w:pPr>
        <w:pStyle w:val="SingleTxtG"/>
        <w:rPr>
          <w:lang w:val="es-ES_tradnl"/>
        </w:rPr>
      </w:pPr>
      <w:r w:rsidRPr="000C2F85">
        <w:rPr>
          <w:lang w:val="es-ES_tradnl"/>
        </w:rPr>
        <w:t>133.</w:t>
      </w:r>
      <w:r w:rsidRPr="000C2F85">
        <w:rPr>
          <w:lang w:val="es-ES_tradnl"/>
        </w:rPr>
        <w:tab/>
        <w:t xml:space="preserve">Asimismo, Sudáfrica ha asumido varios compromisos fundamentales en los planos subregional, continental e internacional en relación con el empoderamiento de la mujer y el logro de la igualdad de género. El compromiso de Sudáfrica con la erradicación de la discriminación contra la mujer se refleja también en su adhesión sin reservas a la Convención sobre la Eliminación de Todas las Formas de Discriminación contra la Mujer. Sudáfrica también ratificó sin reservas el Protocolo Facultativo de la Convención sobre la Eliminación de Todas las Formas de Discriminación contra la Mujer y en 1998 presentó su informe inicial de conformidad con lo dispuesto en la Convención. El Gobierno ha contraído otros compromisos, en virtud del Protocolo de la Comunidad de África Meridional para el Desarrollo (SADC) sobre el Género y el Desarrollo y de la Plataforma de Acción de Beijing, concretados en diversas actividades de promoción de los derechos humanos de las mujeres. </w:t>
      </w:r>
    </w:p>
    <w:p w14:paraId="135265F6" w14:textId="77777777" w:rsidR="000C2F85" w:rsidRPr="000C2F85" w:rsidRDefault="000C2F85" w:rsidP="000C2F85">
      <w:pPr>
        <w:pStyle w:val="SingleTxtG"/>
        <w:rPr>
          <w:lang w:val="es-ES_tradnl"/>
        </w:rPr>
      </w:pPr>
      <w:r w:rsidRPr="000C2F85">
        <w:rPr>
          <w:lang w:val="es-ES_tradnl"/>
        </w:rPr>
        <w:t>134.</w:t>
      </w:r>
      <w:r w:rsidRPr="000C2F85">
        <w:rPr>
          <w:lang w:val="es-ES_tradnl"/>
        </w:rPr>
        <w:tab/>
        <w:t xml:space="preserve">Tras las elecciones de mayo de 2014, el Presidente propuso la creación de un Ministerio de la Mujer, autónomo y especializado, integrado en la Presidencia. El mandato del Ministerio es promover el empoderamiento socioeconómico de la mujer y la igualdad de género. Además, desde 1994 se ha registrado un aumento constante del número de ministras y viceministras en el Gobierno. También se ha mantenido en no menos el 25 % el porcentaje de escaños del Parlamento ocupados por mujeres. El Gobierno está firmemente decidido a lograr que aumente el número de mujeres que accedan a los niveles medio y superior del sector público, donde se han puesto en marcha programas de acción afirmativa. </w:t>
      </w:r>
    </w:p>
    <w:p w14:paraId="5B1E4297" w14:textId="77777777" w:rsidR="000C2F85" w:rsidRPr="006B6DB9" w:rsidRDefault="000C2F85" w:rsidP="000C2F85">
      <w:pPr>
        <w:pStyle w:val="SingleTxtG"/>
        <w:rPr>
          <w:lang w:val="es-ES_tradnl"/>
        </w:rPr>
      </w:pPr>
      <w:r w:rsidRPr="000C2F85">
        <w:rPr>
          <w:lang w:val="es-ES_tradnl"/>
        </w:rPr>
        <w:t>135.</w:t>
      </w:r>
      <w:r w:rsidRPr="000C2F85">
        <w:rPr>
          <w:lang w:val="es-ES_tradnl"/>
        </w:rPr>
        <w:tab/>
        <w:t xml:space="preserve">Los tribunales también han desempeñado un importante papel en lo que respecta a la supresión de leyes y prácticas consuetudinarias discriminatorias. Por ejemplo, en las causas </w:t>
      </w:r>
      <w:r w:rsidRPr="000C2F85">
        <w:rPr>
          <w:i/>
          <w:iCs/>
          <w:lang w:val="es-ES_tradnl"/>
        </w:rPr>
        <w:t>Bhe v the Magistrate, Khayelitsha Shibi v Sithole and Others,</w:t>
      </w:r>
      <w:r w:rsidRPr="000C2F85">
        <w:rPr>
          <w:lang w:val="es-ES_tradnl"/>
        </w:rPr>
        <w:t xml:space="preserve"> y </w:t>
      </w:r>
      <w:r w:rsidRPr="000C2F85">
        <w:rPr>
          <w:i/>
          <w:iCs/>
          <w:lang w:val="es-ES_tradnl"/>
        </w:rPr>
        <w:t>SA Human Rights Commission v President of the Republic of South Africa</w:t>
      </w:r>
      <w:r w:rsidRPr="00605B48">
        <w:rPr>
          <w:sz w:val="18"/>
          <w:szCs w:val="18"/>
          <w:vertAlign w:val="superscript"/>
          <w:lang w:val="es-ES_tradnl"/>
        </w:rPr>
        <w:footnoteReference w:id="115"/>
      </w:r>
      <w:r w:rsidRPr="000C2F85">
        <w:rPr>
          <w:lang w:val="es-ES_tradnl"/>
        </w:rPr>
        <w:t xml:space="preserve">, la norma de la primogenitura del varón, según la cual solo podían heredar los varones, quedó anulada por vulnerar el derecho a la igualdad de las mujeres herederas. Hasta la decisión adoptada en 1999 por el Tribunal Supremo de Apelación en la causa </w:t>
      </w:r>
      <w:r w:rsidRPr="000C2F85">
        <w:rPr>
          <w:i/>
          <w:iCs/>
          <w:lang w:val="es-ES_tradnl"/>
        </w:rPr>
        <w:t>Amod v Multilateral Motor Vehicle Accidents Fund</w:t>
      </w:r>
      <w:r w:rsidRPr="00605B48">
        <w:rPr>
          <w:sz w:val="18"/>
          <w:szCs w:val="18"/>
          <w:vertAlign w:val="superscript"/>
          <w:lang w:val="es-ES_tradnl"/>
        </w:rPr>
        <w:footnoteReference w:id="116"/>
      </w:r>
      <w:r w:rsidRPr="000C2F85">
        <w:rPr>
          <w:lang w:val="es-ES_tradnl"/>
        </w:rPr>
        <w:t xml:space="preserve">, el matrimonio contraído con arreglo al derecho islámico era nulo. En esa decisión se reconocía un matrimonio monógamo islámico a los fines de la pensión alimentaria. En la causa </w:t>
      </w:r>
      <w:r w:rsidRPr="000C2F85">
        <w:rPr>
          <w:i/>
          <w:iCs/>
          <w:lang w:val="es-ES_tradnl"/>
        </w:rPr>
        <w:t>Daniels v Campbell NO</w:t>
      </w:r>
      <w:r w:rsidRPr="00605B48">
        <w:rPr>
          <w:sz w:val="18"/>
          <w:szCs w:val="18"/>
          <w:vertAlign w:val="superscript"/>
          <w:lang w:val="es-ES_tradnl"/>
        </w:rPr>
        <w:footnoteReference w:id="117"/>
      </w:r>
      <w:r w:rsidRPr="000C2F85">
        <w:rPr>
          <w:lang w:val="es-ES_tradnl"/>
        </w:rPr>
        <w:t xml:space="preserve"> el Tribunal Constitucional resolvió que las partes de los matrimonios </w:t>
      </w:r>
      <w:r w:rsidRPr="000C2F85">
        <w:rPr>
          <w:lang w:val="es-ES_tradnl"/>
        </w:rPr>
        <w:lastRenderedPageBreak/>
        <w:t xml:space="preserve">islámicos tradicionales monógamos debían ser consideradas cónyuges a efectos de la Ley de Sucesión Intestada y la Ley de Pensión Alimentaria para Cónyuges Supérstites. El Tribunal Superior extendió ese reconocimiento a los matrimonios hindúes monógamos tradicionales en la causa </w:t>
      </w:r>
      <w:r w:rsidRPr="000C2F85">
        <w:rPr>
          <w:i/>
          <w:iCs/>
          <w:lang w:val="es-ES_tradnl"/>
        </w:rPr>
        <w:t>Govender v Ragavayah NO</w:t>
      </w:r>
      <w:r w:rsidRPr="00605B48">
        <w:rPr>
          <w:sz w:val="18"/>
          <w:szCs w:val="18"/>
          <w:vertAlign w:val="superscript"/>
          <w:lang w:val="es-ES_tradnl"/>
        </w:rPr>
        <w:footnoteReference w:id="118"/>
      </w:r>
      <w:r w:rsidRPr="000C2F85">
        <w:rPr>
          <w:lang w:val="es-ES_tradnl"/>
        </w:rPr>
        <w:t>.</w:t>
      </w:r>
    </w:p>
    <w:p w14:paraId="32ED8BD9" w14:textId="0D5BFB6B" w:rsidR="000C2F85" w:rsidRPr="000C2F85" w:rsidRDefault="005819B5" w:rsidP="005819B5">
      <w:pPr>
        <w:pStyle w:val="H23G"/>
        <w:rPr>
          <w:lang w:val="es-ES_tradnl"/>
        </w:rPr>
      </w:pPr>
      <w:r>
        <w:rPr>
          <w:lang w:val="es-ES_tradnl"/>
        </w:rPr>
        <w:tab/>
      </w:r>
      <w:r w:rsidR="000C2F85" w:rsidRPr="000C2F85">
        <w:rPr>
          <w:lang w:val="es-ES_tradnl"/>
        </w:rPr>
        <w:tab/>
        <w:t>Violencia de género</w:t>
      </w:r>
    </w:p>
    <w:p w14:paraId="5E1ADA5F" w14:textId="77777777" w:rsidR="000C2F85" w:rsidRPr="000C2F85" w:rsidRDefault="000C2F85" w:rsidP="000C2F85">
      <w:pPr>
        <w:pStyle w:val="SingleTxtG"/>
        <w:rPr>
          <w:lang w:val="es-ES_tradnl"/>
        </w:rPr>
      </w:pPr>
      <w:r w:rsidRPr="000C2F85">
        <w:rPr>
          <w:lang w:val="es-ES_tradnl"/>
        </w:rPr>
        <w:t>136.</w:t>
      </w:r>
      <w:r w:rsidRPr="000C2F85">
        <w:rPr>
          <w:lang w:val="es-ES_tradnl"/>
        </w:rPr>
        <w:tab/>
        <w:t>En 2008, el Gobierno, en colaboración con el poder judicial, publicó una serie de directrices para tratar los casos de violencia doméstica. Las directrices se han distribuido ampliamente. En 2009 se finalizó el examen de la aplicación de la Ley contra la Violencia Doméstica de 1998</w:t>
      </w:r>
      <w:r w:rsidRPr="00605B48">
        <w:rPr>
          <w:sz w:val="18"/>
          <w:szCs w:val="18"/>
          <w:vertAlign w:val="superscript"/>
          <w:lang w:val="es-ES_tradnl"/>
        </w:rPr>
        <w:footnoteReference w:id="119"/>
      </w:r>
      <w:r w:rsidRPr="000C2F85">
        <w:rPr>
          <w:lang w:val="es-ES_tradnl"/>
        </w:rPr>
        <w:t xml:space="preserve">. El Proyecto Ndabezitha tiene por objeto impartir formación a dirigentes tradicionales, fiscales y funcionarios judiciales sobre asuntos relacionados con la violencia doméstica en las zonas rurales. El Gobierno ha organizado también campañas de sensibilización (a través de los medios de comunicación y mediante libros y folletos) con el fin de dar a conocer a las comunidades los servicios disponibles para hacer frente a la violencia doméstica. </w:t>
      </w:r>
    </w:p>
    <w:p w14:paraId="473866D9" w14:textId="76140551" w:rsidR="000C2F85" w:rsidRPr="000C2F85" w:rsidRDefault="000C2F85" w:rsidP="000C2F85">
      <w:pPr>
        <w:pStyle w:val="SingleTxtG"/>
        <w:rPr>
          <w:lang w:val="es-ES_tradnl"/>
        </w:rPr>
      </w:pPr>
      <w:r w:rsidRPr="000C2F85">
        <w:rPr>
          <w:lang w:val="es-ES_tradnl"/>
        </w:rPr>
        <w:t>137.</w:t>
      </w:r>
      <w:r w:rsidRPr="000C2F85">
        <w:rPr>
          <w:lang w:val="es-ES_tradnl"/>
        </w:rPr>
        <w:tab/>
        <w:t>La Ley contra la Violencia Doméstica de 1998</w:t>
      </w:r>
      <w:r w:rsidRPr="00605B48">
        <w:rPr>
          <w:sz w:val="18"/>
          <w:szCs w:val="18"/>
          <w:vertAlign w:val="superscript"/>
          <w:lang w:val="es-ES_tradnl"/>
        </w:rPr>
        <w:footnoteReference w:id="120"/>
      </w:r>
      <w:r w:rsidRPr="000C2F85">
        <w:rPr>
          <w:lang w:val="es-ES_tradnl"/>
        </w:rPr>
        <w:t xml:space="preserve"> es ampliamente reconocida por varios rasgos destacados, entre ellos su vocación de proporcionar cuidados y apoyo a las víctimas cuando colaboran con los tribunales. El artículo 11 de esta </w:t>
      </w:r>
      <w:r w:rsidR="006B6DB9" w:rsidRPr="000C2F85">
        <w:rPr>
          <w:lang w:val="es-ES_tradnl"/>
        </w:rPr>
        <w:t xml:space="preserve">Ley </w:t>
      </w:r>
      <w:r w:rsidRPr="000C2F85">
        <w:rPr>
          <w:lang w:val="es-ES_tradnl"/>
        </w:rPr>
        <w:t xml:space="preserve">permite que los procedimientos judiciales se celebren a puerta cerrada. Además, da derecho a la víctima a ser acompañada en los tribunales hasta por tres personas para que le presten apoyo con el fin de mitigar la posible ansiedad durante la declaración. Asimismo, la </w:t>
      </w:r>
      <w:r w:rsidR="006B6DB9" w:rsidRPr="000C2F85">
        <w:rPr>
          <w:lang w:val="es-ES_tradnl"/>
        </w:rPr>
        <w:t xml:space="preserve">Ley </w:t>
      </w:r>
      <w:r w:rsidRPr="000C2F85">
        <w:rPr>
          <w:lang w:val="es-ES_tradnl"/>
        </w:rPr>
        <w:t xml:space="preserve">prohíbe que un abusador no representado por un abogado defensor pueda interrogar a una víctima, principalmente para proteger a esta de cualquier intimidación. También se considera que esta </w:t>
      </w:r>
      <w:r w:rsidR="006B6DB9" w:rsidRPr="000C2F85">
        <w:rPr>
          <w:lang w:val="es-ES_tradnl"/>
        </w:rPr>
        <w:t xml:space="preserve">Ley </w:t>
      </w:r>
      <w:r w:rsidRPr="000C2F85">
        <w:rPr>
          <w:lang w:val="es-ES_tradnl"/>
        </w:rPr>
        <w:t xml:space="preserve">es la primera del mundo que reconoce a las parejas del mismo sexo dentro de la clasificación de relaciones familiares. Con arreglo a la Ley contra la Violencia Doméstica, los menores también pueden solicitar (con asistencia o sin ella) una orden de alejamiento. Además, la </w:t>
      </w:r>
      <w:r w:rsidR="006B6DB9" w:rsidRPr="000C2F85">
        <w:rPr>
          <w:lang w:val="es-ES_tradnl"/>
        </w:rPr>
        <w:t xml:space="preserve">Ley </w:t>
      </w:r>
      <w:r w:rsidRPr="000C2F85">
        <w:rPr>
          <w:lang w:val="es-ES_tradnl"/>
        </w:rPr>
        <w:t xml:space="preserve">permite a las personas preocupadas por el bienestar de una víctima solicitar una orden de alejamiento en nombre de esta si otorga su consentimiento por escrito. De ese modo, la </w:t>
      </w:r>
      <w:r w:rsidR="006B6DB9" w:rsidRPr="000C2F85">
        <w:rPr>
          <w:lang w:val="es-ES_tradnl"/>
        </w:rPr>
        <w:t xml:space="preserve">Ley </w:t>
      </w:r>
      <w:r w:rsidRPr="000C2F85">
        <w:rPr>
          <w:lang w:val="es-ES_tradnl"/>
        </w:rPr>
        <w:t>confiere a maestros y profesores, trabajadores sanitarios, agentes de policía, trabajadores sociales, empleadores, familiares e, incluso, vecinos, el derecho actuar contra la violencia en el hogar.</w:t>
      </w:r>
    </w:p>
    <w:p w14:paraId="59CE61BB" w14:textId="77777777" w:rsidR="000C2F85" w:rsidRPr="000C2F85" w:rsidRDefault="000C2F85" w:rsidP="000C2F85">
      <w:pPr>
        <w:pStyle w:val="SingleTxtG"/>
        <w:rPr>
          <w:lang w:val="es-ES_tradnl"/>
        </w:rPr>
      </w:pPr>
      <w:r w:rsidRPr="000C2F85">
        <w:rPr>
          <w:lang w:val="es-ES_tradnl"/>
        </w:rPr>
        <w:t>138.</w:t>
      </w:r>
      <w:r w:rsidRPr="000C2F85">
        <w:rPr>
          <w:lang w:val="es-ES_tradnl"/>
        </w:rPr>
        <w:tab/>
        <w:t>Uno de los principales componentes de la lucha contra la violencia sexual son los Centros de Atención Thuthuzela, que adoptan un enfoque coordinado sobre la forma de controlar eficazmente los delitos sexuales. El modelo de los Centros de Atención Thuthuzela es el de un enfoque integrado de atención posterior a la violación, que tiene por objeto dar consuelo a las víctimas de violencia sexual, restablecer su dignidad y asegurarse de que se haga justicia. El éxito de estos centros se basa en una cooperación eficaz y eficiente entre las partes interesadas, en particular los Departamentos de Justicia, Salud y Desarrollo Social, el Servicio de Policía de Sudáfrica y las organizaciones de la sociedad civil designadas. El modelo se centra específicamente en un enfoque basado en la atención a las víctimas y dirigido por los tribunales, según el cual la investigación corre a cargo de la fiscalía y en el que se cuenta con la cooperación de los interesados. El objetivo final es reducir en la mayor medida posible la victimización secundaria, acortar el ciclo de tramitación de los casos y aumentar la proporción de condenas. A la hora de denunciar un delito, la víctima no tiene que permanecer en la comisaría de policía o en un entorno similar, sino que pasa a un espacio más acogedor antes de ser trasladada por la policía o una ambulancia a un Centro de Atención Thuthuzela de un hospital. La persona también recibe apoyo psicológico. Si el reconocimiento médico tiene lugar dentro de las 72 horas siguientes al incidente, se le proporciona profilaxis posterior a la exposición. El oficial investigador de guardia en el Centro toma declaración a la persona. Actualmente existen 55 Centros de Atención Thuthuzela en todo el país.</w:t>
      </w:r>
    </w:p>
    <w:p w14:paraId="5D882709" w14:textId="453EBCF7" w:rsidR="000C2F85" w:rsidRPr="000C2F85" w:rsidRDefault="000C2F85" w:rsidP="000C2F85">
      <w:pPr>
        <w:pStyle w:val="SingleTxtG"/>
        <w:rPr>
          <w:lang w:val="es-ES_tradnl"/>
        </w:rPr>
      </w:pPr>
      <w:r w:rsidRPr="000C2F85">
        <w:rPr>
          <w:lang w:val="es-ES_tradnl"/>
        </w:rPr>
        <w:t>139.</w:t>
      </w:r>
      <w:r w:rsidRPr="000C2F85">
        <w:rPr>
          <w:lang w:val="es-ES_tradnl"/>
        </w:rPr>
        <w:tab/>
        <w:t xml:space="preserve">El Gobierno también ha restablecido los tribunales de delitos sexuales. Estos tribunales promueven un sistema de justicia centrado en la víctima que presta un conjunto de servicios de apoyo a las víctimas de esos delitos. Se ofrecen, entre otros, servicios de </w:t>
      </w:r>
      <w:r w:rsidRPr="000C2F85">
        <w:rPr>
          <w:lang w:val="es-ES_tradnl"/>
        </w:rPr>
        <w:lastRenderedPageBreak/>
        <w:t>información accesible, preparación para comparecer en los tribunales, contención emocional antes y después del juicio, la posibilidad de prestar declaración a puerta cerrada, intermediación, y pago de dietas a testigos. A 31 de marzo de 2018, se habían establecido 74</w:t>
      </w:r>
      <w:r w:rsidR="000A44E9">
        <w:rPr>
          <w:lang w:val="es-ES_tradnl"/>
        </w:rPr>
        <w:t> </w:t>
      </w:r>
      <w:r w:rsidRPr="000C2F85">
        <w:rPr>
          <w:lang w:val="es-ES_tradnl"/>
        </w:rPr>
        <w:t xml:space="preserve">tribunales especializados en delitos sexuales en zonas con una alta incidencia de este tipo de delitos. Recientemente se publicó el Reglamento de Establecimiento y Gestión de Tribunales Especializados en Delitos Sexuales y se invitó a la población a que formulara observaciones. Actualmente el reglamento se encuentra en las etapas finales de elaboración. Entre otras cosas, tiene por objeto orientar la forma de compartir los recursos aportados y la gestión por las distintas partes interesadas que participan en el funcionamiento de esos tribunales. </w:t>
      </w:r>
    </w:p>
    <w:p w14:paraId="4B4E77E2" w14:textId="01C73778" w:rsidR="000C2F85" w:rsidRPr="000C2F85" w:rsidRDefault="000C2F85" w:rsidP="000C2F85">
      <w:pPr>
        <w:pStyle w:val="SingleTxtG"/>
        <w:rPr>
          <w:lang w:val="es-ES_tradnl"/>
        </w:rPr>
      </w:pPr>
      <w:r w:rsidRPr="000C2F85">
        <w:rPr>
          <w:lang w:val="es-ES_tradnl"/>
        </w:rPr>
        <w:t>140.</w:t>
      </w:r>
      <w:r w:rsidRPr="000C2F85">
        <w:rPr>
          <w:lang w:val="es-ES_tradnl"/>
        </w:rPr>
        <w:tab/>
        <w:t xml:space="preserve">En 2014 el ex Presidente de la República dio instrucciones a la Ministra de la Mujer, del ámbito de la Presidencia, para que convirtiera la </w:t>
      </w:r>
      <w:r w:rsidR="0091550D">
        <w:rPr>
          <w:lang w:val="es-ES_tradnl"/>
        </w:rPr>
        <w:t>“</w:t>
      </w:r>
      <w:r w:rsidRPr="000C2F85">
        <w:rPr>
          <w:lang w:val="es-ES_tradnl"/>
        </w:rPr>
        <w:t>Campaña de 16 Días</w:t>
      </w:r>
      <w:r w:rsidR="0091550D">
        <w:rPr>
          <w:lang w:val="es-ES_tradnl"/>
        </w:rPr>
        <w:t>”</w:t>
      </w:r>
      <w:r w:rsidRPr="000C2F85">
        <w:rPr>
          <w:lang w:val="es-ES_tradnl"/>
        </w:rPr>
        <w:t xml:space="preserve"> en la </w:t>
      </w:r>
      <w:r w:rsidR="0091550D">
        <w:rPr>
          <w:lang w:val="es-ES_tradnl"/>
        </w:rPr>
        <w:t>“</w:t>
      </w:r>
      <w:r w:rsidRPr="000C2F85">
        <w:rPr>
          <w:lang w:val="es-ES_tradnl"/>
        </w:rPr>
        <w:t>Campaña de 365 Días</w:t>
      </w:r>
      <w:r w:rsidR="0091550D">
        <w:rPr>
          <w:lang w:val="es-ES_tradnl"/>
        </w:rPr>
        <w:t>”</w:t>
      </w:r>
      <w:r w:rsidRPr="000C2F85">
        <w:rPr>
          <w:lang w:val="es-ES_tradnl"/>
        </w:rPr>
        <w:t xml:space="preserve">, con el fin de sensibilizar y movilizar a los ciudadanos para que participaran en la promoción de la lucha contra la violencia, organizando actividades a lo largo de todo el año y a través de campañas como </w:t>
      </w:r>
      <w:r w:rsidR="0091550D">
        <w:rPr>
          <w:lang w:val="es-ES_tradnl"/>
        </w:rPr>
        <w:t>“</w:t>
      </w:r>
      <w:r w:rsidRPr="000C2F85">
        <w:rPr>
          <w:lang w:val="es-ES_tradnl"/>
        </w:rPr>
        <w:t>365 Días sin Violencia contra las Mujeres y los Niños</w:t>
      </w:r>
      <w:r w:rsidR="0091550D">
        <w:rPr>
          <w:lang w:val="es-ES_tradnl"/>
        </w:rPr>
        <w:t>”</w:t>
      </w:r>
      <w:r w:rsidRPr="000C2F85">
        <w:rPr>
          <w:lang w:val="es-ES_tradnl"/>
        </w:rPr>
        <w:t xml:space="preserve"> y </w:t>
      </w:r>
      <w:r w:rsidR="0091550D">
        <w:rPr>
          <w:lang w:val="es-ES_tradnl"/>
        </w:rPr>
        <w:t>“</w:t>
      </w:r>
      <w:r w:rsidRPr="000C2F85">
        <w:rPr>
          <w:lang w:val="es-ES_tradnl"/>
        </w:rPr>
        <w:t>Cuenta Conmigo</w:t>
      </w:r>
      <w:r w:rsidR="0091550D">
        <w:rPr>
          <w:lang w:val="es-ES_tradnl"/>
        </w:rPr>
        <w:t>”</w:t>
      </w:r>
      <w:r w:rsidRPr="000C2F85">
        <w:rPr>
          <w:lang w:val="es-ES_tradnl"/>
        </w:rPr>
        <w:t xml:space="preserve">. Con miras a erradicar la violencia contra las mujeres y los niños, el Gobierno organizó los Diálogos Nacionales sobre la Violencia Contra las Mujeres y los Niños, que se celebraron por todo el país y en los que participaron mujeres y hombres de todos los estratos sociales, incluidos jóvenes y niños. El Gobierno también estableció el Comité Interministerial sobre la Violencia contra la Mujer, cuya misión es investigar las causas fundamentales de ese fenómeno y elaborar planes nacionales para prevenir y combatir la violencia contra la mujer de forma coordinada. Se han puesto en marcha diversas iniciativas, como el Centro de Mando contra la Violencia de Género, un servicio que funciona las 24 horas del día y que está dedicado a proporcionar apoyo y asesoramiento a las víctimas de violencia de género. En 2015, en los Global Best Contact Centre Awards fue considerado número uno mundial en innovación tecnológica en la categoría de pequeños centros. </w:t>
      </w:r>
    </w:p>
    <w:p w14:paraId="1C59FD5C" w14:textId="77777777" w:rsidR="000C2F85" w:rsidRPr="000C2F85" w:rsidRDefault="000C2F85" w:rsidP="000C2F85">
      <w:pPr>
        <w:pStyle w:val="SingleTxtG"/>
        <w:rPr>
          <w:lang w:val="es-ES_tradnl"/>
        </w:rPr>
      </w:pPr>
      <w:r w:rsidRPr="000C2F85">
        <w:rPr>
          <w:lang w:val="es-ES_tradnl"/>
        </w:rPr>
        <w:t>141.</w:t>
      </w:r>
      <w:r w:rsidRPr="000C2F85">
        <w:rPr>
          <w:lang w:val="es-ES_tradnl"/>
        </w:rPr>
        <w:tab/>
        <w:t xml:space="preserve">Durante los ejercicios económicos 2016/17 y 2017/18 se celebró una serie de diálogos ministeriales de lucha contra la violencia sexual y de género en Gauteng, KwaZulu-Natal, Mpumalanga y el Cabo Occidental, en el marco de una iniciativa de sensibilización pública y colaboración con las víctimas con la que se pretendía dar a conocer mejor las necesidades de estas. Actualmente se está impulsando la campaña Diálogos de Hombres contra el Feminicidio Intrafamiliar, paralelamente a la elaboración de una estrategia contra el feminicidio en Sudáfrica. </w:t>
      </w:r>
    </w:p>
    <w:p w14:paraId="4359673F" w14:textId="77777777" w:rsidR="000C2F85" w:rsidRPr="000C2F85" w:rsidRDefault="000C2F85" w:rsidP="000C2F85">
      <w:pPr>
        <w:pStyle w:val="SingleTxtG"/>
        <w:rPr>
          <w:b/>
          <w:lang w:val="es-ES_tradnl"/>
        </w:rPr>
      </w:pPr>
      <w:r w:rsidRPr="000C2F85">
        <w:rPr>
          <w:lang w:val="es-ES_tradnl"/>
        </w:rPr>
        <w:t>142.</w:t>
      </w:r>
      <w:r w:rsidRPr="000C2F85">
        <w:rPr>
          <w:lang w:val="es-ES_tradnl"/>
        </w:rPr>
        <w:tab/>
        <w:t xml:space="preserve">En mayo de 2017 el Departamento de Justicia y Desarrollo Constitucional puso en marcha un proyecto para el establecimiento de un observatorio contra el feminicidio, en asociación con el centro Tshwaranang y otras administraciones interesadas pertinentes. Con el proyecto se han abierto diferentes líneas de trabajo, que incluyen la investigación, la determinación y la recopilación de fuentes de datos, la verificación de datos y la divulgación pública, entre otras. El Observatorio contra el Feminicidio se ha establecido en respuesta al informe preparado por la Relatora Especial de las Naciones Unidas sobre la violencia contra la mujer, sus causas y consecuencias, tras su visita a Sudáfrica en diciembre de 2015. En el informe que presentó en 2016, la Relatora Especial hacía referencia a los casos de feminicidio, incluidos los relacionados con el género, y criticó al país por su insatisfactoria reacción al respecto. Señaló con preocupación el deficiente sistema de reunión de datos sobre esos casos, y recomendó que se estableciera un observatorio contra el feminicidio en Sudáfrica. Cabe señalar que la Relatora Especial no ha hecho este llamamiento solo a Sudáfrica. El 25 de noviembre de 2015, en su informe a la Asamblea General (A/71/398), la Relatora Especial consideraba que la reunión y el análisis de datos sobre el feminicidio era un problema mundial, y pidió a todos los Estados Partes que establecieran un observatorio contra el feminicidio para subsanar esa deficiencia. </w:t>
      </w:r>
    </w:p>
    <w:p w14:paraId="57DAB7E6" w14:textId="1CC8FCA8" w:rsidR="000C2F85" w:rsidRPr="000C2F85" w:rsidRDefault="005819B5" w:rsidP="005819B5">
      <w:pPr>
        <w:pStyle w:val="H23G"/>
        <w:rPr>
          <w:lang w:val="es-ES_tradnl"/>
        </w:rPr>
      </w:pPr>
      <w:r>
        <w:rPr>
          <w:lang w:val="es-ES_tradnl"/>
        </w:rPr>
        <w:tab/>
      </w:r>
      <w:r w:rsidR="000C2F85" w:rsidRPr="000C2F85">
        <w:rPr>
          <w:lang w:val="es-ES_tradnl"/>
        </w:rPr>
        <w:tab/>
        <w:t>Derechos de las personas LGBTI</w:t>
      </w:r>
    </w:p>
    <w:p w14:paraId="7CCDCE7D" w14:textId="4EABAB23" w:rsidR="000C2F85" w:rsidRPr="000C2F85" w:rsidRDefault="000C2F85" w:rsidP="000C2F85">
      <w:pPr>
        <w:pStyle w:val="SingleTxtG"/>
        <w:rPr>
          <w:lang w:val="es-ES_tradnl"/>
        </w:rPr>
      </w:pPr>
      <w:r w:rsidRPr="000C2F85">
        <w:rPr>
          <w:lang w:val="es-ES_tradnl"/>
        </w:rPr>
        <w:t>143.</w:t>
      </w:r>
      <w:r w:rsidRPr="000C2F85">
        <w:rPr>
          <w:lang w:val="es-ES_tradnl"/>
        </w:rPr>
        <w:tab/>
        <w:t xml:space="preserve">En 2012, en la presentación de su informe nacional para el mecanismo del Examen Periódico Universal del Consejo de Derechos Humanos de las Naciones Unidas, los Estados Miembros de las Naciones Unidas encomiaron a Sudáfrica por su compromiso con los derechos humanos y la mejora de la vida de sus ciudadanos, la prestación de servicios básicos como la vivienda, la salud y la educación, y el destacado papel de Sudáfrica en el Consejo de </w:t>
      </w:r>
      <w:r w:rsidRPr="000C2F85">
        <w:rPr>
          <w:lang w:val="es-ES_tradnl"/>
        </w:rPr>
        <w:lastRenderedPageBreak/>
        <w:t>Derechos Humanos, especialmente en lo que respecta a los derechos de las personas LGBTI. Al mismo tiempo, se instó a Sudáfrica a que preparara medidas urgentes para hacer frente a la violencia contra las personas LGBTI.</w:t>
      </w:r>
    </w:p>
    <w:p w14:paraId="7E778CBD" w14:textId="77777777" w:rsidR="000C2F85" w:rsidRPr="000C2F85" w:rsidRDefault="000C2F85" w:rsidP="000C2F85">
      <w:pPr>
        <w:pStyle w:val="SingleTxtG"/>
        <w:rPr>
          <w:lang w:val="es-ES_tradnl"/>
        </w:rPr>
      </w:pPr>
      <w:r w:rsidRPr="000C2F85">
        <w:rPr>
          <w:lang w:val="es-ES_tradnl"/>
        </w:rPr>
        <w:t>144.</w:t>
      </w:r>
      <w:r w:rsidRPr="000C2F85">
        <w:rPr>
          <w:lang w:val="es-ES_tradnl"/>
        </w:rPr>
        <w:tab/>
        <w:t xml:space="preserve">El establecimiento de un equipo de tareas nacional en 2011 tuvo por objeto combatir la persistencia de la discriminación basada en la orientación sexual y la identidad de género contra miembros de la comunidad LGBTI. El Departamento de Justicia y Desarrollo Constitucional puso en marcha el Programa Nacional para Personas LGBTI, haciendo suyo el compromiso del Gobierno, y dispuso el establecimiento una estrategia nacional de intervención que abordara la violencia de género y por motivos de orientación sexual, así como el mandato del equipo de respuesta rápida para acelerar la gestión de los casos denunciados en el sistema de justicia penal. El equipo de tareas nacional es un ejemplo de colaboración sumamente satisfactoria entre el Gobierno y la sociedad civil y se mencionó en un informe de 2016 de la Oficina del Alto Comisionado de las Naciones Unidas para los Derechos Humanos como modelo de mejores prácticas y estudio de caso internacional de cooperación entre el Gobierno y la sociedad civil. </w:t>
      </w:r>
    </w:p>
    <w:p w14:paraId="4B5F2E43" w14:textId="77777777" w:rsidR="000C2F85" w:rsidRPr="000C2F85" w:rsidRDefault="000C2F85" w:rsidP="000C2F85">
      <w:pPr>
        <w:pStyle w:val="SingleTxtG"/>
        <w:rPr>
          <w:lang w:val="es-ES_tradnl"/>
        </w:rPr>
      </w:pPr>
      <w:r w:rsidRPr="000C2F85">
        <w:rPr>
          <w:lang w:val="es-ES_tradnl"/>
        </w:rPr>
        <w:t>145.</w:t>
      </w:r>
      <w:r w:rsidRPr="000C2F85">
        <w:rPr>
          <w:lang w:val="es-ES_tradnl"/>
        </w:rPr>
        <w:tab/>
        <w:t>El equipo de tareas nacional sigue trabajando para combatir la persistente discriminación por motivos de orientación sexual e identidad de género contra miembros de la comunidad LGBTI. En ese sentido, los logros alcanzados incluyen la elaboración de una estrategia nacional de intervención, el establecimiento de un equipo de respuesta rápida a nivel nacional que se reúne cada tres meses para examinar los progresos realizados respecto de los casos pendientes, y la creación de equipos de tareas provinciales y equipos de respuesta rápida dirigidos por las oficinas provinciales del Departamento de Justicia y Desarrollo Constitucional. Además de la labor del equipo de tareas nacional, el Gobierno está colaborando con la sociedad civil en el ámbito de los derechos de las personas intersexuales</w:t>
      </w:r>
      <w:r w:rsidRPr="00605B48">
        <w:rPr>
          <w:sz w:val="18"/>
          <w:szCs w:val="18"/>
          <w:vertAlign w:val="superscript"/>
          <w:lang w:val="es-ES_tradnl"/>
        </w:rPr>
        <w:footnoteReference w:id="121"/>
      </w:r>
      <w:r w:rsidRPr="000C2F85">
        <w:rPr>
          <w:lang w:val="es-ES_tradnl"/>
        </w:rPr>
        <w:t xml:space="preserve">. </w:t>
      </w:r>
    </w:p>
    <w:p w14:paraId="1D7EA712" w14:textId="77777777" w:rsidR="000C2F85" w:rsidRPr="000C2F85" w:rsidRDefault="000C2F85" w:rsidP="005819B5">
      <w:pPr>
        <w:pStyle w:val="H1G"/>
        <w:rPr>
          <w:lang w:val="es-ES_tradnl"/>
        </w:rPr>
      </w:pPr>
      <w:r w:rsidRPr="000C2F85">
        <w:rPr>
          <w:lang w:val="es-ES_tradnl"/>
        </w:rPr>
        <w:tab/>
        <w:t>D.</w:t>
      </w:r>
      <w:r w:rsidRPr="000C2F85">
        <w:rPr>
          <w:lang w:val="es-ES_tradnl"/>
        </w:rPr>
        <w:tab/>
        <w:t>Proceso de presentación de informes a nivel nacional</w:t>
      </w:r>
    </w:p>
    <w:p w14:paraId="1EDC1224" w14:textId="77777777" w:rsidR="000C2F85" w:rsidRPr="000C2F85" w:rsidRDefault="000C2F85" w:rsidP="000C2F85">
      <w:pPr>
        <w:pStyle w:val="SingleTxtG"/>
        <w:rPr>
          <w:lang w:val="es-ES_tradnl"/>
        </w:rPr>
      </w:pPr>
      <w:r w:rsidRPr="000C2F85">
        <w:rPr>
          <w:lang w:val="es-ES_tradnl"/>
        </w:rPr>
        <w:t>146.</w:t>
      </w:r>
      <w:r w:rsidRPr="000C2F85">
        <w:rPr>
          <w:lang w:val="es-ES_tradnl"/>
        </w:rPr>
        <w:tab/>
        <w:t>El procedimiento de presentación de informes a nivel nacional debería contribuir a fomentar la participación popular y ofrecer una oportunidad para que la opinión pública examinase las políticas gubernamentales. Es importante que la sociedad civil colabore en este proceso a fin de crear una plataforma para la participación constructiva hacia el objetivo común de promover el disfrute de todos los derechos para quienes viven dentro de nuestras fronteras.</w:t>
      </w:r>
    </w:p>
    <w:p w14:paraId="7BB0B62F" w14:textId="77777777" w:rsidR="000C2F85" w:rsidRPr="000C2F85" w:rsidRDefault="000C2F85" w:rsidP="000C2F85">
      <w:pPr>
        <w:pStyle w:val="SingleTxtG"/>
        <w:rPr>
          <w:lang w:val="es-ES_tradnl"/>
        </w:rPr>
      </w:pPr>
      <w:r w:rsidRPr="000C2F85">
        <w:rPr>
          <w:lang w:val="es-ES_tradnl"/>
        </w:rPr>
        <w:t>147.</w:t>
      </w:r>
      <w:r w:rsidRPr="000C2F85">
        <w:rPr>
          <w:lang w:val="es-ES_tradnl"/>
        </w:rPr>
        <w:tab/>
        <w:t>El sistema de tratados de derechos humanos de las Naciones Unidas consta de nueve tratados fundamentales. Si un Estado Miembro es parte en los nueve tratados y sus protocolos facultativos, tiene que presentar más de 22 informes nacionales en un período de diez años, sin contar los informes que deben presentarse en el marco de las obligaciones contraídas con otras organizaciones, como la OIT o la Organización de las Naciones Unidas para la Educación, la Ciencia y la Cultura (UNESCO). La carga de trabajo que supone la presentación de informes es considerable, incluso para los Estados que tienen capacidad técnica para hacerlo, independientemente del nivel de compromiso del Estado con la realización de los derechos humanos.</w:t>
      </w:r>
    </w:p>
    <w:p w14:paraId="454A1160" w14:textId="77777777" w:rsidR="000C2F85" w:rsidRPr="000C2F85" w:rsidRDefault="000C2F85" w:rsidP="000C2F85">
      <w:pPr>
        <w:pStyle w:val="SingleTxtG"/>
        <w:rPr>
          <w:lang w:val="es-ES_tradnl"/>
        </w:rPr>
      </w:pPr>
      <w:r w:rsidRPr="000C2F85">
        <w:rPr>
          <w:lang w:val="es-ES_tradnl"/>
        </w:rPr>
        <w:t>148.</w:t>
      </w:r>
      <w:r w:rsidRPr="000C2F85">
        <w:rPr>
          <w:lang w:val="es-ES_tradnl"/>
        </w:rPr>
        <w:tab/>
        <w:t xml:space="preserve">En 2012 el Departamento de Justicia y Desarrollo Constitucional estableció, junto con la Comisión de Derechos Humanos de Sudáfrica, el Comité Interdepartamental sobre Obligaciones Resultantes de Tratados Internacionales, para que se ocupara del número cada vez mayor de informes nacionales que debían presentarse a los diversos órganos creados en virtud de tratados. El Comité, integrado por miembros de todos los departamentos del Gobierno, tenía el objetivo de facilitar la recopilación de datos y los procesos de redacción y consulta necesarios para la elaboración de un informe nacional. En vista de que su funcionamiento distaba de ser óptimo, se elaboraron diversos procesos </w:t>
      </w:r>
      <w:r w:rsidRPr="000C2F85">
        <w:rPr>
          <w:i/>
          <w:iCs/>
          <w:lang w:val="es-ES_tradnl"/>
        </w:rPr>
        <w:t>ad hoc</w:t>
      </w:r>
      <w:r w:rsidRPr="000C2F85">
        <w:rPr>
          <w:lang w:val="es-ES_tradnl"/>
        </w:rPr>
        <w:t xml:space="preserve"> para elaborar </w:t>
      </w:r>
      <w:r w:rsidRPr="000C2F85">
        <w:rPr>
          <w:lang w:val="es-ES_tradnl"/>
        </w:rPr>
        <w:lastRenderedPageBreak/>
        <w:t>algunos informes. Por ejemplo, para la redacción y conclusión del informe nacional de 2017 sobre el Pacto Internacional de Derechos Económicos, Sociales y Culturales, se creó un grupo dedicado a la gestión de los datos, independiente del Comité Interdepartamental sobre Obligaciones Resultantes de Tratados Internacionales, y se celebraron consultas con todas las partes interesadas, incluidas ONG y organizaciones de la sociedad civil en el marco de talleres, en lugar de hacerlo bajo los auspicios del Comité.</w:t>
      </w:r>
    </w:p>
    <w:p w14:paraId="458963B8" w14:textId="07E513DE" w:rsidR="000C2F85" w:rsidRPr="000C2F85" w:rsidRDefault="000C2F85" w:rsidP="000C2F85">
      <w:pPr>
        <w:pStyle w:val="SingleTxtG"/>
        <w:rPr>
          <w:lang w:val="es-ES_tradnl"/>
        </w:rPr>
      </w:pPr>
      <w:r w:rsidRPr="000C2F85">
        <w:rPr>
          <w:lang w:val="es-ES_tradnl"/>
        </w:rPr>
        <w:t>149.</w:t>
      </w:r>
      <w:r w:rsidRPr="000C2F85">
        <w:rPr>
          <w:lang w:val="es-ES_tradnl"/>
        </w:rPr>
        <w:tab/>
        <w:t>El Departamento de Justicia y Desarrollo Constitucional ha puesto en marcha un proceso para establecer un mecanismo nacional de presentación de informes y seguimiento de las obligaciones de Sudáfrica en virtud de los tratados de derechos humanos, que se ajustará a las recomendaciones de la Oficina del Alto Comisionado de las Naciones Unidas para los Derechos Humanos (ACNUDH). Este proceso debía finalizar durante el período</w:t>
      </w:r>
      <w:r w:rsidR="002A2AAA">
        <w:rPr>
          <w:lang w:val="es-ES_tradnl"/>
        </w:rPr>
        <w:t> </w:t>
      </w:r>
      <w:r w:rsidRPr="000C2F85">
        <w:rPr>
          <w:lang w:val="es-ES_tradnl"/>
        </w:rPr>
        <w:t>2018/19. En ausencia de un mecanismo nacional de presentación de informes y seguimiento, en la actualidad el Comité Interdepartamental sobre Obligaciones Resultantes de Tratados Internacionales reúne datos y examina los proyectos de informe antes de que estos se presenten a las ONG y las organizaciones de la sociedad civil para recabar sus opiniones y de que se sometan a los procesos de aprobación del Gobierno hasta llegar al Consejo de Ministros.</w:t>
      </w:r>
    </w:p>
    <w:p w14:paraId="42C36D80" w14:textId="77777777" w:rsidR="000C2F85" w:rsidRPr="000C2F85" w:rsidRDefault="000C2F85" w:rsidP="000C2F85">
      <w:pPr>
        <w:pStyle w:val="SingleTxtG"/>
        <w:rPr>
          <w:lang w:val="es-ES_tradnl"/>
        </w:rPr>
      </w:pPr>
      <w:r w:rsidRPr="000C2F85">
        <w:rPr>
          <w:lang w:val="es-ES_tradnl"/>
        </w:rPr>
        <w:t>150.</w:t>
      </w:r>
      <w:r w:rsidRPr="000C2F85">
        <w:rPr>
          <w:lang w:val="es-ES_tradnl"/>
        </w:rPr>
        <w:tab/>
        <w:t>Las recomendaciones formuladas por los diversos órganos creados en virtud de tratados se señalan a la atención del Consejo de Ministros y se transmiten a los departamentos gubernamentales por conducto del Comité Interdepartamental sobre Obligaciones Resultantes de Tratados Internacionales, así como de talleres en los que se dan a conocer las recomendaciones y las actividades de ejecución y planificación que en consecuencia se estiman necesarias. Se prevé que las labores de difusión, ejecución, planificación y seguimiento de las recomendaciones serán más eficientes una vez que el mecanismo nacional de presentación de informes y seguimiento se haya establecido y funcione a pleno rendimiento.</w:t>
      </w:r>
    </w:p>
    <w:p w14:paraId="5E4C914E" w14:textId="77777777" w:rsidR="000C2F85" w:rsidRPr="000C2F85" w:rsidRDefault="000C2F85" w:rsidP="005819B5">
      <w:pPr>
        <w:pStyle w:val="H1G"/>
        <w:rPr>
          <w:lang w:val="es-ES_tradnl"/>
        </w:rPr>
      </w:pPr>
      <w:r w:rsidRPr="000C2F85">
        <w:rPr>
          <w:lang w:val="es-ES_tradnl"/>
        </w:rPr>
        <w:tab/>
        <w:t>E.</w:t>
      </w:r>
      <w:r w:rsidRPr="000C2F85">
        <w:rPr>
          <w:lang w:val="es-ES_tradnl"/>
        </w:rPr>
        <w:tab/>
        <w:t>Otra información conexa sobre los derechos humanos</w:t>
      </w:r>
    </w:p>
    <w:p w14:paraId="3A6F33F4" w14:textId="77777777" w:rsidR="000C2F85" w:rsidRPr="000C2F85" w:rsidRDefault="000C2F85" w:rsidP="000C2F85">
      <w:pPr>
        <w:pStyle w:val="SingleTxtG"/>
        <w:rPr>
          <w:lang w:val="es-ES_tradnl"/>
        </w:rPr>
      </w:pPr>
      <w:r w:rsidRPr="000C2F85">
        <w:rPr>
          <w:lang w:val="es-ES_tradnl"/>
        </w:rPr>
        <w:t>151.</w:t>
      </w:r>
      <w:r w:rsidRPr="000C2F85">
        <w:rPr>
          <w:lang w:val="es-ES_tradnl"/>
        </w:rPr>
        <w:tab/>
        <w:t>La Constitución, con su Carta de Derechos, es la piedra angular de la democracia en Sudáfrica. Consagra los derechos de todas las personas que viven en Sudáfrica y afirma los valores democráticos de dignidad, igualdad y libertad de los seres humanos. Las limitaciones de derechos deben ajustarse a lo dispuesto en el artículo 36 de la Constitución. Además, el Estado tiene la obligación de respetar, proteger, promover y realizar todos los derechos humanos.</w:t>
      </w:r>
    </w:p>
    <w:p w14:paraId="5728F094" w14:textId="77777777" w:rsidR="000C2F85" w:rsidRPr="000C2F85" w:rsidRDefault="000C2F85" w:rsidP="000C2F85">
      <w:pPr>
        <w:pStyle w:val="SingleTxtG"/>
        <w:rPr>
          <w:b/>
          <w:lang w:val="es-ES_tradnl"/>
        </w:rPr>
      </w:pPr>
      <w:r w:rsidRPr="000C2F85">
        <w:rPr>
          <w:lang w:val="es-ES_tradnl"/>
        </w:rPr>
        <w:t>152.</w:t>
      </w:r>
      <w:r w:rsidRPr="000C2F85">
        <w:rPr>
          <w:lang w:val="es-ES_tradnl"/>
        </w:rPr>
        <w:tab/>
        <w:t>Como ya se ha señalado, el Plan Nacional de Desarrollo es la piedra angular de la estrategia y las políticas de desarrollo económico y socioeconómico de Sudáfrica. Ninguna democracia política puede sobrevivir y prosperar si la mayoría de su población vive en la pobreza, carece de tierra y no tiene perspectivas reales de mejorar sus condiciones de vida. La lucha contra la pobreza y las privaciones tiene que ser, por tanto, la principal prioridad de un gobierno democrático</w:t>
      </w:r>
      <w:r w:rsidRPr="00605B48">
        <w:rPr>
          <w:sz w:val="18"/>
          <w:szCs w:val="18"/>
          <w:vertAlign w:val="superscript"/>
          <w:lang w:val="es-ES_tradnl"/>
        </w:rPr>
        <w:footnoteReference w:id="122"/>
      </w:r>
      <w:r w:rsidRPr="000C2F85">
        <w:rPr>
          <w:lang w:val="es-ES_tradnl"/>
        </w:rPr>
        <w:t>. En mayo de 2010 el ex-Presidente Zuma encomendó a la Comisión Nacional de Planificación la elaboración de un proyecto de visión y un plan nacional de desarrollo. La Comisión es un órgano consultivo integrado por 26 personas (la mayoría de las cuales no forman parte de entidades gubernamentales), seleccionadas por sus conocimientos en ámbitos de especial interés. En su informe de diagnóstico publicado en junio de 2011, la Comisión expuso los logros y tropiezos de Sudáfrica desde 1994. Señaló que las lagunas en la implementación de políticas y la ausencia de alianzas amplias eran los principales motivos de la lentitud de los avances, y destacó los nueve retos principales siguientes:</w:t>
      </w:r>
    </w:p>
    <w:p w14:paraId="58A24EE8" w14:textId="5CF354DE" w:rsidR="000C2F85" w:rsidRPr="000C2F85" w:rsidRDefault="000C2F85" w:rsidP="005819B5">
      <w:pPr>
        <w:pStyle w:val="Bullet1G"/>
        <w:rPr>
          <w:lang w:val="es-ES_tradnl"/>
        </w:rPr>
      </w:pPr>
      <w:r w:rsidRPr="000C2F85">
        <w:rPr>
          <w:lang w:val="es-ES_tradnl"/>
        </w:rPr>
        <w:t>Hay demasiadas personas sin trabajo</w:t>
      </w:r>
      <w:r w:rsidR="005819B5">
        <w:rPr>
          <w:lang w:val="es-ES_tradnl"/>
        </w:rPr>
        <w:t>.</w:t>
      </w:r>
    </w:p>
    <w:p w14:paraId="65B9FEC2" w14:textId="20625BB4" w:rsidR="000C2F85" w:rsidRPr="000C2F85" w:rsidRDefault="000C2F85" w:rsidP="005819B5">
      <w:pPr>
        <w:pStyle w:val="Bullet1G"/>
        <w:rPr>
          <w:lang w:val="es-ES_tradnl"/>
        </w:rPr>
      </w:pPr>
      <w:r w:rsidRPr="000C2F85">
        <w:rPr>
          <w:lang w:val="es-ES_tradnl"/>
        </w:rPr>
        <w:t>La calidad de la enseñanza de la población negra es baja</w:t>
      </w:r>
      <w:r w:rsidR="005819B5">
        <w:rPr>
          <w:lang w:val="es-ES_tradnl"/>
        </w:rPr>
        <w:t>.</w:t>
      </w:r>
    </w:p>
    <w:p w14:paraId="2B6F4892" w14:textId="4EA161A0" w:rsidR="000C2F85" w:rsidRPr="000C2F85" w:rsidRDefault="000C2F85" w:rsidP="005819B5">
      <w:pPr>
        <w:pStyle w:val="Bullet1G"/>
        <w:rPr>
          <w:lang w:val="es-ES_tradnl"/>
        </w:rPr>
      </w:pPr>
      <w:r w:rsidRPr="000C2F85">
        <w:rPr>
          <w:lang w:val="es-ES_tradnl"/>
        </w:rPr>
        <w:t>Las infraestructuras están mal repartidas, son insuficientes y no se mantienen adecuadamente</w:t>
      </w:r>
      <w:r w:rsidR="005819B5">
        <w:rPr>
          <w:lang w:val="es-ES_tradnl"/>
        </w:rPr>
        <w:t>.</w:t>
      </w:r>
    </w:p>
    <w:p w14:paraId="673FD8B0" w14:textId="31308EA4" w:rsidR="000C2F85" w:rsidRPr="000C2F85" w:rsidRDefault="000C2F85" w:rsidP="005819B5">
      <w:pPr>
        <w:pStyle w:val="Bullet1G"/>
        <w:rPr>
          <w:lang w:val="es-ES_tradnl"/>
        </w:rPr>
      </w:pPr>
      <w:r w:rsidRPr="000C2F85">
        <w:rPr>
          <w:lang w:val="es-ES_tradnl"/>
        </w:rPr>
        <w:lastRenderedPageBreak/>
        <w:t>Las divisiones espaciales obstaculizan el desarrollo inclusivo</w:t>
      </w:r>
      <w:r w:rsidR="005819B5">
        <w:rPr>
          <w:lang w:val="es-ES_tradnl"/>
        </w:rPr>
        <w:t>.</w:t>
      </w:r>
    </w:p>
    <w:p w14:paraId="1768B500" w14:textId="7051AC1C" w:rsidR="000C2F85" w:rsidRPr="000C2F85" w:rsidRDefault="000C2F85" w:rsidP="005819B5">
      <w:pPr>
        <w:pStyle w:val="Bullet1G"/>
        <w:rPr>
          <w:lang w:val="es-ES_tradnl"/>
        </w:rPr>
      </w:pPr>
      <w:r w:rsidRPr="000C2F85">
        <w:rPr>
          <w:lang w:val="es-ES_tradnl"/>
        </w:rPr>
        <w:t>La economía se basa en un uso intensivo e insostenible de los recursos</w:t>
      </w:r>
      <w:r w:rsidR="005819B5">
        <w:rPr>
          <w:lang w:val="es-ES_tradnl"/>
        </w:rPr>
        <w:t>.</w:t>
      </w:r>
    </w:p>
    <w:p w14:paraId="26F48B68" w14:textId="4AE00D48" w:rsidR="000C2F85" w:rsidRPr="000C2F85" w:rsidRDefault="000C2F85" w:rsidP="005819B5">
      <w:pPr>
        <w:pStyle w:val="Bullet1G"/>
        <w:rPr>
          <w:lang w:val="es-ES_tradnl"/>
        </w:rPr>
      </w:pPr>
      <w:r w:rsidRPr="000C2F85">
        <w:rPr>
          <w:lang w:val="es-ES_tradnl"/>
        </w:rPr>
        <w:t>El sistema de salud pública no está a la altura de la demanda ni puede mantener un alto nivel de calidad</w:t>
      </w:r>
      <w:r w:rsidR="005819B5">
        <w:rPr>
          <w:lang w:val="es-ES_tradnl"/>
        </w:rPr>
        <w:t>.</w:t>
      </w:r>
    </w:p>
    <w:p w14:paraId="0E94D66C" w14:textId="5B421706" w:rsidR="000C2F85" w:rsidRPr="000C2F85" w:rsidRDefault="000C2F85" w:rsidP="005819B5">
      <w:pPr>
        <w:pStyle w:val="Bullet1G"/>
        <w:rPr>
          <w:lang w:val="es-ES_tradnl"/>
        </w:rPr>
      </w:pPr>
      <w:r w:rsidRPr="000C2F85">
        <w:rPr>
          <w:lang w:val="es-ES_tradnl"/>
        </w:rPr>
        <w:t>Los servicios públicos son desiguales y, con frecuencia, deficientes</w:t>
      </w:r>
      <w:r w:rsidR="005819B5">
        <w:rPr>
          <w:lang w:val="es-ES_tradnl"/>
        </w:rPr>
        <w:t>.</w:t>
      </w:r>
    </w:p>
    <w:p w14:paraId="7EF2A534" w14:textId="15D2B053" w:rsidR="000C2F85" w:rsidRPr="000C2F85" w:rsidRDefault="000C2F85" w:rsidP="005819B5">
      <w:pPr>
        <w:pStyle w:val="Bullet1G"/>
        <w:rPr>
          <w:lang w:val="es-ES_tradnl"/>
        </w:rPr>
      </w:pPr>
      <w:r w:rsidRPr="000C2F85">
        <w:rPr>
          <w:lang w:val="es-ES_tradnl"/>
        </w:rPr>
        <w:t>Los niveles de corrupción son altos</w:t>
      </w:r>
      <w:r w:rsidR="005819B5">
        <w:rPr>
          <w:lang w:val="es-ES_tradnl"/>
        </w:rPr>
        <w:t>.</w:t>
      </w:r>
    </w:p>
    <w:p w14:paraId="3DB8B008" w14:textId="5F16220F" w:rsidR="000C2F85" w:rsidRPr="000C2F85" w:rsidRDefault="000C2F85" w:rsidP="005819B5">
      <w:pPr>
        <w:pStyle w:val="Bullet1G"/>
        <w:rPr>
          <w:lang w:val="es-ES_tradnl"/>
        </w:rPr>
      </w:pPr>
      <w:r w:rsidRPr="000C2F85">
        <w:rPr>
          <w:lang w:val="es-ES_tradnl"/>
        </w:rPr>
        <w:t>La sociedad sudafricana sigue estando dividida.</w:t>
      </w:r>
    </w:p>
    <w:p w14:paraId="7145EB5C" w14:textId="0E843389" w:rsidR="000C2F85" w:rsidRPr="000C2F85" w:rsidRDefault="000C2F85" w:rsidP="000C2F85">
      <w:pPr>
        <w:pStyle w:val="SingleTxtG"/>
        <w:rPr>
          <w:lang w:val="es-ES_tradnl"/>
        </w:rPr>
      </w:pPr>
      <w:r w:rsidRPr="000C2F85">
        <w:rPr>
          <w:lang w:val="es-ES_tradnl"/>
        </w:rPr>
        <w:t>153.</w:t>
      </w:r>
      <w:r w:rsidRPr="000C2F85">
        <w:rPr>
          <w:lang w:val="es-ES_tradnl"/>
        </w:rPr>
        <w:tab/>
        <w:t xml:space="preserve">El informe de diagnóstico fue acogido como una evaluación franca y constructiva por sudafricanos de todas las condiciones sociales. En la versión definitiva del Plan Nacional de Desarrollo para 2030, publicada en 2013, se señala que, tras dos décadas de democracia, Sudáfrica sigue siendo una sociedad muy desigual en la que muchas personas viven en la pobreza y muy pocas tienen trabajo. La calidad de la enseñanza para la mayoría de los alumnos negros es baja. En el país sigue imperando la división espacial que se había impuesto con el </w:t>
      </w:r>
      <w:r w:rsidRPr="000C2F85">
        <w:rPr>
          <w:i/>
          <w:iCs/>
          <w:lang w:val="es-ES_tradnl"/>
        </w:rPr>
        <w:t>apartheid</w:t>
      </w:r>
      <w:r w:rsidRPr="000C2F85">
        <w:rPr>
          <w:lang w:val="es-ES_tradnl"/>
        </w:rPr>
        <w:t xml:space="preserve">. Una gran proporción de jóvenes sienten que las probabilidades están en su contra. Y el legado del </w:t>
      </w:r>
      <w:r w:rsidRPr="000C2F85">
        <w:rPr>
          <w:i/>
          <w:iCs/>
          <w:lang w:val="es-ES_tradnl"/>
        </w:rPr>
        <w:t>apartheid</w:t>
      </w:r>
      <w:r w:rsidRPr="000C2F85">
        <w:rPr>
          <w:lang w:val="es-ES_tradnl"/>
        </w:rPr>
        <w:t xml:space="preserve"> sigue determinando las oportunidades de la gran mayoría de la población. Solo se puede hacer frente a estos ingentes retos mediante un cambio sustancial en el desempeño del país. Para acelerar el progreso, consolidar la democracia y construir una sociedad más inclusiva, Sudáfrica debe traducir la emancipación política en bienestar económico para todos. El Plan Nacional de Desarrollo proporciona un marco para lograr un cambio socioeconómico radical. Tras su adopción, el Consejo de Ministros decidió en 2013 que el Marco Estratégico de Mediano Plazo 2014-2019 constituiría la primera etapa quinquenal de ejecución del Plan Nacional de Desarrollo y dio instrucciones para que se pusiera en marcha la labor de armonización de los planes de los departamentos provinciales y nacionales, las municipalidades y las entidades públicas con la visión y las metas del Plan Nacional de Desarrollo. El Marco Estratégico de Mediano Plazo se estructura en torno a 14</w:t>
      </w:r>
      <w:r w:rsidR="0094788C">
        <w:rPr>
          <w:lang w:val="es-ES_tradnl"/>
        </w:rPr>
        <w:t> </w:t>
      </w:r>
      <w:r w:rsidRPr="000C2F85">
        <w:rPr>
          <w:lang w:val="es-ES_tradnl"/>
        </w:rPr>
        <w:t>resultados prioritarios que abarcan los ámbitos de acción enunciados en el Plan Nacional de Desarrollo y en el mandato electoral del Gobierno. Los 14 resultados son los siguientes:</w:t>
      </w:r>
    </w:p>
    <w:p w14:paraId="22631B10" w14:textId="38DF98B4" w:rsidR="000C2F85" w:rsidRPr="000C2F85" w:rsidRDefault="000C2F85" w:rsidP="005819B5">
      <w:pPr>
        <w:pStyle w:val="Bullet1G"/>
        <w:rPr>
          <w:lang w:val="es-ES_tradnl"/>
        </w:rPr>
      </w:pPr>
      <w:r w:rsidRPr="000C2F85">
        <w:rPr>
          <w:lang w:val="es-ES_tradnl"/>
        </w:rPr>
        <w:t>Resultado 1: Una educación básica de calidad</w:t>
      </w:r>
      <w:r w:rsidR="005819B5">
        <w:rPr>
          <w:lang w:val="es-ES_tradnl"/>
        </w:rPr>
        <w:t>.</w:t>
      </w:r>
    </w:p>
    <w:p w14:paraId="4F120B5B" w14:textId="477D7A31" w:rsidR="000C2F85" w:rsidRPr="000C2F85" w:rsidRDefault="000C2F85" w:rsidP="005819B5">
      <w:pPr>
        <w:pStyle w:val="Bullet1G"/>
        <w:rPr>
          <w:lang w:val="es-ES_tradnl"/>
        </w:rPr>
      </w:pPr>
      <w:r w:rsidRPr="000C2F85">
        <w:rPr>
          <w:lang w:val="es-ES_tradnl"/>
        </w:rPr>
        <w:t>Resultado 2: Una vida larga y sana</w:t>
      </w:r>
      <w:r w:rsidR="005819B5">
        <w:rPr>
          <w:lang w:val="es-ES_tradnl"/>
        </w:rPr>
        <w:t>.</w:t>
      </w:r>
    </w:p>
    <w:p w14:paraId="024A7409" w14:textId="02780133" w:rsidR="000C2F85" w:rsidRPr="000C2F85" w:rsidRDefault="000C2F85" w:rsidP="005819B5">
      <w:pPr>
        <w:pStyle w:val="Bullet1G"/>
        <w:rPr>
          <w:lang w:val="es-ES_tradnl"/>
        </w:rPr>
      </w:pPr>
      <w:r w:rsidRPr="000C2F85">
        <w:rPr>
          <w:lang w:val="es-ES_tradnl"/>
        </w:rPr>
        <w:t>Resultado 3: Todas las personas están protegidas y se sienten seguras</w:t>
      </w:r>
      <w:r w:rsidR="005819B5">
        <w:rPr>
          <w:lang w:val="es-ES_tradnl"/>
        </w:rPr>
        <w:t>.</w:t>
      </w:r>
    </w:p>
    <w:p w14:paraId="7D5225CD" w14:textId="3D79C46B" w:rsidR="000C2F85" w:rsidRPr="000C2F85" w:rsidRDefault="000C2F85" w:rsidP="005819B5">
      <w:pPr>
        <w:pStyle w:val="Bullet1G"/>
        <w:rPr>
          <w:lang w:val="es-ES_tradnl"/>
        </w:rPr>
      </w:pPr>
      <w:r w:rsidRPr="000C2F85">
        <w:rPr>
          <w:lang w:val="es-ES_tradnl"/>
        </w:rPr>
        <w:t>Resultado 4: Empleos dignos gracias a un crecimiento inclusivo</w:t>
      </w:r>
      <w:r w:rsidR="005819B5">
        <w:rPr>
          <w:lang w:val="es-ES_tradnl"/>
        </w:rPr>
        <w:t>.</w:t>
      </w:r>
    </w:p>
    <w:p w14:paraId="538133F1" w14:textId="24BD7313" w:rsidR="000C2F85" w:rsidRPr="000C2F85" w:rsidRDefault="000C2F85" w:rsidP="005819B5">
      <w:pPr>
        <w:pStyle w:val="Bullet1G"/>
        <w:rPr>
          <w:lang w:val="es-ES_tradnl"/>
        </w:rPr>
      </w:pPr>
      <w:r w:rsidRPr="000C2F85">
        <w:rPr>
          <w:lang w:val="es-ES_tradnl"/>
        </w:rPr>
        <w:t>Resultado 5: Una mano de obra cualificada y capaz para apoyar la vía del crecimiento inclusivo</w:t>
      </w:r>
      <w:r w:rsidR="005819B5">
        <w:rPr>
          <w:lang w:val="es-ES_tradnl"/>
        </w:rPr>
        <w:t>.</w:t>
      </w:r>
    </w:p>
    <w:p w14:paraId="1EB288E2" w14:textId="4665716A" w:rsidR="000C2F85" w:rsidRPr="000C2F85" w:rsidRDefault="000C2F85" w:rsidP="005819B5">
      <w:pPr>
        <w:pStyle w:val="Bullet1G"/>
        <w:rPr>
          <w:lang w:val="es-ES_tradnl"/>
        </w:rPr>
      </w:pPr>
      <w:r w:rsidRPr="000C2F85">
        <w:rPr>
          <w:lang w:val="es-ES_tradnl"/>
        </w:rPr>
        <w:t>Resultado 6: Una red de infraestructura económica eficiente, competitiva y receptiva</w:t>
      </w:r>
      <w:r w:rsidR="005819B5">
        <w:rPr>
          <w:lang w:val="es-ES_tradnl"/>
        </w:rPr>
        <w:t>.</w:t>
      </w:r>
    </w:p>
    <w:p w14:paraId="423A01E5" w14:textId="2FD32089" w:rsidR="000C2F85" w:rsidRPr="000C2F85" w:rsidRDefault="000C2F85" w:rsidP="005819B5">
      <w:pPr>
        <w:pStyle w:val="Bullet1G"/>
        <w:rPr>
          <w:lang w:val="es-ES_tradnl"/>
        </w:rPr>
      </w:pPr>
      <w:r w:rsidRPr="000C2F85">
        <w:rPr>
          <w:lang w:val="es-ES_tradnl"/>
        </w:rPr>
        <w:t>Resultado 7: Comunidades rurales dinámicas, equitativas y sostenibles que contribuyan a la consecución de la seguridad alimentaria para todos</w:t>
      </w:r>
      <w:r w:rsidR="005819B5">
        <w:rPr>
          <w:lang w:val="es-ES_tradnl"/>
        </w:rPr>
        <w:t>.</w:t>
      </w:r>
    </w:p>
    <w:p w14:paraId="46678615" w14:textId="7EA4ABC8" w:rsidR="000C2F85" w:rsidRPr="000C2F85" w:rsidRDefault="000C2F85" w:rsidP="005819B5">
      <w:pPr>
        <w:pStyle w:val="Bullet1G"/>
        <w:rPr>
          <w:lang w:val="es-ES_tradnl"/>
        </w:rPr>
      </w:pPr>
      <w:r w:rsidRPr="000C2F85">
        <w:rPr>
          <w:lang w:val="es-ES_tradnl"/>
        </w:rPr>
        <w:t>Resultado 8: Asentamientos humanos sostenibles y mejora de la calidad de vida de los hogares</w:t>
      </w:r>
      <w:r w:rsidR="005819B5">
        <w:rPr>
          <w:lang w:val="es-ES_tradnl"/>
        </w:rPr>
        <w:t>.</w:t>
      </w:r>
    </w:p>
    <w:p w14:paraId="0C8FAFF2" w14:textId="41173BC3" w:rsidR="000C2F85" w:rsidRPr="000C2F85" w:rsidRDefault="000C2F85" w:rsidP="005819B5">
      <w:pPr>
        <w:pStyle w:val="Bullet1G"/>
        <w:rPr>
          <w:lang w:val="es-ES_tradnl"/>
        </w:rPr>
      </w:pPr>
      <w:r w:rsidRPr="000C2F85">
        <w:rPr>
          <w:lang w:val="es-ES_tradnl"/>
        </w:rPr>
        <w:t>Resultado 9: Administraciones locales receptivas, responsables, eficaces y eficientes</w:t>
      </w:r>
      <w:r w:rsidR="005819B5">
        <w:rPr>
          <w:lang w:val="es-ES_tradnl"/>
        </w:rPr>
        <w:t>.</w:t>
      </w:r>
    </w:p>
    <w:p w14:paraId="7F5D81FF" w14:textId="7DF36CDF" w:rsidR="000C2F85" w:rsidRPr="000C2F85" w:rsidRDefault="000C2F85" w:rsidP="005819B5">
      <w:pPr>
        <w:pStyle w:val="Bullet1G"/>
        <w:rPr>
          <w:lang w:val="es-ES_tradnl"/>
        </w:rPr>
      </w:pPr>
      <w:r w:rsidRPr="000C2F85">
        <w:rPr>
          <w:lang w:val="es-ES_tradnl"/>
        </w:rPr>
        <w:t>Resultado 10: Protección y mejora del patrimonio ambiental y los recursos naturales</w:t>
      </w:r>
      <w:r w:rsidR="005819B5">
        <w:rPr>
          <w:lang w:val="es-ES_tradnl"/>
        </w:rPr>
        <w:t>.</w:t>
      </w:r>
    </w:p>
    <w:p w14:paraId="4150FE7C" w14:textId="705FAD76" w:rsidR="000C2F85" w:rsidRPr="000C2F85" w:rsidRDefault="000C2F85" w:rsidP="005819B5">
      <w:pPr>
        <w:pStyle w:val="Bullet1G"/>
        <w:rPr>
          <w:lang w:val="es-ES_tradnl"/>
        </w:rPr>
      </w:pPr>
      <w:r w:rsidRPr="000C2F85">
        <w:rPr>
          <w:lang w:val="es-ES_tradnl"/>
        </w:rPr>
        <w:t>Resultado 11: Creación de una Sudáfrica mejor, un África mejor y un mundo mejor</w:t>
      </w:r>
      <w:r w:rsidR="005819B5">
        <w:rPr>
          <w:lang w:val="es-ES_tradnl"/>
        </w:rPr>
        <w:t>.</w:t>
      </w:r>
    </w:p>
    <w:p w14:paraId="5B3FB5C9" w14:textId="7101AF26" w:rsidR="000C2F85" w:rsidRPr="000C2F85" w:rsidRDefault="000C2F85" w:rsidP="005819B5">
      <w:pPr>
        <w:pStyle w:val="Bullet1G"/>
        <w:rPr>
          <w:lang w:val="es-ES_tradnl"/>
        </w:rPr>
      </w:pPr>
      <w:r w:rsidRPr="000C2F85">
        <w:rPr>
          <w:lang w:val="es-ES_tradnl"/>
        </w:rPr>
        <w:t>Resultado 12: Una función pública eficiente, eficaz y orientada al desarrollo</w:t>
      </w:r>
      <w:r w:rsidR="005819B5">
        <w:rPr>
          <w:lang w:val="es-ES_tradnl"/>
        </w:rPr>
        <w:t>.</w:t>
      </w:r>
    </w:p>
    <w:p w14:paraId="362DB896" w14:textId="3C768157" w:rsidR="000C2F85" w:rsidRPr="000C2F85" w:rsidRDefault="000C2F85" w:rsidP="005819B5">
      <w:pPr>
        <w:pStyle w:val="Bullet1G"/>
        <w:rPr>
          <w:lang w:val="es-ES_tradnl"/>
        </w:rPr>
      </w:pPr>
      <w:r w:rsidRPr="000C2F85">
        <w:rPr>
          <w:lang w:val="es-ES_tradnl"/>
        </w:rPr>
        <w:t>Resultado 13: Un sistema de protección social integral, receptivo y sostenible</w:t>
      </w:r>
      <w:r w:rsidR="005819B5">
        <w:rPr>
          <w:lang w:val="es-ES_tradnl"/>
        </w:rPr>
        <w:t>.</w:t>
      </w:r>
    </w:p>
    <w:p w14:paraId="130F20CC" w14:textId="784F8C32" w:rsidR="000C2F85" w:rsidRPr="000C2F85" w:rsidRDefault="000C2F85" w:rsidP="005819B5">
      <w:pPr>
        <w:pStyle w:val="Bullet1G"/>
        <w:rPr>
          <w:lang w:val="es-ES_tradnl"/>
        </w:rPr>
      </w:pPr>
      <w:r w:rsidRPr="000C2F85">
        <w:rPr>
          <w:lang w:val="es-ES_tradnl"/>
        </w:rPr>
        <w:t>Resultado 14: Una sociedad diversa y socialmente cohesionada con una identidad nacional común.</w:t>
      </w:r>
    </w:p>
    <w:p w14:paraId="4669DE78" w14:textId="77777777" w:rsidR="000C2F85" w:rsidRPr="000C2F85" w:rsidRDefault="000C2F85" w:rsidP="000C2F85">
      <w:pPr>
        <w:pStyle w:val="SingleTxtG"/>
        <w:rPr>
          <w:lang w:val="es-ES_tradnl"/>
        </w:rPr>
      </w:pPr>
      <w:r w:rsidRPr="000C2F85">
        <w:rPr>
          <w:lang w:val="es-ES_tradnl"/>
        </w:rPr>
        <w:t>154.</w:t>
      </w:r>
      <w:r w:rsidRPr="000C2F85">
        <w:rPr>
          <w:lang w:val="es-ES_tradnl"/>
        </w:rPr>
        <w:tab/>
        <w:t xml:space="preserve">El Gobierno ha promovido activamente la elaboración de un proyecto de plan nacional de acción para combatir el racismo, la discriminación racial, la xenofobia y las formas conexas de intolerancia, en colaboración con otras partes interesadas, entre ellas la sociedad civil. En el proyecto se esbozará un plan que servirá de base para la elaboración de una </w:t>
      </w:r>
      <w:r w:rsidRPr="000C2F85">
        <w:rPr>
          <w:lang w:val="es-ES_tradnl"/>
        </w:rPr>
        <w:lastRenderedPageBreak/>
        <w:t xml:space="preserve">política pública integral para combatir la discriminación racial, la xenofobia y las formas conexas de intolerancia. El proceso relativo a la elaboración de un Plan de Acción Nacional para Sudáfrica dimanó de la Declaración y el Programa de Acción de Durban, aprobados en la Tercera Conferencia Mundial contra el Racismo, la Discriminación Racial, la Xenofobia y las Formas Conexas de Intolerancia. En 2016 se celebraron consultas públicas amplias en todas las provincias. Actualmente se están incorporando en un Plan de Acción Nacional revisado algunas de las aportaciones y observaciones recibidas. </w:t>
      </w:r>
    </w:p>
    <w:p w14:paraId="66886973" w14:textId="77777777" w:rsidR="000C2F85" w:rsidRPr="000C2F85" w:rsidRDefault="000C2F85" w:rsidP="000C2F85">
      <w:pPr>
        <w:pStyle w:val="SingleTxtG"/>
        <w:rPr>
          <w:lang w:val="es-ES_tradnl"/>
        </w:rPr>
      </w:pPr>
      <w:r w:rsidRPr="000C2F85">
        <w:rPr>
          <w:lang w:val="es-ES_tradnl"/>
        </w:rPr>
        <w:t>155.</w:t>
      </w:r>
      <w:r w:rsidRPr="000C2F85">
        <w:rPr>
          <w:lang w:val="es-ES_tradnl"/>
        </w:rPr>
        <w:tab/>
        <w:t xml:space="preserve">Se ha presentado al Parlamento un proyecto de ley de prevención y lucha contra los delitos de odio y el discurso de odio. El proyecto de ley tipifica los delitos de odio y el discurso de odio y tiene por objeto establecer medidas para prevenirlos y combatirlos. La legislación contra el discurso de odio tiene un doble propósito: protege los derechos de la víctima y el grupo destinatario y también garantiza que la sociedad esté informada de que el discurso de odio no se tolerará. El proyecto de ley revisado fue aprobado por el Consejo de Ministros en marzo de 2018. Después de su publicación en el </w:t>
      </w:r>
      <w:r w:rsidRPr="009C43B5">
        <w:rPr>
          <w:i/>
          <w:iCs/>
          <w:lang w:val="es-ES_tradnl"/>
        </w:rPr>
        <w:t>Boletín Oficial</w:t>
      </w:r>
      <w:r w:rsidRPr="000C2F85">
        <w:rPr>
          <w:lang w:val="es-ES_tradnl"/>
        </w:rPr>
        <w:t xml:space="preserve"> para que se formularan observaciones, se recibieron 75.854 comunicaciones de instituciones y particulares. La abrumadora respuesta pública al proyecto de ley, así como a su versión revisada, que ahora aborda la mayoría de las preocupaciones planteadas, es prueba de una democracia participativa en marcha. El criterio que define el discurso de odio es que entrañe una clara intención de causar daño o incitarlo, o de fomentar o propagar el odio por motivos de edad, albinismo, ascendencia, color, cultura, discapacidad, origen étnico o social, género o identidad de género, estado serológico respecto del VIH, idioma, nacionalidad, condición de migrante o refugiado, raza, religión o sexo, incluidas la intersexualidad o la orientación sexual. El proyecto de ley excluye expresamente del discurso de odio todo acto realizado de buena fe en el curso de actividades de creación, representación u otras formas de expresión artística, investigación académica o científica, o presentación de informes o comentarios imparciales y fidedignos de interés público, en la medida en que no propugnen sentimientos de odio que inciten a provocar daños. También excluye del discurso de odio la interpretación y los actos de proselitismo o defensa de buena fe de un principio, creencia, enseñanza, doctrina o precepto religioso, en la medida en que esa interpretación y proselitismo no propugnen sentimientos de odio que inciten a provocar daños. Estas excepciones están en consonancia con el artículo 16 de nuestra Constitución.</w:t>
      </w:r>
    </w:p>
    <w:p w14:paraId="1A424209" w14:textId="77777777" w:rsidR="000C2F85" w:rsidRPr="000C2F85" w:rsidRDefault="000C2F85" w:rsidP="005819B5">
      <w:pPr>
        <w:pStyle w:val="HChG"/>
        <w:rPr>
          <w:lang w:val="es-ES_tradnl"/>
        </w:rPr>
      </w:pPr>
      <w:r w:rsidRPr="000C2F85">
        <w:rPr>
          <w:lang w:val="es-ES_tradnl"/>
        </w:rPr>
        <w:tab/>
        <w:t>III.</w:t>
      </w:r>
      <w:r w:rsidRPr="000C2F85">
        <w:rPr>
          <w:lang w:val="es-ES_tradnl"/>
        </w:rPr>
        <w:tab/>
        <w:t>Información sobre no discriminación, igualdad y recursos efectivos</w:t>
      </w:r>
    </w:p>
    <w:p w14:paraId="7AEC2444" w14:textId="51B618E6" w:rsidR="000C2F85" w:rsidRPr="000C2F85" w:rsidRDefault="000C2F85" w:rsidP="000C2F85">
      <w:pPr>
        <w:pStyle w:val="SingleTxtG"/>
        <w:rPr>
          <w:bCs/>
          <w:iCs/>
          <w:lang w:val="es-ES_tradnl"/>
        </w:rPr>
      </w:pPr>
      <w:r w:rsidRPr="000C2F85">
        <w:rPr>
          <w:lang w:val="es-ES_tradnl"/>
        </w:rPr>
        <w:t>156.</w:t>
      </w:r>
      <w:r w:rsidRPr="000C2F85">
        <w:rPr>
          <w:lang w:val="es-ES_tradnl"/>
        </w:rPr>
        <w:tab/>
        <w:t>La no discriminación y la igualdad están consagradas en un extenso abanico de disposiciones de la Constitución, que a su vez se ven respaldadas por un amplio espectro de disposiciones legislativas que establecen con mayor detalle el marco normativo e institucional para la protección de ese derecho en Sudáfrica. El país cuenta con un sólido marco jurídico para la defensa de la igualdad y la lucha contra la discriminación. El artículo</w:t>
      </w:r>
      <w:r w:rsidR="000F5259">
        <w:rPr>
          <w:lang w:val="es-ES_tradnl"/>
        </w:rPr>
        <w:t> </w:t>
      </w:r>
      <w:r w:rsidRPr="000C2F85">
        <w:rPr>
          <w:lang w:val="es-ES_tradnl"/>
        </w:rPr>
        <w:t>7, párrafo 2, de la Constitución dispone que el Estado debe respetar, proteger, promover y hacer efectivos los derechos enunciados en la Carta de Derechos y que el Estado tiene la responsabilidad primordial de garantizar que todas las personas puedan ejercer sus derechos. En ese sentido, el Gobierno ha aprobado un conjunto de leyes con el propósito de cumplir los objetivos constitucionales relativos a la igualdad, la dignidad humana y la promoción de los derechos humanos y las libertades. El derecho a la igualdad y a la protección contra la discriminación está firmemente arraigado en la Constitución. Sudáfrica ha promulgado varias leyes para eliminar la discriminación y garantizar la igualdad en diversas esferas.</w:t>
      </w:r>
    </w:p>
    <w:p w14:paraId="50382C1A" w14:textId="77777777" w:rsidR="000C2F85" w:rsidRPr="000C2F85" w:rsidRDefault="000C2F85" w:rsidP="000C2F85">
      <w:pPr>
        <w:pStyle w:val="SingleTxtG"/>
        <w:rPr>
          <w:bCs/>
          <w:iCs/>
          <w:lang w:val="es-ES_tradnl"/>
        </w:rPr>
      </w:pPr>
      <w:r w:rsidRPr="000C2F85">
        <w:rPr>
          <w:lang w:val="es-ES_tradnl"/>
        </w:rPr>
        <w:t>157.</w:t>
      </w:r>
      <w:r w:rsidRPr="000C2F85">
        <w:rPr>
          <w:lang w:val="es-ES_tradnl"/>
        </w:rPr>
        <w:tab/>
        <w:t>En la jurisprudencia de Sudáfrica sobre la no discriminación y la igualdad se distingue entre discriminación justa y discriminación injusta, y solo está prohibida la segunda. Se considera que la discriminación injusta tiene un efecto negativo que menoscaba en buena medida la dignidad fundamental de quien la sufre. Es la discriminación basada en uno de los motivos enumerados en el artículo 9 de la Constitución. Sin embargo, cuando la acción o la ley discriminatorias tienen por objeto alcanzar un objetivo social digno e importante, puede convertir en justo lo que de otro modo no lo sería.</w:t>
      </w:r>
    </w:p>
    <w:p w14:paraId="1600D4C3" w14:textId="2E729363" w:rsidR="000C2F85" w:rsidRPr="000C2F85" w:rsidRDefault="000C2F85" w:rsidP="00AB7FF2">
      <w:pPr>
        <w:pStyle w:val="SingleTxtG"/>
        <w:keepNext/>
        <w:keepLines/>
        <w:rPr>
          <w:bCs/>
          <w:lang w:val="es-ES_tradnl"/>
        </w:rPr>
      </w:pPr>
      <w:r w:rsidRPr="000C2F85">
        <w:rPr>
          <w:lang w:val="es-ES_tradnl"/>
        </w:rPr>
        <w:lastRenderedPageBreak/>
        <w:t>158.</w:t>
      </w:r>
      <w:r w:rsidRPr="000C2F85">
        <w:rPr>
          <w:lang w:val="es-ES_tradnl"/>
        </w:rPr>
        <w:tab/>
        <w:t xml:space="preserve">El Gobierno promulgó la Ley de Promoción de la Igualdad y Prevención de la Discriminación Injusta, que prohíbe la discriminación injusta por motivos de raza, género, sexo, embarazo, estado civil, origen étnico o social, color, orientación sexual, edad, discapacidad, religión, conciencia, creencias, cultura, idioma o ascendencia. En la </w:t>
      </w:r>
      <w:r w:rsidR="000F5259" w:rsidRPr="000C2F85">
        <w:rPr>
          <w:lang w:val="es-ES_tradnl"/>
        </w:rPr>
        <w:t xml:space="preserve">Ley </w:t>
      </w:r>
      <w:r w:rsidRPr="000C2F85">
        <w:rPr>
          <w:lang w:val="es-ES_tradnl"/>
        </w:rPr>
        <w:t xml:space="preserve">se establece el marco para la aplicación del artículo 9 de la Constitución. A este respecto, se dispone el establecimiento de los tribunales de igualdad, cuya finalidad es dirimir cuestiones relacionadas específicamente con las violaciones del derecho a la igualdad, la discriminación injusta y el discurso de odio, con miras a erradicar el espectro siempre presente del </w:t>
      </w:r>
      <w:r w:rsidRPr="000C2F85">
        <w:rPr>
          <w:i/>
          <w:iCs/>
          <w:lang w:val="es-ES_tradnl"/>
        </w:rPr>
        <w:t>apartheid</w:t>
      </w:r>
      <w:r w:rsidRPr="000C2F85">
        <w:rPr>
          <w:lang w:val="es-ES_tradnl"/>
        </w:rPr>
        <w:t xml:space="preserve">, que dividió al país en función de la raza, el género y la situación económica. La </w:t>
      </w:r>
      <w:r w:rsidR="000F5259" w:rsidRPr="000C2F85">
        <w:rPr>
          <w:lang w:val="es-ES_tradnl"/>
        </w:rPr>
        <w:t xml:space="preserve">Ley </w:t>
      </w:r>
      <w:r w:rsidRPr="000C2F85">
        <w:rPr>
          <w:lang w:val="es-ES_tradnl"/>
        </w:rPr>
        <w:t>dispone que todos los tribunales superiores se conviertan automáticamente en tribunales de igualdad y, lo que es más importante, confiere las principales facultades decisorias sobre las cuestiones de igualdad a los tribunales de primera instancia. Se han promulgado reglamentos para los tribunales de igualdad</w:t>
      </w:r>
      <w:r w:rsidRPr="00605B48">
        <w:rPr>
          <w:sz w:val="18"/>
          <w:szCs w:val="18"/>
          <w:vertAlign w:val="superscript"/>
          <w:lang w:val="es-ES_tradnl"/>
        </w:rPr>
        <w:footnoteReference w:id="123"/>
      </w:r>
      <w:r w:rsidRPr="000C2F85">
        <w:rPr>
          <w:lang w:val="es-ES_tradnl"/>
        </w:rPr>
        <w:t xml:space="preserve"> y en 2009 todos los tribunales de primera instancia pasaron a ser tribunales de igualdad. También los tribunales superiores actúan en calidad de tribunales de igualdad. De esta forma se ha mejorado el acceso a la justicia, ya que ahora los ciudadanos pueden presentar denuncias de discriminación injusta ante el tribunal de primera instancia más cercano a su comunidad. </w:t>
      </w:r>
    </w:p>
    <w:p w14:paraId="38EF0539" w14:textId="77777777" w:rsidR="000C2F85" w:rsidRPr="000C2F85" w:rsidRDefault="000C2F85" w:rsidP="000C2F85">
      <w:pPr>
        <w:pStyle w:val="SingleTxtG"/>
        <w:rPr>
          <w:lang w:val="es-ES_tradnl"/>
        </w:rPr>
      </w:pPr>
      <w:r w:rsidRPr="000C2F85">
        <w:rPr>
          <w:lang w:val="es-ES_tradnl"/>
        </w:rPr>
        <w:t>159.</w:t>
      </w:r>
      <w:r w:rsidRPr="000C2F85">
        <w:rPr>
          <w:lang w:val="es-ES_tradnl"/>
        </w:rPr>
        <w:tab/>
        <w:t xml:space="preserve">En virtud de la Constitución y de la legislación nacional se establecieron diversas instituciones estatales con el objetivo de fortalecer la democracia constitucional en Sudáfrica mediante la promoción activa de una cultura de los derechos humanos y la protección, el desarrollo y la realización de esos derechos, lo que incluye el seguimiento y evaluación de su aplicación y observancia. Cada una de esas instituciones debía centrarse en un sector determinado de la sociedad en el que la necesidad de transformación se consideraba más apremiante. Como reflejo de la determinación del Gobierno de lograr esa transformación, se puso particular empeño en que esas instituciones fueran independientes del poder ejecutivo de modo que pudieran ejercer sus facultades y desempeñar sus importantes funciones sin temor, favoritismos ni prejuicios. </w:t>
      </w:r>
    </w:p>
    <w:p w14:paraId="44A82104" w14:textId="49311B48" w:rsidR="000C2F85" w:rsidRPr="000C2F85" w:rsidRDefault="000C2F85" w:rsidP="000C2F85">
      <w:pPr>
        <w:pStyle w:val="SingleTxtG"/>
        <w:rPr>
          <w:lang w:val="es-ES_tradnl"/>
        </w:rPr>
      </w:pPr>
      <w:r w:rsidRPr="000C2F85">
        <w:rPr>
          <w:lang w:val="es-ES_tradnl"/>
        </w:rPr>
        <w:t>160.</w:t>
      </w:r>
      <w:r w:rsidRPr="000C2F85">
        <w:rPr>
          <w:lang w:val="es-ES_tradnl"/>
        </w:rPr>
        <w:tab/>
        <w:t>Se dispone de diversos recursos en caso de vulneración de los derechos humanos: tribunales, comisiones de investigación, órganos tales como tribunales de vivienda, el Consejo Nacional de Desarrollo Económico y Trabajo, instituciones del Estado que apoyan la democracia constitucional, las distintas vías de recurso administrativo previstas en la legislación y las disposiciones de la Ley de Promoción del Acceso a la Información</w:t>
      </w:r>
      <w:r w:rsidRPr="00605B48">
        <w:rPr>
          <w:sz w:val="18"/>
          <w:szCs w:val="18"/>
          <w:vertAlign w:val="superscript"/>
          <w:lang w:val="es-ES_tradnl"/>
        </w:rPr>
        <w:footnoteReference w:id="124"/>
      </w:r>
      <w:r w:rsidRPr="000C2F85">
        <w:rPr>
          <w:lang w:val="es-ES_tradnl"/>
        </w:rPr>
        <w:t xml:space="preserve"> y de la Ley de Promoción del Acceso a la Justicia Administrativa</w:t>
      </w:r>
      <w:r w:rsidRPr="00605B48">
        <w:rPr>
          <w:sz w:val="18"/>
          <w:szCs w:val="18"/>
          <w:vertAlign w:val="superscript"/>
          <w:lang w:val="es-ES_tradnl"/>
        </w:rPr>
        <w:footnoteReference w:id="125"/>
      </w:r>
      <w:r w:rsidRPr="000C2F85">
        <w:rPr>
          <w:lang w:val="es-ES_tradnl"/>
        </w:rPr>
        <w:t>. Para poder ejercer sus derechos, los ciudadanos necesitan información, y por ello el artículo 32 de la Constitución dispone que toda persona tiene derecho de acceso a la información que posea el Estado y a la que posea cualquier otra persona y sea necesaria para ejercer o proteger cualquier derecho. Además, en la Ley de Promoción del Acceso a la Información se establece el derecho de acceso a la documentación que posean el Estado, las instituciones públicas y las entidades privadas. Entre otras cosas, los organismos públicos y privados tienen que elaborar un manual en el que se explique a los ciudadanos cómo presentar una solicitud de acceso a la información que posee el organismo, y nombrar a un responsable de la información para que estudie las solicitudes de acceso a la información que obra en poder del organismo</w:t>
      </w:r>
      <w:r w:rsidRPr="00605B48">
        <w:rPr>
          <w:sz w:val="18"/>
          <w:szCs w:val="18"/>
          <w:vertAlign w:val="superscript"/>
          <w:lang w:val="es-ES_tradnl"/>
        </w:rPr>
        <w:footnoteReference w:id="126"/>
      </w:r>
      <w:r w:rsidRPr="000C2F85">
        <w:rPr>
          <w:lang w:val="es-ES_tradnl"/>
        </w:rPr>
        <w:t xml:space="preserve">. Por su parte, la Ley de Promoción del Acceso a la Justicia Administrativa es una norma pionera que tiene por objeto cambiar la forma en que el Gobierno se relaciona con los ciudadanos a los que sirve. En ella se establecen medios para hacer efectivo el derecho a un trato equitativo en los actos administrativos. La </w:t>
      </w:r>
      <w:r w:rsidR="000F5259" w:rsidRPr="000C2F85">
        <w:rPr>
          <w:lang w:val="es-ES_tradnl"/>
        </w:rPr>
        <w:t xml:space="preserve">Ley </w:t>
      </w:r>
      <w:r w:rsidRPr="000C2F85">
        <w:rPr>
          <w:lang w:val="es-ES_tradnl"/>
        </w:rPr>
        <w:t xml:space="preserve">tiene por objeto proteger al público de las decisiones administrativas ilegales, injustificadas e improcedentes. Se trata de una ley que otorga a las personas afectadas por las decisiones administrativas el derecho a ser informadas de que ha </w:t>
      </w:r>
      <w:r w:rsidRPr="000C2F85">
        <w:rPr>
          <w:lang w:val="es-ES_tradnl"/>
        </w:rPr>
        <w:lastRenderedPageBreak/>
        <w:t>de adoptarse una decisión, a que se les expliquen los motivos de las decisiones y a solicitar la revisión de estas.</w:t>
      </w:r>
    </w:p>
    <w:p w14:paraId="010770F8" w14:textId="45B5BABA" w:rsidR="000C2F85" w:rsidRPr="000F5259" w:rsidRDefault="000C2F85" w:rsidP="000C2F85">
      <w:pPr>
        <w:pStyle w:val="SingleTxtG"/>
        <w:rPr>
          <w:lang w:val="es-ES_tradnl"/>
        </w:rPr>
      </w:pPr>
      <w:r w:rsidRPr="000C2F85">
        <w:rPr>
          <w:lang w:val="es-ES_tradnl"/>
        </w:rPr>
        <w:t>161.</w:t>
      </w:r>
      <w:r w:rsidRPr="000C2F85">
        <w:rPr>
          <w:lang w:val="es-ES_tradnl"/>
        </w:rPr>
        <w:tab/>
        <w:t xml:space="preserve">La concienciación y educación sobre los derechos humanos y las normas constitucionales son fundamentales para la realización de los derechos humanos. Además de los diversos proyectos y programas de concienciación sobre los derechos humanos que llevan a cabo las distintas instituciones del Estado que apoyan la democracia constitucional, el Gobierno, en colaboración con la Foundation for Human Rights (FHR), está implementando un programa plurianual denominado Programa Justicia Socioeconómica para Todos, popularmente denominado </w:t>
      </w:r>
      <w:r w:rsidR="0091550D">
        <w:rPr>
          <w:lang w:val="es-ES_tradnl"/>
        </w:rPr>
        <w:t>“</w:t>
      </w:r>
      <w:r w:rsidRPr="000C2F85">
        <w:rPr>
          <w:lang w:val="es-ES_tradnl"/>
        </w:rPr>
        <w:t>Amarightza</w:t>
      </w:r>
      <w:r w:rsidR="0091550D">
        <w:rPr>
          <w:lang w:val="es-ES_tradnl"/>
        </w:rPr>
        <w:t>”</w:t>
      </w:r>
      <w:r w:rsidRPr="000C2F85">
        <w:rPr>
          <w:lang w:val="es-ES_tradnl"/>
        </w:rPr>
        <w:t>. El programa se centra en mejorar el conocimiento de los derechos, haciendo hincapié en los socioeconómicos, así como en la mejora de la democracia participativa mediante diálogos sobre políticas, el apoyo a las oficinas de asesoramiento de la comunidad, la realización de investigaciones sobre los derechos socioeconómicos y la jurisprudencia, la coordinación sectorial y la colaboración y participación de las organizaciones de la sociedad civil. El Programa Justicia Socioeconómica para Todos tiene como objetivo lograr resultados en seis ámbitos principales, incluida la mejora de los conocimientos sobre los derechos constitucionales, con especial énfasis en los derechos socioeconómicos</w:t>
      </w:r>
      <w:r w:rsidRPr="00605B48">
        <w:rPr>
          <w:sz w:val="18"/>
          <w:szCs w:val="18"/>
          <w:vertAlign w:val="superscript"/>
          <w:lang w:val="es-ES_tradnl"/>
        </w:rPr>
        <w:footnoteReference w:id="127"/>
      </w:r>
      <w:r w:rsidRPr="000C2F85">
        <w:rPr>
          <w:lang w:val="es-ES_tradnl"/>
        </w:rPr>
        <w:t>.</w:t>
      </w:r>
    </w:p>
    <w:p w14:paraId="15859DC2" w14:textId="77777777" w:rsidR="000C2F85" w:rsidRPr="000C2F85" w:rsidRDefault="000C2F85" w:rsidP="000C2F85">
      <w:pPr>
        <w:pStyle w:val="SingleTxtG"/>
        <w:rPr>
          <w:lang w:val="es-ES_tradnl"/>
        </w:rPr>
      </w:pPr>
      <w:r w:rsidRPr="000C2F85">
        <w:rPr>
          <w:lang w:val="es-ES_tradnl"/>
        </w:rPr>
        <w:t>162.</w:t>
      </w:r>
      <w:r w:rsidRPr="000C2F85">
        <w:rPr>
          <w:lang w:val="es-ES_tradnl"/>
        </w:rPr>
        <w:tab/>
        <w:t xml:space="preserve">Otro medio para ayudar a las comunidades a hacer efectivos los derechos humanos y protegerlos son las oficinas de asesoramiento de la comunidad. Se trata de pequeñas organizaciones sin ánimo de lucro que de manera gratuita ofrecen información y asesoramiento en materia de derechos humanos, así como servicios jurídicos. Además de información sobre derechos, las oficinas de asesoramiento de la comunidad divulgan cómo y dónde obtener acceso a los servicios que ofrecen los departamentos y organismos públicos. En la actualidad las oficinas de asesoramiento de la comunidad prestan servicios que contribuyen a la justicia social y facilitan el acceso a los servicios públicos para las personas pobres y marginadas. Los asistentes jurídicos de la comunidad que trabajan en esas oficinas proporcionan apoyo y asistencia en primera línea a muchas personas que carecen de los medios necesarios para acceder a otras modalidades de servicios jurídicos. En unos cuantos años, esas oficinas de asesoramiento han proporcionado servicios muy necesarios a millones de sudafricanos pobres y marginados. </w:t>
      </w:r>
    </w:p>
    <w:p w14:paraId="4201CFC7" w14:textId="77777777" w:rsidR="000C2F85" w:rsidRPr="000C2F85" w:rsidRDefault="000C2F85" w:rsidP="000C2F85">
      <w:pPr>
        <w:pStyle w:val="SingleTxtG"/>
        <w:rPr>
          <w:lang w:val="es-ES_tradnl"/>
        </w:rPr>
      </w:pPr>
      <w:r w:rsidRPr="000C2F85">
        <w:rPr>
          <w:lang w:val="es-ES_tradnl"/>
        </w:rPr>
        <w:t>163.</w:t>
      </w:r>
      <w:r w:rsidRPr="000C2F85">
        <w:rPr>
          <w:lang w:val="es-ES_tradnl"/>
        </w:rPr>
        <w:tab/>
        <w:t xml:space="preserve">El Gobierno sigue elaborando y aplicando políticas para mejorar el acceso a la justicia y sensibilizar a la población acerca de sus derechos. Si bien nuestra Constitución ha sido encomiada en todo el mundo por su carácter progresista y transformador, esas características por sí solas no permitirán hacer efectivos los derechos si quienes viven en nuestro país no saben lo que implica. Es indispensable que nos aseguremos de que dentro de nuestras fronteras todos conozcan y comprendan la Constitución. En Sudáfrica, muchas personas son pobres y viven en las zonas rurales del país. Con frecuencia son las más vulnerables: mujeres, niños, personas con discapacidad, personas de edad y personas lesbianas, bisexuales, transgénero e intersexuales expuestas a la violencia y a daños conexos. Aunque el Gobierno ha procurado, en colaboración con organizaciones de la sociedad civil, informar a la población acerca de sus derechos y responsabilidades, aún queda mucho por hacer. </w:t>
      </w:r>
    </w:p>
    <w:p w14:paraId="5A8CE264" w14:textId="0E7AD37D" w:rsidR="000C2F85" w:rsidRPr="000C2F85" w:rsidRDefault="000C2F85" w:rsidP="000C2F85">
      <w:pPr>
        <w:pStyle w:val="SingleTxtG"/>
        <w:rPr>
          <w:lang w:val="es-ES_tradnl"/>
        </w:rPr>
      </w:pPr>
      <w:r w:rsidRPr="000C2F85">
        <w:rPr>
          <w:lang w:val="es-ES_tradnl"/>
        </w:rPr>
        <w:t>164.</w:t>
      </w:r>
      <w:r w:rsidRPr="000C2F85">
        <w:rPr>
          <w:lang w:val="es-ES_tradnl"/>
        </w:rPr>
        <w:tab/>
        <w:t xml:space="preserve">En el período 2017/18 el Gobierno, junto con su asociado en la ejecución, la FHR, llevó a cabo una encuesta de base sobre el acceso, los conocimientos y la actitud en relación con los derechos, incluidos los socioeconómicos. La encuesta se realizó por todo el país, en el marco del Programa Justicia Socioeconómica para Todos, y participaron 24.000 hogares. El muestreo final de la encuesta de base del programa incluyó 24.897 entrevistas y reveló información muy útil para evaluar la situación actual en lo relativo al conocimiento de los derechos humanos y la Constitución. Se preguntó a los encuestados si habían oído hablar de la Constitución de Sudáfrica y de la Carta de Derechos que figuraba en su capítulo 2. Algo más de la mitad (el 51 %) de los encuestados no habían oído hablar de ninguna de las dos. </w:t>
      </w:r>
      <w:r w:rsidRPr="000C2F85">
        <w:rPr>
          <w:lang w:val="es-ES_tradnl"/>
        </w:rPr>
        <w:lastRenderedPageBreak/>
        <w:t>En general los varones encuestados (el 55 %) tenían más información que las mujeres (el 47</w:t>
      </w:r>
      <w:r w:rsidR="00B231F7">
        <w:rPr>
          <w:lang w:val="es-ES_tradnl"/>
        </w:rPr>
        <w:t> </w:t>
      </w:r>
      <w:r w:rsidRPr="000C2F85">
        <w:rPr>
          <w:lang w:val="es-ES_tradnl"/>
        </w:rPr>
        <w:t xml:space="preserve">%) acerca de la Constitución o de la Carta de Derechos. Con respecto a la raza de los encuestados, con mayor frecuencia los blancos (el 68 %) tenían más información sobre ambas, seguidos de los indios y asiáticos (el 61 %). Si bien la mayoría (el 56 %) de los mestizos conocían la Constitución o de la Carta de Derechos, menos de la mitad (el 48 %) de los africanos negros encuestados había oído hablar de ellas. Ello demuestra que todavía tenemos una enorme tarea por delante para elevar el nivel de conocimientos sobre los derechos constitucionales y humanos. </w:t>
      </w:r>
    </w:p>
    <w:p w14:paraId="69D5F76F" w14:textId="19101A29" w:rsidR="000C2F85" w:rsidRPr="000C2F85" w:rsidRDefault="000C2F85" w:rsidP="000C2F85">
      <w:pPr>
        <w:pStyle w:val="SingleTxtG"/>
        <w:rPr>
          <w:lang w:val="es-ES_tradnl"/>
        </w:rPr>
      </w:pPr>
      <w:r w:rsidRPr="000C2F85">
        <w:rPr>
          <w:lang w:val="es-ES_tradnl"/>
        </w:rPr>
        <w:t>165.</w:t>
      </w:r>
      <w:r w:rsidRPr="000C2F85">
        <w:rPr>
          <w:lang w:val="es-ES_tradnl"/>
        </w:rPr>
        <w:tab/>
        <w:t>A fin de aumentar la sensibilización sobre los derechos humanos y la educación en las escuelas, el Gobierno, junto con la Universidad de Pretoria, la Comisión de Derechos Humanos de Sudáfrica y la FHR organiza anualmente en las escuelas nacionales tribunales simulados. Se invita a los estudiantes de todos los centros del país a que presenten sus trabajos, tras lo cual se seleccionan los diez mejores equipos para competir en rondas orales de ámbito provincial. La fase final se celebra en Johannesburgo en el Tribunal Constitucional, donde los equipos defienden sus propuestas ante los jueces del Tribunal.</w:t>
      </w:r>
    </w:p>
    <w:p w14:paraId="3D7B8776" w14:textId="294CB548" w:rsidR="0009570E" w:rsidRPr="005819B5" w:rsidRDefault="005819B5" w:rsidP="005819B5">
      <w:pPr>
        <w:pStyle w:val="SingleTxtG"/>
        <w:suppressAutoHyphens/>
        <w:spacing w:before="240" w:after="0"/>
        <w:jc w:val="center"/>
        <w:rPr>
          <w:u w:val="single"/>
        </w:rPr>
      </w:pPr>
      <w:r>
        <w:rPr>
          <w:u w:val="single"/>
        </w:rPr>
        <w:tab/>
      </w:r>
      <w:r>
        <w:rPr>
          <w:u w:val="single"/>
        </w:rPr>
        <w:tab/>
      </w:r>
      <w:r>
        <w:rPr>
          <w:u w:val="single"/>
        </w:rPr>
        <w:tab/>
      </w:r>
    </w:p>
    <w:sectPr w:rsidR="0009570E" w:rsidRPr="005819B5" w:rsidSect="0009570E">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B551" w14:textId="77777777" w:rsidR="00251773" w:rsidRPr="00AC76E8" w:rsidRDefault="00251773" w:rsidP="00AC76E8">
      <w:pPr>
        <w:pStyle w:val="Piedepgina"/>
      </w:pPr>
    </w:p>
  </w:endnote>
  <w:endnote w:type="continuationSeparator" w:id="0">
    <w:p w14:paraId="7F56B7BF" w14:textId="77777777" w:rsidR="00251773" w:rsidRPr="00AC76E8" w:rsidRDefault="00251773"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322E" w14:textId="549D312D" w:rsidR="0009570E" w:rsidRPr="0009570E" w:rsidRDefault="0009570E" w:rsidP="0009570E">
    <w:pPr>
      <w:pStyle w:val="Piedepgina"/>
      <w:tabs>
        <w:tab w:val="right" w:pos="9638"/>
      </w:tabs>
    </w:pPr>
    <w:r w:rsidRPr="0009570E">
      <w:rPr>
        <w:b/>
        <w:sz w:val="18"/>
      </w:rPr>
      <w:fldChar w:fldCharType="begin"/>
    </w:r>
    <w:r w:rsidRPr="0009570E">
      <w:rPr>
        <w:b/>
        <w:sz w:val="18"/>
      </w:rPr>
      <w:instrText xml:space="preserve"> PAGE  \* MERGEFORMAT </w:instrText>
    </w:r>
    <w:r w:rsidRPr="0009570E">
      <w:rPr>
        <w:b/>
        <w:sz w:val="18"/>
      </w:rPr>
      <w:fldChar w:fldCharType="separate"/>
    </w:r>
    <w:r w:rsidRPr="0009570E">
      <w:rPr>
        <w:b/>
        <w:noProof/>
        <w:sz w:val="18"/>
      </w:rPr>
      <w:t>2</w:t>
    </w:r>
    <w:r w:rsidRPr="0009570E">
      <w:rPr>
        <w:b/>
        <w:sz w:val="18"/>
      </w:rPr>
      <w:fldChar w:fldCharType="end"/>
    </w:r>
    <w:r>
      <w:rPr>
        <w:b/>
        <w:sz w:val="18"/>
      </w:rPr>
      <w:tab/>
    </w:r>
    <w:r>
      <w:t>GE.21-11743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E186" w14:textId="06AFEA43" w:rsidR="0009570E" w:rsidRPr="0009570E" w:rsidRDefault="0009570E" w:rsidP="0009570E">
    <w:pPr>
      <w:pStyle w:val="Piedepgina"/>
      <w:tabs>
        <w:tab w:val="right" w:pos="9638"/>
      </w:tabs>
      <w:rPr>
        <w:b/>
        <w:sz w:val="18"/>
      </w:rPr>
    </w:pPr>
    <w:r>
      <w:t>GE.21-11743</w:t>
    </w:r>
    <w:r>
      <w:tab/>
    </w:r>
    <w:r w:rsidRPr="0009570E">
      <w:rPr>
        <w:b/>
        <w:sz w:val="18"/>
      </w:rPr>
      <w:fldChar w:fldCharType="begin"/>
    </w:r>
    <w:r w:rsidRPr="0009570E">
      <w:rPr>
        <w:b/>
        <w:sz w:val="18"/>
      </w:rPr>
      <w:instrText xml:space="preserve"> PAGE  \* MERGEFORMAT </w:instrText>
    </w:r>
    <w:r w:rsidRPr="0009570E">
      <w:rPr>
        <w:b/>
        <w:sz w:val="18"/>
      </w:rPr>
      <w:fldChar w:fldCharType="separate"/>
    </w:r>
    <w:r w:rsidRPr="0009570E">
      <w:rPr>
        <w:b/>
        <w:noProof/>
        <w:sz w:val="18"/>
      </w:rPr>
      <w:t>3</w:t>
    </w:r>
    <w:r w:rsidRPr="0009570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FB7F" w14:textId="7EF4760D" w:rsidR="00666938" w:rsidRPr="0009570E" w:rsidRDefault="0009570E" w:rsidP="0009570E">
    <w:pPr>
      <w:pStyle w:val="Piedepgina"/>
      <w:spacing w:before="120" w:line="240" w:lineRule="auto"/>
      <w:rPr>
        <w:sz w:val="20"/>
      </w:rPr>
    </w:pPr>
    <w:r>
      <w:rPr>
        <w:sz w:val="20"/>
      </w:rPr>
      <w:t>GE.</w:t>
    </w:r>
    <w:r w:rsidR="0095700F">
      <w:rPr>
        <w:noProof/>
      </w:rPr>
      <w:drawing>
        <wp:anchor distT="0" distB="0" distL="114300" distR="114300" simplePos="0" relativeHeight="251657728" behindDoc="0" locked="1" layoutInCell="1" allowOverlap="1" wp14:anchorId="43C52094" wp14:editId="34BDED42">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21-11743  (S)</w:t>
    </w:r>
    <w:r>
      <w:rPr>
        <w:noProof/>
        <w:sz w:val="20"/>
      </w:rPr>
      <w:drawing>
        <wp:anchor distT="0" distB="0" distL="114300" distR="114300" simplePos="0" relativeHeight="251658752" behindDoc="0" locked="0" layoutInCell="1" allowOverlap="1" wp14:anchorId="5494788F" wp14:editId="30D2CA85">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080322    </w:t>
    </w:r>
    <w:r w:rsidR="004D4086">
      <w:rPr>
        <w:sz w:val="20"/>
      </w:rPr>
      <w:t>1</w:t>
    </w:r>
    <w:r w:rsidR="00B231F7">
      <w:rPr>
        <w:sz w:val="20"/>
      </w:rPr>
      <w:t>1</w:t>
    </w:r>
    <w:r>
      <w:rPr>
        <w:sz w:val="20"/>
      </w:rP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06008" w14:textId="77777777" w:rsidR="00251773" w:rsidRPr="001075E9" w:rsidRDefault="00251773" w:rsidP="001075E9">
      <w:pPr>
        <w:tabs>
          <w:tab w:val="right" w:pos="2155"/>
        </w:tabs>
        <w:spacing w:after="80" w:line="240" w:lineRule="auto"/>
        <w:ind w:left="680"/>
        <w:rPr>
          <w:u w:val="single"/>
        </w:rPr>
      </w:pPr>
      <w:r>
        <w:rPr>
          <w:u w:val="single"/>
        </w:rPr>
        <w:tab/>
      </w:r>
    </w:p>
  </w:footnote>
  <w:footnote w:type="continuationSeparator" w:id="0">
    <w:p w14:paraId="3D6DC033" w14:textId="77777777" w:rsidR="00251773" w:rsidRDefault="00251773" w:rsidP="00AC76E8">
      <w:pPr>
        <w:tabs>
          <w:tab w:val="right" w:pos="2155"/>
        </w:tabs>
        <w:spacing w:after="80" w:line="240" w:lineRule="auto"/>
        <w:ind w:left="680"/>
        <w:rPr>
          <w:u w:val="single"/>
        </w:rPr>
      </w:pPr>
      <w:r>
        <w:rPr>
          <w:u w:val="single"/>
        </w:rPr>
        <w:tab/>
      </w:r>
    </w:p>
  </w:footnote>
  <w:footnote w:id="1">
    <w:p w14:paraId="4105EFC7" w14:textId="060C0090" w:rsidR="000C2F85" w:rsidRPr="000C2F85" w:rsidRDefault="000C2F85" w:rsidP="000C2F85">
      <w:pPr>
        <w:pStyle w:val="Textonotapie"/>
        <w:rPr>
          <w:sz w:val="20"/>
        </w:rPr>
      </w:pPr>
      <w:r>
        <w:tab/>
      </w:r>
      <w:r w:rsidRPr="000C2F85">
        <w:rPr>
          <w:rStyle w:val="Refdenotaalpie"/>
          <w:sz w:val="20"/>
          <w:vertAlign w:val="baseline"/>
        </w:rPr>
        <w:t>*</w:t>
      </w:r>
      <w:r w:rsidRPr="000C2F85">
        <w:rPr>
          <w:rStyle w:val="Refdenotaalpie"/>
          <w:vertAlign w:val="baseline"/>
        </w:rPr>
        <w:tab/>
      </w:r>
      <w:r w:rsidRPr="000C2F85">
        <w:rPr>
          <w:lang w:val="es-ES_tradnl"/>
        </w:rPr>
        <w:t>La versión original del presente documento no fue objeto de revisión editorial oficial.</w:t>
      </w:r>
    </w:p>
  </w:footnote>
  <w:footnote w:id="2">
    <w:p w14:paraId="2EC0D86E" w14:textId="0361D1D4" w:rsidR="000C2F85" w:rsidRPr="00AF0D8E" w:rsidRDefault="000C2F85" w:rsidP="000C2F85">
      <w:pPr>
        <w:pStyle w:val="Textonotapie"/>
        <w:rPr>
          <w:lang w:val="es-ES_tradnl"/>
        </w:rPr>
      </w:pPr>
      <w:r w:rsidRPr="00AF0D8E">
        <w:rPr>
          <w:lang w:val="es-ES_tradnl"/>
        </w:rPr>
        <w:tab/>
      </w:r>
      <w:r w:rsidRPr="000C2F85">
        <w:rPr>
          <w:rStyle w:val="Refdenotaalpie"/>
        </w:rPr>
        <w:footnoteRef/>
      </w:r>
      <w:r w:rsidRPr="00AF0D8E">
        <w:rPr>
          <w:lang w:val="es-ES_tradnl"/>
        </w:rPr>
        <w:tab/>
      </w:r>
      <w:r w:rsidRPr="00AF0D8E">
        <w:rPr>
          <w:i/>
          <w:iCs/>
          <w:lang w:val="es-ES_tradnl"/>
        </w:rPr>
        <w:t>Mid-year population estimates, 2018</w:t>
      </w:r>
      <w:r w:rsidRPr="00B231F7">
        <w:rPr>
          <w:lang w:val="es-ES_tradnl"/>
        </w:rPr>
        <w:t>,</w:t>
      </w:r>
      <w:r w:rsidRPr="00AF0D8E">
        <w:rPr>
          <w:i/>
          <w:iCs/>
          <w:lang w:val="es-ES_tradnl"/>
        </w:rPr>
        <w:t xml:space="preserve"> </w:t>
      </w:r>
      <w:r w:rsidRPr="00AF0D8E">
        <w:rPr>
          <w:lang w:val="es-ES_tradnl"/>
        </w:rPr>
        <w:t>Statistical Release P0302, Dirección de Estadísticas de Sudáfrica, publicado en julio de 2018.</w:t>
      </w:r>
    </w:p>
  </w:footnote>
  <w:footnote w:id="3">
    <w:p w14:paraId="373BB9CC" w14:textId="5ABB644B" w:rsidR="000C2F85" w:rsidRPr="00AF0D8E" w:rsidRDefault="000C2F85" w:rsidP="000C2F85">
      <w:pPr>
        <w:pStyle w:val="Textonotapie"/>
        <w:rPr>
          <w:lang w:val="es-ES_tradnl"/>
        </w:rPr>
      </w:pPr>
      <w:r w:rsidRPr="00AF0D8E">
        <w:rPr>
          <w:lang w:val="es-ES_tradnl"/>
        </w:rPr>
        <w:tab/>
      </w:r>
      <w:r w:rsidRPr="000C2F85">
        <w:rPr>
          <w:rStyle w:val="Refdenotaalpie"/>
        </w:rPr>
        <w:footnoteRef/>
      </w:r>
      <w:r w:rsidRPr="00AF0D8E">
        <w:rPr>
          <w:lang w:val="es-ES_tradnl"/>
        </w:rPr>
        <w:tab/>
        <w:t>Véase la nota 1.</w:t>
      </w:r>
    </w:p>
  </w:footnote>
  <w:footnote w:id="4">
    <w:p w14:paraId="095385AE" w14:textId="62036683" w:rsidR="000C2F85" w:rsidRPr="00AF0D8E" w:rsidRDefault="000C2F85" w:rsidP="000C2F85">
      <w:pPr>
        <w:pStyle w:val="Textonotapie"/>
        <w:rPr>
          <w:lang w:val="es-ES_tradnl"/>
        </w:rPr>
      </w:pPr>
      <w:r w:rsidRPr="00AF0D8E">
        <w:rPr>
          <w:lang w:val="es-ES_tradnl"/>
        </w:rPr>
        <w:tab/>
      </w:r>
      <w:r w:rsidRPr="000C2F85">
        <w:rPr>
          <w:rStyle w:val="Refdenotaalpie"/>
        </w:rPr>
        <w:footnoteRef/>
      </w:r>
      <w:r w:rsidRPr="00AF0D8E">
        <w:rPr>
          <w:lang w:val="es-ES_tradnl"/>
        </w:rPr>
        <w:tab/>
        <w:t>Véase la nota 1.</w:t>
      </w:r>
    </w:p>
  </w:footnote>
  <w:footnote w:id="5">
    <w:p w14:paraId="643C0B06" w14:textId="3780A48E" w:rsidR="000C2F85" w:rsidRPr="00AF0D8E" w:rsidRDefault="000C2F85" w:rsidP="000C2F85">
      <w:pPr>
        <w:pStyle w:val="Textonotapie"/>
        <w:rPr>
          <w:lang w:val="es-ES_tradnl"/>
        </w:rPr>
      </w:pPr>
      <w:r w:rsidRPr="00AF0D8E">
        <w:rPr>
          <w:lang w:val="es-ES_tradnl"/>
        </w:rPr>
        <w:tab/>
      </w:r>
      <w:r w:rsidRPr="000C2F85">
        <w:rPr>
          <w:rStyle w:val="Refdenotaalpie"/>
        </w:rPr>
        <w:footnoteRef/>
      </w:r>
      <w:r w:rsidRPr="00AF0D8E">
        <w:rPr>
          <w:lang w:val="es-ES_tradnl"/>
        </w:rPr>
        <w:tab/>
        <w:t>Ley núm. 55 de 1998.</w:t>
      </w:r>
    </w:p>
  </w:footnote>
  <w:footnote w:id="6">
    <w:p w14:paraId="6E7FC277" w14:textId="5D35A3D1" w:rsidR="000C2F85" w:rsidRPr="00AF0D8E" w:rsidRDefault="000C2F85" w:rsidP="000C2F85">
      <w:pPr>
        <w:pStyle w:val="Textonotapie"/>
        <w:rPr>
          <w:lang w:val="es-ES_tradnl"/>
        </w:rPr>
      </w:pPr>
      <w:r w:rsidRPr="00AF0D8E">
        <w:rPr>
          <w:lang w:val="es-ES_tradnl"/>
        </w:rPr>
        <w:tab/>
      </w:r>
      <w:r w:rsidRPr="000C2F85">
        <w:rPr>
          <w:rStyle w:val="Refdenotaalpie"/>
        </w:rPr>
        <w:footnoteRef/>
      </w:r>
      <w:r w:rsidRPr="00AF0D8E">
        <w:rPr>
          <w:lang w:val="es-ES_tradnl"/>
        </w:rPr>
        <w:tab/>
        <w:t>Véase la nota 1.</w:t>
      </w:r>
    </w:p>
  </w:footnote>
  <w:footnote w:id="7">
    <w:p w14:paraId="36542E8A" w14:textId="6DDA66A9" w:rsidR="000C2F85" w:rsidRPr="00AF0D8E" w:rsidRDefault="000C2F85" w:rsidP="000C2F85">
      <w:pPr>
        <w:pStyle w:val="Textonotapie"/>
        <w:rPr>
          <w:lang w:val="es-ES_tradnl"/>
        </w:rPr>
      </w:pPr>
      <w:r w:rsidRPr="00AF0D8E">
        <w:rPr>
          <w:lang w:val="es-ES_tradnl"/>
        </w:rPr>
        <w:tab/>
      </w:r>
      <w:r w:rsidRPr="000C2F85">
        <w:rPr>
          <w:rStyle w:val="Refdenotaalpie"/>
        </w:rPr>
        <w:footnoteRef/>
      </w:r>
      <w:r w:rsidRPr="00AF0D8E">
        <w:rPr>
          <w:lang w:val="es-ES_tradnl"/>
        </w:rPr>
        <w:tab/>
      </w:r>
      <w:r w:rsidRPr="00AF0D8E">
        <w:rPr>
          <w:i/>
          <w:iCs/>
          <w:lang w:val="es-ES_tradnl"/>
        </w:rPr>
        <w:t>Sustainable Development Goals: Baseline Report 2017</w:t>
      </w:r>
      <w:r w:rsidRPr="00AF0D8E">
        <w:rPr>
          <w:lang w:val="es-ES_tradnl"/>
        </w:rPr>
        <w:t>, Dirección de Estadísticas de Sudáfrica.</w:t>
      </w:r>
    </w:p>
  </w:footnote>
  <w:footnote w:id="8">
    <w:p w14:paraId="568A3FC5" w14:textId="6EA14426" w:rsidR="000C2F85" w:rsidRPr="00AF0D8E" w:rsidRDefault="000C2F85" w:rsidP="000C2F85">
      <w:pPr>
        <w:pStyle w:val="Textonotapie"/>
        <w:rPr>
          <w:lang w:val="es-ES_tradnl"/>
        </w:rPr>
      </w:pPr>
      <w:r w:rsidRPr="00AF0D8E">
        <w:rPr>
          <w:lang w:val="es-ES_tradnl"/>
        </w:rPr>
        <w:tab/>
      </w:r>
      <w:r w:rsidRPr="000C2F85">
        <w:rPr>
          <w:rStyle w:val="Refdenotaalpie"/>
        </w:rPr>
        <w:footnoteRef/>
      </w:r>
      <w:r w:rsidRPr="00AF0D8E">
        <w:rPr>
          <w:lang w:val="es-ES_tradnl"/>
        </w:rPr>
        <w:tab/>
      </w:r>
      <w:r w:rsidRPr="00AF0D8E">
        <w:rPr>
          <w:i/>
          <w:iCs/>
          <w:lang w:val="es-ES_tradnl"/>
        </w:rPr>
        <w:t>Living Conditions of Households in South Africa, An analysis of household expenditure and income data using the LCS 2014/2015</w:t>
      </w:r>
      <w:r w:rsidRPr="00B231F7">
        <w:rPr>
          <w:lang w:val="es-ES_tradnl"/>
        </w:rPr>
        <w:t xml:space="preserve">, </w:t>
      </w:r>
      <w:r w:rsidRPr="00AF0D8E">
        <w:rPr>
          <w:lang w:val="es-ES_tradnl"/>
        </w:rPr>
        <w:t>Statistical Release P0310, publicado el 27 de enero de 2017.</w:t>
      </w:r>
    </w:p>
  </w:footnote>
  <w:footnote w:id="9">
    <w:p w14:paraId="10BD4807" w14:textId="3BC04F3B" w:rsidR="000C2F85" w:rsidRPr="00AF0D8E" w:rsidRDefault="000C2F85" w:rsidP="000C2F85">
      <w:pPr>
        <w:pStyle w:val="Textonotapie"/>
        <w:rPr>
          <w:lang w:val="es-ES_tradnl"/>
        </w:rPr>
      </w:pPr>
      <w:r w:rsidRPr="00AF0D8E">
        <w:rPr>
          <w:lang w:val="es-ES_tradnl"/>
        </w:rPr>
        <w:tab/>
      </w:r>
      <w:r w:rsidRPr="000C2F85">
        <w:rPr>
          <w:rStyle w:val="Refdenotaalpie"/>
        </w:rPr>
        <w:footnoteRef/>
      </w:r>
      <w:r w:rsidRPr="00AF0D8E">
        <w:rPr>
          <w:lang w:val="es-ES_tradnl"/>
        </w:rPr>
        <w:tab/>
      </w:r>
      <w:r w:rsidRPr="00AF0D8E">
        <w:rPr>
          <w:i/>
          <w:iCs/>
          <w:lang w:val="es-ES_tradnl"/>
        </w:rPr>
        <w:t>South Africa Demographic and Health Survey 2016: Key Indicator Report</w:t>
      </w:r>
      <w:r w:rsidRPr="00AF0D8E">
        <w:rPr>
          <w:lang w:val="es-ES_tradnl"/>
        </w:rPr>
        <w:t>, Dirección de Estadísticas de Sudáfrica.</w:t>
      </w:r>
    </w:p>
  </w:footnote>
  <w:footnote w:id="10">
    <w:p w14:paraId="4880F7C1" w14:textId="77777777" w:rsidR="000C2F85" w:rsidRPr="00AF0D8E" w:rsidRDefault="000C2F85" w:rsidP="000C2F85">
      <w:pPr>
        <w:pStyle w:val="Textonotapie"/>
        <w:rPr>
          <w:lang w:val="es-ES_tradnl"/>
        </w:rPr>
      </w:pPr>
      <w:r w:rsidRPr="00AF0D8E">
        <w:rPr>
          <w:lang w:val="es-ES_tradnl"/>
        </w:rPr>
        <w:tab/>
      </w:r>
      <w:r w:rsidRPr="000C2F85">
        <w:rPr>
          <w:rStyle w:val="Refdenotaalpie"/>
        </w:rPr>
        <w:footnoteRef/>
      </w:r>
      <w:r w:rsidRPr="00AF0D8E">
        <w:rPr>
          <w:lang w:val="es-ES_tradnl"/>
        </w:rPr>
        <w:t xml:space="preserve"> </w:t>
      </w:r>
      <w:r w:rsidRPr="00AF0D8E">
        <w:rPr>
          <w:lang w:val="es-ES_tradnl"/>
        </w:rPr>
        <w:tab/>
      </w:r>
      <w:r w:rsidRPr="00AF0D8E">
        <w:rPr>
          <w:i/>
          <w:iCs/>
          <w:lang w:val="es-ES_tradnl"/>
        </w:rPr>
        <w:t>Mortality and causes of death in South Africa, 2016</w:t>
      </w:r>
      <w:r w:rsidRPr="00B231F7">
        <w:rPr>
          <w:lang w:val="es-ES_tradnl"/>
        </w:rPr>
        <w:t>,</w:t>
      </w:r>
      <w:r w:rsidRPr="00AF0D8E">
        <w:rPr>
          <w:i/>
          <w:iCs/>
          <w:lang w:val="es-ES_tradnl"/>
        </w:rPr>
        <w:t xml:space="preserve"> </w:t>
      </w:r>
      <w:r w:rsidRPr="00AF0D8E">
        <w:rPr>
          <w:lang w:val="es-ES_tradnl"/>
        </w:rPr>
        <w:t>Statistical Release P0309.3, marzo de 2018.</w:t>
      </w:r>
    </w:p>
  </w:footnote>
  <w:footnote w:id="11">
    <w:p w14:paraId="16AD7E55" w14:textId="7D173F8D" w:rsidR="000C2F85" w:rsidRPr="00AF0D8E" w:rsidRDefault="000C2F85" w:rsidP="000C2F85">
      <w:pPr>
        <w:pStyle w:val="Textonotapie"/>
        <w:rPr>
          <w:lang w:val="es-ES_tradnl"/>
        </w:rPr>
      </w:pPr>
      <w:r w:rsidRPr="00AF0D8E">
        <w:rPr>
          <w:lang w:val="es-ES_tradnl"/>
        </w:rPr>
        <w:tab/>
      </w:r>
      <w:r w:rsidRPr="000C2F85">
        <w:rPr>
          <w:rStyle w:val="Refdenotaalpie"/>
        </w:rPr>
        <w:footnoteRef/>
      </w:r>
      <w:r w:rsidRPr="00AF0D8E">
        <w:rPr>
          <w:lang w:val="es-ES_tradnl"/>
        </w:rPr>
        <w:tab/>
      </w:r>
      <w:r w:rsidRPr="00AF0D8E">
        <w:rPr>
          <w:i/>
          <w:iCs/>
          <w:lang w:val="es-ES_tradnl"/>
        </w:rPr>
        <w:t>Mid-year population estimates, 2017</w:t>
      </w:r>
      <w:r w:rsidRPr="00B231F7">
        <w:rPr>
          <w:lang w:val="es-ES_tradnl"/>
        </w:rPr>
        <w:t xml:space="preserve">, </w:t>
      </w:r>
      <w:r w:rsidRPr="00AF0D8E">
        <w:rPr>
          <w:lang w:val="es-ES_tradnl"/>
        </w:rPr>
        <w:t>Statistical Release P0302, Dirección de Estadísticas de Sudáfrica, publicado en julio de 2017.</w:t>
      </w:r>
    </w:p>
  </w:footnote>
  <w:footnote w:id="12">
    <w:p w14:paraId="18D446D7" w14:textId="5BAC53C9" w:rsidR="000C2F85" w:rsidRPr="00AF0D8E" w:rsidRDefault="000C2F85" w:rsidP="000C2F85">
      <w:pPr>
        <w:pStyle w:val="Textonotapie"/>
        <w:rPr>
          <w:lang w:val="es-ES_tradnl"/>
        </w:rPr>
      </w:pPr>
      <w:r w:rsidRPr="00AF0D8E">
        <w:rPr>
          <w:lang w:val="es-ES_tradnl"/>
        </w:rPr>
        <w:tab/>
      </w:r>
      <w:r w:rsidRPr="000C2F85">
        <w:rPr>
          <w:rStyle w:val="Refdenotaalpie"/>
        </w:rPr>
        <w:footnoteRef/>
      </w:r>
      <w:r w:rsidRPr="00AF0D8E">
        <w:rPr>
          <w:lang w:val="es-ES_tradnl"/>
        </w:rPr>
        <w:tab/>
        <w:t>Véase la nota 10.</w:t>
      </w:r>
    </w:p>
  </w:footnote>
  <w:footnote w:id="13">
    <w:p w14:paraId="22AE7648" w14:textId="7FEDF5E3" w:rsidR="000C2F85" w:rsidRPr="00AF0D8E" w:rsidRDefault="000C2F85" w:rsidP="000C2F85">
      <w:pPr>
        <w:pStyle w:val="Textonotapie"/>
        <w:rPr>
          <w:lang w:val="es-ES_tradnl"/>
        </w:rPr>
      </w:pPr>
      <w:r w:rsidRPr="00AF0D8E">
        <w:rPr>
          <w:lang w:val="es-ES_tradnl"/>
        </w:rPr>
        <w:tab/>
      </w:r>
      <w:r w:rsidRPr="000C2F85">
        <w:rPr>
          <w:rStyle w:val="Refdenotaalpie"/>
        </w:rPr>
        <w:footnoteRef/>
      </w:r>
      <w:r w:rsidRPr="00AF0D8E">
        <w:rPr>
          <w:lang w:val="es-ES_tradnl"/>
        </w:rPr>
        <w:tab/>
        <w:t>Véase la nota 9.</w:t>
      </w:r>
    </w:p>
  </w:footnote>
  <w:footnote w:id="14">
    <w:p w14:paraId="19FC6946" w14:textId="66FEF46E" w:rsidR="000C2F85" w:rsidRPr="00AF0D8E" w:rsidRDefault="000C2F85" w:rsidP="000C2F85">
      <w:pPr>
        <w:pStyle w:val="Textonotapie"/>
        <w:rPr>
          <w:lang w:val="es-ES_tradnl"/>
        </w:rPr>
      </w:pPr>
      <w:r w:rsidRPr="00AF0D8E">
        <w:rPr>
          <w:lang w:val="es-ES_tradnl"/>
        </w:rPr>
        <w:tab/>
      </w:r>
      <w:r w:rsidRPr="000C2F85">
        <w:rPr>
          <w:rStyle w:val="Refdenotaalpie"/>
        </w:rPr>
        <w:footnoteRef/>
      </w:r>
      <w:r w:rsidRPr="00AF0D8E">
        <w:rPr>
          <w:lang w:val="es-ES_tradnl"/>
        </w:rPr>
        <w:tab/>
        <w:t>Véase la nota 10.</w:t>
      </w:r>
    </w:p>
  </w:footnote>
  <w:footnote w:id="15">
    <w:p w14:paraId="035F4FFD" w14:textId="77777777" w:rsidR="000C2F85" w:rsidRPr="00AF0D8E" w:rsidRDefault="000C2F85" w:rsidP="000C2F85">
      <w:pPr>
        <w:pStyle w:val="Textonotapie"/>
        <w:rPr>
          <w:lang w:val="es-ES_tradnl"/>
        </w:rPr>
      </w:pPr>
      <w:r w:rsidRPr="00AF0D8E">
        <w:rPr>
          <w:lang w:val="es-ES_tradnl"/>
        </w:rPr>
        <w:tab/>
      </w:r>
      <w:r w:rsidRPr="000C2F85">
        <w:rPr>
          <w:rStyle w:val="Refdenotaalpie"/>
        </w:rPr>
        <w:footnoteRef/>
      </w:r>
      <w:r w:rsidRPr="00AF0D8E">
        <w:rPr>
          <w:lang w:val="es-ES_tradnl"/>
        </w:rPr>
        <w:t xml:space="preserve"> </w:t>
      </w:r>
      <w:r w:rsidRPr="00AF0D8E">
        <w:rPr>
          <w:lang w:val="es-ES_tradnl"/>
        </w:rPr>
        <w:tab/>
      </w:r>
      <w:r w:rsidRPr="00AF0D8E">
        <w:rPr>
          <w:i/>
          <w:iCs/>
          <w:lang w:val="es-ES_tradnl"/>
        </w:rPr>
        <w:t xml:space="preserve">General Household Survey, </w:t>
      </w:r>
      <w:r w:rsidRPr="00AF0D8E">
        <w:rPr>
          <w:lang w:val="es-ES_tradnl"/>
        </w:rPr>
        <w:t>Statistical Release P0318, Dirección de Estadísticas de Sudáfrica, publicado en junio de 2018.</w:t>
      </w:r>
    </w:p>
  </w:footnote>
  <w:footnote w:id="16">
    <w:p w14:paraId="7A8C612B" w14:textId="77777777" w:rsidR="000C2F85" w:rsidRPr="00AF0D8E" w:rsidRDefault="000C2F85" w:rsidP="000C2F85">
      <w:pPr>
        <w:pStyle w:val="Textonotapie"/>
        <w:rPr>
          <w:lang w:val="es-ES_tradnl"/>
        </w:rPr>
      </w:pPr>
      <w:r w:rsidRPr="00AF0D8E">
        <w:rPr>
          <w:lang w:val="es-ES_tradnl"/>
        </w:rPr>
        <w:tab/>
      </w:r>
      <w:r w:rsidRPr="000C2F85">
        <w:rPr>
          <w:rStyle w:val="Refdenotaalpie"/>
        </w:rPr>
        <w:footnoteRef/>
      </w:r>
      <w:r w:rsidRPr="00AF0D8E">
        <w:rPr>
          <w:lang w:val="es-ES_tradnl"/>
        </w:rPr>
        <w:t xml:space="preserve"> </w:t>
      </w:r>
      <w:r w:rsidRPr="00AF0D8E">
        <w:rPr>
          <w:lang w:val="es-ES_tradnl"/>
        </w:rPr>
        <w:tab/>
      </w:r>
      <w:r w:rsidRPr="00AF0D8E">
        <w:rPr>
          <w:i/>
          <w:iCs/>
          <w:lang w:val="es-ES_tradnl"/>
        </w:rPr>
        <w:t>Survey of Activities of Young People, 2015</w:t>
      </w:r>
      <w:r w:rsidRPr="00B231F7">
        <w:rPr>
          <w:lang w:val="es-ES_tradnl"/>
        </w:rPr>
        <w:t xml:space="preserve">, </w:t>
      </w:r>
      <w:r w:rsidRPr="00AF0D8E">
        <w:rPr>
          <w:lang w:val="es-ES_tradnl"/>
        </w:rPr>
        <w:t xml:space="preserve">Statistical Release P0212, Dirección de Estadísticas de Sudáfrica, publicado en marzo de 2017. </w:t>
      </w:r>
    </w:p>
  </w:footnote>
  <w:footnote w:id="17">
    <w:p w14:paraId="76789AAA" w14:textId="77777777" w:rsidR="000C2F85" w:rsidRPr="00AF0D8E" w:rsidRDefault="000C2F85" w:rsidP="000C2F85">
      <w:pPr>
        <w:pStyle w:val="Textonotapie"/>
        <w:rPr>
          <w:lang w:val="es-ES_tradnl"/>
        </w:rPr>
      </w:pPr>
      <w:r w:rsidRPr="00AF0D8E">
        <w:rPr>
          <w:lang w:val="es-ES_tradnl"/>
        </w:rPr>
        <w:tab/>
      </w:r>
      <w:r w:rsidRPr="000C2F85">
        <w:rPr>
          <w:rStyle w:val="Refdenotaalpie"/>
        </w:rPr>
        <w:footnoteRef/>
      </w:r>
      <w:r w:rsidRPr="00AF0D8E">
        <w:rPr>
          <w:lang w:val="es-ES_tradnl"/>
        </w:rPr>
        <w:t xml:space="preserve"> </w:t>
      </w:r>
      <w:r w:rsidRPr="00AF0D8E">
        <w:rPr>
          <w:lang w:val="es-ES_tradnl"/>
        </w:rPr>
        <w:tab/>
        <w:t>Ley núm. 108 de 1996.</w:t>
      </w:r>
    </w:p>
  </w:footnote>
  <w:footnote w:id="18">
    <w:p w14:paraId="0BD26944" w14:textId="77777777" w:rsidR="000C2F85" w:rsidRPr="00AF0D8E" w:rsidRDefault="000C2F85" w:rsidP="000C2F85">
      <w:pPr>
        <w:pStyle w:val="Textonotapie"/>
        <w:rPr>
          <w:lang w:val="es-ES_tradnl"/>
        </w:rPr>
      </w:pPr>
      <w:r w:rsidRPr="00AF0D8E">
        <w:rPr>
          <w:lang w:val="es-ES_tradnl"/>
        </w:rPr>
        <w:tab/>
      </w:r>
      <w:r w:rsidRPr="000C2F85">
        <w:rPr>
          <w:rStyle w:val="Refdenotaalpie"/>
        </w:rPr>
        <w:footnoteRef/>
      </w:r>
      <w:r w:rsidRPr="00AF0D8E">
        <w:rPr>
          <w:lang w:val="es-ES_tradnl"/>
        </w:rPr>
        <w:t xml:space="preserve"> </w:t>
      </w:r>
      <w:r w:rsidRPr="00AF0D8E">
        <w:rPr>
          <w:lang w:val="es-ES_tradnl"/>
        </w:rPr>
        <w:tab/>
      </w:r>
      <w:r w:rsidRPr="00AF0D8E">
        <w:rPr>
          <w:i/>
          <w:iCs/>
          <w:lang w:val="es-ES_tradnl"/>
        </w:rPr>
        <w:t>Education Series Volume III, Education Enrolment and Achievement, 2016</w:t>
      </w:r>
      <w:r w:rsidRPr="00AF0D8E">
        <w:rPr>
          <w:lang w:val="es-ES_tradnl"/>
        </w:rPr>
        <w:t>, informe 92-01-03, Dirección de Estadísticas de Sudáfrica.</w:t>
      </w:r>
    </w:p>
  </w:footnote>
  <w:footnote w:id="19">
    <w:p w14:paraId="221D12C6" w14:textId="39FE2465" w:rsidR="000C2F85" w:rsidRPr="00AF0D8E" w:rsidRDefault="000C2F85" w:rsidP="000C2F85">
      <w:pPr>
        <w:pStyle w:val="Textonotapie"/>
        <w:rPr>
          <w:i/>
          <w:lang w:val="es-ES_tradnl"/>
        </w:rPr>
      </w:pPr>
      <w:r w:rsidRPr="00AF0D8E">
        <w:rPr>
          <w:lang w:val="es-ES_tradnl"/>
        </w:rPr>
        <w:tab/>
      </w:r>
      <w:r w:rsidRPr="000C2F85">
        <w:rPr>
          <w:rStyle w:val="Refdenotaalpie"/>
        </w:rPr>
        <w:footnoteRef/>
      </w:r>
      <w:r w:rsidRPr="00AF0D8E">
        <w:rPr>
          <w:lang w:val="es-ES_tradnl"/>
        </w:rPr>
        <w:t xml:space="preserve"> </w:t>
      </w:r>
      <w:r w:rsidRPr="00AF0D8E">
        <w:rPr>
          <w:lang w:val="es-ES_tradnl"/>
        </w:rPr>
        <w:tab/>
        <w:t xml:space="preserve">Algo más de una quinta parte (el 21,8 %) de los alumnos de este grupo de edad que abandonaban la escuela en forma prematura mencionaron la </w:t>
      </w:r>
      <w:r w:rsidR="0091550D">
        <w:rPr>
          <w:lang w:val="es-ES_tradnl"/>
        </w:rPr>
        <w:t>“</w:t>
      </w:r>
      <w:r w:rsidRPr="00AF0D8E">
        <w:rPr>
          <w:lang w:val="es-ES_tradnl"/>
        </w:rPr>
        <w:t>falta de dinero</w:t>
      </w:r>
      <w:r w:rsidR="0091550D">
        <w:rPr>
          <w:lang w:val="es-ES_tradnl"/>
        </w:rPr>
        <w:t>”</w:t>
      </w:r>
      <w:r w:rsidRPr="00AF0D8E">
        <w:rPr>
          <w:lang w:val="es-ES_tradnl"/>
        </w:rPr>
        <w:t xml:space="preserve"> como motivo para no estudiar, aunque aparentemente un 18,9 % dejaron los estudios debido a un rendimiento académico deficiente. Si bien el 9,7 % de las personas abandonaban los estudios debido a obligaciones familiares (como el matrimonio, el cuidado de los hijos y el embarazo), se ha observado que un porcentaje mayor de mujeres que de hombres lo hacía por alguno de estos motivos (el 18,5 % frente al 0,4 %). Aunque esta observación es exacta, los datos también sugieren que el sistema escolar gratuito y otras iniciativas de financiación están empezando a rendir frutos. </w:t>
      </w:r>
      <w:r w:rsidRPr="00AF0D8E">
        <w:rPr>
          <w:i/>
          <w:iCs/>
          <w:lang w:val="es-ES_tradnl"/>
        </w:rPr>
        <w:t>Véase la nota 17.</w:t>
      </w:r>
    </w:p>
  </w:footnote>
  <w:footnote w:id="20">
    <w:p w14:paraId="5065EAD4" w14:textId="77777777" w:rsidR="000C2F85" w:rsidRPr="00AF0D8E" w:rsidRDefault="000C2F85" w:rsidP="000C2F85">
      <w:pPr>
        <w:pStyle w:val="Textonotapie"/>
        <w:rPr>
          <w:lang w:val="es-ES_tradnl"/>
        </w:rPr>
      </w:pPr>
      <w:r w:rsidRPr="00AF0D8E">
        <w:rPr>
          <w:lang w:val="es-ES_tradnl"/>
        </w:rPr>
        <w:tab/>
      </w:r>
      <w:r w:rsidRPr="000C2F85">
        <w:rPr>
          <w:rStyle w:val="Refdenotaalpie"/>
        </w:rPr>
        <w:footnoteRef/>
      </w:r>
      <w:r w:rsidRPr="00AF0D8E">
        <w:rPr>
          <w:lang w:val="es-ES_tradnl"/>
        </w:rPr>
        <w:t xml:space="preserve"> </w:t>
      </w:r>
      <w:r w:rsidRPr="00AF0D8E">
        <w:rPr>
          <w:lang w:val="es-ES_tradnl"/>
        </w:rPr>
        <w:tab/>
        <w:t xml:space="preserve">Solo el 3,4 % de las personas africanas negras de edades comprendidas entre los 18 y los 29 años cursaban estudios, frente al 13,8 % de personas indias y asiáticas y el 18 % de la población blanca de este grupo de edad. Únicamente el 3,5 % de la población mestiza cursaban estudios en 2017. </w:t>
      </w:r>
    </w:p>
  </w:footnote>
  <w:footnote w:id="21">
    <w:p w14:paraId="70EEA9FE" w14:textId="77777777" w:rsidR="000C2F85" w:rsidRPr="00AF0D8E" w:rsidRDefault="000C2F85" w:rsidP="000C2F85">
      <w:pPr>
        <w:pStyle w:val="Textonotapie"/>
        <w:rPr>
          <w:lang w:val="es-ES_tradnl"/>
        </w:rPr>
      </w:pPr>
      <w:r w:rsidRPr="00AF0D8E">
        <w:rPr>
          <w:lang w:val="es-ES_tradnl"/>
        </w:rPr>
        <w:tab/>
      </w:r>
      <w:r w:rsidRPr="000C2F85">
        <w:rPr>
          <w:rStyle w:val="Refdenotaalpie"/>
        </w:rPr>
        <w:footnoteRef/>
      </w:r>
      <w:r w:rsidRPr="00AF0D8E">
        <w:rPr>
          <w:lang w:val="es-ES_tradnl"/>
        </w:rPr>
        <w:t xml:space="preserve"> </w:t>
      </w:r>
      <w:r w:rsidRPr="00AF0D8E">
        <w:rPr>
          <w:lang w:val="es-ES_tradnl"/>
        </w:rPr>
        <w:tab/>
      </w:r>
      <w:r w:rsidRPr="00AF0D8E">
        <w:rPr>
          <w:i/>
          <w:iCs/>
          <w:lang w:val="es-ES_tradnl"/>
        </w:rPr>
        <w:t>Financial statistics of national government 2016/2017</w:t>
      </w:r>
      <w:r w:rsidRPr="00AF0D8E">
        <w:rPr>
          <w:lang w:val="es-ES_tradnl"/>
        </w:rPr>
        <w:t>, Statistical Release P9119.3, Dirección de Estadísticas de Sudáfrica, publicado en junio de 2018.</w:t>
      </w:r>
    </w:p>
  </w:footnote>
  <w:footnote w:id="22">
    <w:p w14:paraId="4C317D6A" w14:textId="77777777" w:rsidR="000C2F85" w:rsidRPr="00207768" w:rsidRDefault="000C2F85" w:rsidP="000C2F85">
      <w:pPr>
        <w:pStyle w:val="Textonotapie"/>
        <w:rPr>
          <w:b/>
          <w:bCs/>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 xml:space="preserve">Sulla, Victor; Zikhali, Precious. 2018. </w:t>
      </w:r>
      <w:r w:rsidRPr="00207768">
        <w:rPr>
          <w:i/>
          <w:iCs/>
          <w:lang w:val="es-ES_tradnl"/>
        </w:rPr>
        <w:t>Overcoming Poverty and Inequality in South Africa: An Assessment of Drivers</w:t>
      </w:r>
      <w:r w:rsidRPr="003C7379">
        <w:rPr>
          <w:lang w:val="es-ES_tradnl"/>
        </w:rPr>
        <w:t xml:space="preserve">, </w:t>
      </w:r>
      <w:r w:rsidRPr="00207768">
        <w:rPr>
          <w:i/>
          <w:iCs/>
          <w:lang w:val="es-ES_tradnl"/>
        </w:rPr>
        <w:t>Constraints and Opportunities.</w:t>
      </w:r>
      <w:r w:rsidRPr="00207768">
        <w:rPr>
          <w:lang w:val="es-ES_tradnl"/>
        </w:rPr>
        <w:t xml:space="preserve"> Washington, D. C.: Grupo Banco Mundial. http://documents.worldbank.org/curated/en/530481521735906534/Overcoming-Poverty-and-Inequality-in-South-Africa-An-Assessment-of-Drivers-Constraints-and-Opportunities.</w:t>
      </w:r>
    </w:p>
  </w:footnote>
  <w:footnote w:id="23">
    <w:p w14:paraId="21A534A2" w14:textId="7777777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 xml:space="preserve">Informe </w:t>
      </w:r>
      <w:r w:rsidRPr="00207768">
        <w:rPr>
          <w:i/>
          <w:iCs/>
          <w:lang w:val="es-ES_tradnl"/>
        </w:rPr>
        <w:t>Poverty Trends in South Africa: An examination of absolute poverty between 2006 and 2015</w:t>
      </w:r>
      <w:r w:rsidRPr="00207768">
        <w:rPr>
          <w:lang w:val="es-ES_tradnl"/>
        </w:rPr>
        <w:t>, publicado por la Dirección de Estadísticas de Sudáfrica, agosto de 2017.</w:t>
      </w:r>
    </w:p>
  </w:footnote>
  <w:footnote w:id="24">
    <w:p w14:paraId="59E0FE9F" w14:textId="7777777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r>
      <w:r w:rsidRPr="00207768">
        <w:rPr>
          <w:i/>
          <w:iCs/>
          <w:lang w:val="es-ES_tradnl"/>
        </w:rPr>
        <w:t>Quarterly Labour Force Surveys</w:t>
      </w:r>
      <w:r w:rsidRPr="00207768">
        <w:rPr>
          <w:lang w:val="es-ES_tradnl"/>
        </w:rPr>
        <w:t>, publicado por la Dirección de Estadísticas de Sudáfrica.</w:t>
      </w:r>
    </w:p>
  </w:footnote>
  <w:footnote w:id="25">
    <w:p w14:paraId="2794F673" w14:textId="7777777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Ley núm. 13 de 2004.</w:t>
      </w:r>
    </w:p>
  </w:footnote>
  <w:footnote w:id="26">
    <w:p w14:paraId="18BF67B5" w14:textId="7777777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Ley núm. 9 de 2004.</w:t>
      </w:r>
    </w:p>
  </w:footnote>
  <w:footnote w:id="27">
    <w:p w14:paraId="01FA3AA3" w14:textId="53862916"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 xml:space="preserve">El principal objetivo de la </w:t>
      </w:r>
      <w:r w:rsidR="00FE4136" w:rsidRPr="00207768">
        <w:rPr>
          <w:lang w:val="es-ES_tradnl"/>
        </w:rPr>
        <w:t xml:space="preserve">Ley </w:t>
      </w:r>
      <w:r w:rsidRPr="00207768">
        <w:rPr>
          <w:lang w:val="es-ES_tradnl"/>
        </w:rPr>
        <w:t>es establecer el Organismo de Seguridad Social de Sudáfrica como agente para la administración y el pago de la asistencia social; prever la administración prospectiva y el pago de la seguridad social por el Organismo y la prestación de los servicios conexos. En Sudáfrica, la asistencia social tiene como fin fundamental brindar asistencia a los niños, las personas con discapacidad y las personas de edad, por lo que cabe prever que una parte considerable de los beneficiarios de los subsidios serán niños y personas de edad.</w:t>
      </w:r>
    </w:p>
  </w:footnote>
  <w:footnote w:id="28">
    <w:p w14:paraId="77A8354F" w14:textId="7777777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Información proporcionada por el Departamento de Desarrollo Social de Sudáfrica e incluida en la lista de cuestiones de Sudáfrica para el informe sobre el Pacto Internacional de Derechos Económicos, Sociales y Culturales, 2018.</w:t>
      </w:r>
    </w:p>
  </w:footnote>
  <w:footnote w:id="29">
    <w:p w14:paraId="0B121D74" w14:textId="7777777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r>
      <w:r w:rsidRPr="00207768">
        <w:rPr>
          <w:i/>
          <w:iCs/>
          <w:lang w:val="es-ES_tradnl"/>
        </w:rPr>
        <w:t>Living Conditions of Households in South Africa, An analysis of household expenditure and income data using the LCS 2014/2015</w:t>
      </w:r>
      <w:r w:rsidRPr="006C596E">
        <w:rPr>
          <w:lang w:val="es-ES_tradnl"/>
        </w:rPr>
        <w:t xml:space="preserve">, </w:t>
      </w:r>
      <w:r w:rsidRPr="00207768">
        <w:rPr>
          <w:lang w:val="es-ES_tradnl"/>
        </w:rPr>
        <w:t>Statistical Release P0310, publicado el 27 de enero de 2017.</w:t>
      </w:r>
    </w:p>
  </w:footnote>
  <w:footnote w:id="30">
    <w:p w14:paraId="51009806" w14:textId="7777777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Véase la nota 28.</w:t>
      </w:r>
    </w:p>
  </w:footnote>
  <w:footnote w:id="31">
    <w:p w14:paraId="1ED4F074" w14:textId="7777777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Véase la nota 28.</w:t>
      </w:r>
    </w:p>
  </w:footnote>
  <w:footnote w:id="32">
    <w:p w14:paraId="6A19568C" w14:textId="7777777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Véase la nota 28.</w:t>
      </w:r>
    </w:p>
  </w:footnote>
  <w:footnote w:id="33">
    <w:p w14:paraId="691A32D7" w14:textId="7777777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r>
      <w:r w:rsidRPr="00207768">
        <w:rPr>
          <w:i/>
          <w:iCs/>
          <w:lang w:val="es-ES_tradnl"/>
        </w:rPr>
        <w:t>General Household Survey 2017</w:t>
      </w:r>
      <w:r w:rsidRPr="006C596E">
        <w:rPr>
          <w:lang w:val="es-ES_tradnl"/>
        </w:rPr>
        <w:t xml:space="preserve">, </w:t>
      </w:r>
      <w:r w:rsidRPr="00207768">
        <w:rPr>
          <w:lang w:val="es-ES_tradnl"/>
        </w:rPr>
        <w:t>Statistical Release P0318, Dirección de Estadísticas de Sudáfrica, publicado en junio de 2018.</w:t>
      </w:r>
    </w:p>
  </w:footnote>
  <w:footnote w:id="34">
    <w:p w14:paraId="2D1D5738" w14:textId="7777777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r>
      <w:r w:rsidRPr="00207768">
        <w:rPr>
          <w:i/>
          <w:iCs/>
          <w:lang w:val="es-ES_tradnl"/>
        </w:rPr>
        <w:t>General Household Survey 2015</w:t>
      </w:r>
      <w:r w:rsidRPr="006C596E">
        <w:rPr>
          <w:lang w:val="es-ES_tradnl"/>
        </w:rPr>
        <w:t>,</w:t>
      </w:r>
      <w:r w:rsidRPr="00207768">
        <w:rPr>
          <w:i/>
          <w:iCs/>
          <w:lang w:val="es-ES_tradnl"/>
        </w:rPr>
        <w:t xml:space="preserve"> </w:t>
      </w:r>
      <w:r w:rsidRPr="00207768">
        <w:rPr>
          <w:lang w:val="es-ES_tradnl"/>
        </w:rPr>
        <w:t>Statistical Release P0318, Dirección de Estadísticas de Sudáfrica, publicado en junio de 2016.</w:t>
      </w:r>
    </w:p>
  </w:footnote>
  <w:footnote w:id="35">
    <w:p w14:paraId="59A7D583" w14:textId="3C3632EE"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r>
      <w:r w:rsidR="0091550D">
        <w:rPr>
          <w:lang w:val="es-ES_tradnl"/>
        </w:rPr>
        <w:t>“</w:t>
      </w:r>
      <w:r w:rsidRPr="00207768">
        <w:rPr>
          <w:lang w:val="es-ES_tradnl"/>
        </w:rPr>
        <w:t>Principios constitucionales VI: Habrá separación de poderes entre los poderes legislativo, ejecutivo y judicial, con controles apropiados para garantizar la rendición de cuentas, la capacidad de respuesta y la apertura</w:t>
      </w:r>
      <w:r w:rsidR="006C596E">
        <w:rPr>
          <w:lang w:val="es-ES_tradnl"/>
        </w:rPr>
        <w:t>.</w:t>
      </w:r>
      <w:r w:rsidR="0091550D">
        <w:rPr>
          <w:lang w:val="es-ES_tradnl"/>
        </w:rPr>
        <w:t>”</w:t>
      </w:r>
    </w:p>
  </w:footnote>
  <w:footnote w:id="36">
    <w:p w14:paraId="16B6D816" w14:textId="11779F81" w:rsidR="000C2F85" w:rsidRPr="00207768" w:rsidRDefault="000C2F85" w:rsidP="00DF548A">
      <w:pPr>
        <w:pStyle w:val="Textonotapie"/>
        <w:spacing w:after="60"/>
        <w:rPr>
          <w:bCs/>
          <w:iCs/>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r>
      <w:r w:rsidR="00DF548A">
        <w:rPr>
          <w:lang w:val="es-ES_tradnl"/>
        </w:rPr>
        <w:tab/>
      </w:r>
      <w:r w:rsidR="00DF548A">
        <w:rPr>
          <w:lang w:val="es-ES_tradnl"/>
        </w:rPr>
        <w:tab/>
      </w:r>
      <w:r w:rsidR="0091550D">
        <w:rPr>
          <w:lang w:val="es-ES_tradnl"/>
        </w:rPr>
        <w:t>“</w:t>
      </w:r>
      <w:r w:rsidRPr="00207768">
        <w:rPr>
          <w:lang w:val="es-ES_tradnl"/>
        </w:rPr>
        <w:t>1)</w:t>
      </w:r>
      <w:r w:rsidR="006C596E">
        <w:rPr>
          <w:lang w:val="es-ES_tradnl"/>
        </w:rPr>
        <w:tab/>
      </w:r>
      <w:r w:rsidRPr="00207768">
        <w:rPr>
          <w:lang w:val="es-ES_tradnl"/>
        </w:rPr>
        <w:t>La autoridad judicial de la República recae en los tribunales.</w:t>
      </w:r>
    </w:p>
    <w:p w14:paraId="7F8C8121" w14:textId="618BBFA2" w:rsidR="000C2F85" w:rsidRPr="00207768" w:rsidRDefault="000C2F85" w:rsidP="006C596E">
      <w:pPr>
        <w:pStyle w:val="Textonotapie"/>
        <w:spacing w:after="60"/>
        <w:rPr>
          <w:bCs/>
          <w:iCs/>
          <w:lang w:val="es-ES_tradnl"/>
        </w:rPr>
      </w:pPr>
      <w:r w:rsidRPr="00207768">
        <w:rPr>
          <w:lang w:val="es-ES_tradnl"/>
        </w:rPr>
        <w:tab/>
      </w:r>
      <w:r w:rsidR="00DF548A">
        <w:rPr>
          <w:lang w:val="es-ES_tradnl"/>
        </w:rPr>
        <w:tab/>
      </w:r>
      <w:r w:rsidR="00DF548A">
        <w:rPr>
          <w:lang w:val="es-ES_tradnl"/>
        </w:rPr>
        <w:tab/>
      </w:r>
      <w:r w:rsidRPr="00207768">
        <w:rPr>
          <w:lang w:val="es-ES_tradnl"/>
        </w:rPr>
        <w:tab/>
        <w:t>2)</w:t>
      </w:r>
      <w:r w:rsidR="006C596E">
        <w:rPr>
          <w:lang w:val="es-ES_tradnl"/>
        </w:rPr>
        <w:tab/>
      </w:r>
      <w:r w:rsidRPr="00207768">
        <w:rPr>
          <w:lang w:val="es-ES_tradnl"/>
        </w:rPr>
        <w:t>Los tribunales son independientes y están sujetos únicamente a la Constitución y la ley, que deben aplicar de manera imparcial y sin temores, favoritismos ni prejuicios.</w:t>
      </w:r>
    </w:p>
    <w:p w14:paraId="4C42D795" w14:textId="4310B612" w:rsidR="000C2F85" w:rsidRPr="00207768" w:rsidRDefault="000C2F85" w:rsidP="006C596E">
      <w:pPr>
        <w:pStyle w:val="Textonotapie"/>
        <w:spacing w:after="60"/>
        <w:rPr>
          <w:bCs/>
          <w:iCs/>
          <w:lang w:val="es-ES_tradnl"/>
        </w:rPr>
      </w:pPr>
      <w:r w:rsidRPr="00207768">
        <w:rPr>
          <w:lang w:val="es-ES_tradnl"/>
        </w:rPr>
        <w:tab/>
      </w:r>
      <w:r w:rsidR="00DF548A">
        <w:rPr>
          <w:lang w:val="es-ES_tradnl"/>
        </w:rPr>
        <w:tab/>
      </w:r>
      <w:r w:rsidR="00DF548A">
        <w:rPr>
          <w:lang w:val="es-ES_tradnl"/>
        </w:rPr>
        <w:tab/>
      </w:r>
      <w:r w:rsidRPr="00207768">
        <w:rPr>
          <w:lang w:val="es-ES_tradnl"/>
        </w:rPr>
        <w:tab/>
        <w:t>3)</w:t>
      </w:r>
      <w:r w:rsidR="006C596E">
        <w:rPr>
          <w:lang w:val="es-ES_tradnl"/>
        </w:rPr>
        <w:tab/>
      </w:r>
      <w:r w:rsidRPr="00207768">
        <w:rPr>
          <w:lang w:val="es-ES_tradnl"/>
        </w:rPr>
        <w:t>Ninguna persona ni órgano estatal puede perturbar el funcionamiento de los tribunales.</w:t>
      </w:r>
    </w:p>
    <w:p w14:paraId="3B554E10" w14:textId="056DEF47" w:rsidR="000C2F85" w:rsidRPr="00207768" w:rsidRDefault="000C2F85" w:rsidP="006C596E">
      <w:pPr>
        <w:pStyle w:val="Textonotapie"/>
        <w:spacing w:after="60"/>
        <w:rPr>
          <w:bCs/>
          <w:iCs/>
          <w:lang w:val="es-ES_tradnl"/>
        </w:rPr>
      </w:pPr>
      <w:r w:rsidRPr="00207768">
        <w:rPr>
          <w:lang w:val="es-ES_tradnl"/>
        </w:rPr>
        <w:tab/>
      </w:r>
      <w:r w:rsidR="00DF548A">
        <w:rPr>
          <w:lang w:val="es-ES_tradnl"/>
        </w:rPr>
        <w:tab/>
      </w:r>
      <w:r w:rsidR="00DF548A">
        <w:rPr>
          <w:lang w:val="es-ES_tradnl"/>
        </w:rPr>
        <w:tab/>
      </w:r>
      <w:r w:rsidRPr="00207768">
        <w:rPr>
          <w:lang w:val="es-ES_tradnl"/>
        </w:rPr>
        <w:tab/>
        <w:t>4)</w:t>
      </w:r>
      <w:r w:rsidR="006C596E">
        <w:rPr>
          <w:lang w:val="es-ES_tradnl"/>
        </w:rPr>
        <w:tab/>
      </w:r>
      <w:r w:rsidRPr="00207768">
        <w:rPr>
          <w:lang w:val="es-ES_tradnl"/>
        </w:rPr>
        <w:t>Los órganos estatales, por medio de medidas legislativas, entre otras, deben asistir y proteger a los tribunales a fin de garantizar su independencia, imparcialidad, dignidad, accesibilidad y eficacia.</w:t>
      </w:r>
    </w:p>
    <w:p w14:paraId="52A09AF8" w14:textId="28A3DAB4" w:rsidR="000C2F85" w:rsidRPr="00207768" w:rsidRDefault="000C2F85" w:rsidP="006C596E">
      <w:pPr>
        <w:pStyle w:val="Textonotapie"/>
        <w:spacing w:after="60"/>
        <w:rPr>
          <w:bCs/>
          <w:iCs/>
          <w:lang w:val="es-ES_tradnl"/>
        </w:rPr>
      </w:pPr>
      <w:r w:rsidRPr="00207768">
        <w:rPr>
          <w:lang w:val="es-ES_tradnl"/>
        </w:rPr>
        <w:tab/>
      </w:r>
      <w:r w:rsidR="00DF548A">
        <w:rPr>
          <w:lang w:val="es-ES_tradnl"/>
        </w:rPr>
        <w:tab/>
      </w:r>
      <w:r w:rsidR="00DF548A">
        <w:rPr>
          <w:lang w:val="es-ES_tradnl"/>
        </w:rPr>
        <w:tab/>
      </w:r>
      <w:r w:rsidRPr="00207768">
        <w:rPr>
          <w:lang w:val="es-ES_tradnl"/>
        </w:rPr>
        <w:tab/>
        <w:t>5)</w:t>
      </w:r>
      <w:r w:rsidR="006C596E">
        <w:rPr>
          <w:lang w:val="es-ES_tradnl"/>
        </w:rPr>
        <w:tab/>
      </w:r>
      <w:r w:rsidRPr="00207768">
        <w:rPr>
          <w:lang w:val="es-ES_tradnl"/>
        </w:rPr>
        <w:t>Una orden o decisión dictada por un tribunal es vinculante para todas las personas y órganos del Estado a los que se aplica.</w:t>
      </w:r>
    </w:p>
    <w:p w14:paraId="76661028" w14:textId="668ED017" w:rsidR="000C2F85" w:rsidRPr="00207768" w:rsidRDefault="000C2F85" w:rsidP="000C2F85">
      <w:pPr>
        <w:pStyle w:val="Textonotapie"/>
        <w:rPr>
          <w:bCs/>
          <w:i/>
          <w:iCs/>
          <w:lang w:val="es-ES_tradnl"/>
        </w:rPr>
      </w:pPr>
      <w:r w:rsidRPr="00207768">
        <w:rPr>
          <w:lang w:val="es-ES_tradnl"/>
        </w:rPr>
        <w:tab/>
      </w:r>
      <w:r w:rsidR="00DF548A">
        <w:rPr>
          <w:lang w:val="es-ES_tradnl"/>
        </w:rPr>
        <w:tab/>
      </w:r>
      <w:r w:rsidR="00DF548A">
        <w:rPr>
          <w:lang w:val="es-ES_tradnl"/>
        </w:rPr>
        <w:tab/>
      </w:r>
      <w:r w:rsidRPr="00207768">
        <w:rPr>
          <w:lang w:val="es-ES_tradnl"/>
        </w:rPr>
        <w:tab/>
        <w:t>6)</w:t>
      </w:r>
      <w:r w:rsidR="006C596E">
        <w:rPr>
          <w:lang w:val="es-ES_tradnl"/>
        </w:rPr>
        <w:tab/>
      </w:r>
      <w:r w:rsidRPr="00207768">
        <w:rPr>
          <w:lang w:val="es-ES_tradnl"/>
        </w:rPr>
        <w:t>El Presidente de la Corte Suprema es la máxima autoridad del poder judicial y ejerce responsabilidad sobre el establecimiento y la supervisión de las reglas y normas para el ejercicio de las funciones judiciales de todos los tribunales</w:t>
      </w:r>
      <w:r w:rsidR="006C596E">
        <w:rPr>
          <w:lang w:val="es-ES_tradnl"/>
        </w:rPr>
        <w:t>.</w:t>
      </w:r>
      <w:r w:rsidR="0091550D">
        <w:rPr>
          <w:lang w:val="es-ES_tradnl"/>
        </w:rPr>
        <w:t>”</w:t>
      </w:r>
    </w:p>
  </w:footnote>
  <w:footnote w:id="37">
    <w:p w14:paraId="4486B63B" w14:textId="7777777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Aprobados en 1985.</w:t>
      </w:r>
    </w:p>
  </w:footnote>
  <w:footnote w:id="38">
    <w:p w14:paraId="7F09DE41" w14:textId="7777777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Aprobada en 1981 y ratificada por Sudáfrica en 1996.</w:t>
      </w:r>
    </w:p>
  </w:footnote>
  <w:footnote w:id="39">
    <w:p w14:paraId="38A0683D" w14:textId="7777777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Ley núm. 10 de 2013.</w:t>
      </w:r>
    </w:p>
  </w:footnote>
  <w:footnote w:id="40">
    <w:p w14:paraId="7CCBB31D" w14:textId="7777777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Ley núm. 90 de 1993.</w:t>
      </w:r>
    </w:p>
  </w:footnote>
  <w:footnote w:id="41">
    <w:p w14:paraId="2DA36043" w14:textId="7777777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Ley núm. 14 de 2008.</w:t>
      </w:r>
    </w:p>
  </w:footnote>
  <w:footnote w:id="42">
    <w:p w14:paraId="6FB0C693" w14:textId="7777777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Previsto en el artículo 167 de la Constitución.</w:t>
      </w:r>
    </w:p>
  </w:footnote>
  <w:footnote w:id="43">
    <w:p w14:paraId="6BBEE63E" w14:textId="7777777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Artículo 168.</w:t>
      </w:r>
    </w:p>
  </w:footnote>
  <w:footnote w:id="44">
    <w:p w14:paraId="1593C7A5" w14:textId="7777777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Artículo 169.</w:t>
      </w:r>
    </w:p>
  </w:footnote>
  <w:footnote w:id="45">
    <w:p w14:paraId="615EC6CD" w14:textId="7777777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Artículo 170.</w:t>
      </w:r>
    </w:p>
  </w:footnote>
  <w:footnote w:id="46">
    <w:p w14:paraId="0BFD99B7" w14:textId="7777777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Ley núm. 4 de 2000.</w:t>
      </w:r>
    </w:p>
  </w:footnote>
  <w:footnote w:id="47">
    <w:p w14:paraId="1AFEC2E5" w14:textId="77777777" w:rsidR="000C2F85" w:rsidRPr="00D9708A" w:rsidRDefault="000C2F85" w:rsidP="00D9708A">
      <w:pPr>
        <w:pStyle w:val="Textonotapie"/>
        <w:spacing w:after="60"/>
        <w:rPr>
          <w:bCs/>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r>
      <w:r w:rsidRPr="00B773AB">
        <w:rPr>
          <w:lang w:val="es-ES_tradnl"/>
        </w:rPr>
        <w:t>Tribunales especializados en delitos comerciales</w:t>
      </w:r>
      <w:r w:rsidRPr="00207768">
        <w:rPr>
          <w:lang w:val="es-ES_tradnl"/>
        </w:rPr>
        <w:t xml:space="preserve">: Estos son también tribunales penales ordinarios (del nivel de un tribunal regional) </w:t>
      </w:r>
      <w:r w:rsidRPr="00D9708A">
        <w:rPr>
          <w:lang w:val="es-ES_tradnl"/>
        </w:rPr>
        <w:t xml:space="preserve">establecidos conjuntamente con la Dirección Nacional de la Fiscalía y que se centran en casos de fraude y otros de índole comercial complejos. </w:t>
      </w:r>
    </w:p>
    <w:p w14:paraId="3A87949F" w14:textId="77777777" w:rsidR="000C2F85" w:rsidRPr="00D9708A" w:rsidRDefault="000C2F85" w:rsidP="00D9708A">
      <w:pPr>
        <w:pStyle w:val="Textonotapie"/>
        <w:spacing w:after="60"/>
        <w:rPr>
          <w:bCs/>
          <w:lang w:val="es-ES_tradnl"/>
        </w:rPr>
      </w:pPr>
      <w:r w:rsidRPr="00D9708A">
        <w:rPr>
          <w:lang w:val="es-ES_tradnl"/>
        </w:rPr>
        <w:tab/>
      </w:r>
      <w:r w:rsidRPr="00D9708A">
        <w:rPr>
          <w:lang w:val="es-ES_tradnl"/>
        </w:rPr>
        <w:tab/>
        <w:t>Tribunales especializados en delitos sexuales: Se trata de tribunales penales ordinarios (del nivel de un tribunal regional) que se ocupan de tipos de casos específicos. En la actualidad hay 75. Se están estableciendo conjuntamente con la Dirección Nacional de la Fiscalía y del poder judicial y tienen por objeto abordar con sensibilidad los delitos sexuales.</w:t>
      </w:r>
    </w:p>
    <w:p w14:paraId="7E5D71E6" w14:textId="77777777" w:rsidR="000C2F85" w:rsidRPr="00D9708A" w:rsidRDefault="000C2F85" w:rsidP="00D9708A">
      <w:pPr>
        <w:pStyle w:val="Textonotapie"/>
        <w:spacing w:after="60"/>
        <w:rPr>
          <w:bCs/>
          <w:lang w:val="es-ES_tradnl"/>
        </w:rPr>
      </w:pPr>
      <w:r w:rsidRPr="00D9708A">
        <w:rPr>
          <w:lang w:val="es-ES_tradnl"/>
        </w:rPr>
        <w:tab/>
      </w:r>
      <w:r w:rsidRPr="00D9708A">
        <w:rPr>
          <w:lang w:val="es-ES_tradnl"/>
        </w:rPr>
        <w:tab/>
        <w:t>Tribunales ambientales: Son tribunales penales ordinarios que se centran en las actividades de los cazadores y pescadores furtivos y en procesos judiciales rápidos a autores de delitos contra el medio ambiente, especialmente de la pesca ilegal del abulón y el tráfico ilícito del cuerno de rinoceronte.</w:t>
      </w:r>
    </w:p>
    <w:p w14:paraId="61E77219" w14:textId="77777777" w:rsidR="000C2F85" w:rsidRPr="00D9708A" w:rsidRDefault="000C2F85" w:rsidP="00D9708A">
      <w:pPr>
        <w:pStyle w:val="Textonotapie"/>
        <w:spacing w:after="60"/>
        <w:rPr>
          <w:bCs/>
          <w:lang w:val="es-ES_tradnl"/>
        </w:rPr>
      </w:pPr>
      <w:r w:rsidRPr="00D9708A">
        <w:rPr>
          <w:lang w:val="es-ES_tradnl"/>
        </w:rPr>
        <w:tab/>
      </w:r>
      <w:r w:rsidRPr="00D9708A">
        <w:rPr>
          <w:lang w:val="es-ES_tradnl"/>
        </w:rPr>
        <w:tab/>
        <w:t>Tribunales de menores: Todos los juzgados de primera instancia son tribunales de menores; tienen por objeto proteger a los niños abandonados, maltratados y explotados y librarlos de situaciones de abuso.</w:t>
      </w:r>
    </w:p>
    <w:p w14:paraId="07111881" w14:textId="77777777" w:rsidR="000C2F85" w:rsidRPr="00D9708A" w:rsidRDefault="000C2F85" w:rsidP="00D9708A">
      <w:pPr>
        <w:pStyle w:val="Textonotapie"/>
        <w:spacing w:after="60"/>
        <w:rPr>
          <w:bCs/>
          <w:lang w:val="es-ES_tradnl"/>
        </w:rPr>
      </w:pPr>
      <w:r w:rsidRPr="00D9708A">
        <w:rPr>
          <w:lang w:val="es-ES_tradnl"/>
        </w:rPr>
        <w:tab/>
      </w:r>
      <w:r w:rsidRPr="00D9708A">
        <w:rPr>
          <w:lang w:val="es-ES_tradnl"/>
        </w:rPr>
        <w:tab/>
        <w:t>Tribunales de justicia juvenil: Establecidos para sacar a los niños en conflicto con la ley, en la mayor medida posible, del sistema de justicia penal general. Se están creando centros únicos de justicia de menores, de los cuales en este momento hay tres.</w:t>
      </w:r>
    </w:p>
    <w:p w14:paraId="35E5C429" w14:textId="77777777" w:rsidR="000C2F85" w:rsidRPr="00D9708A" w:rsidRDefault="000C2F85" w:rsidP="00D9708A">
      <w:pPr>
        <w:pStyle w:val="Textonotapie"/>
        <w:spacing w:after="60"/>
        <w:rPr>
          <w:bCs/>
          <w:lang w:val="es-ES_tradnl"/>
        </w:rPr>
      </w:pPr>
      <w:r w:rsidRPr="00D9708A">
        <w:rPr>
          <w:lang w:val="es-ES_tradnl"/>
        </w:rPr>
        <w:tab/>
      </w:r>
      <w:r w:rsidRPr="00D9708A">
        <w:rPr>
          <w:lang w:val="es-ES_tradnl"/>
        </w:rPr>
        <w:tab/>
        <w:t>Tribunales de pensiones alimentarias: Tienen por objeto obtener y hacer cumplir las órdenes de manutención de niños con arreglo a la Ley de la Pensión Alimentaria de 1998.</w:t>
      </w:r>
    </w:p>
    <w:p w14:paraId="4AA334AE" w14:textId="77777777" w:rsidR="000C2F85" w:rsidRPr="00D9708A" w:rsidRDefault="000C2F85" w:rsidP="00D9708A">
      <w:pPr>
        <w:pStyle w:val="Textonotapie"/>
        <w:spacing w:after="60"/>
        <w:rPr>
          <w:bCs/>
          <w:lang w:val="es-ES_tradnl"/>
        </w:rPr>
      </w:pPr>
      <w:r w:rsidRPr="00D9708A">
        <w:rPr>
          <w:lang w:val="es-ES_tradnl"/>
        </w:rPr>
        <w:tab/>
      </w:r>
      <w:r w:rsidRPr="00D9708A">
        <w:rPr>
          <w:lang w:val="es-ES_tradnl"/>
        </w:rPr>
        <w:tab/>
        <w:t>Tribunales de violencia doméstica: Establecidos para obtener órdenes de protección de mujeres, niños y personas de edad con arreglo a la Ley de Violencia Doméstica de 1998.</w:t>
      </w:r>
    </w:p>
    <w:p w14:paraId="7228E49A" w14:textId="59FF3204" w:rsidR="000C2F85" w:rsidRPr="00D9708A" w:rsidRDefault="000C2F85" w:rsidP="00D9708A">
      <w:pPr>
        <w:pStyle w:val="Textonotapie"/>
        <w:spacing w:after="60"/>
        <w:rPr>
          <w:bCs/>
          <w:lang w:val="es-ES_tradnl"/>
        </w:rPr>
      </w:pPr>
      <w:r w:rsidRPr="00D9708A">
        <w:rPr>
          <w:lang w:val="es-ES_tradnl"/>
        </w:rPr>
        <w:tab/>
      </w:r>
      <w:r w:rsidRPr="00D9708A">
        <w:rPr>
          <w:lang w:val="es-ES_tradnl"/>
        </w:rPr>
        <w:tab/>
        <w:t>Tribunales de menor cuantía: Establecidos a fin de atender las reclamaciones de menor cuantía (menos de 15.000 rand) en procedimientos expeditivos y económicos, que no requieren la intervención de abogado.</w:t>
      </w:r>
    </w:p>
    <w:p w14:paraId="25D6EFA4" w14:textId="695A4B08" w:rsidR="000C2F85" w:rsidRPr="00207768" w:rsidRDefault="000C2F85" w:rsidP="000C2F85">
      <w:pPr>
        <w:pStyle w:val="Textonotapie"/>
        <w:rPr>
          <w:bCs/>
          <w:lang w:val="es-ES_tradnl"/>
        </w:rPr>
      </w:pPr>
      <w:r w:rsidRPr="00207768">
        <w:rPr>
          <w:lang w:val="es-ES_tradnl"/>
        </w:rPr>
        <w:tab/>
      </w:r>
      <w:r w:rsidRPr="00207768">
        <w:rPr>
          <w:lang w:val="es-ES_tradnl"/>
        </w:rPr>
        <w:tab/>
      </w:r>
      <w:r w:rsidR="0091550D">
        <w:rPr>
          <w:lang w:val="es-ES_tradnl"/>
        </w:rPr>
        <w:t>“</w:t>
      </w:r>
      <w:r w:rsidRPr="00DF548A">
        <w:rPr>
          <w:lang w:val="es-ES_tradnl"/>
        </w:rPr>
        <w:t>Tribunales municipales</w:t>
      </w:r>
      <w:r w:rsidR="0091550D">
        <w:rPr>
          <w:lang w:val="es-ES_tradnl"/>
        </w:rPr>
        <w:t>”</w:t>
      </w:r>
      <w:r w:rsidRPr="00207768">
        <w:rPr>
          <w:lang w:val="es-ES_tradnl"/>
        </w:rPr>
        <w:t xml:space="preserve">: Aunque se denominan tribunales municipales, son juzgados de distrito de primera instancia establecidos en colaboración con los municipios y los distritos metropolitanos que se ocupan de procedimientos relativos a las ordenanzas municipales y las infracciones de tráfico, a fin de que los tribunales penales ordinarios puedan dedicarse a asuntos más graves. </w:t>
      </w:r>
    </w:p>
  </w:footnote>
  <w:footnote w:id="48">
    <w:p w14:paraId="41B43E9E" w14:textId="7777777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Ley núm. 38 de 2005.</w:t>
      </w:r>
    </w:p>
  </w:footnote>
  <w:footnote w:id="49">
    <w:p w14:paraId="3AD31DA6" w14:textId="7777777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Ley núm. 32 de 1998.</w:t>
      </w:r>
    </w:p>
  </w:footnote>
  <w:footnote w:id="50">
    <w:p w14:paraId="50253282" w14:textId="7777777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Ley núm. 68 de 1995.</w:t>
      </w:r>
    </w:p>
  </w:footnote>
  <w:footnote w:id="51">
    <w:p w14:paraId="3E0F90D3" w14:textId="5DC3630F"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Las estadísticas anuales sobre delitos pueden consultarse en https://www.saps.gov.za/services/</w:t>
      </w:r>
      <w:r w:rsidR="00BD4F9E">
        <w:rPr>
          <w:lang w:val="es-ES_tradnl"/>
        </w:rPr>
        <w:br/>
      </w:r>
      <w:r w:rsidRPr="00207768">
        <w:rPr>
          <w:lang w:val="es-ES_tradnl"/>
        </w:rPr>
        <w:t>crimestats.php.</w:t>
      </w:r>
    </w:p>
  </w:footnote>
  <w:footnote w:id="52">
    <w:p w14:paraId="7633C232" w14:textId="7777777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Véase la nota 49.</w:t>
      </w:r>
    </w:p>
  </w:footnote>
  <w:footnote w:id="53">
    <w:p w14:paraId="3AADE64F" w14:textId="7777777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r>
      <w:r w:rsidRPr="00207768">
        <w:rPr>
          <w:i/>
          <w:iCs/>
          <w:lang w:val="es-ES_tradnl"/>
        </w:rPr>
        <w:t>Victims of Crime Survey 2016/2017</w:t>
      </w:r>
      <w:r w:rsidRPr="00DF548A">
        <w:rPr>
          <w:lang w:val="es-ES_tradnl"/>
        </w:rPr>
        <w:t xml:space="preserve">, </w:t>
      </w:r>
      <w:r w:rsidRPr="00207768">
        <w:rPr>
          <w:lang w:val="es-ES_tradnl"/>
        </w:rPr>
        <w:t>Statistical Release P0318, Dirección de Estadísticas de Sudáfrica, publicado en septiembre de 2017.</w:t>
      </w:r>
    </w:p>
  </w:footnote>
  <w:footnote w:id="54">
    <w:p w14:paraId="3C693F23" w14:textId="7777777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Ley núm. 39 de 2014.</w:t>
      </w:r>
    </w:p>
  </w:footnote>
  <w:footnote w:id="55">
    <w:p w14:paraId="2CA804C6" w14:textId="7777777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Una junta directiva gobierna la institución, que rinde cuentas al Ministro de Justicia y Servicios Penitenciarios y al Parlamento. No obstante, conserva su independencia en lo que respecta a las actividades operacionales.</w:t>
      </w:r>
    </w:p>
  </w:footnote>
  <w:footnote w:id="56">
    <w:p w14:paraId="44CBD85A" w14:textId="4C5B63D4"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r>
      <w:r w:rsidR="0091550D">
        <w:rPr>
          <w:lang w:val="es-ES_tradnl"/>
        </w:rPr>
        <w:t>“</w:t>
      </w:r>
      <w:r w:rsidRPr="00207768">
        <w:rPr>
          <w:lang w:val="es-ES_tradnl"/>
        </w:rPr>
        <w:t xml:space="preserve">El artículo 34 de la Constitución de la República, de 1996, dispone lo siguiente: </w:t>
      </w:r>
      <w:r w:rsidR="0091550D">
        <w:rPr>
          <w:lang w:val="es-ES_tradnl"/>
        </w:rPr>
        <w:t>“</w:t>
      </w:r>
      <w:r w:rsidRPr="00207768">
        <w:rPr>
          <w:lang w:val="es-ES_tradnl"/>
        </w:rPr>
        <w:t>Toda persona tiene derecho a que las controversias que puedan resolverse mediante la aplicación de la ley se zanjen en audiencia pública justa ante un juzgado o, cuando proceda, un tribunal o foro imparciales</w:t>
      </w:r>
      <w:r w:rsidR="0091550D">
        <w:rPr>
          <w:lang w:val="es-ES_tradnl"/>
        </w:rPr>
        <w:t>”</w:t>
      </w:r>
      <w:r w:rsidRPr="00207768">
        <w:rPr>
          <w:lang w:val="es-ES_tradnl"/>
        </w:rPr>
        <w:t>.</w:t>
      </w:r>
    </w:p>
  </w:footnote>
  <w:footnote w:id="57">
    <w:p w14:paraId="5B37C5EB" w14:textId="6549A63A" w:rsidR="000C2F85" w:rsidRPr="00207768" w:rsidRDefault="000C2F85" w:rsidP="00DE48CB">
      <w:pPr>
        <w:pStyle w:val="Textonotapie"/>
        <w:spacing w:after="60"/>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 xml:space="preserve">En el artículo 3 de la Ley de Asistencia Jurídica de Sudáfrica, núm. 39 de 2014, se establece que </w:t>
      </w:r>
      <w:r w:rsidR="0091550D">
        <w:rPr>
          <w:lang w:val="es-ES_tradnl"/>
        </w:rPr>
        <w:t>“</w:t>
      </w:r>
      <w:r w:rsidRPr="00207768">
        <w:rPr>
          <w:lang w:val="es-ES_tradnl"/>
        </w:rPr>
        <w:t>[l]as funciones del Servicio de Asistencia Jurídica de Sudáfrica son:</w:t>
      </w:r>
    </w:p>
    <w:p w14:paraId="05B09E51" w14:textId="3FF13C27" w:rsidR="000C2F85" w:rsidRPr="00207768" w:rsidRDefault="000C2F85" w:rsidP="00DE48CB">
      <w:pPr>
        <w:pStyle w:val="Textonotapie"/>
        <w:spacing w:after="60"/>
        <w:rPr>
          <w:lang w:val="es-ES_tradnl"/>
        </w:rPr>
      </w:pPr>
      <w:r w:rsidRPr="00207768">
        <w:rPr>
          <w:lang w:val="es-ES_tradnl"/>
        </w:rPr>
        <w:tab/>
      </w:r>
      <w:r w:rsidR="00DE48CB">
        <w:rPr>
          <w:lang w:val="es-ES_tradnl"/>
        </w:rPr>
        <w:tab/>
      </w:r>
      <w:r w:rsidR="00DE48CB">
        <w:rPr>
          <w:lang w:val="es-ES_tradnl"/>
        </w:rPr>
        <w:tab/>
      </w:r>
      <w:r w:rsidRPr="00207768">
        <w:rPr>
          <w:lang w:val="es-ES_tradnl"/>
        </w:rPr>
        <w:tab/>
        <w:t>a)</w:t>
      </w:r>
      <w:r w:rsidR="00DF548A">
        <w:rPr>
          <w:lang w:val="es-ES_tradnl"/>
        </w:rPr>
        <w:tab/>
      </w:r>
      <w:r w:rsidRPr="00207768">
        <w:rPr>
          <w:lang w:val="es-ES_tradnl"/>
        </w:rPr>
        <w:t>Prestar u ofrecer asistencia letrada y asesoramiento jurídico;</w:t>
      </w:r>
    </w:p>
    <w:p w14:paraId="63B64A03" w14:textId="48318D52" w:rsidR="000C2F85" w:rsidRPr="00207768" w:rsidRDefault="000C2F85" w:rsidP="00DE48CB">
      <w:pPr>
        <w:pStyle w:val="Textonotapie"/>
        <w:spacing w:after="60"/>
        <w:rPr>
          <w:lang w:val="es-ES_tradnl"/>
        </w:rPr>
      </w:pPr>
      <w:r w:rsidRPr="00207768">
        <w:rPr>
          <w:lang w:val="es-ES_tradnl"/>
        </w:rPr>
        <w:tab/>
      </w:r>
      <w:r w:rsidR="00DE48CB">
        <w:rPr>
          <w:lang w:val="es-ES_tradnl"/>
        </w:rPr>
        <w:tab/>
      </w:r>
      <w:r w:rsidR="00DE48CB">
        <w:rPr>
          <w:lang w:val="es-ES_tradnl"/>
        </w:rPr>
        <w:tab/>
      </w:r>
      <w:r w:rsidRPr="00207768">
        <w:rPr>
          <w:lang w:val="es-ES_tradnl"/>
        </w:rPr>
        <w:tab/>
        <w:t>b)</w:t>
      </w:r>
      <w:r w:rsidR="00DF548A">
        <w:rPr>
          <w:lang w:val="es-ES_tradnl"/>
        </w:rPr>
        <w:tab/>
      </w:r>
      <w:r w:rsidRPr="00207768">
        <w:rPr>
          <w:lang w:val="es-ES_tradnl"/>
        </w:rPr>
        <w:t>Proporcionar, con cargo al Estado, representación jurídica a las personas, y</w:t>
      </w:r>
    </w:p>
    <w:p w14:paraId="634244F5" w14:textId="074B6222" w:rsidR="000C2F85" w:rsidRPr="00207768" w:rsidRDefault="000C2F85" w:rsidP="000C2F85">
      <w:pPr>
        <w:pStyle w:val="Textonotapie"/>
        <w:rPr>
          <w:lang w:val="es-ES_tradnl"/>
        </w:rPr>
      </w:pPr>
      <w:r w:rsidRPr="00207768">
        <w:rPr>
          <w:lang w:val="es-ES_tradnl"/>
        </w:rPr>
        <w:tab/>
      </w:r>
      <w:r w:rsidR="00DE48CB">
        <w:rPr>
          <w:lang w:val="es-ES_tradnl"/>
        </w:rPr>
        <w:tab/>
      </w:r>
      <w:r w:rsidR="00DE48CB">
        <w:rPr>
          <w:lang w:val="es-ES_tradnl"/>
        </w:rPr>
        <w:tab/>
      </w:r>
      <w:r w:rsidRPr="00207768">
        <w:rPr>
          <w:lang w:val="es-ES_tradnl"/>
        </w:rPr>
        <w:tab/>
        <w:t>c)</w:t>
      </w:r>
      <w:r w:rsidR="00DE48CB">
        <w:rPr>
          <w:lang w:val="es-ES_tradnl"/>
        </w:rPr>
        <w:tab/>
      </w:r>
      <w:r w:rsidRPr="00207768">
        <w:rPr>
          <w:lang w:val="es-ES_tradnl"/>
        </w:rPr>
        <w:t>Impartir capacitación y divulgar información sobre las obligaciones y los derechos jurídicos, como se prevé en la Constitución y en esta Ley</w:t>
      </w:r>
      <w:r w:rsidR="00DE48CB">
        <w:rPr>
          <w:lang w:val="es-ES_tradnl"/>
        </w:rPr>
        <w:t>.</w:t>
      </w:r>
      <w:r w:rsidR="0091550D">
        <w:rPr>
          <w:lang w:val="es-ES_tradnl"/>
        </w:rPr>
        <w:t>”</w:t>
      </w:r>
    </w:p>
  </w:footnote>
  <w:footnote w:id="58">
    <w:p w14:paraId="005C4C1D" w14:textId="4E6B6900"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Las asignaciones de fondos forman parte del marco de gastos a medio plazo, que abarca un período de</w:t>
      </w:r>
      <w:r w:rsidR="00DE48CB">
        <w:rPr>
          <w:lang w:val="es-ES_tradnl"/>
        </w:rPr>
        <w:t> </w:t>
      </w:r>
      <w:r w:rsidRPr="00207768">
        <w:rPr>
          <w:lang w:val="es-ES_tradnl"/>
        </w:rPr>
        <w:t>tres años. Las ayudas del Gobierno en el período 2017/18 ascendieron a 1.754.394.000 rand (140</w:t>
      </w:r>
      <w:r w:rsidR="00DE48CB">
        <w:rPr>
          <w:lang w:val="es-ES_tradnl"/>
        </w:rPr>
        <w:t> </w:t>
      </w:r>
      <w:r w:rsidRPr="00207768">
        <w:rPr>
          <w:lang w:val="es-ES_tradnl"/>
        </w:rPr>
        <w:t xml:space="preserve">millones de dólares de los Estados Unidos). </w:t>
      </w:r>
    </w:p>
  </w:footnote>
  <w:footnote w:id="59">
    <w:p w14:paraId="6FE0B798" w14:textId="6C54C38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 xml:space="preserve">Los derechos reservados exclusivamente a los </w:t>
      </w:r>
      <w:r w:rsidR="0091550D">
        <w:rPr>
          <w:lang w:val="es-ES_tradnl"/>
        </w:rPr>
        <w:t>“</w:t>
      </w:r>
      <w:r w:rsidRPr="00207768">
        <w:rPr>
          <w:lang w:val="es-ES_tradnl"/>
        </w:rPr>
        <w:t>ciudadanos</w:t>
      </w:r>
      <w:r w:rsidR="0091550D">
        <w:rPr>
          <w:lang w:val="es-ES_tradnl"/>
        </w:rPr>
        <w:t>”</w:t>
      </w:r>
      <w:r w:rsidRPr="00207768">
        <w:rPr>
          <w:lang w:val="es-ES_tradnl"/>
        </w:rPr>
        <w:t xml:space="preserve"> son: art. 19, derechos políticos; art. 20, ciudadanía; art. 21 derecho a entrar, permanecer y residir en cualquier lugar de Sudáfrica y derecho a pasaporte; y art. 22, derecho a elegir oficio, ocupación o profesión.</w:t>
      </w:r>
    </w:p>
  </w:footnote>
  <w:footnote w:id="60">
    <w:p w14:paraId="1AF031DE" w14:textId="7777777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Ley núm. 130 de 1998.</w:t>
      </w:r>
    </w:p>
  </w:footnote>
  <w:footnote w:id="61">
    <w:p w14:paraId="0BB5C5E1" w14:textId="32EA3771"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En la cláusula 2, párr</w:t>
      </w:r>
      <w:r w:rsidR="009C43B5">
        <w:rPr>
          <w:lang w:val="es-ES_tradnl"/>
        </w:rPr>
        <w:t>afo</w:t>
      </w:r>
      <w:r w:rsidRPr="00207768">
        <w:rPr>
          <w:lang w:val="es-ES_tradnl"/>
        </w:rPr>
        <w:t xml:space="preserve"> 1, del reglamento de la Ley de la Asistencia Jurídica de Sudáfrica, núm. 34 de</w:t>
      </w:r>
      <w:r w:rsidR="000779F6">
        <w:rPr>
          <w:lang w:val="es-ES_tradnl"/>
        </w:rPr>
        <w:t> </w:t>
      </w:r>
      <w:r w:rsidRPr="00207768">
        <w:rPr>
          <w:lang w:val="es-ES_tradnl"/>
        </w:rPr>
        <w:t xml:space="preserve">2014, se establece lo siguiente: </w:t>
      </w:r>
      <w:r w:rsidR="0091550D">
        <w:rPr>
          <w:lang w:val="es-ES_tradnl"/>
        </w:rPr>
        <w:t>“</w:t>
      </w:r>
      <w:r w:rsidRPr="00207768">
        <w:rPr>
          <w:lang w:val="es-ES_tradnl"/>
        </w:rPr>
        <w:t>El Servicio de Asistencia Jurídica de Sudáfrica puede proporcionar asistencia letrada en una causa penal a cualquier persona acusada ante un tribunal sudafricano que reúna las condiciones fijadas por el presente reglamento para recibir ese tipo de asistencia</w:t>
      </w:r>
      <w:r w:rsidR="0091550D">
        <w:rPr>
          <w:lang w:val="es-ES_tradnl"/>
        </w:rPr>
        <w:t>”</w:t>
      </w:r>
      <w:r w:rsidRPr="00207768">
        <w:rPr>
          <w:lang w:val="es-ES_tradnl"/>
        </w:rPr>
        <w:t>.</w:t>
      </w:r>
    </w:p>
  </w:footnote>
  <w:footnote w:id="62">
    <w:p w14:paraId="5774ED01" w14:textId="6877E482"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En la cláusula 2, párr</w:t>
      </w:r>
      <w:r w:rsidR="009C43B5">
        <w:rPr>
          <w:lang w:val="es-ES_tradnl"/>
        </w:rPr>
        <w:t>afo</w:t>
      </w:r>
      <w:r w:rsidRPr="00207768">
        <w:rPr>
          <w:lang w:val="es-ES_tradnl"/>
        </w:rPr>
        <w:t xml:space="preserve"> 2, del reglamento de la Ley de Asistencia Jurídica de Sudáfrica, núm. 34 de</w:t>
      </w:r>
      <w:r w:rsidR="000779F6">
        <w:rPr>
          <w:lang w:val="es-ES_tradnl"/>
        </w:rPr>
        <w:t> </w:t>
      </w:r>
      <w:r w:rsidRPr="00207768">
        <w:rPr>
          <w:lang w:val="es-ES_tradnl"/>
        </w:rPr>
        <w:t xml:space="preserve">2014, se establece lo siguiente: </w:t>
      </w:r>
      <w:r w:rsidR="0091550D">
        <w:rPr>
          <w:lang w:val="es-ES_tradnl"/>
        </w:rPr>
        <w:t>“</w:t>
      </w:r>
      <w:r w:rsidRPr="00207768">
        <w:rPr>
          <w:lang w:val="es-ES_tradnl"/>
        </w:rPr>
        <w:t>La asistencia a efectos de asesoramiento jurídico y representación letrada solo estará disponible para las personas físicas</w:t>
      </w:r>
      <w:r w:rsidR="0091550D">
        <w:rPr>
          <w:lang w:val="es-ES_tradnl"/>
        </w:rPr>
        <w:t>”</w:t>
      </w:r>
      <w:r w:rsidRPr="00207768">
        <w:rPr>
          <w:lang w:val="es-ES_tradnl"/>
        </w:rPr>
        <w:t>.</w:t>
      </w:r>
    </w:p>
  </w:footnote>
  <w:footnote w:id="63">
    <w:p w14:paraId="3BB515E8" w14:textId="7777777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 xml:space="preserve">En 2016/17 se prestó asistencia a 3 niños refugiados y 3.067 usuarios recibieron asistencia por delitos relacionados con la inmigración, en los que se recurrió al Servicio de Asistencia Jurídica de Sudáfrica para defender los derechos de los migrantes. </w:t>
      </w:r>
    </w:p>
  </w:footnote>
  <w:footnote w:id="64">
    <w:p w14:paraId="2D163741" w14:textId="7777777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Ley núm. 130 de 1998.</w:t>
      </w:r>
    </w:p>
  </w:footnote>
  <w:footnote w:id="65">
    <w:p w14:paraId="48528783" w14:textId="3DE57B1C" w:rsidR="000C2F85" w:rsidRPr="00207768" w:rsidRDefault="000C2F85" w:rsidP="000779F6">
      <w:pPr>
        <w:pStyle w:val="Textonotapie"/>
        <w:spacing w:after="60"/>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En la cláusula 10, párr</w:t>
      </w:r>
      <w:r w:rsidR="009C43B5">
        <w:rPr>
          <w:lang w:val="es-ES_tradnl"/>
        </w:rPr>
        <w:t>afo</w:t>
      </w:r>
      <w:r w:rsidRPr="00207768">
        <w:rPr>
          <w:lang w:val="es-ES_tradnl"/>
        </w:rPr>
        <w:t xml:space="preserve"> 2, de la Ley de Asistencia Jurídica de Sudáfrica se dispone lo siguiente: </w:t>
      </w:r>
      <w:r w:rsidR="0091550D">
        <w:rPr>
          <w:lang w:val="es-ES_tradnl"/>
        </w:rPr>
        <w:t>“</w:t>
      </w:r>
      <w:r w:rsidRPr="00207768">
        <w:rPr>
          <w:lang w:val="es-ES_tradnl"/>
        </w:rPr>
        <w:t>Para decidir si una persona puede recibir asistencia letrada en una causa civil conforme a lo previsto en el apartado 1, el Servicio de Asistencia Jurídica de Sudáfrica debe tener en cuenta los siguientes criterios:</w:t>
      </w:r>
    </w:p>
    <w:p w14:paraId="212590B2" w14:textId="38ED7299" w:rsidR="000C2F85" w:rsidRPr="00207768" w:rsidRDefault="000C2F85" w:rsidP="000779F6">
      <w:pPr>
        <w:pStyle w:val="Textonotapie"/>
        <w:spacing w:after="60"/>
        <w:rPr>
          <w:lang w:val="es-ES_tradnl"/>
        </w:rPr>
      </w:pPr>
      <w:r w:rsidRPr="00207768">
        <w:rPr>
          <w:lang w:val="es-ES_tradnl"/>
        </w:rPr>
        <w:tab/>
      </w:r>
      <w:r w:rsidR="000779F6">
        <w:rPr>
          <w:lang w:val="es-ES_tradnl"/>
        </w:rPr>
        <w:tab/>
      </w:r>
      <w:r w:rsidR="000779F6">
        <w:rPr>
          <w:lang w:val="es-ES_tradnl"/>
        </w:rPr>
        <w:tab/>
      </w:r>
      <w:r w:rsidRPr="00207768">
        <w:rPr>
          <w:lang w:val="es-ES_tradnl"/>
        </w:rPr>
        <w:tab/>
        <w:t>a)</w:t>
      </w:r>
      <w:r w:rsidR="000779F6">
        <w:rPr>
          <w:lang w:val="es-ES_tradnl"/>
        </w:rPr>
        <w:tab/>
      </w:r>
      <w:r w:rsidRPr="00207768">
        <w:rPr>
          <w:lang w:val="es-ES_tradnl"/>
        </w:rPr>
        <w:t>La gravedad de las consecuencias para el solicitante de asistencia letrada;</w:t>
      </w:r>
    </w:p>
    <w:p w14:paraId="392CC9EA" w14:textId="1EA4D1A7" w:rsidR="000C2F85" w:rsidRPr="00207768" w:rsidRDefault="000C2F85" w:rsidP="000779F6">
      <w:pPr>
        <w:pStyle w:val="Textonotapie"/>
        <w:spacing w:after="60"/>
        <w:rPr>
          <w:lang w:val="es-ES_tradnl"/>
        </w:rPr>
      </w:pPr>
      <w:r w:rsidRPr="00207768">
        <w:rPr>
          <w:lang w:val="es-ES_tradnl"/>
        </w:rPr>
        <w:tab/>
      </w:r>
      <w:r w:rsidR="000779F6">
        <w:rPr>
          <w:lang w:val="es-ES_tradnl"/>
        </w:rPr>
        <w:tab/>
      </w:r>
      <w:r w:rsidR="000779F6">
        <w:rPr>
          <w:lang w:val="es-ES_tradnl"/>
        </w:rPr>
        <w:tab/>
      </w:r>
      <w:r w:rsidRPr="00207768">
        <w:rPr>
          <w:lang w:val="es-ES_tradnl"/>
        </w:rPr>
        <w:tab/>
        <w:t>b)</w:t>
      </w:r>
      <w:r w:rsidR="000779F6">
        <w:rPr>
          <w:lang w:val="es-ES_tradnl"/>
        </w:rPr>
        <w:tab/>
      </w:r>
      <w:r w:rsidRPr="00207768">
        <w:rPr>
          <w:lang w:val="es-ES_tradnl"/>
        </w:rPr>
        <w:t>La complejidad de la legislación y el procedimiento pertinentes;</w:t>
      </w:r>
    </w:p>
    <w:p w14:paraId="064AFA44" w14:textId="3EA7C1A6" w:rsidR="000C2F85" w:rsidRPr="00207768" w:rsidRDefault="000C2F85" w:rsidP="000779F6">
      <w:pPr>
        <w:pStyle w:val="Textonotapie"/>
        <w:spacing w:after="60"/>
        <w:rPr>
          <w:lang w:val="es-ES_tradnl"/>
        </w:rPr>
      </w:pPr>
      <w:r w:rsidRPr="00207768">
        <w:rPr>
          <w:lang w:val="es-ES_tradnl"/>
        </w:rPr>
        <w:tab/>
      </w:r>
      <w:r w:rsidR="000779F6">
        <w:rPr>
          <w:lang w:val="es-ES_tradnl"/>
        </w:rPr>
        <w:tab/>
      </w:r>
      <w:r w:rsidR="000779F6">
        <w:rPr>
          <w:lang w:val="es-ES_tradnl"/>
        </w:rPr>
        <w:tab/>
      </w:r>
      <w:r w:rsidRPr="00207768">
        <w:rPr>
          <w:lang w:val="es-ES_tradnl"/>
        </w:rPr>
        <w:tab/>
        <w:t>c)</w:t>
      </w:r>
      <w:r w:rsidR="000779F6">
        <w:rPr>
          <w:lang w:val="es-ES_tradnl"/>
        </w:rPr>
        <w:tab/>
      </w:r>
      <w:r w:rsidRPr="00207768">
        <w:rPr>
          <w:lang w:val="es-ES_tradnl"/>
        </w:rPr>
        <w:t>La capacidad del solicitante de asistencia letrada para representarse a sí mismo de manera eficaz;</w:t>
      </w:r>
    </w:p>
    <w:p w14:paraId="056FB788" w14:textId="19631177" w:rsidR="000C2F85" w:rsidRPr="00207768" w:rsidRDefault="000C2F85" w:rsidP="000779F6">
      <w:pPr>
        <w:pStyle w:val="Textonotapie"/>
        <w:spacing w:after="60"/>
        <w:rPr>
          <w:lang w:val="es-ES_tradnl"/>
        </w:rPr>
      </w:pPr>
      <w:r w:rsidRPr="00207768">
        <w:rPr>
          <w:lang w:val="es-ES_tradnl"/>
        </w:rPr>
        <w:tab/>
      </w:r>
      <w:r w:rsidR="000779F6">
        <w:rPr>
          <w:lang w:val="es-ES_tradnl"/>
        </w:rPr>
        <w:tab/>
      </w:r>
      <w:r w:rsidR="000779F6">
        <w:rPr>
          <w:lang w:val="es-ES_tradnl"/>
        </w:rPr>
        <w:tab/>
      </w:r>
      <w:r w:rsidRPr="00207768">
        <w:rPr>
          <w:lang w:val="es-ES_tradnl"/>
        </w:rPr>
        <w:tab/>
        <w:t>d)</w:t>
      </w:r>
      <w:r w:rsidR="000779F6">
        <w:rPr>
          <w:lang w:val="es-ES_tradnl"/>
        </w:rPr>
        <w:tab/>
      </w:r>
      <w:r w:rsidRPr="00207768">
        <w:rPr>
          <w:lang w:val="es-ES_tradnl"/>
        </w:rPr>
        <w:t>Los medios económicos del solicitante;</w:t>
      </w:r>
    </w:p>
    <w:p w14:paraId="29E0920E" w14:textId="3F03EF95" w:rsidR="000C2F85" w:rsidRPr="00207768" w:rsidRDefault="000C2F85" w:rsidP="000779F6">
      <w:pPr>
        <w:pStyle w:val="Textonotapie"/>
        <w:spacing w:after="60"/>
        <w:rPr>
          <w:lang w:val="es-ES_tradnl"/>
        </w:rPr>
      </w:pPr>
      <w:r w:rsidRPr="00207768">
        <w:rPr>
          <w:lang w:val="es-ES_tradnl"/>
        </w:rPr>
        <w:tab/>
      </w:r>
      <w:r w:rsidR="000779F6">
        <w:rPr>
          <w:lang w:val="es-ES_tradnl"/>
        </w:rPr>
        <w:tab/>
      </w:r>
      <w:r w:rsidR="000779F6">
        <w:rPr>
          <w:lang w:val="es-ES_tradnl"/>
        </w:rPr>
        <w:tab/>
      </w:r>
      <w:r w:rsidRPr="00207768">
        <w:rPr>
          <w:lang w:val="es-ES_tradnl"/>
        </w:rPr>
        <w:tab/>
        <w:t>e)</w:t>
      </w:r>
      <w:r w:rsidR="000779F6">
        <w:rPr>
          <w:lang w:val="es-ES_tradnl"/>
        </w:rPr>
        <w:tab/>
      </w:r>
      <w:r w:rsidRPr="00207768">
        <w:rPr>
          <w:lang w:val="es-ES_tradnl"/>
        </w:rPr>
        <w:t>Las posibilidades de éxito en la causa del solicitante de asistencia letrada;</w:t>
      </w:r>
    </w:p>
    <w:p w14:paraId="274FFF06" w14:textId="60091498" w:rsidR="000C2F85" w:rsidRPr="00207768" w:rsidRDefault="000C2F85" w:rsidP="000779F6">
      <w:pPr>
        <w:pStyle w:val="Textonotapie"/>
        <w:spacing w:after="60"/>
        <w:rPr>
          <w:lang w:val="es-ES_tradnl"/>
        </w:rPr>
      </w:pPr>
      <w:r w:rsidRPr="00207768">
        <w:rPr>
          <w:lang w:val="es-ES_tradnl"/>
        </w:rPr>
        <w:tab/>
      </w:r>
      <w:r w:rsidR="000779F6">
        <w:rPr>
          <w:lang w:val="es-ES_tradnl"/>
        </w:rPr>
        <w:tab/>
      </w:r>
      <w:r w:rsidR="000779F6">
        <w:rPr>
          <w:lang w:val="es-ES_tradnl"/>
        </w:rPr>
        <w:tab/>
      </w:r>
      <w:r w:rsidRPr="00207768">
        <w:rPr>
          <w:lang w:val="es-ES_tradnl"/>
        </w:rPr>
        <w:tab/>
        <w:t>f)</w:t>
      </w:r>
      <w:r w:rsidR="000779F6">
        <w:rPr>
          <w:lang w:val="es-ES_tradnl"/>
        </w:rPr>
        <w:tab/>
      </w:r>
      <w:r w:rsidRPr="00207768">
        <w:rPr>
          <w:lang w:val="es-ES_tradnl"/>
        </w:rPr>
        <w:t>Si el solicitante de asistencia letrada tiene una desventaja considerable en comparación con la otra parte en la causa, y</w:t>
      </w:r>
    </w:p>
    <w:p w14:paraId="42F75E26" w14:textId="7BF782CE" w:rsidR="000C2F85" w:rsidRPr="00207768" w:rsidRDefault="000C2F85" w:rsidP="000C2F85">
      <w:pPr>
        <w:pStyle w:val="Textonotapie"/>
        <w:rPr>
          <w:lang w:val="es-ES_tradnl"/>
        </w:rPr>
      </w:pPr>
      <w:r w:rsidRPr="00207768">
        <w:rPr>
          <w:lang w:val="es-ES_tradnl"/>
        </w:rPr>
        <w:tab/>
      </w:r>
      <w:r w:rsidR="000779F6">
        <w:rPr>
          <w:lang w:val="es-ES_tradnl"/>
        </w:rPr>
        <w:tab/>
      </w:r>
      <w:r w:rsidR="000779F6">
        <w:rPr>
          <w:lang w:val="es-ES_tradnl"/>
        </w:rPr>
        <w:tab/>
      </w:r>
      <w:r w:rsidRPr="00207768">
        <w:rPr>
          <w:lang w:val="es-ES_tradnl"/>
        </w:rPr>
        <w:tab/>
        <w:t>g)</w:t>
      </w:r>
      <w:r w:rsidR="000779F6">
        <w:rPr>
          <w:lang w:val="es-ES_tradnl"/>
        </w:rPr>
        <w:tab/>
      </w:r>
      <w:r w:rsidRPr="00207768">
        <w:rPr>
          <w:lang w:val="es-ES_tradnl"/>
        </w:rPr>
        <w:t>Si se cumplen los demás requisitos previstos en el reglamento.</w:t>
      </w:r>
      <w:r w:rsidR="000779F6">
        <w:rPr>
          <w:lang w:val="es-ES_tradnl"/>
        </w:rPr>
        <w:t>”</w:t>
      </w:r>
    </w:p>
  </w:footnote>
  <w:footnote w:id="66">
    <w:p w14:paraId="26E3B0E5" w14:textId="77777777" w:rsidR="000C2F85" w:rsidRPr="00207768" w:rsidRDefault="000C2F85" w:rsidP="000C2F85">
      <w:pPr>
        <w:pStyle w:val="Textonotapie"/>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 xml:space="preserve">Los litigios de gran repercusión son causas que pueden establecer un precedente jurídico o sentar jurisprudencia, tienen el potencial de resolver un gran número de controversias o posibles litigios, o pueden mejorar la vida de un grupo de personas o de una parte considerable de un grupo. El principal objetivo en los litigios de gran repercusión es la protección de los derechos humanos fundamentales previstos en la Constitución, incluidos los de las comunidades socioeconómicas, culturales, religiosas y lingüísticas, a fin de garantizar la efectividad de la Constitución para las comunidades pobres y vulnerables. </w:t>
      </w:r>
    </w:p>
  </w:footnote>
  <w:footnote w:id="67">
    <w:p w14:paraId="080619E9" w14:textId="77777777" w:rsidR="000C2F85" w:rsidRPr="00207768" w:rsidRDefault="000C2F85" w:rsidP="000779F6">
      <w:pPr>
        <w:pStyle w:val="Textonotapie"/>
        <w:spacing w:after="60"/>
        <w:rPr>
          <w:lang w:val="es-ES_tradnl"/>
        </w:rPr>
      </w:pPr>
      <w:r w:rsidRPr="00207768">
        <w:rPr>
          <w:lang w:val="es-ES_tradnl"/>
        </w:rPr>
        <w:tab/>
      </w:r>
      <w:r w:rsidRPr="000C2F85">
        <w:rPr>
          <w:rStyle w:val="Refdenotaalpie"/>
        </w:rPr>
        <w:footnoteRef/>
      </w:r>
      <w:r w:rsidRPr="00207768">
        <w:rPr>
          <w:lang w:val="es-ES_tradnl"/>
        </w:rPr>
        <w:t xml:space="preserve"> </w:t>
      </w:r>
      <w:r w:rsidRPr="00207768">
        <w:rPr>
          <w:lang w:val="es-ES_tradnl"/>
        </w:rPr>
        <w:tab/>
        <w:t xml:space="preserve">En 2013 se proporcionó financiación para la causa </w:t>
      </w:r>
      <w:r w:rsidRPr="00207768">
        <w:rPr>
          <w:i/>
          <w:iCs/>
          <w:lang w:val="es-ES_tradnl"/>
        </w:rPr>
        <w:t>Pontsho Doreen Motswagae and 14 Others/Rustenburg Local Municipality and Others</w:t>
      </w:r>
      <w:r w:rsidRPr="00207768">
        <w:rPr>
          <w:lang w:val="es-ES_tradnl"/>
        </w:rPr>
        <w:t xml:space="preserve">, en la que se plantearon cuestiones interesantes relativas a la seguridad de la tenencia para las mujeres negras que ocupaban viviendas en su nombre y a la posibilidad de que la municipalidad eludiese las disposiciones del artículo 26, párrafo 3, de la Constitución, en el que se establece que nadie puede ser desalojado de su domicilio sin una orden judicial. El Servicio de Asistencia Jurídica de Sudáfrica participó en la causa </w:t>
      </w:r>
      <w:r w:rsidRPr="00207768">
        <w:rPr>
          <w:i/>
          <w:iCs/>
          <w:lang w:val="es-ES_tradnl"/>
        </w:rPr>
        <w:t>Dohnavin Arthur Wilsnach v. Reagan Gilmore and Others</w:t>
      </w:r>
      <w:r w:rsidRPr="00207768">
        <w:rPr>
          <w:lang w:val="es-ES_tradnl"/>
        </w:rPr>
        <w:t>, en la que se puso de relieve el creciente problema de los préstamos abusivos y los esquemas fraudulentos desencadenado por la crisis financiera. Hay sociedades crediticias y prestamistas hipotecarios que participan en esas actividades y se aprovechan de la vulnerabilidad de los ciudadanos pobres para desposeerlos de sus activos, es decir, sus hogares. Reconociendo la amenaza que ello representa para el derecho fundamental a la vivienda, el Servicio de Asistencia Jurídica de Sudáfrica logró impedir el desalojo del demandante de su hogar.</w:t>
      </w:r>
    </w:p>
    <w:p w14:paraId="6D1CB584" w14:textId="2390A6EB" w:rsidR="000C2F85" w:rsidRPr="00207768" w:rsidRDefault="000C2F85" w:rsidP="000779F6">
      <w:pPr>
        <w:pStyle w:val="Textonotapie"/>
        <w:spacing w:after="60"/>
        <w:rPr>
          <w:lang w:val="es-ES_tradnl"/>
        </w:rPr>
      </w:pPr>
      <w:r w:rsidRPr="00207768">
        <w:rPr>
          <w:lang w:val="es-ES_tradnl"/>
        </w:rPr>
        <w:tab/>
      </w:r>
      <w:r w:rsidRPr="00207768">
        <w:rPr>
          <w:lang w:val="es-ES_tradnl"/>
        </w:rPr>
        <w:tab/>
        <w:t xml:space="preserve">En el período 2014/15, el Servicio de Asistencia Jurídica de Sudáfrica financió la causa </w:t>
      </w:r>
      <w:r w:rsidRPr="00207768">
        <w:rPr>
          <w:i/>
          <w:iCs/>
          <w:lang w:val="es-ES_tradnl"/>
        </w:rPr>
        <w:t>Lawyers for Human Rights v. Minister of Home Affairs</w:t>
      </w:r>
      <w:r w:rsidRPr="00207768">
        <w:rPr>
          <w:lang w:val="es-ES_tradnl"/>
        </w:rPr>
        <w:t xml:space="preserve"> para poner fin a la detención ilegal, especialmente de mujeres y niños migrantes, que sufren penurias indecibles al ser privados de libertad. En el artículo</w:t>
      </w:r>
      <w:r w:rsidR="000779F6">
        <w:rPr>
          <w:lang w:val="es-ES_tradnl"/>
        </w:rPr>
        <w:t> </w:t>
      </w:r>
      <w:r w:rsidRPr="00207768">
        <w:rPr>
          <w:lang w:val="es-ES_tradnl"/>
        </w:rPr>
        <w:t xml:space="preserve">34, párrafo 1 d), de la Ley de Inmigración de 2002 (Ley núm. 13 de 2002) se dispone que un extranjero en situación irregular no podrá ser privado de libertad durante más de 30 días naturales si no se ha presentado una orden judicial que prolongue el período de privación de libertad por motivos válidos y fundados por un período no superior a 90 días naturales. La Ley no confiere por defecto a la persona privada de liberad el derecho a impugnar la legalidad de su detención. La disposición fue declarada inconstitucional y nula. En el mismo ejercicio económico, el Servicio de Asistencia Jurídica de Sudáfrica financió la causa </w:t>
      </w:r>
      <w:r w:rsidRPr="00207768">
        <w:rPr>
          <w:i/>
          <w:iCs/>
          <w:lang w:val="es-ES_tradnl"/>
        </w:rPr>
        <w:t>CORMSA v. President of the Republic of South Africa</w:t>
      </w:r>
      <w:r w:rsidRPr="00207768">
        <w:rPr>
          <w:lang w:val="es-ES_tradnl"/>
        </w:rPr>
        <w:t>, con el objetivo de impugnar la solicitud presentada por el Consortium for Refugees and Migrants (CORMSA) para que se revisase la decisión judicial que concedía al Sr. Faustin Kayumba Nyanwasa la condición de refugiado.</w:t>
      </w:r>
    </w:p>
    <w:p w14:paraId="016C79CD" w14:textId="77777777" w:rsidR="000C2F85" w:rsidRPr="00207768" w:rsidRDefault="000C2F85" w:rsidP="000C2F85">
      <w:pPr>
        <w:pStyle w:val="Textonotapie"/>
        <w:rPr>
          <w:lang w:val="es-ES_tradnl"/>
        </w:rPr>
      </w:pPr>
      <w:r w:rsidRPr="00207768">
        <w:rPr>
          <w:lang w:val="es-ES_tradnl"/>
        </w:rPr>
        <w:tab/>
      </w:r>
      <w:r w:rsidRPr="00207768">
        <w:rPr>
          <w:lang w:val="es-ES_tradnl"/>
        </w:rPr>
        <w:tab/>
        <w:t xml:space="preserve">En el período 2015/16, el Servicio de Asistencia Jurídica de Sudáfrica contribuyó a la protección de los derechos socioeconómicos mediante su participación en la causa </w:t>
      </w:r>
      <w:r w:rsidRPr="00207768">
        <w:rPr>
          <w:i/>
          <w:iCs/>
          <w:lang w:val="es-ES_tradnl"/>
        </w:rPr>
        <w:t>Helgard Petrus Honiball and Premier of the Eastern Cape and Others</w:t>
      </w:r>
      <w:r w:rsidRPr="00207768">
        <w:rPr>
          <w:lang w:val="es-ES_tradnl"/>
        </w:rPr>
        <w:t>, en la que el Tribunal Supremo dictó una orden judicial provisional que obligaba a los demandados a trasladar a las comunidades a una zona en la que debía proporcionárseles acceso a retretes con cisterna y agua potable. Además, se ordenó la construcción de una superficie pavimentada para que las familias pudieran instalar una estructura temporal hasta el momento en que se edificaran viviendas adecuadas.</w:t>
      </w:r>
    </w:p>
  </w:footnote>
  <w:footnote w:id="68">
    <w:p w14:paraId="508246BF"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 xml:space="preserve">Por ejemplo, en 2012 el Servicio de Asistencia Jurídica de Sudáfrica financió la causa </w:t>
      </w:r>
      <w:r w:rsidRPr="00963E14">
        <w:rPr>
          <w:i/>
          <w:iCs/>
          <w:lang w:val="es-ES_tradnl"/>
        </w:rPr>
        <w:t>Schubart Park Residents v. City of Tshwane Metropolitan Municipality</w:t>
      </w:r>
      <w:r w:rsidRPr="00963E14">
        <w:rPr>
          <w:lang w:val="es-ES_tradnl"/>
        </w:rPr>
        <w:t>. En ella el tribunal formuló aclaraciones sobre los procesos de desalojo, estableció un precedente al dictaminar que las municipalidades debían contar con un procedimiento de ejecución adecuado para llevar a cabo un desalojo y aportó claridad sobre el artículo 26, párrafo 3, de la Constitución.</w:t>
      </w:r>
    </w:p>
  </w:footnote>
  <w:footnote w:id="69">
    <w:p w14:paraId="30E0FD08"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Causa núm. 474/11 2012 3 ALL SA 408 (SCA).</w:t>
      </w:r>
    </w:p>
  </w:footnote>
  <w:footnote w:id="70">
    <w:p w14:paraId="4257E81C"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Ley núm. 1 de 2011.</w:t>
      </w:r>
    </w:p>
  </w:footnote>
  <w:footnote w:id="71">
    <w:p w14:paraId="41704999"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Ley núm. 68 de 1995.</w:t>
      </w:r>
    </w:p>
  </w:footnote>
  <w:footnote w:id="72">
    <w:p w14:paraId="0BC43ABE"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r>
      <w:r w:rsidRPr="00963E14">
        <w:rPr>
          <w:i/>
          <w:iCs/>
          <w:lang w:val="es-ES_tradnl"/>
        </w:rPr>
        <w:t>IPID Annual Report 2016/2017</w:t>
      </w:r>
      <w:r w:rsidRPr="00963E14">
        <w:rPr>
          <w:lang w:val="es-ES_tradnl"/>
        </w:rPr>
        <w:t>, pág. 26.</w:t>
      </w:r>
    </w:p>
  </w:footnote>
  <w:footnote w:id="73">
    <w:p w14:paraId="020E3B6E"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Ley núm. 111 de 1998.</w:t>
      </w:r>
    </w:p>
  </w:footnote>
  <w:footnote w:id="74">
    <w:p w14:paraId="770AAB79"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Ley núm. 25 de 2008.</w:t>
      </w:r>
    </w:p>
  </w:footnote>
  <w:footnote w:id="75">
    <w:p w14:paraId="6F6129DB"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Ley núm. 13 de 2013.</w:t>
      </w:r>
    </w:p>
  </w:footnote>
  <w:footnote w:id="76">
    <w:p w14:paraId="7D8FB2DC"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Ley núm. 25 de 2008.</w:t>
      </w:r>
    </w:p>
  </w:footnote>
  <w:footnote w:id="77">
    <w:p w14:paraId="0CCDAF51"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Ley núm. 111 de 1998.</w:t>
      </w:r>
    </w:p>
  </w:footnote>
  <w:footnote w:id="78">
    <w:p w14:paraId="49CB609C"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Ley núm. 75 de 2008.</w:t>
      </w:r>
    </w:p>
  </w:footnote>
  <w:footnote w:id="79">
    <w:p w14:paraId="1A4624A1" w14:textId="545306F5"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rStyle w:val="Refdenotaalpie"/>
          <w:vertAlign w:val="baseline"/>
          <w:lang w:val="es-ES_tradnl"/>
        </w:rPr>
        <w:t xml:space="preserve"> </w:t>
      </w:r>
      <w:r w:rsidRPr="00963E14">
        <w:rPr>
          <w:lang w:val="es-ES_tradnl"/>
        </w:rPr>
        <w:tab/>
        <w:t xml:space="preserve">Entre otras, la causa </w:t>
      </w:r>
      <w:r w:rsidRPr="00963E14">
        <w:rPr>
          <w:i/>
          <w:iCs/>
          <w:lang w:val="es-ES_tradnl"/>
        </w:rPr>
        <w:t>Residents of Arthurstone Village v Amashagana Tribal Authority and Others</w:t>
      </w:r>
      <w:r w:rsidRPr="00963E14">
        <w:rPr>
          <w:lang w:val="es-ES_tradnl"/>
        </w:rPr>
        <w:t xml:space="preserve">, y la causa </w:t>
      </w:r>
      <w:r w:rsidRPr="00963E14">
        <w:rPr>
          <w:i/>
          <w:iCs/>
          <w:lang w:val="es-ES_tradnl"/>
        </w:rPr>
        <w:t>SAHRC &amp; 19 Others v Madibeng Municipality, MEC for Local Government and Human Settlement, Minister of Water and Sanitation and Minister of Health</w:t>
      </w:r>
      <w:r w:rsidRPr="00963E14">
        <w:rPr>
          <w:lang w:val="es-ES_tradnl"/>
        </w:rPr>
        <w:t xml:space="preserve">, que pusieron de relieve la justiciabilidad de los derechos socioeconómicos por medio de los tribunales. En la causa </w:t>
      </w:r>
      <w:r w:rsidRPr="00963E14">
        <w:rPr>
          <w:i/>
          <w:iCs/>
          <w:lang w:val="es-ES_tradnl"/>
        </w:rPr>
        <w:t>South African Human Rights Commission v Oscar Peter Bougardt</w:t>
      </w:r>
      <w:r w:rsidRPr="00963E14">
        <w:rPr>
          <w:lang w:val="es-ES_tradnl"/>
        </w:rPr>
        <w:t xml:space="preserve"> (EC 13/2018), la Comisión obtuvo una orden de desacato en el Tribunal de Igualdad contra una parte que no cumplió las disposiciones de un acuerdo de mediación por el que se prohibía a la parte demandada publicar declaraciones que fueran discriminatorias o incitaran al odio por motivos de orientación sexual. El </w:t>
      </w:r>
      <w:r w:rsidR="009C43B5" w:rsidRPr="00963E14">
        <w:rPr>
          <w:lang w:val="es-ES_tradnl"/>
        </w:rPr>
        <w:t xml:space="preserve">Tribunal </w:t>
      </w:r>
      <w:r w:rsidRPr="00963E14">
        <w:rPr>
          <w:lang w:val="es-ES_tradnl"/>
        </w:rPr>
        <w:t>dictó una pena privativa de libertad de carácter condicional el 18 de mayo de 2018.</w:t>
      </w:r>
    </w:p>
  </w:footnote>
  <w:footnote w:id="80">
    <w:p w14:paraId="0FF7F3CE" w14:textId="2E48A244"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Núms. de expediente: FS/1415/0253 (causa relativa a publicación de una fotografía del Ku Klux Klan); GP/1415/0554 (causa relativa a una diatriba racista en la entrega de premios en una escuela); y</w:t>
      </w:r>
      <w:r w:rsidR="000779F6">
        <w:rPr>
          <w:lang w:val="es-ES_tradnl"/>
        </w:rPr>
        <w:t> </w:t>
      </w:r>
      <w:r w:rsidRPr="00963E14">
        <w:rPr>
          <w:lang w:val="es-ES_tradnl"/>
        </w:rPr>
        <w:t>GP/1415/0202 (causa relativa a una peluquería que se negó a hacer un corte de pelo étnico), SAHRC Annual Report 2017.</w:t>
      </w:r>
    </w:p>
  </w:footnote>
  <w:footnote w:id="81">
    <w:p w14:paraId="3650EBF8"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Puede consultarse en sahrc.org.za.</w:t>
      </w:r>
    </w:p>
  </w:footnote>
  <w:footnote w:id="82">
    <w:p w14:paraId="59796388"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Ley núm. 4 de 2000.</w:t>
      </w:r>
    </w:p>
  </w:footnote>
  <w:footnote w:id="83">
    <w:p w14:paraId="20EC3B77"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Ley núm. 4 de 2000.</w:t>
      </w:r>
    </w:p>
  </w:footnote>
  <w:footnote w:id="84">
    <w:p w14:paraId="21B1FCA7"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Comisión para la Igualdad de Género 2016-2017.</w:t>
      </w:r>
    </w:p>
  </w:footnote>
  <w:footnote w:id="85">
    <w:p w14:paraId="443663E4"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 xml:space="preserve">El Organismo para el Desarrollo y la Diversidad de los Medios de Información fue establecido por ley para promover el desarrollo y la diversidad de los medios de información, la libertad de los medios, el derecho a la libertad de expresión y la libertad de recibir o difundir ideas o información. La ética de los medios de comunicación es importante en el contexto de la libertad de prensa y la libertad de expresión. El Consejo de la Prensa de Sudáfrica, del que forman parte el Defensor de la Prensa y el Grupo de Apelación, es un mecanismo independiente de regulación conjunta establecido por los medios de comunicación impresos para resolver controversias de forma imparcial, expeditiva y económica entre los periódicos y las revistas, por un lado, y los ciudadanos, por otro, acerca del contenido editorial de las publicaciones. </w:t>
      </w:r>
    </w:p>
  </w:footnote>
  <w:footnote w:id="86">
    <w:p w14:paraId="75A2F7C5" w14:textId="330AB541"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 xml:space="preserve">Quince emisoras del servicio de radiodifusión pública, </w:t>
      </w:r>
      <w:r w:rsidR="000779F6">
        <w:rPr>
          <w:lang w:val="es-ES_tradnl"/>
        </w:rPr>
        <w:t>3</w:t>
      </w:r>
      <w:r w:rsidRPr="00963E14">
        <w:rPr>
          <w:lang w:val="es-ES_tradnl"/>
        </w:rPr>
        <w:t xml:space="preserve"> emisoras del servicio público comercial y Channel Africa. La organización emite en 11 lenguas oficiales y las emisoras con cobertura nacional emiten en inglés o en afrikáans. </w:t>
      </w:r>
    </w:p>
  </w:footnote>
  <w:footnote w:id="87">
    <w:p w14:paraId="08082786"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Artículo 231.</w:t>
      </w:r>
    </w:p>
  </w:footnote>
  <w:footnote w:id="88">
    <w:p w14:paraId="3BE0E2F9"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Artículo 233.</w:t>
      </w:r>
    </w:p>
  </w:footnote>
  <w:footnote w:id="89">
    <w:p w14:paraId="3D703323" w14:textId="77777777" w:rsidR="000C2F85" w:rsidRPr="00963E14" w:rsidRDefault="000C2F85" w:rsidP="000C2F85">
      <w:pPr>
        <w:pStyle w:val="Textonotapie"/>
        <w:rPr>
          <w:bCs/>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 xml:space="preserve">Durante los primeros 20 años de democracia, se promulgaron más de 1.200 leyes y enmiendas con objeto de desmantelar el </w:t>
      </w:r>
      <w:r w:rsidRPr="00963E14">
        <w:rPr>
          <w:i/>
          <w:iCs/>
          <w:lang w:val="es-ES_tradnl"/>
        </w:rPr>
        <w:t>apartheid</w:t>
      </w:r>
      <w:r w:rsidRPr="00963E14">
        <w:rPr>
          <w:lang w:val="es-ES_tradnl"/>
        </w:rPr>
        <w:t xml:space="preserve"> y erradicar todas las formas de discriminación. Si bien se han logrado avances considerables en la aplicación de esta legislación transformadora, todavía queda mucho por hacer. </w:t>
      </w:r>
    </w:p>
  </w:footnote>
  <w:footnote w:id="90">
    <w:p w14:paraId="1466A6E6" w14:textId="77777777" w:rsidR="000C2F85" w:rsidRPr="00963E14" w:rsidRDefault="000C2F85" w:rsidP="00BD4F9E">
      <w:pPr>
        <w:pStyle w:val="Textonotapie"/>
        <w:spacing w:after="60"/>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Artículo 9 de la Constitución:</w:t>
      </w:r>
    </w:p>
    <w:p w14:paraId="411D8F96" w14:textId="08DB1398" w:rsidR="000C2F85" w:rsidRPr="00963E14" w:rsidRDefault="000C2F85" w:rsidP="005644CE">
      <w:pPr>
        <w:pStyle w:val="Textonotapie"/>
        <w:spacing w:after="60"/>
        <w:rPr>
          <w:lang w:val="es-ES_tradnl"/>
        </w:rPr>
      </w:pPr>
      <w:r w:rsidRPr="00963E14">
        <w:rPr>
          <w:lang w:val="es-ES_tradnl"/>
        </w:rPr>
        <w:tab/>
      </w:r>
      <w:r w:rsidR="005644CE">
        <w:rPr>
          <w:lang w:val="es-ES_tradnl"/>
        </w:rPr>
        <w:tab/>
      </w:r>
      <w:r w:rsidR="005644CE">
        <w:rPr>
          <w:lang w:val="es-ES_tradnl"/>
        </w:rPr>
        <w:tab/>
      </w:r>
      <w:r w:rsidRPr="00963E14">
        <w:rPr>
          <w:lang w:val="es-ES_tradnl"/>
        </w:rPr>
        <w:tab/>
        <w:t>1)</w:t>
      </w:r>
      <w:r w:rsidR="005644CE">
        <w:rPr>
          <w:lang w:val="es-ES_tradnl"/>
        </w:rPr>
        <w:tab/>
      </w:r>
      <w:r w:rsidRPr="00963E14">
        <w:rPr>
          <w:lang w:val="es-ES_tradnl"/>
        </w:rPr>
        <w:t>Todas las personas son iguales ante la ley y tienen derecho a la misma protección y beneficio de la ley.</w:t>
      </w:r>
    </w:p>
    <w:p w14:paraId="261A32A7" w14:textId="2F74F1AF" w:rsidR="000C2F85" w:rsidRPr="00963E14" w:rsidRDefault="000C2F85" w:rsidP="005644CE">
      <w:pPr>
        <w:pStyle w:val="Textonotapie"/>
        <w:spacing w:after="60"/>
        <w:rPr>
          <w:lang w:val="es-ES_tradnl"/>
        </w:rPr>
      </w:pPr>
      <w:r w:rsidRPr="00963E14">
        <w:rPr>
          <w:lang w:val="es-ES_tradnl"/>
        </w:rPr>
        <w:tab/>
      </w:r>
      <w:r w:rsidR="005644CE">
        <w:rPr>
          <w:lang w:val="es-ES_tradnl"/>
        </w:rPr>
        <w:tab/>
      </w:r>
      <w:r w:rsidR="005644CE">
        <w:rPr>
          <w:lang w:val="es-ES_tradnl"/>
        </w:rPr>
        <w:tab/>
      </w:r>
      <w:r w:rsidRPr="00963E14">
        <w:rPr>
          <w:lang w:val="es-ES_tradnl"/>
        </w:rPr>
        <w:tab/>
        <w:t>2)</w:t>
      </w:r>
      <w:r w:rsidR="005644CE">
        <w:rPr>
          <w:lang w:val="es-ES_tradnl"/>
        </w:rPr>
        <w:tab/>
      </w:r>
      <w:r w:rsidRPr="00963E14">
        <w:rPr>
          <w:lang w:val="es-ES_tradnl"/>
        </w:rPr>
        <w:t>La igualdad incluye el disfrute pleno y en condiciones de igualdad de todos los derechos y libertades. A fin de promover el logro de la igualdad, podrán adoptarse medidas legislativas y de otra índole encaminadas a asegurar la protección o el progreso de personas o categorías de personas desfavorecidas por una discriminación injusta.</w:t>
      </w:r>
    </w:p>
    <w:p w14:paraId="5615FD3E" w14:textId="3575BDC8" w:rsidR="000C2F85" w:rsidRPr="00963E14" w:rsidRDefault="000C2F85" w:rsidP="005644CE">
      <w:pPr>
        <w:pStyle w:val="Textonotapie"/>
        <w:spacing w:after="60"/>
        <w:rPr>
          <w:lang w:val="es-ES_tradnl"/>
        </w:rPr>
      </w:pPr>
      <w:r w:rsidRPr="00963E14">
        <w:rPr>
          <w:lang w:val="es-ES_tradnl"/>
        </w:rPr>
        <w:tab/>
      </w:r>
      <w:r w:rsidR="005644CE">
        <w:rPr>
          <w:lang w:val="es-ES_tradnl"/>
        </w:rPr>
        <w:tab/>
      </w:r>
      <w:r w:rsidR="005644CE">
        <w:rPr>
          <w:lang w:val="es-ES_tradnl"/>
        </w:rPr>
        <w:tab/>
      </w:r>
      <w:r w:rsidRPr="00963E14">
        <w:rPr>
          <w:lang w:val="es-ES_tradnl"/>
        </w:rPr>
        <w:tab/>
        <w:t>3)</w:t>
      </w:r>
      <w:r w:rsidR="005644CE">
        <w:rPr>
          <w:lang w:val="es-ES_tradnl"/>
        </w:rPr>
        <w:tab/>
      </w:r>
      <w:r w:rsidRPr="00963E14">
        <w:rPr>
          <w:lang w:val="es-ES_tradnl"/>
        </w:rPr>
        <w:t>El Estado no podrá discriminar injustamente, de forma directa o indirecta, a ninguna persona por uno o más motivos, ya sea raza, género, sexo, embarazo, estado civil, origen étnico o social, color, orientación sexual, edad, discapacidad, religión, conciencia, creencias, cultura, idioma o ascendencia.</w:t>
      </w:r>
    </w:p>
    <w:p w14:paraId="24A125CB" w14:textId="18E5F3DD" w:rsidR="000C2F85" w:rsidRPr="00963E14" w:rsidRDefault="000C2F85" w:rsidP="005644CE">
      <w:pPr>
        <w:pStyle w:val="Textonotapie"/>
        <w:spacing w:after="60"/>
        <w:rPr>
          <w:lang w:val="es-ES_tradnl"/>
        </w:rPr>
      </w:pPr>
      <w:r w:rsidRPr="00963E14">
        <w:rPr>
          <w:lang w:val="es-ES_tradnl"/>
        </w:rPr>
        <w:tab/>
      </w:r>
      <w:r w:rsidR="005644CE">
        <w:rPr>
          <w:lang w:val="es-ES_tradnl"/>
        </w:rPr>
        <w:tab/>
      </w:r>
      <w:r w:rsidR="005644CE">
        <w:rPr>
          <w:lang w:val="es-ES_tradnl"/>
        </w:rPr>
        <w:tab/>
      </w:r>
      <w:r w:rsidRPr="00963E14">
        <w:rPr>
          <w:lang w:val="es-ES_tradnl"/>
        </w:rPr>
        <w:tab/>
        <w:t>4)</w:t>
      </w:r>
      <w:r w:rsidR="005644CE">
        <w:rPr>
          <w:lang w:val="es-ES_tradnl"/>
        </w:rPr>
        <w:tab/>
      </w:r>
      <w:r w:rsidRPr="00963E14">
        <w:rPr>
          <w:lang w:val="es-ES_tradnl"/>
        </w:rPr>
        <w:t>Ninguna persona podrá discriminar injustamente a otra, directa o indirectamente, por uno o más de los motivos enumerados en el párrafo 3. Deberá promulgarse legislación nacional para impedir o prohibir la discriminación injusta.</w:t>
      </w:r>
    </w:p>
    <w:p w14:paraId="5533904C" w14:textId="1B4E5120" w:rsidR="000C2F85" w:rsidRPr="00963E14" w:rsidRDefault="000C2F85" w:rsidP="000C2F85">
      <w:pPr>
        <w:pStyle w:val="Textonotapie"/>
        <w:rPr>
          <w:lang w:val="es-ES_tradnl"/>
        </w:rPr>
      </w:pPr>
      <w:r w:rsidRPr="00963E14">
        <w:rPr>
          <w:lang w:val="es-ES_tradnl"/>
        </w:rPr>
        <w:tab/>
      </w:r>
      <w:r w:rsidR="005644CE">
        <w:rPr>
          <w:lang w:val="es-ES_tradnl"/>
        </w:rPr>
        <w:tab/>
      </w:r>
      <w:r w:rsidR="005644CE">
        <w:rPr>
          <w:lang w:val="es-ES_tradnl"/>
        </w:rPr>
        <w:tab/>
      </w:r>
      <w:r w:rsidRPr="00963E14">
        <w:rPr>
          <w:lang w:val="es-ES_tradnl"/>
        </w:rPr>
        <w:tab/>
        <w:t>5)</w:t>
      </w:r>
      <w:r w:rsidR="005644CE">
        <w:rPr>
          <w:lang w:val="es-ES_tradnl"/>
        </w:rPr>
        <w:tab/>
      </w:r>
      <w:r w:rsidRPr="00963E14">
        <w:rPr>
          <w:lang w:val="es-ES_tradnl"/>
        </w:rPr>
        <w:t>La discriminación por uno o varios de los motivos enumerados en el párrafo 3 se considerará injusta a menos que se determine lo contrario.</w:t>
      </w:r>
    </w:p>
  </w:footnote>
  <w:footnote w:id="91">
    <w:p w14:paraId="36338C40"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Artículo 8 de la Constitución.</w:t>
      </w:r>
    </w:p>
  </w:footnote>
  <w:footnote w:id="92">
    <w:p w14:paraId="72984884"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Artículo 39 de la Constitución.</w:t>
      </w:r>
    </w:p>
  </w:footnote>
  <w:footnote w:id="93">
    <w:p w14:paraId="5722E4EA" w14:textId="4DF40E14"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 xml:space="preserve">Los derechos reservados exclusivamente a los </w:t>
      </w:r>
      <w:r w:rsidR="0091550D">
        <w:rPr>
          <w:lang w:val="es-ES_tradnl"/>
        </w:rPr>
        <w:t>“</w:t>
      </w:r>
      <w:r w:rsidRPr="00963E14">
        <w:rPr>
          <w:lang w:val="es-ES_tradnl"/>
        </w:rPr>
        <w:t>ciudadanos</w:t>
      </w:r>
      <w:r w:rsidR="0091550D">
        <w:rPr>
          <w:lang w:val="es-ES_tradnl"/>
        </w:rPr>
        <w:t>”</w:t>
      </w:r>
      <w:r w:rsidRPr="00963E14">
        <w:rPr>
          <w:lang w:val="es-ES_tradnl"/>
        </w:rPr>
        <w:t xml:space="preserve"> son: art. 19, derechos políticos; art. 20, ciudadanía; art. 21, derecho a entrar, permanecer y residir en cualquier lugar de Sudáfrica y derecho al pasaporte, y art. 22, derecho a elegir oficio, ocupación o profesión.</w:t>
      </w:r>
    </w:p>
  </w:footnote>
  <w:footnote w:id="94">
    <w:p w14:paraId="70B4D3AD"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1995 (3) SA 391 (CC).</w:t>
      </w:r>
    </w:p>
  </w:footnote>
  <w:footnote w:id="95">
    <w:p w14:paraId="6429788D"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Párrs. 144 y 146.</w:t>
      </w:r>
    </w:p>
  </w:footnote>
  <w:footnote w:id="96">
    <w:p w14:paraId="260297DC"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1996 (1) SA 984 (CC).</w:t>
      </w:r>
    </w:p>
  </w:footnote>
  <w:footnote w:id="97">
    <w:p w14:paraId="4C889635"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1996 (2) SA 751 (CC).</w:t>
      </w:r>
    </w:p>
  </w:footnote>
  <w:footnote w:id="98">
    <w:p w14:paraId="2EF74D71"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2000 (2) SA 1 (CC).</w:t>
      </w:r>
    </w:p>
  </w:footnote>
  <w:footnote w:id="99">
    <w:p w14:paraId="6062A7E3"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2001 (1) SA 46.</w:t>
      </w:r>
    </w:p>
  </w:footnote>
  <w:footnote w:id="100">
    <w:p w14:paraId="43CFA660"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1998 (1) SA 765 (CC).</w:t>
      </w:r>
    </w:p>
  </w:footnote>
  <w:footnote w:id="101">
    <w:p w14:paraId="102E94D5" w14:textId="77777777" w:rsidR="000C2F85" w:rsidRPr="00963E14" w:rsidRDefault="000C2F85" w:rsidP="000C2F85">
      <w:pPr>
        <w:pStyle w:val="Textonotapie"/>
        <w:rPr>
          <w:bCs/>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2002 (5) SA 721.</w:t>
      </w:r>
    </w:p>
  </w:footnote>
  <w:footnote w:id="102">
    <w:p w14:paraId="66106EB1" w14:textId="77777777" w:rsidR="000C2F85" w:rsidRPr="00963E14" w:rsidRDefault="000C2F85" w:rsidP="000C2F85">
      <w:pPr>
        <w:pStyle w:val="Textonotapie"/>
        <w:rPr>
          <w:bCs/>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2004 (6) BCLR 569 (CC).</w:t>
      </w:r>
    </w:p>
  </w:footnote>
  <w:footnote w:id="103">
    <w:p w14:paraId="1F7368CD"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Ley núm. 2 de 2000.</w:t>
      </w:r>
    </w:p>
  </w:footnote>
  <w:footnote w:id="104">
    <w:p w14:paraId="2988348D"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Ley núm. 3 de 2000.</w:t>
      </w:r>
    </w:p>
  </w:footnote>
  <w:footnote w:id="105">
    <w:p w14:paraId="6954C1EA"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La Constitución Provisional de 1993 contenía solamente una lista muy reducida de derechos socioeconómicos.</w:t>
      </w:r>
    </w:p>
  </w:footnote>
  <w:footnote w:id="106">
    <w:p w14:paraId="73A00CCA"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Ley núm. 130 de 1998.</w:t>
      </w:r>
    </w:p>
  </w:footnote>
  <w:footnote w:id="107">
    <w:p w14:paraId="5E1798F8"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Ley núm. 75 de 2008.</w:t>
      </w:r>
    </w:p>
  </w:footnote>
  <w:footnote w:id="108">
    <w:p w14:paraId="4A543809" w14:textId="3E3C68D4"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 xml:space="preserve">Al respecto, en la </w:t>
      </w:r>
      <w:r w:rsidR="005644CE" w:rsidRPr="00963E14">
        <w:rPr>
          <w:lang w:val="es-ES_tradnl"/>
        </w:rPr>
        <w:t xml:space="preserve">Ley </w:t>
      </w:r>
      <w:r w:rsidRPr="00963E14">
        <w:rPr>
          <w:lang w:val="es-ES_tradnl"/>
        </w:rPr>
        <w:t>se dispone que cuando un niño sea acusado de una falta, el asunto puede resolverse fuera del sistema de justicia penal. Por ejemplo, si un niño comete una infracción, puede derivarse el caso a instancia del fiscal. Las medidas extrajudiciales de derivación incluyen, entre otras posibilidades, encomendar al niño al cuidado de uno de los progenitores, de un tutor o de un adulto apropiado, o disponer su participación en un determinado programa.</w:t>
      </w:r>
    </w:p>
  </w:footnote>
  <w:footnote w:id="109">
    <w:p w14:paraId="1BF69839"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Ley núm. 32 de 2007.</w:t>
      </w:r>
    </w:p>
  </w:footnote>
  <w:footnote w:id="110">
    <w:p w14:paraId="5E3A8C36"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Ley núm. 38 de 2007.</w:t>
      </w:r>
    </w:p>
  </w:footnote>
  <w:footnote w:id="111">
    <w:p w14:paraId="0721D4BA"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Esos instrumentos son el Protocolo para Prevenir, Reprimir y Sancionar la Trata de Personas, Especialmente Mujeres y Niños, y la Convención de las Naciones Unidas contra la Delincuencia Organizada Transnacional. Asimismo, Sudáfrica está concertando memorandos de entendimiento sobre cooperación para combatir la trata de personas y brindar asistencia a las víctimas de la trata con los siguientes países: Angola, Brasil, Indonesia, Malasia, Mozambique, Nigeria y Tailandia.</w:t>
      </w:r>
    </w:p>
  </w:footnote>
  <w:footnote w:id="112">
    <w:p w14:paraId="37EAA6A2"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Ley núm. 7 de 2013.</w:t>
      </w:r>
    </w:p>
  </w:footnote>
  <w:footnote w:id="113">
    <w:p w14:paraId="40075E22"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Comité contra la Tortura, observación general núm. 3 (2012).</w:t>
      </w:r>
    </w:p>
  </w:footnote>
  <w:footnote w:id="114">
    <w:p w14:paraId="75B30A8D" w14:textId="27409A6A"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 xml:space="preserve">En la </w:t>
      </w:r>
      <w:r w:rsidR="005644CE" w:rsidRPr="00963E14">
        <w:rPr>
          <w:lang w:val="es-ES_tradnl"/>
        </w:rPr>
        <w:t xml:space="preserve">Ley </w:t>
      </w:r>
      <w:r w:rsidRPr="00963E14">
        <w:rPr>
          <w:lang w:val="es-ES_tradnl"/>
        </w:rPr>
        <w:t>se prevé que los profesionales de los servicios sociales intervengan en la detección, identificación y evaluación de las personas víctimas de la trata. Una vez que se haya confirmado su condición, la víctima tiene derecho a ser atendida en el marco de un programa aprobado, y los niños que sean víctimas deben ser trasladados temporalmente a un lugar seguro a fin de que reciban atención. Este tipo de programas ofrecerán servicios de alojamiento, asesoramiento y rehabilitación y velarán por la reinserción de las víctimas en sus familias y comunidades. Proporcionan asimismo recursos educativos y capacitación para el desarrollo de competencias en el caso de los adultos. Se ha elaborado también un proyecto de marco de política nacional sobre la trata de personas.</w:t>
      </w:r>
    </w:p>
  </w:footnote>
  <w:footnote w:id="115">
    <w:p w14:paraId="70A8B902" w14:textId="77777777" w:rsidR="000C2F85" w:rsidRPr="00963E14" w:rsidRDefault="000C2F85" w:rsidP="000C2F85">
      <w:pPr>
        <w:pStyle w:val="Textonotapie"/>
        <w:rPr>
          <w:bCs/>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2005 (1) SA 580 (CC).</w:t>
      </w:r>
    </w:p>
  </w:footnote>
  <w:footnote w:id="116">
    <w:p w14:paraId="13CE7040"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1999 (4) SA 1319 (SCA).</w:t>
      </w:r>
    </w:p>
  </w:footnote>
  <w:footnote w:id="117">
    <w:p w14:paraId="71B4F7BA"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2003 (9) BCLR 969 (C).</w:t>
      </w:r>
    </w:p>
  </w:footnote>
  <w:footnote w:id="118">
    <w:p w14:paraId="4690886A"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2009 (3) SA 178 (D).</w:t>
      </w:r>
    </w:p>
  </w:footnote>
  <w:footnote w:id="119">
    <w:p w14:paraId="31CE2F70"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Ley núm. 116 de 1998.</w:t>
      </w:r>
    </w:p>
  </w:footnote>
  <w:footnote w:id="120">
    <w:p w14:paraId="4DFEA8DD"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Ley núm. 116 de 1998.</w:t>
      </w:r>
    </w:p>
  </w:footnote>
  <w:footnote w:id="121">
    <w:p w14:paraId="3DA10392" w14:textId="4FCF8D1B"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El Departamento de Justicia y Desarrollo Constitucional, junto con Iranti-org y la Foundation for Human Rights (FHR), fue uno de los organizadores del Taller Nacional de Participación en la Promoción y la Protección de los Derechos Humanos de las Personas Intersexuales celebrado en diciembre de 2017, cuyo informe completo puede consultarse en http://www.iranti-org.co.za/</w:t>
      </w:r>
      <w:r w:rsidR="003B7A39">
        <w:rPr>
          <w:lang w:val="es-ES_tradnl"/>
        </w:rPr>
        <w:br/>
      </w:r>
      <w:r w:rsidRPr="00963E14">
        <w:rPr>
          <w:lang w:val="es-ES_tradnl"/>
        </w:rPr>
        <w:t>content/Resources/National-Intersex/National-Intersex-Meeting-Report.html.</w:t>
      </w:r>
    </w:p>
  </w:footnote>
  <w:footnote w:id="122">
    <w:p w14:paraId="6512D759"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Programa de Reconstrucción y Desarrollo de 1994.</w:t>
      </w:r>
    </w:p>
  </w:footnote>
  <w:footnote w:id="123">
    <w:p w14:paraId="1EDC4CF9"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Notificación Pública núm. R764, de 13 de junio de 2003 (</w:t>
      </w:r>
      <w:r w:rsidRPr="003B7A39">
        <w:rPr>
          <w:i/>
          <w:iCs/>
          <w:lang w:val="es-ES_tradnl"/>
        </w:rPr>
        <w:t>Boletín Oficial 25065</w:t>
      </w:r>
      <w:r w:rsidRPr="00963E14">
        <w:rPr>
          <w:lang w:val="es-ES_tradnl"/>
        </w:rPr>
        <w:t>).</w:t>
      </w:r>
    </w:p>
  </w:footnote>
  <w:footnote w:id="124">
    <w:p w14:paraId="0481A58E"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Ley núm. 2 de 2000.</w:t>
      </w:r>
    </w:p>
  </w:footnote>
  <w:footnote w:id="125">
    <w:p w14:paraId="7CB8FBCB"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Ley núm. 3 de 2000.</w:t>
      </w:r>
    </w:p>
  </w:footnote>
  <w:footnote w:id="126">
    <w:p w14:paraId="5FA09853" w14:textId="3BC778C5"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 xml:space="preserve">La </w:t>
      </w:r>
      <w:r w:rsidR="003B7A39" w:rsidRPr="00963E14">
        <w:rPr>
          <w:lang w:val="es-ES_tradnl"/>
        </w:rPr>
        <w:t xml:space="preserve">Ley </w:t>
      </w:r>
      <w:r w:rsidRPr="00963E14">
        <w:rPr>
          <w:lang w:val="es-ES_tradnl"/>
        </w:rPr>
        <w:t>establece también las normas y directrices que han de seguir los administradores al adoptar decisiones; requiere que los administradores informen a los ciudadanos sobre su derecho a revisión o recurso y su derecho a pedir explicaciones; requiere que los administradores expongan las razones que han motivado sus decisiones</w:t>
      </w:r>
      <w:r w:rsidR="003B7A39">
        <w:rPr>
          <w:lang w:val="es-ES_tradnl"/>
        </w:rPr>
        <w:t>;</w:t>
      </w:r>
      <w:r w:rsidRPr="00963E14">
        <w:rPr>
          <w:lang w:val="es-ES_tradnl"/>
        </w:rPr>
        <w:t xml:space="preserve"> y otorga a los ciudadanos el derecho a impugnar ante los tribunales las decisiones de los administradores.</w:t>
      </w:r>
    </w:p>
  </w:footnote>
  <w:footnote w:id="127">
    <w:p w14:paraId="2F00927A" w14:textId="77777777" w:rsidR="000C2F85" w:rsidRPr="00963E14" w:rsidRDefault="000C2F85" w:rsidP="000C2F85">
      <w:pPr>
        <w:pStyle w:val="Textonotapie"/>
        <w:rPr>
          <w:lang w:val="es-ES_tradnl"/>
        </w:rPr>
      </w:pPr>
      <w:r w:rsidRPr="00963E14">
        <w:rPr>
          <w:lang w:val="es-ES_tradnl"/>
        </w:rPr>
        <w:tab/>
      </w:r>
      <w:r w:rsidRPr="000C2F85">
        <w:rPr>
          <w:rStyle w:val="Refdenotaalpie"/>
        </w:rPr>
        <w:footnoteRef/>
      </w:r>
      <w:r w:rsidRPr="00963E14">
        <w:rPr>
          <w:lang w:val="es-ES_tradnl"/>
        </w:rPr>
        <w:t xml:space="preserve"> </w:t>
      </w:r>
      <w:r w:rsidRPr="00963E14">
        <w:rPr>
          <w:lang w:val="es-ES_tradnl"/>
        </w:rPr>
        <w:tab/>
        <w:t>En el período 2017/18 se superó la meta anual de destinatarios de programas de sensibilización y conocimiento acerca de la Constitución, pues se pretendía llegar a 2 millones de personas y finalmente fueron más de 7,9 millones. La distribución es la siguiente: medios sociales (Facebook y Twitter) 659.337 personas; el Mes de la Mujer, 814.000 personas; el Mes de la Concienciación sobre los Derechos Humanos de 2018, 1.467.208 personas, y el programa de televisión The Big Debate, 4.959.717 personas.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9A2D" w14:textId="136E26CD" w:rsidR="0009570E" w:rsidRPr="0009570E" w:rsidRDefault="0009570E">
    <w:pPr>
      <w:pStyle w:val="Encabezado"/>
    </w:pPr>
    <w:r>
      <w:fldChar w:fldCharType="begin"/>
    </w:r>
    <w:r>
      <w:instrText xml:space="preserve"> TITLE  \* MERGEFORMAT </w:instrText>
    </w:r>
    <w:r>
      <w:fldChar w:fldCharType="separate"/>
    </w:r>
    <w:proofErr w:type="spellStart"/>
    <w:r w:rsidR="00135758">
      <w:t>HRI</w:t>
    </w:r>
    <w:proofErr w:type="spellEnd"/>
    <w:r w:rsidR="00135758">
      <w:t>/CORE/</w:t>
    </w:r>
    <w:proofErr w:type="spellStart"/>
    <w:r w:rsidR="00135758">
      <w:t>ZAF</w:t>
    </w:r>
    <w:proofErr w:type="spellEnd"/>
    <w:r w:rsidR="00135758">
      <w:t>/2021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6F11" w14:textId="5D03672D" w:rsidR="0009570E" w:rsidRPr="0009570E" w:rsidRDefault="0009570E" w:rsidP="0009570E">
    <w:pPr>
      <w:pStyle w:val="Encabezado"/>
      <w:jc w:val="right"/>
    </w:pPr>
    <w:r>
      <w:fldChar w:fldCharType="begin"/>
    </w:r>
    <w:r>
      <w:instrText xml:space="preserve"> TITLE  \* MERGEFORMAT </w:instrText>
    </w:r>
    <w:r>
      <w:fldChar w:fldCharType="separate"/>
    </w:r>
    <w:proofErr w:type="spellStart"/>
    <w:r w:rsidR="00135758">
      <w:t>HRI</w:t>
    </w:r>
    <w:proofErr w:type="spellEnd"/>
    <w:r w:rsidR="00135758">
      <w:t>/CORE/</w:t>
    </w:r>
    <w:proofErr w:type="spellStart"/>
    <w:r w:rsidR="00135758">
      <w:t>ZAF</w:t>
    </w:r>
    <w:proofErr w:type="spellEnd"/>
    <w:r w:rsidR="00135758">
      <w:t>/2021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3088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A29722D"/>
    <w:multiLevelType w:val="hybridMultilevel"/>
    <w:tmpl w:val="DADE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5AEC6D02"/>
    <w:lvl w:ilvl="0" w:tplc="74FC7AFC">
      <w:start w:val="1"/>
      <w:numFmt w:val="bullet"/>
      <w:lvlText w:val="•"/>
      <w:lvlJc w:val="left"/>
      <w:pPr>
        <w:tabs>
          <w:tab w:val="num" w:pos="1701"/>
        </w:tabs>
        <w:ind w:left="1701" w:hanging="170"/>
      </w:pPr>
      <w:rPr>
        <w:rFonts w:ascii="Times New Roman" w:hAnsi="Times New Roman" w:cs="Times New Roman" w:hint="default"/>
        <w:b w:val="0"/>
        <w:i w:val="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833A60"/>
    <w:multiLevelType w:val="hybridMultilevel"/>
    <w:tmpl w:val="627C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5901B46"/>
    <w:multiLevelType w:val="hybridMultilevel"/>
    <w:tmpl w:val="FC5AC39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68AD07B2"/>
    <w:multiLevelType w:val="hybridMultilevel"/>
    <w:tmpl w:val="22A0D36A"/>
    <w:lvl w:ilvl="0" w:tplc="3B64B33E">
      <w:start w:val="1"/>
      <w:numFmt w:val="bullet"/>
      <w:lvlText w:val="•"/>
      <w:lvlJc w:val="left"/>
      <w:pPr>
        <w:tabs>
          <w:tab w:val="num" w:pos="1701"/>
        </w:tabs>
        <w:ind w:left="1701" w:hanging="170"/>
      </w:pPr>
      <w:rPr>
        <w:rFonts w:ascii="Times New Roman" w:hAnsi="Times New Roman" w:cs="Times New Roman" w:hint="default"/>
      </w:rPr>
    </w:lvl>
    <w:lvl w:ilvl="1" w:tplc="BA22203E">
      <w:numFmt w:val="bullet"/>
      <w:lvlText w:val=""/>
      <w:lvlJc w:val="left"/>
      <w:pPr>
        <w:ind w:left="3141" w:hanging="360"/>
      </w:pPr>
      <w:rPr>
        <w:rFonts w:ascii="Symbol" w:eastAsia="Times New Roman" w:hAnsi="Symbol" w:cs="Times New Roman"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AFD3DE4"/>
    <w:multiLevelType w:val="hybridMultilevel"/>
    <w:tmpl w:val="9D84601A"/>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6C23FE3"/>
    <w:multiLevelType w:val="hybridMultilevel"/>
    <w:tmpl w:val="705E40EA"/>
    <w:lvl w:ilvl="0" w:tplc="0F3497C8">
      <w:numFmt w:val="bullet"/>
      <w:lvlText w:val=""/>
      <w:lvlJc w:val="left"/>
      <w:pPr>
        <w:ind w:left="930" w:hanging="57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7"/>
  </w:num>
  <w:num w:numId="2">
    <w:abstractNumId w:val="18"/>
  </w:num>
  <w:num w:numId="3">
    <w:abstractNumId w:val="30"/>
  </w:num>
  <w:num w:numId="4">
    <w:abstractNumId w:val="28"/>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27"/>
  </w:num>
  <w:num w:numId="18">
    <w:abstractNumId w:val="18"/>
  </w:num>
  <w:num w:numId="19">
    <w:abstractNumId w:val="13"/>
  </w:num>
  <w:num w:numId="20">
    <w:abstractNumId w:val="30"/>
  </w:num>
  <w:num w:numId="21">
    <w:abstractNumId w:val="28"/>
  </w:num>
  <w:num w:numId="22">
    <w:abstractNumId w:val="19"/>
  </w:num>
  <w:num w:numId="23">
    <w:abstractNumId w:val="19"/>
  </w:num>
  <w:num w:numId="24">
    <w:abstractNumId w:val="2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1"/>
  </w:num>
  <w:num w:numId="36">
    <w:abstractNumId w:val="20"/>
  </w:num>
  <w:num w:numId="37">
    <w:abstractNumId w:val="23"/>
  </w:num>
  <w:num w:numId="38">
    <w:abstractNumId w:val="14"/>
  </w:num>
  <w:num w:numId="39">
    <w:abstractNumId w:val="24"/>
  </w:num>
  <w:num w:numId="40">
    <w:abstractNumId w:val="11"/>
  </w:num>
  <w:num w:numId="41">
    <w:abstractNumId w:val="26"/>
  </w:num>
  <w:num w:numId="42">
    <w:abstractNumId w:val="16"/>
  </w:num>
  <w:num w:numId="43">
    <w:abstractNumId w:val="15"/>
  </w:num>
  <w:num w:numId="44">
    <w:abstractNumId w:val="10"/>
  </w:num>
  <w:num w:numId="45">
    <w:abstractNumId w:val="17"/>
  </w:num>
  <w:num w:numId="46">
    <w:abstractNumId w:val="29"/>
  </w:num>
  <w:num w:numId="47">
    <w:abstractNumId w:val="25"/>
  </w:num>
  <w:num w:numId="4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773"/>
    <w:rsid w:val="00000A64"/>
    <w:rsid w:val="00033EE1"/>
    <w:rsid w:val="00067886"/>
    <w:rsid w:val="000779F6"/>
    <w:rsid w:val="0009570E"/>
    <w:rsid w:val="000A44E9"/>
    <w:rsid w:val="000B4988"/>
    <w:rsid w:val="000B57E7"/>
    <w:rsid w:val="000B6DDC"/>
    <w:rsid w:val="000C2F85"/>
    <w:rsid w:val="000F09CA"/>
    <w:rsid w:val="000F09DF"/>
    <w:rsid w:val="000F5259"/>
    <w:rsid w:val="000F61B2"/>
    <w:rsid w:val="001075E9"/>
    <w:rsid w:val="00107DAD"/>
    <w:rsid w:val="00120B8B"/>
    <w:rsid w:val="001256EA"/>
    <w:rsid w:val="00135758"/>
    <w:rsid w:val="001560AB"/>
    <w:rsid w:val="001611AC"/>
    <w:rsid w:val="0017589D"/>
    <w:rsid w:val="00180183"/>
    <w:rsid w:val="00181AFB"/>
    <w:rsid w:val="0018649F"/>
    <w:rsid w:val="00196389"/>
    <w:rsid w:val="001B2368"/>
    <w:rsid w:val="001C7A89"/>
    <w:rsid w:val="00251773"/>
    <w:rsid w:val="002679DA"/>
    <w:rsid w:val="002A2AAA"/>
    <w:rsid w:val="002A2EFC"/>
    <w:rsid w:val="002B0F41"/>
    <w:rsid w:val="002C0E18"/>
    <w:rsid w:val="002D24BD"/>
    <w:rsid w:val="002D5AAC"/>
    <w:rsid w:val="00301299"/>
    <w:rsid w:val="00302D2B"/>
    <w:rsid w:val="00322004"/>
    <w:rsid w:val="003402C2"/>
    <w:rsid w:val="00364166"/>
    <w:rsid w:val="00365371"/>
    <w:rsid w:val="0036600C"/>
    <w:rsid w:val="0036646A"/>
    <w:rsid w:val="00381C24"/>
    <w:rsid w:val="003958D0"/>
    <w:rsid w:val="003B00E5"/>
    <w:rsid w:val="003B7A39"/>
    <w:rsid w:val="003C7379"/>
    <w:rsid w:val="0041220F"/>
    <w:rsid w:val="00414A16"/>
    <w:rsid w:val="00427F10"/>
    <w:rsid w:val="00431F76"/>
    <w:rsid w:val="00454E07"/>
    <w:rsid w:val="0046506B"/>
    <w:rsid w:val="00465412"/>
    <w:rsid w:val="00466935"/>
    <w:rsid w:val="004705A5"/>
    <w:rsid w:val="004C662A"/>
    <w:rsid w:val="004D3D0B"/>
    <w:rsid w:val="004D4086"/>
    <w:rsid w:val="004D4354"/>
    <w:rsid w:val="004D45DB"/>
    <w:rsid w:val="004E419B"/>
    <w:rsid w:val="0050108D"/>
    <w:rsid w:val="00501F38"/>
    <w:rsid w:val="00515B0A"/>
    <w:rsid w:val="00522544"/>
    <w:rsid w:val="005327CB"/>
    <w:rsid w:val="005332CE"/>
    <w:rsid w:val="00541906"/>
    <w:rsid w:val="00557AA7"/>
    <w:rsid w:val="005644CE"/>
    <w:rsid w:val="00572E19"/>
    <w:rsid w:val="00577776"/>
    <w:rsid w:val="005819B5"/>
    <w:rsid w:val="005A0920"/>
    <w:rsid w:val="005A1AA8"/>
    <w:rsid w:val="005C43E4"/>
    <w:rsid w:val="005C4836"/>
    <w:rsid w:val="005F0B42"/>
    <w:rsid w:val="00605B48"/>
    <w:rsid w:val="006666A8"/>
    <w:rsid w:val="00666938"/>
    <w:rsid w:val="00671FD0"/>
    <w:rsid w:val="0069426E"/>
    <w:rsid w:val="006B6DB9"/>
    <w:rsid w:val="006C1EF8"/>
    <w:rsid w:val="006C596E"/>
    <w:rsid w:val="006E69AB"/>
    <w:rsid w:val="006F35EE"/>
    <w:rsid w:val="007021FF"/>
    <w:rsid w:val="00714F5E"/>
    <w:rsid w:val="007346AE"/>
    <w:rsid w:val="007358B2"/>
    <w:rsid w:val="00757357"/>
    <w:rsid w:val="007640F5"/>
    <w:rsid w:val="00764249"/>
    <w:rsid w:val="00782036"/>
    <w:rsid w:val="0079644B"/>
    <w:rsid w:val="007972A8"/>
    <w:rsid w:val="007B17D1"/>
    <w:rsid w:val="007B2E38"/>
    <w:rsid w:val="007C777A"/>
    <w:rsid w:val="007F0892"/>
    <w:rsid w:val="0082699E"/>
    <w:rsid w:val="00834B71"/>
    <w:rsid w:val="008504FF"/>
    <w:rsid w:val="00853903"/>
    <w:rsid w:val="0086445C"/>
    <w:rsid w:val="008A08D7"/>
    <w:rsid w:val="008C1073"/>
    <w:rsid w:val="008F1CD4"/>
    <w:rsid w:val="008F3AA3"/>
    <w:rsid w:val="00901CD5"/>
    <w:rsid w:val="00906890"/>
    <w:rsid w:val="0091550D"/>
    <w:rsid w:val="00932CF7"/>
    <w:rsid w:val="0094788C"/>
    <w:rsid w:val="00951972"/>
    <w:rsid w:val="00955AE4"/>
    <w:rsid w:val="0095700F"/>
    <w:rsid w:val="0096216B"/>
    <w:rsid w:val="00967B72"/>
    <w:rsid w:val="00996BF2"/>
    <w:rsid w:val="009C43B5"/>
    <w:rsid w:val="009E1059"/>
    <w:rsid w:val="009E4069"/>
    <w:rsid w:val="00A73A9A"/>
    <w:rsid w:val="00A823EA"/>
    <w:rsid w:val="00A917B3"/>
    <w:rsid w:val="00AB48B8"/>
    <w:rsid w:val="00AB4B51"/>
    <w:rsid w:val="00AB7FF2"/>
    <w:rsid w:val="00AC76E8"/>
    <w:rsid w:val="00B10CC7"/>
    <w:rsid w:val="00B1605B"/>
    <w:rsid w:val="00B231F7"/>
    <w:rsid w:val="00B31513"/>
    <w:rsid w:val="00B41291"/>
    <w:rsid w:val="00B43F85"/>
    <w:rsid w:val="00B460DE"/>
    <w:rsid w:val="00B62458"/>
    <w:rsid w:val="00B773AB"/>
    <w:rsid w:val="00BA56B6"/>
    <w:rsid w:val="00BB6203"/>
    <w:rsid w:val="00BD33EE"/>
    <w:rsid w:val="00BD4F9E"/>
    <w:rsid w:val="00BD5227"/>
    <w:rsid w:val="00C057D5"/>
    <w:rsid w:val="00C07E04"/>
    <w:rsid w:val="00C30BDD"/>
    <w:rsid w:val="00C3764D"/>
    <w:rsid w:val="00C55DE3"/>
    <w:rsid w:val="00C57E42"/>
    <w:rsid w:val="00C60F0C"/>
    <w:rsid w:val="00C805C9"/>
    <w:rsid w:val="00C86B87"/>
    <w:rsid w:val="00CA1679"/>
    <w:rsid w:val="00CA619A"/>
    <w:rsid w:val="00CB0199"/>
    <w:rsid w:val="00CE08F0"/>
    <w:rsid w:val="00D05606"/>
    <w:rsid w:val="00D33D63"/>
    <w:rsid w:val="00D4001E"/>
    <w:rsid w:val="00D525A5"/>
    <w:rsid w:val="00D90138"/>
    <w:rsid w:val="00D93829"/>
    <w:rsid w:val="00D9708A"/>
    <w:rsid w:val="00DB6076"/>
    <w:rsid w:val="00DC036C"/>
    <w:rsid w:val="00DD49CD"/>
    <w:rsid w:val="00DE13C0"/>
    <w:rsid w:val="00DE48CB"/>
    <w:rsid w:val="00DF548A"/>
    <w:rsid w:val="00E17493"/>
    <w:rsid w:val="00E2391B"/>
    <w:rsid w:val="00E60314"/>
    <w:rsid w:val="00E73F76"/>
    <w:rsid w:val="00E90F3F"/>
    <w:rsid w:val="00EA4B2C"/>
    <w:rsid w:val="00EC2B77"/>
    <w:rsid w:val="00EF1360"/>
    <w:rsid w:val="00EF3220"/>
    <w:rsid w:val="00F2520F"/>
    <w:rsid w:val="00F26A56"/>
    <w:rsid w:val="00F56401"/>
    <w:rsid w:val="00F80811"/>
    <w:rsid w:val="00F810C4"/>
    <w:rsid w:val="00F94155"/>
    <w:rsid w:val="00F948B8"/>
    <w:rsid w:val="00FB784B"/>
    <w:rsid w:val="00FD2EF7"/>
    <w:rsid w:val="00FE41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B551F7"/>
  <w15:docId w15:val="{32032D63-61C5-4802-9C1A-6198801D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000A64"/>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000A6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rsid w:val="00000A64"/>
    <w:pPr>
      <w:keepNext/>
      <w:outlineLvl w:val="1"/>
    </w:pPr>
    <w:rPr>
      <w:rFonts w:cs="Arial"/>
      <w:bCs/>
      <w:iCs/>
      <w:szCs w:val="28"/>
    </w:rPr>
  </w:style>
  <w:style w:type="paragraph" w:styleId="Ttulo3">
    <w:name w:val="heading 3"/>
    <w:basedOn w:val="Normal"/>
    <w:next w:val="Normal"/>
    <w:link w:val="Ttulo3Car"/>
    <w:rsid w:val="00000A64"/>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000A64"/>
    <w:pPr>
      <w:keepNext/>
      <w:spacing w:before="240" w:after="60"/>
      <w:outlineLvl w:val="3"/>
    </w:pPr>
    <w:rPr>
      <w:b/>
      <w:bCs/>
      <w:sz w:val="28"/>
      <w:szCs w:val="28"/>
    </w:rPr>
  </w:style>
  <w:style w:type="paragraph" w:styleId="Ttulo5">
    <w:name w:val="heading 5"/>
    <w:basedOn w:val="Normal"/>
    <w:next w:val="Normal"/>
    <w:link w:val="Ttulo5Car"/>
    <w:rsid w:val="00000A64"/>
    <w:pPr>
      <w:spacing w:before="240" w:after="60"/>
      <w:outlineLvl w:val="4"/>
    </w:pPr>
    <w:rPr>
      <w:b/>
      <w:bCs/>
      <w:i/>
      <w:iCs/>
      <w:sz w:val="26"/>
      <w:szCs w:val="26"/>
    </w:rPr>
  </w:style>
  <w:style w:type="paragraph" w:styleId="Ttulo6">
    <w:name w:val="heading 6"/>
    <w:basedOn w:val="Normal"/>
    <w:next w:val="Normal"/>
    <w:link w:val="Ttulo6Car"/>
    <w:rsid w:val="00000A64"/>
    <w:pPr>
      <w:spacing w:before="240" w:after="60"/>
      <w:outlineLvl w:val="5"/>
    </w:pPr>
    <w:rPr>
      <w:b/>
      <w:bCs/>
      <w:sz w:val="22"/>
      <w:szCs w:val="22"/>
    </w:rPr>
  </w:style>
  <w:style w:type="paragraph" w:styleId="Ttulo7">
    <w:name w:val="heading 7"/>
    <w:basedOn w:val="Normal"/>
    <w:next w:val="Normal"/>
    <w:link w:val="Ttulo7Car"/>
    <w:rsid w:val="00000A64"/>
    <w:pPr>
      <w:spacing w:before="240" w:after="60"/>
      <w:outlineLvl w:val="6"/>
    </w:pPr>
    <w:rPr>
      <w:sz w:val="24"/>
      <w:szCs w:val="24"/>
    </w:rPr>
  </w:style>
  <w:style w:type="paragraph" w:styleId="Ttulo8">
    <w:name w:val="heading 8"/>
    <w:basedOn w:val="Normal"/>
    <w:next w:val="Normal"/>
    <w:link w:val="Ttulo8Car"/>
    <w:rsid w:val="00000A64"/>
    <w:pPr>
      <w:spacing w:before="240" w:after="60"/>
      <w:outlineLvl w:val="7"/>
    </w:pPr>
    <w:rPr>
      <w:i/>
      <w:iCs/>
      <w:sz w:val="24"/>
      <w:szCs w:val="24"/>
    </w:rPr>
  </w:style>
  <w:style w:type="paragraph" w:styleId="Ttulo9">
    <w:name w:val="heading 9"/>
    <w:basedOn w:val="Normal"/>
    <w:next w:val="Normal"/>
    <w:link w:val="Ttulo9Car"/>
    <w:rsid w:val="00000A64"/>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000A64"/>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000A6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000A6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000A6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000A6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000A6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000A64"/>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000A6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000A6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000A64"/>
    <w:pPr>
      <w:keepNext/>
      <w:keepLines/>
      <w:spacing w:before="240" w:after="240" w:line="580" w:lineRule="exact"/>
      <w:ind w:left="1134" w:right="1134"/>
    </w:pPr>
    <w:rPr>
      <w:b/>
      <w:sz w:val="56"/>
    </w:rPr>
  </w:style>
  <w:style w:type="paragraph" w:customStyle="1" w:styleId="SSG">
    <w:name w:val="__S_S_G"/>
    <w:basedOn w:val="Normal"/>
    <w:next w:val="Normal"/>
    <w:uiPriority w:val="5"/>
    <w:rsid w:val="00000A6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000A64"/>
    <w:rPr>
      <w:sz w:val="16"/>
    </w:rPr>
  </w:style>
  <w:style w:type="paragraph" w:customStyle="1" w:styleId="XLargeG">
    <w:name w:val="__XLarge_G"/>
    <w:basedOn w:val="Normal"/>
    <w:next w:val="Normal"/>
    <w:uiPriority w:val="5"/>
    <w:rsid w:val="00000A64"/>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000A64"/>
    <w:pPr>
      <w:tabs>
        <w:tab w:val="right" w:pos="1021"/>
      </w:tabs>
      <w:spacing w:line="220" w:lineRule="exact"/>
      <w:ind w:left="1134" w:right="1134" w:hanging="1134"/>
    </w:pPr>
    <w:rPr>
      <w:sz w:val="18"/>
    </w:rPr>
  </w:style>
  <w:style w:type="table" w:styleId="Tablaconcuadrcula">
    <w:name w:val="Table Grid"/>
    <w:basedOn w:val="Tablanormal"/>
    <w:rsid w:val="00000A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000A64"/>
    <w:pPr>
      <w:numPr>
        <w:numId w:val="3"/>
      </w:numPr>
    </w:pPr>
  </w:style>
  <w:style w:type="numbering" w:styleId="1ai">
    <w:name w:val="Outline List 1"/>
    <w:basedOn w:val="Sinlista"/>
    <w:rsid w:val="00000A64"/>
    <w:pPr>
      <w:numPr>
        <w:numId w:val="4"/>
      </w:numPr>
    </w:pPr>
  </w:style>
  <w:style w:type="character" w:styleId="AcrnimoHTML">
    <w:name w:val="HTML Acronym"/>
    <w:basedOn w:val="Fuentedeprrafopredeter"/>
    <w:semiHidden/>
    <w:rsid w:val="00000A64"/>
  </w:style>
  <w:style w:type="numbering" w:styleId="ArtculoSeccin">
    <w:name w:val="Outline List 3"/>
    <w:basedOn w:val="Sinlista"/>
    <w:rsid w:val="00000A64"/>
    <w:pPr>
      <w:numPr>
        <w:numId w:val="5"/>
      </w:numPr>
    </w:pPr>
  </w:style>
  <w:style w:type="paragraph" w:styleId="Cierre">
    <w:name w:val="Closing"/>
    <w:basedOn w:val="Normal"/>
    <w:link w:val="CierreCar"/>
    <w:semiHidden/>
    <w:rsid w:val="00000A64"/>
    <w:pPr>
      <w:ind w:left="4252"/>
    </w:pPr>
  </w:style>
  <w:style w:type="character" w:styleId="CitaHTML">
    <w:name w:val="HTML Cite"/>
    <w:semiHidden/>
    <w:rsid w:val="00000A64"/>
    <w:rPr>
      <w:i/>
      <w:iCs/>
    </w:rPr>
  </w:style>
  <w:style w:type="character" w:styleId="CdigoHTML">
    <w:name w:val="HTML Code"/>
    <w:semiHidden/>
    <w:rsid w:val="00000A64"/>
    <w:rPr>
      <w:rFonts w:ascii="Courier New" w:hAnsi="Courier New" w:cs="Courier New"/>
      <w:sz w:val="20"/>
      <w:szCs w:val="20"/>
    </w:rPr>
  </w:style>
  <w:style w:type="paragraph" w:styleId="Continuarlista">
    <w:name w:val="List Continue"/>
    <w:basedOn w:val="Normal"/>
    <w:semiHidden/>
    <w:rsid w:val="00000A64"/>
    <w:pPr>
      <w:spacing w:after="120"/>
      <w:ind w:left="283"/>
    </w:pPr>
  </w:style>
  <w:style w:type="paragraph" w:styleId="Continuarlista2">
    <w:name w:val="List Continue 2"/>
    <w:basedOn w:val="Normal"/>
    <w:semiHidden/>
    <w:rsid w:val="00000A64"/>
    <w:pPr>
      <w:spacing w:after="120"/>
      <w:ind w:left="566"/>
    </w:pPr>
  </w:style>
  <w:style w:type="paragraph" w:styleId="Continuarlista3">
    <w:name w:val="List Continue 3"/>
    <w:basedOn w:val="Normal"/>
    <w:semiHidden/>
    <w:rsid w:val="00000A64"/>
    <w:pPr>
      <w:spacing w:after="120"/>
      <w:ind w:left="849"/>
    </w:pPr>
  </w:style>
  <w:style w:type="paragraph" w:styleId="Continuarlista4">
    <w:name w:val="List Continue 4"/>
    <w:basedOn w:val="Normal"/>
    <w:semiHidden/>
    <w:rsid w:val="00000A64"/>
    <w:pPr>
      <w:spacing w:after="120"/>
      <w:ind w:left="1132"/>
    </w:pPr>
  </w:style>
  <w:style w:type="paragraph" w:styleId="Continuarlista5">
    <w:name w:val="List Continue 5"/>
    <w:basedOn w:val="Normal"/>
    <w:semiHidden/>
    <w:rsid w:val="00000A64"/>
    <w:pPr>
      <w:spacing w:after="120"/>
      <w:ind w:left="1415"/>
    </w:pPr>
  </w:style>
  <w:style w:type="character" w:styleId="DefinicinHTML">
    <w:name w:val="HTML Definition"/>
    <w:semiHidden/>
    <w:rsid w:val="00000A64"/>
    <w:rPr>
      <w:i/>
      <w:iCs/>
    </w:rPr>
  </w:style>
  <w:style w:type="paragraph" w:styleId="DireccinHTML">
    <w:name w:val="HTML Address"/>
    <w:basedOn w:val="Normal"/>
    <w:link w:val="DireccinHTMLCar"/>
    <w:semiHidden/>
    <w:rsid w:val="00000A64"/>
    <w:rPr>
      <w:i/>
      <w:iCs/>
    </w:rPr>
  </w:style>
  <w:style w:type="paragraph" w:styleId="Direccinsobre">
    <w:name w:val="envelope address"/>
    <w:basedOn w:val="Normal"/>
    <w:semiHidden/>
    <w:rsid w:val="00000A6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000A64"/>
    <w:rPr>
      <w:rFonts w:ascii="Courier New" w:hAnsi="Courier New" w:cs="Courier New"/>
    </w:rPr>
  </w:style>
  <w:style w:type="paragraph" w:styleId="Encabezadodemensaje">
    <w:name w:val="Message Header"/>
    <w:basedOn w:val="Normal"/>
    <w:link w:val="EncabezadodemensajeCar"/>
    <w:semiHidden/>
    <w:rsid w:val="00000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000A64"/>
  </w:style>
  <w:style w:type="character" w:styleId="nfasis">
    <w:name w:val="Emphasis"/>
    <w:qFormat/>
    <w:rsid w:val="00000A64"/>
    <w:rPr>
      <w:i/>
      <w:iCs/>
    </w:rPr>
  </w:style>
  <w:style w:type="paragraph" w:styleId="Fecha">
    <w:name w:val="Date"/>
    <w:basedOn w:val="Normal"/>
    <w:next w:val="Normal"/>
    <w:link w:val="FechaCar"/>
    <w:semiHidden/>
    <w:rsid w:val="00000A64"/>
  </w:style>
  <w:style w:type="paragraph" w:styleId="Firma">
    <w:name w:val="Signature"/>
    <w:basedOn w:val="Normal"/>
    <w:link w:val="FirmaCar"/>
    <w:semiHidden/>
    <w:rsid w:val="00000A64"/>
    <w:pPr>
      <w:ind w:left="4252"/>
    </w:pPr>
  </w:style>
  <w:style w:type="paragraph" w:styleId="Firmadecorreoelectrnico">
    <w:name w:val="E-mail Signature"/>
    <w:basedOn w:val="Normal"/>
    <w:link w:val="FirmadecorreoelectrnicoCar"/>
    <w:semiHidden/>
    <w:rsid w:val="00000A64"/>
  </w:style>
  <w:style w:type="character" w:styleId="Hipervnculo">
    <w:name w:val="Hyperlink"/>
    <w:uiPriority w:val="4"/>
    <w:rsid w:val="00000A64"/>
    <w:rPr>
      <w:color w:val="0000FF"/>
      <w:u w:val="none"/>
    </w:rPr>
  </w:style>
  <w:style w:type="character" w:styleId="Hipervnculovisitado">
    <w:name w:val="FollowedHyperlink"/>
    <w:uiPriority w:val="4"/>
    <w:rsid w:val="00000A64"/>
    <w:rPr>
      <w:color w:val="0000FF"/>
      <w:u w:val="none"/>
    </w:rPr>
  </w:style>
  <w:style w:type="paragraph" w:styleId="HTMLconformatoprevio">
    <w:name w:val="HTML Preformatted"/>
    <w:basedOn w:val="Normal"/>
    <w:link w:val="HTMLconformatoprevioCar"/>
    <w:semiHidden/>
    <w:rsid w:val="00000A64"/>
    <w:rPr>
      <w:rFonts w:ascii="Courier New" w:hAnsi="Courier New" w:cs="Courier New"/>
    </w:rPr>
  </w:style>
  <w:style w:type="paragraph" w:styleId="Lista">
    <w:name w:val="List"/>
    <w:basedOn w:val="Normal"/>
    <w:semiHidden/>
    <w:rsid w:val="00000A64"/>
    <w:pPr>
      <w:ind w:left="283" w:hanging="283"/>
    </w:pPr>
  </w:style>
  <w:style w:type="paragraph" w:styleId="Lista2">
    <w:name w:val="List 2"/>
    <w:basedOn w:val="Normal"/>
    <w:semiHidden/>
    <w:rsid w:val="00000A64"/>
    <w:pPr>
      <w:ind w:left="566" w:hanging="283"/>
    </w:pPr>
  </w:style>
  <w:style w:type="paragraph" w:styleId="Lista3">
    <w:name w:val="List 3"/>
    <w:basedOn w:val="Normal"/>
    <w:semiHidden/>
    <w:rsid w:val="00000A64"/>
    <w:pPr>
      <w:ind w:left="849" w:hanging="283"/>
    </w:pPr>
  </w:style>
  <w:style w:type="paragraph" w:styleId="Lista4">
    <w:name w:val="List 4"/>
    <w:basedOn w:val="Normal"/>
    <w:semiHidden/>
    <w:rsid w:val="00000A64"/>
    <w:pPr>
      <w:ind w:left="1132" w:hanging="283"/>
    </w:pPr>
  </w:style>
  <w:style w:type="paragraph" w:styleId="Lista5">
    <w:name w:val="List 5"/>
    <w:basedOn w:val="Normal"/>
    <w:semiHidden/>
    <w:rsid w:val="00000A64"/>
    <w:pPr>
      <w:ind w:left="1415" w:hanging="283"/>
    </w:pPr>
  </w:style>
  <w:style w:type="paragraph" w:styleId="Listaconnmeros">
    <w:name w:val="List Number"/>
    <w:basedOn w:val="Normal"/>
    <w:semiHidden/>
    <w:rsid w:val="00000A64"/>
    <w:pPr>
      <w:numPr>
        <w:numId w:val="30"/>
      </w:numPr>
    </w:pPr>
  </w:style>
  <w:style w:type="paragraph" w:styleId="Listaconnmeros2">
    <w:name w:val="List Number 2"/>
    <w:basedOn w:val="Normal"/>
    <w:semiHidden/>
    <w:rsid w:val="00000A64"/>
    <w:pPr>
      <w:numPr>
        <w:numId w:val="31"/>
      </w:numPr>
    </w:pPr>
  </w:style>
  <w:style w:type="paragraph" w:styleId="Listaconnmeros3">
    <w:name w:val="List Number 3"/>
    <w:basedOn w:val="Normal"/>
    <w:semiHidden/>
    <w:rsid w:val="00000A64"/>
    <w:pPr>
      <w:numPr>
        <w:numId w:val="32"/>
      </w:numPr>
    </w:pPr>
  </w:style>
  <w:style w:type="paragraph" w:styleId="Listaconnmeros4">
    <w:name w:val="List Number 4"/>
    <w:basedOn w:val="Normal"/>
    <w:semiHidden/>
    <w:rsid w:val="00000A64"/>
    <w:pPr>
      <w:numPr>
        <w:numId w:val="33"/>
      </w:numPr>
    </w:pPr>
  </w:style>
  <w:style w:type="paragraph" w:styleId="Listaconnmeros5">
    <w:name w:val="List Number 5"/>
    <w:basedOn w:val="Normal"/>
    <w:semiHidden/>
    <w:rsid w:val="00000A64"/>
    <w:pPr>
      <w:numPr>
        <w:numId w:val="34"/>
      </w:numPr>
    </w:pPr>
  </w:style>
  <w:style w:type="paragraph" w:styleId="Listaconvietas">
    <w:name w:val="List Bullet"/>
    <w:basedOn w:val="Normal"/>
    <w:semiHidden/>
    <w:rsid w:val="00000A64"/>
    <w:pPr>
      <w:numPr>
        <w:numId w:val="25"/>
      </w:numPr>
    </w:pPr>
  </w:style>
  <w:style w:type="paragraph" w:styleId="Listaconvietas2">
    <w:name w:val="List Bullet 2"/>
    <w:basedOn w:val="Normal"/>
    <w:semiHidden/>
    <w:rsid w:val="00000A64"/>
    <w:pPr>
      <w:numPr>
        <w:numId w:val="26"/>
      </w:numPr>
    </w:pPr>
  </w:style>
  <w:style w:type="paragraph" w:styleId="Listaconvietas3">
    <w:name w:val="List Bullet 3"/>
    <w:basedOn w:val="Normal"/>
    <w:semiHidden/>
    <w:rsid w:val="00000A64"/>
    <w:pPr>
      <w:numPr>
        <w:numId w:val="27"/>
      </w:numPr>
    </w:pPr>
  </w:style>
  <w:style w:type="paragraph" w:styleId="Listaconvietas4">
    <w:name w:val="List Bullet 4"/>
    <w:basedOn w:val="Normal"/>
    <w:semiHidden/>
    <w:rsid w:val="00000A64"/>
    <w:pPr>
      <w:numPr>
        <w:numId w:val="28"/>
      </w:numPr>
    </w:pPr>
  </w:style>
  <w:style w:type="paragraph" w:styleId="Listaconvietas5">
    <w:name w:val="List Bullet 5"/>
    <w:basedOn w:val="Normal"/>
    <w:semiHidden/>
    <w:rsid w:val="00000A64"/>
    <w:pPr>
      <w:numPr>
        <w:numId w:val="29"/>
      </w:numPr>
    </w:pPr>
  </w:style>
  <w:style w:type="character" w:styleId="MquinadeescribirHTML">
    <w:name w:val="HTML Typewriter"/>
    <w:semiHidden/>
    <w:rsid w:val="00000A64"/>
    <w:rPr>
      <w:rFonts w:ascii="Courier New" w:hAnsi="Courier New" w:cs="Courier New"/>
      <w:sz w:val="20"/>
      <w:szCs w:val="20"/>
    </w:rPr>
  </w:style>
  <w:style w:type="paragraph" w:styleId="NormalWeb">
    <w:name w:val="Normal (Web)"/>
    <w:basedOn w:val="Normal"/>
    <w:semiHidden/>
    <w:rsid w:val="00000A64"/>
    <w:rPr>
      <w:sz w:val="24"/>
      <w:szCs w:val="24"/>
    </w:rPr>
  </w:style>
  <w:style w:type="character" w:styleId="Nmerodelnea">
    <w:name w:val="line number"/>
    <w:basedOn w:val="Fuentedeprrafopredeter"/>
    <w:semiHidden/>
    <w:rsid w:val="00000A64"/>
  </w:style>
  <w:style w:type="character" w:styleId="Nmerodepgina">
    <w:name w:val="page number"/>
    <w:aliases w:val="7_G"/>
    <w:uiPriority w:val="3"/>
    <w:qFormat/>
    <w:rsid w:val="00000A64"/>
    <w:rPr>
      <w:b/>
      <w:sz w:val="18"/>
    </w:rPr>
  </w:style>
  <w:style w:type="character" w:styleId="Refdenotaalfinal">
    <w:name w:val="endnote reference"/>
    <w:aliases w:val="1_G"/>
    <w:uiPriority w:val="3"/>
    <w:qFormat/>
    <w:rsid w:val="00000A64"/>
    <w:rPr>
      <w:rFonts w:ascii="Times New Roman" w:hAnsi="Times New Roman"/>
      <w:sz w:val="18"/>
      <w:vertAlign w:val="superscript"/>
    </w:rPr>
  </w:style>
  <w:style w:type="paragraph" w:styleId="Remitedesobre">
    <w:name w:val="envelope return"/>
    <w:basedOn w:val="Normal"/>
    <w:semiHidden/>
    <w:rsid w:val="00000A64"/>
    <w:rPr>
      <w:rFonts w:ascii="Arial" w:hAnsi="Arial" w:cs="Arial"/>
    </w:rPr>
  </w:style>
  <w:style w:type="paragraph" w:styleId="Saludo">
    <w:name w:val="Salutation"/>
    <w:basedOn w:val="Normal"/>
    <w:next w:val="Normal"/>
    <w:link w:val="SaludoCar"/>
    <w:semiHidden/>
    <w:rsid w:val="00000A64"/>
  </w:style>
  <w:style w:type="paragraph" w:styleId="Sangra2detindependiente">
    <w:name w:val="Body Text Indent 2"/>
    <w:basedOn w:val="Normal"/>
    <w:link w:val="Sangra2detindependienteCar"/>
    <w:semiHidden/>
    <w:rsid w:val="00000A64"/>
    <w:pPr>
      <w:spacing w:after="120" w:line="480" w:lineRule="auto"/>
      <w:ind w:left="283"/>
    </w:pPr>
  </w:style>
  <w:style w:type="paragraph" w:styleId="Sangra3detindependiente">
    <w:name w:val="Body Text Indent 3"/>
    <w:basedOn w:val="Normal"/>
    <w:link w:val="Sangra3detindependienteCar"/>
    <w:semiHidden/>
    <w:rsid w:val="00000A64"/>
    <w:pPr>
      <w:spacing w:after="120"/>
      <w:ind w:left="283"/>
    </w:pPr>
    <w:rPr>
      <w:sz w:val="16"/>
      <w:szCs w:val="16"/>
    </w:rPr>
  </w:style>
  <w:style w:type="paragraph" w:styleId="Sangradetextonormal">
    <w:name w:val="Body Text Indent"/>
    <w:basedOn w:val="Normal"/>
    <w:link w:val="SangradetextonormalCar"/>
    <w:semiHidden/>
    <w:rsid w:val="00000A64"/>
    <w:pPr>
      <w:spacing w:after="120"/>
      <w:ind w:left="283"/>
    </w:pPr>
  </w:style>
  <w:style w:type="paragraph" w:styleId="Sangranormal">
    <w:name w:val="Normal Indent"/>
    <w:basedOn w:val="Normal"/>
    <w:semiHidden/>
    <w:rsid w:val="00000A64"/>
    <w:pPr>
      <w:ind w:left="567"/>
    </w:pPr>
  </w:style>
  <w:style w:type="paragraph" w:styleId="Subttulo">
    <w:name w:val="Subtitle"/>
    <w:basedOn w:val="Normal"/>
    <w:link w:val="SubttuloCar"/>
    <w:rsid w:val="00000A64"/>
    <w:pPr>
      <w:spacing w:after="60"/>
      <w:jc w:val="center"/>
      <w:outlineLvl w:val="1"/>
    </w:pPr>
    <w:rPr>
      <w:rFonts w:ascii="Arial" w:hAnsi="Arial" w:cs="Arial"/>
      <w:sz w:val="24"/>
      <w:szCs w:val="24"/>
    </w:rPr>
  </w:style>
  <w:style w:type="table" w:styleId="Tablabsica1">
    <w:name w:val="Table Simple 1"/>
    <w:basedOn w:val="Tablanormal"/>
    <w:rsid w:val="00000A64"/>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000A64"/>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000A64"/>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000A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000A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000A64"/>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000A64"/>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000A64"/>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000A64"/>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000A64"/>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000A64"/>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000A64"/>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000A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000A64"/>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000A64"/>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000A64"/>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000A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000A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000A64"/>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000A64"/>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000A64"/>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000A64"/>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000A64"/>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000A64"/>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000A64"/>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000A64"/>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000A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000A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000A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000A64"/>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000A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000A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000A64"/>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000A64"/>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000A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000A64"/>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000A64"/>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000A64"/>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000A64"/>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000A64"/>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000A64"/>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000A64"/>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000A64"/>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000A64"/>
    <w:rPr>
      <w:rFonts w:ascii="Courier New" w:hAnsi="Courier New" w:cs="Courier New"/>
      <w:sz w:val="20"/>
      <w:szCs w:val="20"/>
    </w:rPr>
  </w:style>
  <w:style w:type="paragraph" w:styleId="Textodebloque">
    <w:name w:val="Block Text"/>
    <w:basedOn w:val="Normal"/>
    <w:semiHidden/>
    <w:rsid w:val="00000A64"/>
    <w:pPr>
      <w:spacing w:after="120"/>
      <w:ind w:left="1440" w:right="1440"/>
    </w:pPr>
  </w:style>
  <w:style w:type="character" w:styleId="Textoennegrita">
    <w:name w:val="Strong"/>
    <w:rsid w:val="00000A64"/>
    <w:rPr>
      <w:b/>
      <w:bCs/>
    </w:rPr>
  </w:style>
  <w:style w:type="paragraph" w:styleId="Textoindependiente">
    <w:name w:val="Body Text"/>
    <w:basedOn w:val="Normal"/>
    <w:link w:val="TextoindependienteCar"/>
    <w:semiHidden/>
    <w:rsid w:val="00000A64"/>
    <w:pPr>
      <w:spacing w:after="120"/>
    </w:pPr>
  </w:style>
  <w:style w:type="paragraph" w:styleId="Textoindependiente2">
    <w:name w:val="Body Text 2"/>
    <w:basedOn w:val="Normal"/>
    <w:link w:val="Textoindependiente2Car"/>
    <w:semiHidden/>
    <w:rsid w:val="00000A64"/>
    <w:pPr>
      <w:spacing w:after="120" w:line="480" w:lineRule="auto"/>
    </w:pPr>
  </w:style>
  <w:style w:type="paragraph" w:styleId="Textoindependiente3">
    <w:name w:val="Body Text 3"/>
    <w:basedOn w:val="Normal"/>
    <w:link w:val="Textoindependiente3Car"/>
    <w:semiHidden/>
    <w:rsid w:val="00000A64"/>
    <w:pPr>
      <w:spacing w:after="120"/>
    </w:pPr>
    <w:rPr>
      <w:sz w:val="16"/>
      <w:szCs w:val="16"/>
    </w:rPr>
  </w:style>
  <w:style w:type="paragraph" w:styleId="Textoindependienteprimerasangra">
    <w:name w:val="Body Text First Indent"/>
    <w:basedOn w:val="Textoindependiente"/>
    <w:link w:val="TextoindependienteprimerasangraCar"/>
    <w:semiHidden/>
    <w:rsid w:val="00000A64"/>
    <w:pPr>
      <w:ind w:firstLine="210"/>
    </w:pPr>
  </w:style>
  <w:style w:type="paragraph" w:styleId="Textoindependienteprimerasangra2">
    <w:name w:val="Body Text First Indent 2"/>
    <w:basedOn w:val="Sangradetextonormal"/>
    <w:link w:val="Textoindependienteprimerasangra2Car"/>
    <w:semiHidden/>
    <w:rsid w:val="00000A64"/>
    <w:pPr>
      <w:ind w:firstLine="210"/>
    </w:pPr>
  </w:style>
  <w:style w:type="paragraph" w:styleId="Textonotaalfinal">
    <w:name w:val="endnote text"/>
    <w:aliases w:val="2_G"/>
    <w:basedOn w:val="Textonotapie"/>
    <w:link w:val="TextonotaalfinalCar"/>
    <w:uiPriority w:val="3"/>
    <w:qFormat/>
    <w:rsid w:val="00000A64"/>
  </w:style>
  <w:style w:type="paragraph" w:styleId="Textosinformato">
    <w:name w:val="Plain Text"/>
    <w:basedOn w:val="Normal"/>
    <w:link w:val="TextosinformatoCar"/>
    <w:semiHidden/>
    <w:rsid w:val="00000A64"/>
    <w:rPr>
      <w:rFonts w:ascii="Courier New" w:hAnsi="Courier New" w:cs="Courier New"/>
    </w:rPr>
  </w:style>
  <w:style w:type="paragraph" w:styleId="Ttulo">
    <w:name w:val="Title"/>
    <w:basedOn w:val="Normal"/>
    <w:link w:val="TtuloCar"/>
    <w:rsid w:val="00000A64"/>
    <w:pPr>
      <w:spacing w:before="240" w:after="60"/>
      <w:jc w:val="center"/>
      <w:outlineLvl w:val="0"/>
    </w:pPr>
    <w:rPr>
      <w:rFonts w:ascii="Arial" w:hAnsi="Arial" w:cs="Arial"/>
      <w:b/>
      <w:bCs/>
      <w:kern w:val="28"/>
      <w:sz w:val="32"/>
      <w:szCs w:val="32"/>
    </w:rPr>
  </w:style>
  <w:style w:type="character" w:styleId="VariableHTML">
    <w:name w:val="HTML Variable"/>
    <w:semiHidden/>
    <w:rsid w:val="00000A64"/>
    <w:rPr>
      <w:i/>
      <w:iCs/>
    </w:rPr>
  </w:style>
  <w:style w:type="paragraph" w:customStyle="1" w:styleId="Bullet1G">
    <w:name w:val="_Bullet 1_G"/>
    <w:basedOn w:val="Normal"/>
    <w:uiPriority w:val="1"/>
    <w:qFormat/>
    <w:rsid w:val="00000A64"/>
    <w:pPr>
      <w:numPr>
        <w:numId w:val="17"/>
      </w:numPr>
      <w:spacing w:after="120"/>
      <w:ind w:right="1134"/>
      <w:jc w:val="both"/>
    </w:pPr>
    <w:rPr>
      <w:lang w:eastAsia="en-US"/>
    </w:rPr>
  </w:style>
  <w:style w:type="paragraph" w:customStyle="1" w:styleId="Bullet2G">
    <w:name w:val="_Bullet 2_G"/>
    <w:basedOn w:val="Normal"/>
    <w:uiPriority w:val="1"/>
    <w:qFormat/>
    <w:rsid w:val="00000A64"/>
    <w:pPr>
      <w:numPr>
        <w:numId w:val="18"/>
      </w:numPr>
      <w:tabs>
        <w:tab w:val="clear" w:pos="2268"/>
        <w:tab w:val="num" w:pos="1701"/>
      </w:tabs>
      <w:spacing w:after="120"/>
      <w:ind w:left="1701" w:right="1134"/>
      <w:jc w:val="both"/>
    </w:pPr>
  </w:style>
  <w:style w:type="paragraph" w:styleId="Textodeglobo">
    <w:name w:val="Balloon Text"/>
    <w:basedOn w:val="Normal"/>
    <w:link w:val="TextodegloboCar"/>
    <w:semiHidden/>
    <w:unhideWhenUsed/>
    <w:rsid w:val="00000A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000A64"/>
    <w:rPr>
      <w:rFonts w:ascii="Segoe UI" w:hAnsi="Segoe UI" w:cs="Segoe UI"/>
      <w:sz w:val="18"/>
      <w:szCs w:val="18"/>
      <w:lang w:val="es-ES" w:eastAsia="es-ES"/>
    </w:rPr>
  </w:style>
  <w:style w:type="paragraph" w:customStyle="1" w:styleId="ParNoG">
    <w:name w:val="_ParNo_G"/>
    <w:basedOn w:val="Normal"/>
    <w:uiPriority w:val="1"/>
    <w:qFormat/>
    <w:rsid w:val="00000A64"/>
    <w:pPr>
      <w:numPr>
        <w:numId w:val="19"/>
      </w:numPr>
      <w:tabs>
        <w:tab w:val="left" w:pos="1701"/>
        <w:tab w:val="left" w:pos="2268"/>
        <w:tab w:val="left" w:pos="2835"/>
      </w:tabs>
      <w:suppressAutoHyphens/>
      <w:kinsoku w:val="0"/>
      <w:overflowPunct w:val="0"/>
      <w:autoSpaceDE w:val="0"/>
      <w:autoSpaceDN w:val="0"/>
      <w:adjustRightInd w:val="0"/>
      <w:snapToGrid w:val="0"/>
      <w:spacing w:after="120"/>
      <w:ind w:left="2268" w:right="1134" w:hanging="170"/>
      <w:jc w:val="both"/>
    </w:pPr>
    <w:rPr>
      <w:rFonts w:eastAsiaTheme="minorHAnsi"/>
      <w:lang w:eastAsia="en-US"/>
    </w:rPr>
  </w:style>
  <w:style w:type="character" w:customStyle="1" w:styleId="SingleTxtGChar">
    <w:name w:val="_ Single Txt_G Char"/>
    <w:link w:val="SingleTxtG"/>
    <w:uiPriority w:val="1"/>
    <w:rsid w:val="00000A64"/>
    <w:rPr>
      <w:lang w:val="es-ES" w:eastAsia="es-ES"/>
    </w:rPr>
  </w:style>
  <w:style w:type="paragraph" w:customStyle="1" w:styleId="1ParNoG">
    <w:name w:val="1 _ParNo_G"/>
    <w:basedOn w:val="Normal"/>
    <w:uiPriority w:val="1"/>
    <w:qFormat/>
    <w:rsid w:val="00000A64"/>
    <w:pPr>
      <w:numPr>
        <w:ilvl w:val="1"/>
        <w:numId w:val="23"/>
      </w:numPr>
      <w:tabs>
        <w:tab w:val="clear" w:pos="1701"/>
        <w:tab w:val="num" w:pos="792"/>
      </w:tabs>
      <w:spacing w:after="120"/>
      <w:ind w:left="792" w:hanging="432"/>
      <w:jc w:val="both"/>
    </w:pPr>
    <w:rPr>
      <w:rFonts w:eastAsiaTheme="minorHAnsi"/>
      <w:lang w:eastAsia="en-US"/>
    </w:rPr>
  </w:style>
  <w:style w:type="paragraph" w:customStyle="1" w:styleId="1ParNoG0">
    <w:name w:val="1_ParNo_G"/>
    <w:basedOn w:val="Normal"/>
    <w:uiPriority w:val="1"/>
    <w:qFormat/>
    <w:rsid w:val="00000A64"/>
    <w:pPr>
      <w:numPr>
        <w:ilvl w:val="2"/>
        <w:numId w:val="23"/>
      </w:numPr>
      <w:tabs>
        <w:tab w:val="clear" w:pos="1701"/>
        <w:tab w:val="num" w:pos="1224"/>
      </w:tabs>
      <w:spacing w:after="120"/>
      <w:ind w:left="1224" w:hanging="504"/>
      <w:jc w:val="both"/>
    </w:pPr>
    <w:rPr>
      <w:rFonts w:eastAsiaTheme="minorHAnsi"/>
      <w:lang w:eastAsia="en-US"/>
    </w:rPr>
  </w:style>
  <w:style w:type="character" w:customStyle="1" w:styleId="TextoindependienteCar">
    <w:name w:val="Texto independiente Car"/>
    <w:basedOn w:val="Fuentedeprrafopredeter"/>
    <w:link w:val="Textoindependiente"/>
    <w:semiHidden/>
    <w:rsid w:val="00000A64"/>
    <w:rPr>
      <w:lang w:val="es-ES" w:eastAsia="es-ES"/>
    </w:rPr>
  </w:style>
  <w:style w:type="character" w:customStyle="1" w:styleId="Textoindependiente2Car">
    <w:name w:val="Texto independiente 2 Car"/>
    <w:basedOn w:val="Fuentedeprrafopredeter"/>
    <w:link w:val="Textoindependiente2"/>
    <w:semiHidden/>
    <w:rsid w:val="00000A64"/>
    <w:rPr>
      <w:lang w:val="es-ES" w:eastAsia="es-ES"/>
    </w:rPr>
  </w:style>
  <w:style w:type="character" w:customStyle="1" w:styleId="Textoindependiente3Car">
    <w:name w:val="Texto independiente 3 Car"/>
    <w:basedOn w:val="Fuentedeprrafopredeter"/>
    <w:link w:val="Textoindependiente3"/>
    <w:semiHidden/>
    <w:rsid w:val="00000A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000A64"/>
    <w:rPr>
      <w:lang w:val="es-ES" w:eastAsia="es-ES"/>
    </w:rPr>
  </w:style>
  <w:style w:type="character" w:customStyle="1" w:styleId="SangradetextonormalCar">
    <w:name w:val="Sangría de texto normal Car"/>
    <w:basedOn w:val="Fuentedeprrafopredeter"/>
    <w:link w:val="Sangradetextonormal"/>
    <w:semiHidden/>
    <w:rsid w:val="00000A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000A64"/>
    <w:rPr>
      <w:lang w:val="es-ES" w:eastAsia="es-ES"/>
    </w:rPr>
  </w:style>
  <w:style w:type="character" w:customStyle="1" w:styleId="Sangra2detindependienteCar">
    <w:name w:val="Sangría 2 de t. independiente Car"/>
    <w:basedOn w:val="Fuentedeprrafopredeter"/>
    <w:link w:val="Sangra2detindependiente"/>
    <w:semiHidden/>
    <w:rsid w:val="00000A64"/>
    <w:rPr>
      <w:lang w:val="es-ES" w:eastAsia="es-ES"/>
    </w:rPr>
  </w:style>
  <w:style w:type="character" w:customStyle="1" w:styleId="Sangra3detindependienteCar">
    <w:name w:val="Sangría 3 de t. independiente Car"/>
    <w:basedOn w:val="Fuentedeprrafopredeter"/>
    <w:link w:val="Sangra3detindependiente"/>
    <w:semiHidden/>
    <w:rsid w:val="00000A64"/>
    <w:rPr>
      <w:sz w:val="16"/>
      <w:szCs w:val="16"/>
      <w:lang w:val="es-ES" w:eastAsia="es-ES"/>
    </w:rPr>
  </w:style>
  <w:style w:type="character" w:customStyle="1" w:styleId="CierreCar">
    <w:name w:val="Cierre Car"/>
    <w:basedOn w:val="Fuentedeprrafopredeter"/>
    <w:link w:val="Cierre"/>
    <w:semiHidden/>
    <w:rsid w:val="00000A64"/>
    <w:rPr>
      <w:lang w:val="es-ES" w:eastAsia="es-ES"/>
    </w:rPr>
  </w:style>
  <w:style w:type="character" w:customStyle="1" w:styleId="FechaCar">
    <w:name w:val="Fecha Car"/>
    <w:basedOn w:val="Fuentedeprrafopredeter"/>
    <w:link w:val="Fecha"/>
    <w:semiHidden/>
    <w:rsid w:val="00000A64"/>
    <w:rPr>
      <w:lang w:val="es-ES" w:eastAsia="es-ES"/>
    </w:rPr>
  </w:style>
  <w:style w:type="character" w:customStyle="1" w:styleId="FirmadecorreoelectrnicoCar">
    <w:name w:val="Firma de correo electrónico Car"/>
    <w:basedOn w:val="Fuentedeprrafopredeter"/>
    <w:link w:val="Firmadecorreoelectrnico"/>
    <w:semiHidden/>
    <w:rsid w:val="00000A64"/>
    <w:rPr>
      <w:lang w:val="es-ES" w:eastAsia="es-ES"/>
    </w:rPr>
  </w:style>
  <w:style w:type="character" w:customStyle="1" w:styleId="TextonotapieCar">
    <w:name w:val="Texto nota pie Car"/>
    <w:aliases w:val="5_G Car"/>
    <w:basedOn w:val="Fuentedeprrafopredeter"/>
    <w:link w:val="Textonotapie"/>
    <w:uiPriority w:val="3"/>
    <w:rsid w:val="00000A64"/>
    <w:rPr>
      <w:sz w:val="18"/>
      <w:lang w:val="es-ES" w:eastAsia="es-ES"/>
    </w:rPr>
  </w:style>
  <w:style w:type="character" w:customStyle="1" w:styleId="TextonotaalfinalCar">
    <w:name w:val="Texto nota al final Car"/>
    <w:aliases w:val="2_G Car"/>
    <w:basedOn w:val="Fuentedeprrafopredeter"/>
    <w:link w:val="Textonotaalfinal"/>
    <w:uiPriority w:val="3"/>
    <w:rsid w:val="00000A64"/>
    <w:rPr>
      <w:sz w:val="18"/>
      <w:lang w:val="es-ES" w:eastAsia="es-ES"/>
    </w:rPr>
  </w:style>
  <w:style w:type="character" w:customStyle="1" w:styleId="PiedepginaCar">
    <w:name w:val="Pie de página Car"/>
    <w:aliases w:val="3_G Car"/>
    <w:basedOn w:val="Fuentedeprrafopredeter"/>
    <w:link w:val="Piedepgina"/>
    <w:uiPriority w:val="3"/>
    <w:rsid w:val="00000A64"/>
    <w:rPr>
      <w:sz w:val="16"/>
      <w:lang w:val="es-ES" w:eastAsia="es-ES"/>
    </w:rPr>
  </w:style>
  <w:style w:type="character" w:customStyle="1" w:styleId="EncabezadoCar">
    <w:name w:val="Encabezado Car"/>
    <w:aliases w:val="6_G Car"/>
    <w:basedOn w:val="Fuentedeprrafopredeter"/>
    <w:link w:val="Encabezado"/>
    <w:uiPriority w:val="3"/>
    <w:rsid w:val="00000A64"/>
    <w:rPr>
      <w:b/>
      <w:sz w:val="18"/>
      <w:lang w:val="es-ES" w:eastAsia="es-ES"/>
    </w:rPr>
  </w:style>
  <w:style w:type="character" w:customStyle="1" w:styleId="Ttulo1Car">
    <w:name w:val="Título 1 Car"/>
    <w:aliases w:val="Cuadro_G Car,Table_G Car"/>
    <w:basedOn w:val="Fuentedeprrafopredeter"/>
    <w:link w:val="Ttulo1"/>
    <w:uiPriority w:val="9"/>
    <w:rsid w:val="00000A64"/>
    <w:rPr>
      <w:lang w:val="fr-CH" w:eastAsia="en-US"/>
    </w:rPr>
  </w:style>
  <w:style w:type="character" w:customStyle="1" w:styleId="DireccinHTMLCar">
    <w:name w:val="Dirección HTML Car"/>
    <w:basedOn w:val="Fuentedeprrafopredeter"/>
    <w:link w:val="DireccinHTML"/>
    <w:semiHidden/>
    <w:rsid w:val="00000A64"/>
    <w:rPr>
      <w:i/>
      <w:iCs/>
      <w:lang w:val="es-ES" w:eastAsia="es-ES"/>
    </w:rPr>
  </w:style>
  <w:style w:type="character" w:customStyle="1" w:styleId="HTMLconformatoprevioCar">
    <w:name w:val="HTML con formato previo Car"/>
    <w:basedOn w:val="Fuentedeprrafopredeter"/>
    <w:link w:val="HTMLconformatoprevio"/>
    <w:semiHidden/>
    <w:rsid w:val="00000A64"/>
    <w:rPr>
      <w:rFonts w:ascii="Courier New" w:hAnsi="Courier New" w:cs="Courier New"/>
      <w:lang w:val="es-ES" w:eastAsia="es-ES"/>
    </w:rPr>
  </w:style>
  <w:style w:type="character" w:styleId="nfasisintenso">
    <w:name w:val="Intense Emphasis"/>
    <w:uiPriority w:val="21"/>
    <w:rsid w:val="00000A64"/>
    <w:rPr>
      <w:b/>
      <w:bCs/>
      <w:i/>
      <w:iCs/>
      <w:color w:val="4F81BD"/>
    </w:rPr>
  </w:style>
  <w:style w:type="paragraph" w:styleId="Citadestacada">
    <w:name w:val="Intense Quote"/>
    <w:basedOn w:val="Normal"/>
    <w:next w:val="Normal"/>
    <w:link w:val="CitadestacadaCar"/>
    <w:uiPriority w:val="30"/>
    <w:rsid w:val="00000A6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000A64"/>
    <w:rPr>
      <w:b/>
      <w:bCs/>
      <w:i/>
      <w:iCs/>
      <w:color w:val="4F81BD"/>
      <w:lang w:val="es-ES" w:eastAsia="es-ES"/>
    </w:rPr>
  </w:style>
  <w:style w:type="character" w:customStyle="1" w:styleId="EncabezadodemensajeCar">
    <w:name w:val="Encabezado de mensaje Car"/>
    <w:basedOn w:val="Fuentedeprrafopredeter"/>
    <w:link w:val="Encabezadodemensaje"/>
    <w:semiHidden/>
    <w:rsid w:val="00000A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000A64"/>
    <w:rPr>
      <w:lang w:val="es-ES" w:eastAsia="es-ES"/>
    </w:rPr>
  </w:style>
  <w:style w:type="character" w:customStyle="1" w:styleId="TextosinformatoCar">
    <w:name w:val="Texto sin formato Car"/>
    <w:basedOn w:val="Fuentedeprrafopredeter"/>
    <w:link w:val="Textosinformato"/>
    <w:semiHidden/>
    <w:rsid w:val="00000A64"/>
    <w:rPr>
      <w:rFonts w:ascii="Courier New" w:hAnsi="Courier New" w:cs="Courier New"/>
      <w:lang w:val="es-ES" w:eastAsia="es-ES"/>
    </w:rPr>
  </w:style>
  <w:style w:type="character" w:customStyle="1" w:styleId="SaludoCar">
    <w:name w:val="Saludo Car"/>
    <w:basedOn w:val="Fuentedeprrafopredeter"/>
    <w:link w:val="Saludo"/>
    <w:semiHidden/>
    <w:rsid w:val="00000A64"/>
    <w:rPr>
      <w:lang w:val="es-ES" w:eastAsia="es-ES"/>
    </w:rPr>
  </w:style>
  <w:style w:type="character" w:customStyle="1" w:styleId="FirmaCar">
    <w:name w:val="Firma Car"/>
    <w:basedOn w:val="Fuentedeprrafopredeter"/>
    <w:link w:val="Firma"/>
    <w:semiHidden/>
    <w:rsid w:val="00000A64"/>
    <w:rPr>
      <w:lang w:val="es-ES" w:eastAsia="es-ES"/>
    </w:rPr>
  </w:style>
  <w:style w:type="character" w:customStyle="1" w:styleId="SubttuloCar">
    <w:name w:val="Subtítulo Car"/>
    <w:basedOn w:val="Fuentedeprrafopredeter"/>
    <w:link w:val="Subttulo"/>
    <w:rsid w:val="00000A64"/>
    <w:rPr>
      <w:rFonts w:ascii="Arial" w:hAnsi="Arial" w:cs="Arial"/>
      <w:sz w:val="24"/>
      <w:szCs w:val="24"/>
      <w:lang w:val="es-ES" w:eastAsia="es-ES"/>
    </w:rPr>
  </w:style>
  <w:style w:type="paragraph" w:customStyle="1" w:styleId="Table1G">
    <w:name w:val="Table_1_G"/>
    <w:basedOn w:val="Normal"/>
    <w:next w:val="Normal"/>
    <w:uiPriority w:val="2"/>
    <w:qFormat/>
    <w:rsid w:val="00000A6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000A64"/>
    <w:pPr>
      <w:spacing w:after="120"/>
    </w:pPr>
    <w:rPr>
      <w:b/>
    </w:rPr>
  </w:style>
  <w:style w:type="paragraph" w:customStyle="1" w:styleId="Table1Line3G">
    <w:name w:val="Table_1_Line3_G"/>
    <w:basedOn w:val="Table1line2G"/>
    <w:next w:val="Normal"/>
    <w:uiPriority w:val="2"/>
    <w:qFormat/>
    <w:rsid w:val="00000A64"/>
    <w:rPr>
      <w:b w:val="0"/>
      <w:sz w:val="16"/>
    </w:rPr>
  </w:style>
  <w:style w:type="paragraph" w:customStyle="1" w:styleId="TableH23G">
    <w:name w:val="Table_H2/3_G"/>
    <w:basedOn w:val="H23G"/>
    <w:uiPriority w:val="2"/>
    <w:qFormat/>
    <w:rsid w:val="00000A6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rsid w:val="00000A64"/>
    <w:rPr>
      <w:rFonts w:ascii="Arial" w:hAnsi="Arial" w:cs="Arial"/>
      <w:b/>
      <w:bCs/>
      <w:kern w:val="28"/>
      <w:sz w:val="32"/>
      <w:szCs w:val="32"/>
      <w:lang w:val="es-ES" w:eastAsia="es-ES"/>
    </w:rPr>
  </w:style>
  <w:style w:type="paragraph" w:styleId="TDC1">
    <w:name w:val="toc 1"/>
    <w:basedOn w:val="Normal"/>
    <w:next w:val="Normal"/>
    <w:uiPriority w:val="5"/>
    <w:unhideWhenUsed/>
    <w:rsid w:val="00000A6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000A64"/>
    <w:pPr>
      <w:tabs>
        <w:tab w:val="clear" w:pos="851"/>
      </w:tabs>
      <w:ind w:left="1559" w:hanging="425"/>
    </w:pPr>
  </w:style>
  <w:style w:type="paragraph" w:styleId="TDC3">
    <w:name w:val="toc 3"/>
    <w:basedOn w:val="TDC2"/>
    <w:next w:val="Normal"/>
    <w:uiPriority w:val="5"/>
    <w:unhideWhenUsed/>
    <w:rsid w:val="00000A64"/>
    <w:pPr>
      <w:tabs>
        <w:tab w:val="left" w:pos="1985"/>
      </w:tabs>
      <w:ind w:left="1984"/>
    </w:pPr>
  </w:style>
  <w:style w:type="paragraph" w:styleId="TDC4">
    <w:name w:val="toc 4"/>
    <w:basedOn w:val="TDC1"/>
    <w:next w:val="Normal"/>
    <w:uiPriority w:val="5"/>
    <w:unhideWhenUsed/>
    <w:rsid w:val="00000A64"/>
    <w:pPr>
      <w:tabs>
        <w:tab w:val="clear" w:pos="9072"/>
        <w:tab w:val="left" w:leader="dot" w:pos="7938"/>
        <w:tab w:val="right" w:pos="8930"/>
      </w:tabs>
      <w:ind w:right="1701"/>
    </w:pPr>
  </w:style>
  <w:style w:type="paragraph" w:styleId="TDC5">
    <w:name w:val="toc 5"/>
    <w:basedOn w:val="TDC4"/>
    <w:next w:val="Normal"/>
    <w:uiPriority w:val="5"/>
    <w:unhideWhenUsed/>
    <w:rsid w:val="00000A64"/>
    <w:pPr>
      <w:tabs>
        <w:tab w:val="clear" w:pos="851"/>
      </w:tabs>
      <w:ind w:left="1559" w:hanging="425"/>
    </w:pPr>
  </w:style>
  <w:style w:type="paragraph" w:styleId="TDC6">
    <w:name w:val="toc 6"/>
    <w:basedOn w:val="TDC5"/>
    <w:next w:val="Normal"/>
    <w:uiPriority w:val="5"/>
    <w:unhideWhenUsed/>
    <w:rsid w:val="00000A64"/>
    <w:pPr>
      <w:tabs>
        <w:tab w:val="left" w:pos="1985"/>
      </w:tabs>
      <w:ind w:left="1984"/>
    </w:pPr>
  </w:style>
  <w:style w:type="character" w:styleId="Mencinsinresolver">
    <w:name w:val="Unresolved Mention"/>
    <w:basedOn w:val="Fuentedeprrafopredeter"/>
    <w:uiPriority w:val="99"/>
    <w:semiHidden/>
    <w:unhideWhenUsed/>
    <w:rsid w:val="000C2F85"/>
    <w:rPr>
      <w:color w:val="605E5C"/>
      <w:shd w:val="clear" w:color="auto" w:fill="E1DFDD"/>
    </w:rPr>
  </w:style>
  <w:style w:type="paragraph" w:customStyle="1" w:styleId="ParaNoG">
    <w:name w:val="_ParaNo._G"/>
    <w:basedOn w:val="SingleTxtG"/>
    <w:rsid w:val="000C2F85"/>
    <w:pPr>
      <w:numPr>
        <w:numId w:val="44"/>
      </w:numPr>
      <w:tabs>
        <w:tab w:val="clear" w:pos="2835"/>
      </w:tabs>
    </w:pPr>
    <w:rPr>
      <w:rFonts w:eastAsia="SimSun"/>
      <w:lang w:val="en-GB" w:eastAsia="zh-CN"/>
    </w:rPr>
  </w:style>
  <w:style w:type="character" w:customStyle="1" w:styleId="Ttulo3Car">
    <w:name w:val="Título 3 Car"/>
    <w:basedOn w:val="Fuentedeprrafopredeter"/>
    <w:link w:val="Ttulo3"/>
    <w:rsid w:val="000C2F85"/>
    <w:rPr>
      <w:rFonts w:ascii="Arial" w:hAnsi="Arial" w:cs="Arial"/>
      <w:b/>
      <w:bCs/>
      <w:sz w:val="26"/>
      <w:szCs w:val="26"/>
      <w:lang w:val="es-ES" w:eastAsia="es-ES"/>
    </w:rPr>
  </w:style>
  <w:style w:type="character" w:customStyle="1" w:styleId="Ttulo5Car">
    <w:name w:val="Título 5 Car"/>
    <w:basedOn w:val="Fuentedeprrafopredeter"/>
    <w:link w:val="Ttulo5"/>
    <w:rsid w:val="000C2F85"/>
    <w:rPr>
      <w:b/>
      <w:bCs/>
      <w:i/>
      <w:iCs/>
      <w:sz w:val="26"/>
      <w:szCs w:val="26"/>
      <w:lang w:val="es-ES" w:eastAsia="es-ES"/>
    </w:rPr>
  </w:style>
  <w:style w:type="character" w:customStyle="1" w:styleId="Ttulo6Car">
    <w:name w:val="Título 6 Car"/>
    <w:basedOn w:val="Fuentedeprrafopredeter"/>
    <w:link w:val="Ttulo6"/>
    <w:rsid w:val="000C2F85"/>
    <w:rPr>
      <w:b/>
      <w:bCs/>
      <w:sz w:val="22"/>
      <w:szCs w:val="22"/>
      <w:lang w:val="es-ES" w:eastAsia="es-ES"/>
    </w:rPr>
  </w:style>
  <w:style w:type="character" w:customStyle="1" w:styleId="Ttulo7Car">
    <w:name w:val="Título 7 Car"/>
    <w:basedOn w:val="Fuentedeprrafopredeter"/>
    <w:link w:val="Ttulo7"/>
    <w:rsid w:val="000C2F85"/>
    <w:rPr>
      <w:sz w:val="24"/>
      <w:szCs w:val="24"/>
      <w:lang w:val="es-ES" w:eastAsia="es-ES"/>
    </w:rPr>
  </w:style>
  <w:style w:type="character" w:customStyle="1" w:styleId="Ttulo8Car">
    <w:name w:val="Título 8 Car"/>
    <w:basedOn w:val="Fuentedeprrafopredeter"/>
    <w:link w:val="Ttulo8"/>
    <w:rsid w:val="000C2F85"/>
    <w:rPr>
      <w:i/>
      <w:iCs/>
      <w:sz w:val="24"/>
      <w:szCs w:val="24"/>
      <w:lang w:val="es-ES" w:eastAsia="es-ES"/>
    </w:rPr>
  </w:style>
  <w:style w:type="character" w:customStyle="1" w:styleId="Ttulo9Car">
    <w:name w:val="Título 9 Car"/>
    <w:basedOn w:val="Fuentedeprrafopredeter"/>
    <w:link w:val="Ttulo9"/>
    <w:rsid w:val="000C2F85"/>
    <w:rPr>
      <w:rFonts w:ascii="Arial" w:hAnsi="Arial" w:cs="Arial"/>
      <w:sz w:val="22"/>
      <w:szCs w:val="22"/>
      <w:lang w:val="es-ES" w:eastAsia="es-ES"/>
    </w:rPr>
  </w:style>
  <w:style w:type="paragraph" w:styleId="Prrafodelista">
    <w:name w:val="List Paragraph"/>
    <w:basedOn w:val="Normal"/>
    <w:uiPriority w:val="34"/>
    <w:qFormat/>
    <w:rsid w:val="000C2F85"/>
    <w:pPr>
      <w:spacing w:line="240" w:lineRule="auto"/>
      <w:ind w:left="720"/>
      <w:contextualSpacing/>
    </w:pPr>
    <w:rPr>
      <w:rFonts w:eastAsia="SimSun"/>
      <w:lang w:val="en-GB" w:eastAsia="zh-CN"/>
    </w:rPr>
  </w:style>
  <w:style w:type="character" w:customStyle="1" w:styleId="Ttulo4Car">
    <w:name w:val="Título 4 Car"/>
    <w:basedOn w:val="Fuentedeprrafopredeter"/>
    <w:link w:val="Ttulo4"/>
    <w:rsid w:val="000C2F85"/>
    <w:rPr>
      <w:b/>
      <w:bCs/>
      <w:sz w:val="28"/>
      <w:szCs w:val="28"/>
      <w:lang w:val="es-ES" w:eastAsia="es-ES"/>
    </w:rPr>
  </w:style>
  <w:style w:type="character" w:customStyle="1" w:styleId="Ttulo2Car">
    <w:name w:val="Título 2 Car"/>
    <w:basedOn w:val="Fuentedeprrafopredeter"/>
    <w:link w:val="Ttulo2"/>
    <w:rsid w:val="000C2F85"/>
    <w:rPr>
      <w:rFonts w:cs="Arial"/>
      <w:bCs/>
      <w:iCs/>
      <w:szCs w:val="28"/>
      <w:lang w:val="es-ES" w:eastAsia="es-ES"/>
    </w:rPr>
  </w:style>
  <w:style w:type="paragraph" w:styleId="Textocomentario">
    <w:name w:val="annotation text"/>
    <w:basedOn w:val="Normal"/>
    <w:link w:val="TextocomentarioCar"/>
    <w:uiPriority w:val="99"/>
    <w:semiHidden/>
    <w:unhideWhenUsed/>
    <w:rsid w:val="000C2F85"/>
    <w:pPr>
      <w:spacing w:line="240" w:lineRule="auto"/>
    </w:pPr>
    <w:rPr>
      <w:rFonts w:eastAsia="SimSun"/>
      <w:lang w:val="en-GB" w:eastAsia="zh-CN"/>
    </w:rPr>
  </w:style>
  <w:style w:type="character" w:customStyle="1" w:styleId="TextocomentarioCar">
    <w:name w:val="Texto comentario Car"/>
    <w:basedOn w:val="Fuentedeprrafopredeter"/>
    <w:link w:val="Textocomentario"/>
    <w:uiPriority w:val="99"/>
    <w:semiHidden/>
    <w:rsid w:val="000C2F85"/>
    <w:rPr>
      <w:rFonts w:eastAsia="SimSun"/>
      <w:lang w:val="en-GB"/>
    </w:rPr>
  </w:style>
  <w:style w:type="character" w:styleId="Refdecomentario">
    <w:name w:val="annotation reference"/>
    <w:basedOn w:val="Fuentedeprrafopredeter"/>
    <w:uiPriority w:val="99"/>
    <w:semiHidden/>
    <w:unhideWhenUsed/>
    <w:rsid w:val="000C2F85"/>
    <w:rPr>
      <w:sz w:val="16"/>
      <w:szCs w:val="16"/>
    </w:rPr>
  </w:style>
  <w:style w:type="table" w:customStyle="1" w:styleId="TableGrid2">
    <w:name w:val="Table Grid2"/>
    <w:basedOn w:val="Tablanormal"/>
    <w:next w:val="Tablaconcuadrcula"/>
    <w:uiPriority w:val="59"/>
    <w:rsid w:val="000C2F8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0C2F85"/>
    <w:rPr>
      <w:rFonts w:eastAsia="Times New Roman"/>
      <w:b/>
      <w:bCs/>
      <w:lang w:val="es-ES" w:eastAsia="es-ES"/>
    </w:rPr>
  </w:style>
  <w:style w:type="character" w:customStyle="1" w:styleId="AsuntodelcomentarioCar">
    <w:name w:val="Asunto del comentario Car"/>
    <w:basedOn w:val="TextocomentarioCar"/>
    <w:link w:val="Asuntodelcomentario"/>
    <w:uiPriority w:val="99"/>
    <w:semiHidden/>
    <w:rsid w:val="000C2F85"/>
    <w:rPr>
      <w:rFonts w:eastAsia="SimSun"/>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3</TotalTime>
  <Pages>56</Pages>
  <Words>28301</Words>
  <Characters>146323</Characters>
  <Application>Microsoft Office Word</Application>
  <DocSecurity>0</DocSecurity>
  <Lines>3622</Lines>
  <Paragraphs>1733</Paragraphs>
  <ScaleCrop>false</ScaleCrop>
  <HeadingPairs>
    <vt:vector size="2" baseType="variant">
      <vt:variant>
        <vt:lpstr>Título</vt:lpstr>
      </vt:variant>
      <vt:variant>
        <vt:i4>1</vt:i4>
      </vt:variant>
    </vt:vector>
  </HeadingPairs>
  <TitlesOfParts>
    <vt:vector size="1" baseType="lpstr">
      <vt:lpstr>HRI/CORE/ZAF/2021</vt:lpstr>
    </vt:vector>
  </TitlesOfParts>
  <Company/>
  <LinksUpToDate>false</LinksUpToDate>
  <CharactersWithSpaces>173092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HRI/CORE/ZAF/2021</dc:title>
  <dc:subject/>
  <dc:creator>Angel ANGEL-MORENO-TORRES</dc:creator>
  <cp:keywords/>
  <cp:lastModifiedBy>Angel Moreno Torres</cp:lastModifiedBy>
  <cp:revision>3</cp:revision>
  <cp:lastPrinted>2022-03-11T13:33:00Z</cp:lastPrinted>
  <dcterms:created xsi:type="dcterms:W3CDTF">2022-03-11T13:33:00Z</dcterms:created>
  <dcterms:modified xsi:type="dcterms:W3CDTF">2022-03-11T13:35:00Z</dcterms:modified>
</cp:coreProperties>
</file>