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Layout w:type="fixed"/>
        <w:tblCellMar>
          <w:left w:w="0" w:type="dxa"/>
          <w:right w:w="0" w:type="dxa"/>
        </w:tblCellMar>
        <w:tblLook w:val="01E0" w:firstRow="1" w:lastRow="1" w:firstColumn="1" w:lastColumn="1" w:noHBand="0" w:noVBand="0"/>
      </w:tblPr>
      <w:tblGrid>
        <w:gridCol w:w="1274"/>
        <w:gridCol w:w="4963"/>
        <w:gridCol w:w="3402"/>
      </w:tblGrid>
      <w:tr w:rsidR="00E40CC2" w:rsidRPr="00A27F2B" w14:paraId="2748C95E" w14:textId="77777777" w:rsidTr="00A27F2B">
        <w:trPr>
          <w:trHeight w:hRule="exact" w:val="851"/>
        </w:trPr>
        <w:tc>
          <w:tcPr>
            <w:tcW w:w="1274" w:type="dxa"/>
            <w:shd w:val="clear" w:color="auto" w:fill="auto"/>
          </w:tcPr>
          <w:p w14:paraId="6FB7113C" w14:textId="77777777" w:rsidR="00E40CC2" w:rsidRPr="00A27F2B" w:rsidRDefault="00E40CC2" w:rsidP="00A445A1">
            <w:pPr>
              <w:kinsoku w:val="0"/>
              <w:overflowPunct w:val="0"/>
              <w:autoSpaceDE w:val="0"/>
              <w:autoSpaceDN w:val="0"/>
              <w:adjustRightInd w:val="0"/>
              <w:snapToGrid w:val="0"/>
              <w:spacing w:after="80" w:line="480" w:lineRule="exact"/>
              <w:rPr>
                <w:rFonts w:hint="cs"/>
                <w:sz w:val="40"/>
                <w:szCs w:val="40"/>
                <w:rtl/>
                <w:lang w:eastAsia="zh-TW"/>
              </w:rPr>
            </w:pPr>
          </w:p>
        </w:tc>
        <w:tc>
          <w:tcPr>
            <w:tcW w:w="4963" w:type="dxa"/>
            <w:shd w:val="clear" w:color="auto" w:fill="auto"/>
            <w:vAlign w:val="bottom"/>
          </w:tcPr>
          <w:p w14:paraId="5D1D2467" w14:textId="77777777" w:rsidR="00E40CC2" w:rsidRPr="00A27F2B" w:rsidRDefault="00E40CC2" w:rsidP="00B452DB">
            <w:pPr>
              <w:spacing w:after="80" w:line="480" w:lineRule="exact"/>
              <w:ind w:left="57"/>
              <w:rPr>
                <w:sz w:val="30"/>
                <w:szCs w:val="30"/>
                <w:rtl/>
              </w:rPr>
            </w:pPr>
            <w:r w:rsidRPr="00A27F2B">
              <w:rPr>
                <w:rFonts w:hint="cs"/>
                <w:sz w:val="30"/>
                <w:szCs w:val="30"/>
                <w:rtl/>
              </w:rPr>
              <w:t>الأمم المتحدة</w:t>
            </w:r>
          </w:p>
        </w:tc>
        <w:tc>
          <w:tcPr>
            <w:tcW w:w="3402" w:type="dxa"/>
            <w:shd w:val="clear" w:color="auto" w:fill="auto"/>
            <w:vAlign w:val="bottom"/>
          </w:tcPr>
          <w:p w14:paraId="420A7C21" w14:textId="2BF2381C" w:rsidR="00E40CC2" w:rsidRPr="00A27F2B" w:rsidRDefault="009B1970" w:rsidP="009B1970">
            <w:pPr>
              <w:bidi w:val="0"/>
              <w:rPr>
                <w:szCs w:val="20"/>
                <w:lang w:eastAsia="zh-TW"/>
              </w:rPr>
            </w:pPr>
            <w:r w:rsidRPr="00A27F2B">
              <w:rPr>
                <w:sz w:val="40"/>
                <w:szCs w:val="20"/>
                <w:lang w:eastAsia="zh-TW"/>
              </w:rPr>
              <w:t>HRI</w:t>
            </w:r>
            <w:r w:rsidRPr="00A27F2B">
              <w:rPr>
                <w:szCs w:val="20"/>
                <w:lang w:eastAsia="zh-TW"/>
              </w:rPr>
              <w:t>/CORE/ZAF/2021</w:t>
            </w:r>
          </w:p>
        </w:tc>
      </w:tr>
      <w:tr w:rsidR="00E40CC2" w:rsidRPr="00A27F2B" w14:paraId="46E070A2" w14:textId="77777777" w:rsidTr="00A27F2B">
        <w:trPr>
          <w:trHeight w:hRule="exact" w:val="2835"/>
        </w:trPr>
        <w:tc>
          <w:tcPr>
            <w:tcW w:w="1274" w:type="dxa"/>
            <w:shd w:val="clear" w:color="auto" w:fill="auto"/>
          </w:tcPr>
          <w:p w14:paraId="2E61EAA6" w14:textId="77777777" w:rsidR="00E40CC2" w:rsidRPr="00A27F2B" w:rsidRDefault="00E40CC2" w:rsidP="00803069">
            <w:pPr>
              <w:jc w:val="center"/>
              <w:rPr>
                <w:sz w:val="56"/>
                <w:szCs w:val="56"/>
                <w:lang w:val="es-ES_tradnl"/>
              </w:rPr>
            </w:pPr>
            <w:r w:rsidRPr="00A27F2B">
              <w:rPr>
                <w:noProof/>
                <w:sz w:val="56"/>
                <w:szCs w:val="56"/>
              </w:rPr>
              <w:drawing>
                <wp:inline distT="0" distB="0" distL="0" distR="0" wp14:anchorId="6611E807" wp14:editId="57FF3FD7">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shd w:val="clear" w:color="auto" w:fill="auto"/>
          </w:tcPr>
          <w:p w14:paraId="7D73B16D" w14:textId="77777777" w:rsidR="00E40CC2" w:rsidRPr="00A27F2B" w:rsidRDefault="00E40CC2" w:rsidP="00B452DB">
            <w:pPr>
              <w:spacing w:before="120" w:after="40" w:line="640" w:lineRule="exact"/>
              <w:ind w:left="57"/>
              <w:rPr>
                <w:rFonts w:ascii="Times New Roman Bold" w:hAnsi="Times New Roman Bold" w:hint="eastAsia"/>
                <w:sz w:val="46"/>
                <w:szCs w:val="46"/>
              </w:rPr>
            </w:pPr>
            <w:r w:rsidRPr="00A27F2B">
              <w:rPr>
                <w:rFonts w:ascii="Times New Roman Bold" w:hAnsi="Times New Roman Bold"/>
                <w:sz w:val="46"/>
                <w:szCs w:val="46"/>
                <w:rtl/>
              </w:rPr>
              <w:t>الصكوك الدولية لحقوق الإنسان</w:t>
            </w:r>
          </w:p>
        </w:tc>
        <w:tc>
          <w:tcPr>
            <w:tcW w:w="3402" w:type="dxa"/>
            <w:shd w:val="clear" w:color="auto" w:fill="auto"/>
          </w:tcPr>
          <w:p w14:paraId="1BD0D278" w14:textId="77777777" w:rsidR="00803069" w:rsidRPr="00A27F2B" w:rsidRDefault="00803069" w:rsidP="00803069">
            <w:pPr>
              <w:bidi w:val="0"/>
              <w:spacing w:before="240"/>
            </w:pPr>
            <w:r w:rsidRPr="00A27F2B">
              <w:t>Distr.: General</w:t>
            </w:r>
          </w:p>
          <w:p w14:paraId="352700DD" w14:textId="77777777" w:rsidR="00803069" w:rsidRPr="00A27F2B" w:rsidRDefault="00803069" w:rsidP="00803069">
            <w:pPr>
              <w:bidi w:val="0"/>
            </w:pPr>
            <w:r w:rsidRPr="00A27F2B">
              <w:t>25 August 2021</w:t>
            </w:r>
          </w:p>
          <w:p w14:paraId="3458EBC3" w14:textId="58E4020F" w:rsidR="00803069" w:rsidRPr="00A27F2B" w:rsidRDefault="00803069" w:rsidP="00803069">
            <w:pPr>
              <w:bidi w:val="0"/>
            </w:pPr>
            <w:r w:rsidRPr="00A27F2B">
              <w:t>Arabic</w:t>
            </w:r>
          </w:p>
          <w:p w14:paraId="5A6A9B9B" w14:textId="52596AA3" w:rsidR="009B1970" w:rsidRPr="00A27F2B" w:rsidRDefault="00803069" w:rsidP="00803069">
            <w:pPr>
              <w:bidi w:val="0"/>
              <w:spacing w:line="240" w:lineRule="exact"/>
              <w:jc w:val="left"/>
              <w:rPr>
                <w:szCs w:val="20"/>
              </w:rPr>
            </w:pPr>
            <w:r w:rsidRPr="00A27F2B">
              <w:t>Original: English</w:t>
            </w:r>
          </w:p>
        </w:tc>
      </w:tr>
    </w:tbl>
    <w:p w14:paraId="6B02C7E7" w14:textId="77777777" w:rsidR="00803069" w:rsidRPr="000D5B62" w:rsidRDefault="00803069" w:rsidP="00803069">
      <w:pPr>
        <w:pStyle w:val="HMGA"/>
        <w:rPr>
          <w:rFonts w:asciiTheme="majorBidi" w:hAnsiTheme="majorBidi" w:cstheme="majorBidi"/>
          <w:szCs w:val="20"/>
          <w:lang w:val="ar-SA" w:eastAsia="zh-TW" w:bidi="en-GB"/>
        </w:rPr>
      </w:pPr>
      <w:r w:rsidRPr="000D5B62">
        <w:rPr>
          <w:rtl/>
        </w:rPr>
        <w:tab/>
      </w:r>
      <w:r w:rsidRPr="000D5B62">
        <w:rPr>
          <w:rtl/>
        </w:rPr>
        <w:tab/>
        <w:t>وثيقة أساسية موحدة تشكل جزءاً من التقارير المقدمة من الدول الأطراف</w:t>
      </w:r>
    </w:p>
    <w:p w14:paraId="64BBE599" w14:textId="1A96DB5C" w:rsidR="00803069" w:rsidRPr="000D5B62" w:rsidRDefault="00803069" w:rsidP="00803069">
      <w:pPr>
        <w:pStyle w:val="HChGA"/>
        <w:rPr>
          <w:rFonts w:asciiTheme="majorBidi" w:hAnsiTheme="majorBidi" w:cstheme="majorBidi"/>
          <w:sz w:val="24"/>
          <w:szCs w:val="20"/>
          <w:lang w:val="en-US" w:eastAsia="zh-TW" w:bidi="en-GB"/>
        </w:rPr>
      </w:pPr>
      <w:r w:rsidRPr="000D5B62">
        <w:rPr>
          <w:rtl/>
        </w:rPr>
        <w:tab/>
      </w:r>
      <w:r w:rsidRPr="000D5B62">
        <w:rPr>
          <w:rtl/>
        </w:rPr>
        <w:tab/>
        <w:t>جنوب أفريقيا</w:t>
      </w:r>
      <w:r w:rsidRPr="000D5B62">
        <w:rPr>
          <w:rFonts w:ascii="Traditional Arabic"/>
          <w:b w:val="0"/>
          <w:bCs w:val="0"/>
          <w:sz w:val="26"/>
          <w:szCs w:val="26"/>
          <w:rtl/>
        </w:rPr>
        <w:footnoteReference w:customMarkFollows="1" w:id="1"/>
        <w:t>*</w:t>
      </w:r>
    </w:p>
    <w:p w14:paraId="17640204" w14:textId="77777777" w:rsidR="00803069" w:rsidRPr="000D5B62" w:rsidRDefault="00803069" w:rsidP="00706D34">
      <w:pPr>
        <w:pStyle w:val="SingleTxtGA"/>
        <w:jc w:val="right"/>
        <w:rPr>
          <w:rFonts w:eastAsiaTheme="minorEastAsia"/>
          <w:rtl/>
          <w:lang w:val="ar-SA" w:eastAsia="zh-TW" w:bidi="en-GB"/>
        </w:rPr>
      </w:pPr>
      <w:r w:rsidRPr="000D5B62">
        <w:rPr>
          <w:rFonts w:eastAsiaTheme="minorEastAsia"/>
          <w:rtl/>
        </w:rPr>
        <w:t>[تاريخ الاستلام: 10 أيار/مايو 2021]</w:t>
      </w:r>
    </w:p>
    <w:p w14:paraId="72AE085A" w14:textId="3372AFD5" w:rsidR="00803069" w:rsidRPr="000D5B62" w:rsidRDefault="00803069" w:rsidP="00803069">
      <w:pPr>
        <w:pStyle w:val="HChGA"/>
        <w:pageBreakBefore/>
        <w:spacing w:before="120"/>
        <w:rPr>
          <w:lang w:val="en-US" w:eastAsia="zh-TW" w:bidi="en-GB"/>
        </w:rPr>
      </w:pPr>
      <w:r w:rsidRPr="000D5B62">
        <w:rPr>
          <w:rtl/>
        </w:rPr>
        <w:lastRenderedPageBreak/>
        <w:tab/>
        <w:t>أولا</w:t>
      </w:r>
      <w:r w:rsidRPr="000D5B62">
        <w:rPr>
          <w:rFonts w:hint="cs"/>
          <w:rtl/>
        </w:rPr>
        <w:t>ً</w:t>
      </w:r>
      <w:r w:rsidRPr="000D5B62">
        <w:rPr>
          <w:rtl/>
        </w:rPr>
        <w:t>-</w:t>
      </w:r>
      <w:r w:rsidRPr="000D5B62">
        <w:rPr>
          <w:rtl/>
        </w:rPr>
        <w:tab/>
        <w:t>معلومات عامة</w:t>
      </w:r>
    </w:p>
    <w:p w14:paraId="198347AE" w14:textId="77777777" w:rsidR="00803069" w:rsidRPr="000D5B62" w:rsidRDefault="00803069" w:rsidP="0035195D">
      <w:pPr>
        <w:pStyle w:val="SingleTxtGA"/>
        <w:spacing w:line="340" w:lineRule="exact"/>
        <w:rPr>
          <w:lang w:val="en-US" w:eastAsia="zh-TW" w:bidi="en-GB"/>
        </w:rPr>
      </w:pPr>
      <w:r w:rsidRPr="000D5B62">
        <w:rPr>
          <w:rtl/>
        </w:rPr>
        <w:t>1-</w:t>
      </w:r>
      <w:r w:rsidRPr="000D5B62">
        <w:rPr>
          <w:rtl/>
        </w:rPr>
        <w:tab/>
        <w:t xml:space="preserve">تتضمن هذه الوثيقة معلومات عامة وأخرى محددة تتصل بتنفيذ المعاهدات التي </w:t>
      </w:r>
      <w:r w:rsidRPr="000D5B62">
        <w:rPr>
          <w:rtl/>
          <w:lang w:bidi="ar-YE"/>
        </w:rPr>
        <w:t xml:space="preserve">انضمت إليها </w:t>
      </w:r>
      <w:r w:rsidRPr="000D5B62">
        <w:rPr>
          <w:rtl/>
        </w:rPr>
        <w:t xml:space="preserve">جنوب أفريقيا كطرف فيها والتي قد تكون لها صلة بهيئات المعاهدات، جميعها أو بعضها. والغرض من هذه الوثيقة هو تقديم معلومات عن مدى إحاطة جنوب أفريقيا بالتزاماتها الناشئة عن مختلف معاهدات الأمم المتحدة التي هي طرف فيها، وتجب قراءتها بالاقتران مع كل تقرير قدمته جنوب أفريقيا يخص كل معاهدة من تلك المعاهدات. ولقد أُعدت هذه الوثيقة وفقاً للمبادئ التوجيهية المنسقة التي وضعتها اللجنة المعنية بحقوق الإنسان بشأن شكل ومحتوى التقارير الدورية التي يتعين </w:t>
      </w:r>
      <w:r w:rsidRPr="000D5B62">
        <w:rPr>
          <w:rtl/>
          <w:lang w:bidi="ar-YE"/>
        </w:rPr>
        <w:t xml:space="preserve">على </w:t>
      </w:r>
      <w:r w:rsidRPr="000D5B62">
        <w:rPr>
          <w:rtl/>
        </w:rPr>
        <w:t>الدول الأطراف أن تقدمها.</w:t>
      </w:r>
    </w:p>
    <w:p w14:paraId="5C618FBD" w14:textId="6910EFDE" w:rsidR="00803069" w:rsidRPr="000D5B62" w:rsidRDefault="00803069" w:rsidP="00803069">
      <w:pPr>
        <w:pStyle w:val="H1GA"/>
        <w:rPr>
          <w:lang w:val="ar-SA" w:eastAsia="zh-TW" w:bidi="en-GB"/>
        </w:rPr>
      </w:pPr>
      <w:r w:rsidRPr="000D5B62">
        <w:rPr>
          <w:rtl/>
        </w:rPr>
        <w:tab/>
        <w:t>ألف-</w:t>
      </w:r>
      <w:r w:rsidRPr="000D5B62">
        <w:rPr>
          <w:rtl/>
        </w:rPr>
        <w:tab/>
        <w:t>الخصائص الديمغرافية والاقتصادية والاجتماعية والثقافية</w:t>
      </w:r>
    </w:p>
    <w:p w14:paraId="25D421F9" w14:textId="7C92D32D" w:rsidR="00803069" w:rsidRPr="000D5B62" w:rsidRDefault="00803069" w:rsidP="0035195D">
      <w:pPr>
        <w:pStyle w:val="SingleTxtGA"/>
        <w:spacing w:line="340" w:lineRule="exact"/>
        <w:rPr>
          <w:lang w:val="en-US" w:eastAsia="zh-TW" w:bidi="en-GB"/>
        </w:rPr>
      </w:pPr>
      <w:r w:rsidRPr="000D5B62">
        <w:rPr>
          <w:rtl/>
        </w:rPr>
        <w:t>2-</w:t>
      </w:r>
      <w:r w:rsidRPr="000D5B62">
        <w:rPr>
          <w:rtl/>
        </w:rPr>
        <w:tab/>
        <w:t>تقع جنوب أفريقيا في أقصى الطرف الجنوبي لأفريقيا ولها حدود مشتركة مع ناميبيا وبوتسوانا وزمبابوي وموزامبيق وسوازيلند. وتحيط أراضيها بدولة ليسوتو من جميع الجهات. وتبلغ مساحة جنوب أفريقيا 813 220 1 كيلومتراً مربعاً. وتتألف مساحة اليابسة في جنوب أفريقيا من تسعة أقاليم. وفي تموز/يوليه 2018، كان عدد سكان جنوب أفريقيا يبلغ، وفقاً للتقديرات، 57,7 مليون نسمة</w:t>
      </w:r>
      <w:r w:rsidRPr="000D5B62">
        <w:rPr>
          <w:rStyle w:val="FootnoteReference"/>
          <w:szCs w:val="22"/>
          <w:rtl/>
        </w:rPr>
        <w:t>(</w:t>
      </w:r>
      <w:r w:rsidRPr="000D5B62">
        <w:rPr>
          <w:rStyle w:val="FootnoteReference"/>
          <w:szCs w:val="22"/>
          <w:rtl/>
        </w:rPr>
        <w:footnoteReference w:id="2"/>
      </w:r>
      <w:r w:rsidRPr="000D5B62">
        <w:rPr>
          <w:rStyle w:val="FootnoteReference"/>
          <w:szCs w:val="22"/>
          <w:rtl/>
        </w:rPr>
        <w:t>)</w:t>
      </w:r>
      <w:r w:rsidRPr="000D5B62">
        <w:rPr>
          <w:rtl/>
        </w:rPr>
        <w:t xml:space="preserve"> تشكل الإناث نسبة تزيد قليلاً على 51 في المائة منهم (29,5 مليون نسمة تقريباً)</w:t>
      </w:r>
      <w:r w:rsidRPr="000D5B62">
        <w:rPr>
          <w:rStyle w:val="FootnoteReference"/>
          <w:szCs w:val="22"/>
          <w:rtl/>
        </w:rPr>
        <w:t>(</w:t>
      </w:r>
      <w:r w:rsidRPr="000D5B62">
        <w:rPr>
          <w:rStyle w:val="FootnoteReference"/>
          <w:szCs w:val="22"/>
          <w:rtl/>
        </w:rPr>
        <w:footnoteReference w:id="3"/>
      </w:r>
      <w:r w:rsidRPr="000D5B62">
        <w:rPr>
          <w:rStyle w:val="FootnoteReference"/>
          <w:szCs w:val="22"/>
          <w:rtl/>
        </w:rPr>
        <w:t>)</w:t>
      </w:r>
      <w:r w:rsidRPr="000D5B62">
        <w:rPr>
          <w:rFonts w:hint="cs"/>
          <w:rtl/>
        </w:rPr>
        <w:t xml:space="preserve">. </w:t>
      </w:r>
      <w:r w:rsidRPr="000D5B62">
        <w:rPr>
          <w:rtl/>
        </w:rPr>
        <w:t>ويرد في الجدول أدناه بيان الملامح الديمغرافية للسكان.</w:t>
      </w:r>
    </w:p>
    <w:p w14:paraId="56281EE7" w14:textId="15888E54" w:rsidR="00803069" w:rsidRPr="000D5B62" w:rsidRDefault="00803069" w:rsidP="00803069">
      <w:pPr>
        <w:pStyle w:val="SingleTxtGA"/>
        <w:rPr>
          <w:rStyle w:val="FootnoteReference"/>
          <w:rFonts w:eastAsiaTheme="minorEastAsia"/>
          <w:szCs w:val="22"/>
          <w:lang w:val="ar-SA" w:eastAsia="zh-TW" w:bidi="en-GB"/>
        </w:rPr>
      </w:pPr>
      <w:r w:rsidRPr="000D5B62">
        <w:rPr>
          <w:rtl/>
        </w:rPr>
        <w:t>الجدول 1</w:t>
      </w:r>
      <w:r w:rsidRPr="000D5B62">
        <w:rPr>
          <w:rtl/>
        </w:rPr>
        <w:tab/>
      </w:r>
      <w:r w:rsidRPr="000D5B62">
        <w:rPr>
          <w:rtl/>
        </w:rPr>
        <w:br/>
      </w:r>
      <w:r w:rsidRPr="000D5B62">
        <w:rPr>
          <w:b/>
          <w:bCs/>
          <w:rtl/>
        </w:rPr>
        <w:t>الملامح الديمغرافية (تموز/يوليه 2018)</w:t>
      </w:r>
      <w:r w:rsidRPr="000D5B62">
        <w:rPr>
          <w:rStyle w:val="FootnoteReference"/>
          <w:szCs w:val="22"/>
          <w:rtl/>
        </w:rPr>
        <w:t>(</w:t>
      </w:r>
      <w:r w:rsidRPr="000D5B62">
        <w:rPr>
          <w:rStyle w:val="FootnoteReference"/>
          <w:szCs w:val="22"/>
          <w:rtl/>
        </w:rPr>
        <w:footnoteReference w:id="4"/>
      </w:r>
      <w:r w:rsidRPr="000D5B62">
        <w:rPr>
          <w:rStyle w:val="FootnoteReference"/>
          <w:szCs w:val="22"/>
          <w:rtl/>
        </w:rPr>
        <w:t>)</w:t>
      </w:r>
    </w:p>
    <w:tbl>
      <w:tblPr>
        <w:bidiVisual/>
        <w:tblW w:w="7338" w:type="dxa"/>
        <w:tblInd w:w="1166" w:type="dxa"/>
        <w:tblBorders>
          <w:top w:val="single" w:sz="4" w:space="0" w:color="auto"/>
          <w:bottom w:val="single" w:sz="12" w:space="0" w:color="auto"/>
        </w:tblBorders>
        <w:tblLayout w:type="fixed"/>
        <w:tblLook w:val="00A0" w:firstRow="1" w:lastRow="0" w:firstColumn="1" w:lastColumn="0" w:noHBand="0" w:noVBand="0"/>
      </w:tblPr>
      <w:tblGrid>
        <w:gridCol w:w="4946"/>
        <w:gridCol w:w="2392"/>
      </w:tblGrid>
      <w:tr w:rsidR="00803069" w:rsidRPr="000D5B62" w14:paraId="65EA495F" w14:textId="77777777" w:rsidTr="0035195D">
        <w:trPr>
          <w:tblHeader/>
        </w:trPr>
        <w:tc>
          <w:tcPr>
            <w:tcW w:w="4946" w:type="dxa"/>
            <w:tcBorders>
              <w:top w:val="single" w:sz="4" w:space="0" w:color="auto"/>
              <w:bottom w:val="single" w:sz="12" w:space="0" w:color="auto"/>
            </w:tcBorders>
            <w:shd w:val="clear" w:color="auto" w:fill="auto"/>
            <w:vAlign w:val="bottom"/>
          </w:tcPr>
          <w:p w14:paraId="5C366EC4" w14:textId="77777777" w:rsidR="00803069" w:rsidRPr="000D5B62" w:rsidRDefault="00803069" w:rsidP="0035195D">
            <w:pPr>
              <w:spacing w:before="20" w:after="20" w:line="280" w:lineRule="exact"/>
              <w:textDirection w:val="tbRlV"/>
              <w:rPr>
                <w:rFonts w:eastAsiaTheme="minorEastAsia"/>
                <w:b/>
                <w:iCs/>
                <w:szCs w:val="20"/>
                <w:lang w:val="ar-SA" w:eastAsia="zh-TW" w:bidi="en-GB"/>
              </w:rPr>
            </w:pPr>
            <w:r w:rsidRPr="000D5B62">
              <w:rPr>
                <w:rFonts w:eastAsiaTheme="minorEastAsia"/>
                <w:b/>
                <w:bCs/>
                <w:szCs w:val="20"/>
                <w:rtl/>
              </w:rPr>
              <w:t>السكان</w:t>
            </w:r>
          </w:p>
        </w:tc>
        <w:tc>
          <w:tcPr>
            <w:tcW w:w="2392" w:type="dxa"/>
            <w:tcBorders>
              <w:top w:val="single" w:sz="4" w:space="0" w:color="auto"/>
              <w:bottom w:val="single" w:sz="12" w:space="0" w:color="auto"/>
            </w:tcBorders>
            <w:shd w:val="clear" w:color="auto" w:fill="auto"/>
            <w:vAlign w:val="bottom"/>
          </w:tcPr>
          <w:p w14:paraId="2F442FCB" w14:textId="77777777" w:rsidR="00803069" w:rsidRPr="000D5B62" w:rsidRDefault="00803069" w:rsidP="0035195D">
            <w:pPr>
              <w:spacing w:before="20" w:after="20" w:line="280" w:lineRule="exact"/>
              <w:rPr>
                <w:rFonts w:eastAsiaTheme="minorEastAsia"/>
                <w:b/>
                <w:iCs/>
                <w:szCs w:val="20"/>
                <w:rtl/>
              </w:rPr>
            </w:pPr>
          </w:p>
        </w:tc>
      </w:tr>
      <w:tr w:rsidR="00803069" w:rsidRPr="000D5B62" w14:paraId="57148D5E" w14:textId="77777777" w:rsidTr="0035195D">
        <w:tc>
          <w:tcPr>
            <w:tcW w:w="4946" w:type="dxa"/>
            <w:tcBorders>
              <w:top w:val="single" w:sz="12" w:space="0" w:color="auto"/>
            </w:tcBorders>
            <w:shd w:val="clear" w:color="auto" w:fill="auto"/>
          </w:tcPr>
          <w:p w14:paraId="680DBE6A"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نسبة الإناث من عدد السكان</w:t>
            </w:r>
          </w:p>
        </w:tc>
        <w:tc>
          <w:tcPr>
            <w:tcW w:w="2392" w:type="dxa"/>
            <w:tcBorders>
              <w:top w:val="single" w:sz="12" w:space="0" w:color="auto"/>
            </w:tcBorders>
            <w:shd w:val="clear" w:color="auto" w:fill="auto"/>
            <w:vAlign w:val="bottom"/>
          </w:tcPr>
          <w:p w14:paraId="724EE0D7" w14:textId="76C8EA52"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51,4</w:t>
            </w:r>
            <w:r w:rsidR="00E165E2" w:rsidRPr="000D5B62">
              <w:rPr>
                <w:rFonts w:eastAsiaTheme="minorEastAsia"/>
                <w:szCs w:val="20"/>
                <w:rtl/>
              </w:rPr>
              <w:t xml:space="preserve"> ٪</w:t>
            </w:r>
          </w:p>
        </w:tc>
      </w:tr>
      <w:tr w:rsidR="00803069" w:rsidRPr="000D5B62" w14:paraId="6A6F996D" w14:textId="77777777" w:rsidTr="0035195D">
        <w:tc>
          <w:tcPr>
            <w:tcW w:w="4946" w:type="dxa"/>
            <w:shd w:val="clear" w:color="auto" w:fill="auto"/>
          </w:tcPr>
          <w:p w14:paraId="4A803354"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نسبة الذكور من عدد السكان</w:t>
            </w:r>
          </w:p>
        </w:tc>
        <w:tc>
          <w:tcPr>
            <w:tcW w:w="2392" w:type="dxa"/>
            <w:shd w:val="clear" w:color="auto" w:fill="auto"/>
            <w:vAlign w:val="bottom"/>
          </w:tcPr>
          <w:p w14:paraId="333DF1BC" w14:textId="5F6A2718"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48,6</w:t>
            </w:r>
            <w:r w:rsidR="00E165E2" w:rsidRPr="000D5B62">
              <w:rPr>
                <w:rFonts w:eastAsiaTheme="minorEastAsia"/>
                <w:szCs w:val="20"/>
                <w:rtl/>
              </w:rPr>
              <w:t xml:space="preserve"> ٪</w:t>
            </w:r>
          </w:p>
        </w:tc>
      </w:tr>
      <w:tr w:rsidR="00803069" w:rsidRPr="000D5B62" w14:paraId="1431C452" w14:textId="77777777" w:rsidTr="0035195D">
        <w:trPr>
          <w:trHeight w:val="279"/>
        </w:trPr>
        <w:tc>
          <w:tcPr>
            <w:tcW w:w="4946" w:type="dxa"/>
            <w:shd w:val="clear" w:color="auto" w:fill="auto"/>
          </w:tcPr>
          <w:p w14:paraId="565DEC86" w14:textId="77777777" w:rsidR="00803069" w:rsidRPr="000D5B62" w:rsidRDefault="00803069" w:rsidP="0035195D">
            <w:pPr>
              <w:spacing w:before="20" w:after="20" w:line="280" w:lineRule="exact"/>
              <w:textDirection w:val="tbRlV"/>
              <w:rPr>
                <w:rFonts w:eastAsiaTheme="minorEastAsia"/>
                <w:bCs/>
                <w:szCs w:val="20"/>
                <w:lang w:eastAsia="zh-TW" w:bidi="en-GB"/>
              </w:rPr>
            </w:pPr>
            <w:r w:rsidRPr="000D5B62">
              <w:rPr>
                <w:rFonts w:eastAsiaTheme="minorEastAsia"/>
                <w:szCs w:val="20"/>
                <w:rtl/>
              </w:rPr>
              <w:t>نسبة السكان دون 15 عاماً من العمر</w:t>
            </w:r>
          </w:p>
        </w:tc>
        <w:tc>
          <w:tcPr>
            <w:tcW w:w="2392" w:type="dxa"/>
            <w:shd w:val="clear" w:color="auto" w:fill="auto"/>
            <w:vAlign w:val="bottom"/>
          </w:tcPr>
          <w:p w14:paraId="6C47A92B" w14:textId="4710BBBF"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29,5</w:t>
            </w:r>
            <w:r w:rsidR="00E165E2" w:rsidRPr="000D5B62">
              <w:rPr>
                <w:rFonts w:eastAsiaTheme="minorEastAsia"/>
                <w:szCs w:val="20"/>
                <w:rtl/>
              </w:rPr>
              <w:t xml:space="preserve"> ٪</w:t>
            </w:r>
          </w:p>
        </w:tc>
      </w:tr>
      <w:tr w:rsidR="00803069" w:rsidRPr="000D5B62" w14:paraId="7042E3A3" w14:textId="77777777" w:rsidTr="0035195D">
        <w:tc>
          <w:tcPr>
            <w:tcW w:w="4946" w:type="dxa"/>
            <w:shd w:val="clear" w:color="auto" w:fill="auto"/>
          </w:tcPr>
          <w:p w14:paraId="54452E44"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نسبة السكان البالغين من العمر 60 عاماً أو أكثر</w:t>
            </w:r>
          </w:p>
        </w:tc>
        <w:tc>
          <w:tcPr>
            <w:tcW w:w="2392" w:type="dxa"/>
            <w:shd w:val="clear" w:color="auto" w:fill="auto"/>
            <w:vAlign w:val="bottom"/>
          </w:tcPr>
          <w:p w14:paraId="7D0CD48B" w14:textId="4AA7BDC1"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8,5</w:t>
            </w:r>
            <w:r w:rsidR="00E165E2" w:rsidRPr="000D5B62">
              <w:rPr>
                <w:rFonts w:eastAsiaTheme="minorEastAsia"/>
                <w:szCs w:val="20"/>
                <w:rtl/>
              </w:rPr>
              <w:t xml:space="preserve"> ٪</w:t>
            </w:r>
          </w:p>
        </w:tc>
      </w:tr>
      <w:tr w:rsidR="00803069" w:rsidRPr="000D5B62" w14:paraId="101F5677" w14:textId="77777777" w:rsidTr="0035195D">
        <w:tc>
          <w:tcPr>
            <w:tcW w:w="4946" w:type="dxa"/>
            <w:shd w:val="clear" w:color="auto" w:fill="auto"/>
          </w:tcPr>
          <w:p w14:paraId="5123C9E4" w14:textId="77777777" w:rsidR="00803069" w:rsidRPr="000D5B62" w:rsidRDefault="00803069" w:rsidP="0035195D">
            <w:pPr>
              <w:spacing w:before="20" w:after="20" w:line="280" w:lineRule="exact"/>
              <w:textDirection w:val="tbRlV"/>
              <w:rPr>
                <w:rFonts w:eastAsiaTheme="minorEastAsia"/>
                <w:b/>
                <w:iCs/>
                <w:szCs w:val="20"/>
                <w:lang w:val="ar-SA" w:eastAsia="zh-TW" w:bidi="en-GB"/>
              </w:rPr>
            </w:pPr>
            <w:r w:rsidRPr="000D5B62">
              <w:rPr>
                <w:rFonts w:eastAsiaTheme="minorEastAsia"/>
                <w:b/>
                <w:bCs/>
                <w:szCs w:val="20"/>
                <w:rtl/>
              </w:rPr>
              <w:t>العمر المتوقع عند الولادة</w:t>
            </w:r>
          </w:p>
        </w:tc>
        <w:tc>
          <w:tcPr>
            <w:tcW w:w="2392" w:type="dxa"/>
            <w:shd w:val="clear" w:color="auto" w:fill="auto"/>
            <w:vAlign w:val="bottom"/>
          </w:tcPr>
          <w:p w14:paraId="65051C66" w14:textId="77777777" w:rsidR="00803069" w:rsidRPr="000D5B62" w:rsidRDefault="00803069" w:rsidP="0035195D">
            <w:pPr>
              <w:spacing w:before="20" w:after="20" w:line="280" w:lineRule="exact"/>
              <w:rPr>
                <w:rFonts w:eastAsiaTheme="minorEastAsia"/>
                <w:b/>
                <w:iCs/>
                <w:szCs w:val="20"/>
                <w:rtl/>
              </w:rPr>
            </w:pPr>
          </w:p>
        </w:tc>
      </w:tr>
      <w:tr w:rsidR="00803069" w:rsidRPr="000D5B62" w14:paraId="2C47528E" w14:textId="77777777" w:rsidTr="0035195D">
        <w:tc>
          <w:tcPr>
            <w:tcW w:w="4946" w:type="dxa"/>
            <w:shd w:val="clear" w:color="auto" w:fill="auto"/>
          </w:tcPr>
          <w:p w14:paraId="1D44CBCE" w14:textId="77777777" w:rsidR="00803069" w:rsidRPr="000D5B62" w:rsidRDefault="00803069" w:rsidP="0035195D">
            <w:pPr>
              <w:spacing w:before="20" w:after="20" w:line="280" w:lineRule="exact"/>
              <w:textDirection w:val="tbRlV"/>
              <w:rPr>
                <w:rFonts w:eastAsiaTheme="minorEastAsia"/>
                <w:bCs/>
                <w:szCs w:val="20"/>
                <w:lang w:eastAsia="zh-TW" w:bidi="en-GB"/>
              </w:rPr>
            </w:pPr>
            <w:r w:rsidRPr="000D5B62">
              <w:rPr>
                <w:rFonts w:eastAsiaTheme="minorEastAsia"/>
                <w:szCs w:val="20"/>
                <w:rtl/>
              </w:rPr>
              <w:t>الذكور</w:t>
            </w:r>
          </w:p>
        </w:tc>
        <w:tc>
          <w:tcPr>
            <w:tcW w:w="2392" w:type="dxa"/>
            <w:shd w:val="clear" w:color="auto" w:fill="auto"/>
            <w:vAlign w:val="bottom"/>
          </w:tcPr>
          <w:p w14:paraId="734B56A1" w14:textId="77777777"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61,1 سنة</w:t>
            </w:r>
          </w:p>
        </w:tc>
      </w:tr>
      <w:tr w:rsidR="00803069" w:rsidRPr="000D5B62" w14:paraId="256B061A" w14:textId="77777777" w:rsidTr="0035195D">
        <w:tc>
          <w:tcPr>
            <w:tcW w:w="4946" w:type="dxa"/>
            <w:shd w:val="clear" w:color="auto" w:fill="auto"/>
          </w:tcPr>
          <w:p w14:paraId="4736D300" w14:textId="77777777" w:rsidR="00803069" w:rsidRPr="000D5B62" w:rsidRDefault="00803069" w:rsidP="0035195D">
            <w:pPr>
              <w:spacing w:before="20" w:after="20" w:line="280" w:lineRule="exact"/>
              <w:textDirection w:val="tbRlV"/>
              <w:rPr>
                <w:rFonts w:eastAsiaTheme="minorEastAsia"/>
                <w:bCs/>
                <w:szCs w:val="20"/>
                <w:lang w:eastAsia="zh-TW" w:bidi="en-GB"/>
              </w:rPr>
            </w:pPr>
            <w:r w:rsidRPr="000D5B62">
              <w:rPr>
                <w:rFonts w:eastAsiaTheme="minorEastAsia"/>
                <w:szCs w:val="20"/>
                <w:rtl/>
              </w:rPr>
              <w:t>الإناث</w:t>
            </w:r>
          </w:p>
        </w:tc>
        <w:tc>
          <w:tcPr>
            <w:tcW w:w="2392" w:type="dxa"/>
            <w:shd w:val="clear" w:color="auto" w:fill="auto"/>
            <w:vAlign w:val="bottom"/>
          </w:tcPr>
          <w:p w14:paraId="1D49706F" w14:textId="77777777"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67,3 سنة</w:t>
            </w:r>
          </w:p>
        </w:tc>
      </w:tr>
      <w:tr w:rsidR="00803069" w:rsidRPr="000D5B62" w14:paraId="1EF4C16B" w14:textId="77777777" w:rsidTr="0035195D">
        <w:tc>
          <w:tcPr>
            <w:tcW w:w="4946" w:type="dxa"/>
            <w:shd w:val="clear" w:color="auto" w:fill="auto"/>
          </w:tcPr>
          <w:p w14:paraId="15D5DAA1"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معدل المواليد الخام</w:t>
            </w:r>
          </w:p>
        </w:tc>
        <w:tc>
          <w:tcPr>
            <w:tcW w:w="2392" w:type="dxa"/>
            <w:shd w:val="clear" w:color="auto" w:fill="auto"/>
            <w:vAlign w:val="bottom"/>
          </w:tcPr>
          <w:p w14:paraId="48311B65" w14:textId="77777777"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21,6</w:t>
            </w:r>
          </w:p>
        </w:tc>
      </w:tr>
      <w:tr w:rsidR="00803069" w:rsidRPr="000D5B62" w14:paraId="13D129E3" w14:textId="77777777" w:rsidTr="0035195D">
        <w:tc>
          <w:tcPr>
            <w:tcW w:w="4946" w:type="dxa"/>
            <w:shd w:val="clear" w:color="auto" w:fill="auto"/>
          </w:tcPr>
          <w:p w14:paraId="2EACE38A"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معدل الخصوبة (2016-2021)</w:t>
            </w:r>
          </w:p>
        </w:tc>
        <w:tc>
          <w:tcPr>
            <w:tcW w:w="2392" w:type="dxa"/>
            <w:shd w:val="clear" w:color="auto" w:fill="auto"/>
            <w:vAlign w:val="bottom"/>
          </w:tcPr>
          <w:p w14:paraId="39A1EB6B" w14:textId="77777777"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2,54</w:t>
            </w:r>
          </w:p>
        </w:tc>
      </w:tr>
      <w:tr w:rsidR="00803069" w:rsidRPr="000D5B62" w14:paraId="4CD013AD" w14:textId="77777777" w:rsidTr="0035195D">
        <w:tc>
          <w:tcPr>
            <w:tcW w:w="4946" w:type="dxa"/>
            <w:shd w:val="clear" w:color="auto" w:fill="auto"/>
          </w:tcPr>
          <w:p w14:paraId="5A409DEA"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معدل نمو السكان (2017-2018)</w:t>
            </w:r>
          </w:p>
        </w:tc>
        <w:tc>
          <w:tcPr>
            <w:tcW w:w="2392" w:type="dxa"/>
            <w:shd w:val="clear" w:color="auto" w:fill="auto"/>
            <w:vAlign w:val="bottom"/>
          </w:tcPr>
          <w:p w14:paraId="7BF6F98A" w14:textId="229386EE"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1,55</w:t>
            </w:r>
            <w:r w:rsidR="00E165E2" w:rsidRPr="000D5B62">
              <w:rPr>
                <w:rFonts w:eastAsiaTheme="minorEastAsia"/>
                <w:szCs w:val="20"/>
                <w:rtl/>
              </w:rPr>
              <w:t xml:space="preserve"> ٪</w:t>
            </w:r>
          </w:p>
        </w:tc>
      </w:tr>
      <w:tr w:rsidR="00803069" w:rsidRPr="000D5B62" w14:paraId="5A3481E7" w14:textId="77777777" w:rsidTr="0035195D">
        <w:tc>
          <w:tcPr>
            <w:tcW w:w="4946" w:type="dxa"/>
            <w:shd w:val="clear" w:color="auto" w:fill="auto"/>
          </w:tcPr>
          <w:p w14:paraId="658FA717"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الدين</w:t>
            </w:r>
          </w:p>
        </w:tc>
        <w:tc>
          <w:tcPr>
            <w:tcW w:w="2392" w:type="dxa"/>
            <w:shd w:val="clear" w:color="auto" w:fill="auto"/>
            <w:vAlign w:val="bottom"/>
          </w:tcPr>
          <w:p w14:paraId="530A15FD" w14:textId="340D9F74"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المسيحيون 86</w:t>
            </w:r>
            <w:r w:rsidR="00E165E2" w:rsidRPr="000D5B62">
              <w:rPr>
                <w:rFonts w:eastAsiaTheme="minorEastAsia"/>
                <w:szCs w:val="20"/>
                <w:rtl/>
              </w:rPr>
              <w:t xml:space="preserve"> ٪</w:t>
            </w:r>
            <w:r w:rsidRPr="000D5B62">
              <w:rPr>
                <w:rFonts w:eastAsiaTheme="minorEastAsia"/>
                <w:szCs w:val="20"/>
                <w:rtl/>
              </w:rPr>
              <w:t xml:space="preserve">، </w:t>
            </w:r>
          </w:p>
          <w:p w14:paraId="44FA75AF" w14:textId="078CCA86"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اللا دينيون 5</w:t>
            </w:r>
            <w:r w:rsidR="00D1004E" w:rsidRPr="000D5B62">
              <w:rPr>
                <w:rFonts w:eastAsiaTheme="minorEastAsia" w:hint="cs"/>
                <w:szCs w:val="20"/>
                <w:rtl/>
              </w:rPr>
              <w:t>,</w:t>
            </w:r>
            <w:r w:rsidRPr="000D5B62">
              <w:rPr>
                <w:rFonts w:eastAsiaTheme="minorEastAsia"/>
                <w:szCs w:val="20"/>
                <w:rtl/>
              </w:rPr>
              <w:t>2</w:t>
            </w:r>
            <w:r w:rsidR="00E165E2" w:rsidRPr="000D5B62">
              <w:rPr>
                <w:rFonts w:eastAsiaTheme="minorEastAsia"/>
                <w:szCs w:val="20"/>
                <w:rtl/>
              </w:rPr>
              <w:t xml:space="preserve"> ٪</w:t>
            </w:r>
            <w:r w:rsidRPr="000D5B62">
              <w:rPr>
                <w:rFonts w:eastAsiaTheme="minorEastAsia"/>
                <w:szCs w:val="20"/>
                <w:rtl/>
              </w:rPr>
              <w:t xml:space="preserve">، </w:t>
            </w:r>
          </w:p>
          <w:p w14:paraId="57818E31" w14:textId="693B27FC"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المسلمون 1</w:t>
            </w:r>
            <w:r w:rsidR="00D1004E" w:rsidRPr="000D5B62">
              <w:rPr>
                <w:rFonts w:eastAsiaTheme="minorEastAsia" w:hint="cs"/>
                <w:szCs w:val="20"/>
                <w:rtl/>
              </w:rPr>
              <w:t>,</w:t>
            </w:r>
            <w:r w:rsidRPr="000D5B62">
              <w:rPr>
                <w:rFonts w:eastAsiaTheme="minorEastAsia"/>
                <w:szCs w:val="20"/>
                <w:rtl/>
              </w:rPr>
              <w:t>9</w:t>
            </w:r>
            <w:r w:rsidR="00E165E2" w:rsidRPr="000D5B62">
              <w:rPr>
                <w:rFonts w:eastAsiaTheme="minorEastAsia"/>
                <w:szCs w:val="20"/>
                <w:rtl/>
              </w:rPr>
              <w:t xml:space="preserve"> ٪</w:t>
            </w:r>
            <w:r w:rsidRPr="000D5B62">
              <w:rPr>
                <w:rFonts w:eastAsiaTheme="minorEastAsia"/>
                <w:szCs w:val="20"/>
                <w:rtl/>
              </w:rPr>
              <w:t xml:space="preserve">، </w:t>
            </w:r>
          </w:p>
          <w:p w14:paraId="2038E2EA" w14:textId="66EC0E66"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الهندوس 0</w:t>
            </w:r>
            <w:r w:rsidR="00D1004E" w:rsidRPr="000D5B62">
              <w:rPr>
                <w:rFonts w:eastAsiaTheme="minorEastAsia" w:hint="cs"/>
                <w:szCs w:val="20"/>
                <w:rtl/>
              </w:rPr>
              <w:t>,</w:t>
            </w:r>
            <w:r w:rsidRPr="000D5B62">
              <w:rPr>
                <w:rFonts w:eastAsiaTheme="minorEastAsia"/>
                <w:szCs w:val="20"/>
                <w:rtl/>
              </w:rPr>
              <w:t>9</w:t>
            </w:r>
            <w:r w:rsidR="00E165E2" w:rsidRPr="000D5B62">
              <w:rPr>
                <w:rFonts w:eastAsiaTheme="minorEastAsia"/>
                <w:szCs w:val="20"/>
                <w:rtl/>
              </w:rPr>
              <w:t xml:space="preserve"> ٪</w:t>
            </w:r>
            <w:r w:rsidRPr="000D5B62">
              <w:rPr>
                <w:rFonts w:eastAsiaTheme="minorEastAsia"/>
                <w:szCs w:val="20"/>
                <w:rtl/>
              </w:rPr>
              <w:t xml:space="preserve">، </w:t>
            </w:r>
          </w:p>
          <w:p w14:paraId="4166012D" w14:textId="2B5101A5"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ذوو معتقدات أخرى 0</w:t>
            </w:r>
            <w:r w:rsidR="00D1004E" w:rsidRPr="000D5B62">
              <w:rPr>
                <w:rFonts w:eastAsiaTheme="minorEastAsia" w:hint="cs"/>
                <w:szCs w:val="20"/>
                <w:rtl/>
              </w:rPr>
              <w:t>,</w:t>
            </w:r>
            <w:r w:rsidRPr="000D5B62">
              <w:rPr>
                <w:rFonts w:eastAsiaTheme="minorEastAsia"/>
                <w:szCs w:val="20"/>
                <w:rtl/>
              </w:rPr>
              <w:t>6</w:t>
            </w:r>
            <w:r w:rsidR="00E165E2" w:rsidRPr="000D5B62">
              <w:rPr>
                <w:rFonts w:eastAsiaTheme="minorEastAsia"/>
                <w:szCs w:val="20"/>
                <w:rtl/>
              </w:rPr>
              <w:t xml:space="preserve"> ٪</w:t>
            </w:r>
            <w:r w:rsidRPr="000D5B62">
              <w:rPr>
                <w:rFonts w:eastAsiaTheme="minorEastAsia"/>
                <w:szCs w:val="20"/>
                <w:rtl/>
              </w:rPr>
              <w:t xml:space="preserve">، </w:t>
            </w:r>
          </w:p>
          <w:p w14:paraId="0147F0D8" w14:textId="179B3042"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الكنائس التقليدية الأفريقية 5,2</w:t>
            </w:r>
            <w:r w:rsidR="00E165E2" w:rsidRPr="000D5B62">
              <w:rPr>
                <w:rFonts w:eastAsiaTheme="minorEastAsia"/>
                <w:szCs w:val="20"/>
                <w:rtl/>
              </w:rPr>
              <w:t xml:space="preserve"> ٪</w:t>
            </w:r>
            <w:r w:rsidRPr="000D5B62">
              <w:rPr>
                <w:rFonts w:eastAsiaTheme="minorEastAsia"/>
                <w:szCs w:val="20"/>
                <w:rtl/>
              </w:rPr>
              <w:t xml:space="preserve">، </w:t>
            </w:r>
          </w:p>
          <w:p w14:paraId="3FEF4B9C" w14:textId="1B36579D"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اليهود 0</w:t>
            </w:r>
            <w:r w:rsidR="00D1004E" w:rsidRPr="000D5B62">
              <w:rPr>
                <w:rFonts w:eastAsiaTheme="minorEastAsia" w:hint="cs"/>
                <w:szCs w:val="20"/>
                <w:rtl/>
              </w:rPr>
              <w:t>,</w:t>
            </w:r>
            <w:r w:rsidRPr="000D5B62">
              <w:rPr>
                <w:rFonts w:eastAsiaTheme="minorEastAsia"/>
                <w:szCs w:val="20"/>
                <w:rtl/>
              </w:rPr>
              <w:t>2</w:t>
            </w:r>
            <w:r w:rsidR="00E165E2" w:rsidRPr="000D5B62">
              <w:rPr>
                <w:rFonts w:eastAsiaTheme="minorEastAsia"/>
                <w:szCs w:val="20"/>
                <w:rtl/>
              </w:rPr>
              <w:t xml:space="preserve"> ٪</w:t>
            </w:r>
            <w:r w:rsidRPr="000D5B62">
              <w:rPr>
                <w:rFonts w:eastAsiaTheme="minorEastAsia"/>
                <w:szCs w:val="20"/>
                <w:rtl/>
              </w:rPr>
              <w:t>.</w:t>
            </w:r>
          </w:p>
        </w:tc>
      </w:tr>
      <w:tr w:rsidR="00803069" w:rsidRPr="000D5B62" w14:paraId="3C935324" w14:textId="77777777" w:rsidTr="0035195D">
        <w:tc>
          <w:tcPr>
            <w:tcW w:w="4946" w:type="dxa"/>
            <w:shd w:val="clear" w:color="auto" w:fill="auto"/>
          </w:tcPr>
          <w:p w14:paraId="2B68653E" w14:textId="77777777" w:rsidR="00803069" w:rsidRPr="000D5B62" w:rsidRDefault="00803069" w:rsidP="0035195D">
            <w:pPr>
              <w:spacing w:before="20" w:after="20" w:line="280" w:lineRule="exact"/>
              <w:textDirection w:val="tbRlV"/>
              <w:rPr>
                <w:rFonts w:eastAsiaTheme="minorEastAsia"/>
                <w:bCs/>
                <w:szCs w:val="20"/>
                <w:lang w:val="ar-SA" w:eastAsia="zh-TW" w:bidi="en-GB"/>
              </w:rPr>
            </w:pPr>
            <w:r w:rsidRPr="000D5B62">
              <w:rPr>
                <w:rFonts w:eastAsiaTheme="minorEastAsia"/>
                <w:szCs w:val="20"/>
                <w:rtl/>
              </w:rPr>
              <w:t>اللغة</w:t>
            </w:r>
          </w:p>
        </w:tc>
        <w:tc>
          <w:tcPr>
            <w:tcW w:w="2392" w:type="dxa"/>
            <w:shd w:val="clear" w:color="auto" w:fill="auto"/>
            <w:vAlign w:val="bottom"/>
          </w:tcPr>
          <w:p w14:paraId="5F00CBB2" w14:textId="77777777" w:rsidR="00803069" w:rsidRPr="000D5B62" w:rsidRDefault="00803069" w:rsidP="0035195D">
            <w:pPr>
              <w:spacing w:before="20" w:after="20" w:line="280" w:lineRule="exact"/>
              <w:textDirection w:val="tbRlV"/>
              <w:rPr>
                <w:rFonts w:eastAsiaTheme="minorEastAsia"/>
                <w:bCs/>
                <w:szCs w:val="20"/>
                <w:rtl/>
                <w:lang w:val="ar-SA" w:eastAsia="zh-TW" w:bidi="en-GB"/>
              </w:rPr>
            </w:pPr>
            <w:r w:rsidRPr="000D5B62">
              <w:rPr>
                <w:rFonts w:eastAsiaTheme="minorEastAsia"/>
                <w:szCs w:val="20"/>
                <w:rtl/>
              </w:rPr>
              <w:t xml:space="preserve">11 لغة رسمية </w:t>
            </w:r>
          </w:p>
        </w:tc>
      </w:tr>
    </w:tbl>
    <w:p w14:paraId="7AE95FFF" w14:textId="525EA8F3" w:rsidR="00803069" w:rsidRPr="000D5B62" w:rsidRDefault="00803069" w:rsidP="0035195D">
      <w:pPr>
        <w:pStyle w:val="SingleTxtGA"/>
        <w:rPr>
          <w:lang w:val="en-US" w:eastAsia="zh-TW" w:bidi="en-GB"/>
        </w:rPr>
      </w:pPr>
      <w:r w:rsidRPr="000D5B62">
        <w:rPr>
          <w:rtl/>
        </w:rPr>
        <w:t>3-</w:t>
      </w:r>
      <w:r w:rsidRPr="000D5B62">
        <w:rPr>
          <w:rtl/>
        </w:rPr>
        <w:tab/>
        <w:t xml:space="preserve">واتبعت جنوب أفريقيا في تحليل ديمغرافية أعراق سكانها نهجاً قوامه التحديد الذاتي للهوية/التصنيف الذاتي. ومن المطلوب استخدام التركيبة السكانية العرقية ومصطلح </w:t>
      </w:r>
      <w:r w:rsidR="005B754C" w:rsidRPr="000D5B62">
        <w:rPr>
          <w:rFonts w:hint="cs"/>
          <w:rtl/>
        </w:rPr>
        <w:t>”</w:t>
      </w:r>
      <w:r w:rsidRPr="000D5B62">
        <w:rPr>
          <w:rtl/>
        </w:rPr>
        <w:t>المجموعات المعينة</w:t>
      </w:r>
      <w:r w:rsidR="005B754C" w:rsidRPr="000D5B62">
        <w:rPr>
          <w:rFonts w:hint="cs"/>
          <w:rtl/>
        </w:rPr>
        <w:t>“</w:t>
      </w:r>
      <w:r w:rsidRPr="000D5B62">
        <w:rPr>
          <w:rtl/>
        </w:rPr>
        <w:t xml:space="preserve"> (كما هو مستخدم في قانون المساواة في العمل لعام 1998، على سبيل المثال) لأجل قياس الإنصاف والجبر</w:t>
      </w:r>
      <w:r w:rsidRPr="000D5B62">
        <w:rPr>
          <w:rStyle w:val="FootnoteReference"/>
          <w:szCs w:val="22"/>
          <w:rtl/>
        </w:rPr>
        <w:t>(</w:t>
      </w:r>
      <w:r w:rsidRPr="000D5B62">
        <w:rPr>
          <w:rStyle w:val="FootnoteReference"/>
          <w:szCs w:val="22"/>
          <w:rtl/>
        </w:rPr>
        <w:footnoteReference w:id="5"/>
      </w:r>
      <w:r w:rsidRPr="000D5B62">
        <w:rPr>
          <w:rStyle w:val="FootnoteReference"/>
          <w:szCs w:val="22"/>
          <w:rtl/>
        </w:rPr>
        <w:t>)</w:t>
      </w:r>
      <w:r w:rsidRPr="000D5B62">
        <w:rPr>
          <w:rtl/>
        </w:rPr>
        <w:t>. وترد في الجدول أدناه التقديرات السكانية في منتصف العام لجنوب أفريقيا حسب الفئة السكانية ونوع الجنس لعام 2018.</w:t>
      </w:r>
    </w:p>
    <w:p w14:paraId="40EE6419" w14:textId="58D8B1FF" w:rsidR="00803069" w:rsidRPr="000D5B62" w:rsidRDefault="00803069" w:rsidP="00706D34">
      <w:pPr>
        <w:pStyle w:val="SingleTxtGA"/>
        <w:rPr>
          <w:rStyle w:val="FootnoteReference"/>
          <w:rFonts w:eastAsiaTheme="minorEastAsia"/>
          <w:szCs w:val="22"/>
          <w:lang w:val="ar-SA" w:eastAsia="zh-TW" w:bidi="en-GB"/>
        </w:rPr>
      </w:pPr>
      <w:r w:rsidRPr="000D5B62">
        <w:rPr>
          <w:rtl/>
        </w:rPr>
        <w:t xml:space="preserve">الجدول 2 </w:t>
      </w:r>
      <w:r w:rsidR="00706D34" w:rsidRPr="000D5B62">
        <w:rPr>
          <w:rtl/>
        </w:rPr>
        <w:tab/>
      </w:r>
      <w:r w:rsidR="00706D34" w:rsidRPr="000D5B62">
        <w:rPr>
          <w:rtl/>
        </w:rPr>
        <w:br/>
      </w:r>
      <w:r w:rsidRPr="000D5B62">
        <w:rPr>
          <w:b/>
          <w:bCs/>
          <w:rtl/>
        </w:rPr>
        <w:t>تقديرات عدد السكان في منتصف العام لجنوب أفريقيا حسب الفئة السكانية ونوع الجنس (تموز/</w:t>
      </w:r>
      <w:r w:rsidR="00706D34" w:rsidRPr="000D5B62">
        <w:rPr>
          <w:rFonts w:hint="cs"/>
          <w:b/>
          <w:bCs/>
          <w:rtl/>
        </w:rPr>
        <w:t xml:space="preserve"> </w:t>
      </w:r>
      <w:r w:rsidRPr="000D5B62">
        <w:rPr>
          <w:b/>
          <w:bCs/>
          <w:rtl/>
        </w:rPr>
        <w:t>يوليه</w:t>
      </w:r>
      <w:r w:rsidR="00706D34" w:rsidRPr="000D5B62">
        <w:rPr>
          <w:rFonts w:hint="cs"/>
          <w:b/>
          <w:bCs/>
          <w:rtl/>
        </w:rPr>
        <w:t> </w:t>
      </w:r>
      <w:r w:rsidRPr="000D5B62">
        <w:rPr>
          <w:b/>
          <w:bCs/>
          <w:rtl/>
        </w:rPr>
        <w:t>2018)</w:t>
      </w:r>
      <w:r w:rsidRPr="000D5B62">
        <w:rPr>
          <w:rStyle w:val="FootnoteReference"/>
          <w:b/>
          <w:szCs w:val="22"/>
          <w:rtl/>
        </w:rPr>
        <w:t>(</w:t>
      </w:r>
      <w:r w:rsidRPr="000D5B62">
        <w:rPr>
          <w:rStyle w:val="FootnoteReference"/>
          <w:b/>
          <w:szCs w:val="22"/>
          <w:rtl/>
        </w:rPr>
        <w:footnoteReference w:id="6"/>
      </w:r>
      <w:r w:rsidRPr="000D5B62">
        <w:rPr>
          <w:rStyle w:val="FootnoteReference"/>
          <w:b/>
          <w:szCs w:val="22"/>
          <w:rtl/>
        </w:rPr>
        <w:t>)</w:t>
      </w:r>
    </w:p>
    <w:tbl>
      <w:tblPr>
        <w:bidiVisual/>
        <w:tblW w:w="8448" w:type="dxa"/>
        <w:tblInd w:w="1134" w:type="dxa"/>
        <w:tblBorders>
          <w:top w:val="single" w:sz="4" w:space="0" w:color="auto"/>
          <w:bottom w:val="single" w:sz="12" w:space="0" w:color="auto"/>
        </w:tblBorders>
        <w:tblLayout w:type="fixed"/>
        <w:tblLook w:val="04A0" w:firstRow="1" w:lastRow="0" w:firstColumn="1" w:lastColumn="0" w:noHBand="0" w:noVBand="1"/>
      </w:tblPr>
      <w:tblGrid>
        <w:gridCol w:w="1406"/>
        <w:gridCol w:w="1249"/>
        <w:gridCol w:w="1091"/>
        <w:gridCol w:w="1260"/>
        <w:gridCol w:w="1008"/>
        <w:gridCol w:w="1190"/>
        <w:gridCol w:w="1244"/>
      </w:tblGrid>
      <w:tr w:rsidR="00803069" w:rsidRPr="000D5B62" w14:paraId="2C98F4AA" w14:textId="77777777" w:rsidTr="00706D34">
        <w:trPr>
          <w:tblHeader/>
        </w:trPr>
        <w:tc>
          <w:tcPr>
            <w:tcW w:w="1406" w:type="dxa"/>
            <w:vMerge w:val="restart"/>
            <w:tcBorders>
              <w:top w:val="single" w:sz="4" w:space="0" w:color="auto"/>
              <w:bottom w:val="single" w:sz="12" w:space="0" w:color="auto"/>
            </w:tcBorders>
            <w:shd w:val="clear" w:color="auto" w:fill="auto"/>
            <w:vAlign w:val="bottom"/>
          </w:tcPr>
          <w:p w14:paraId="1482F10C"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الفئة السكانية</w:t>
            </w:r>
          </w:p>
        </w:tc>
        <w:tc>
          <w:tcPr>
            <w:tcW w:w="2340" w:type="dxa"/>
            <w:gridSpan w:val="2"/>
            <w:tcBorders>
              <w:top w:val="single" w:sz="4" w:space="0" w:color="auto"/>
              <w:bottom w:val="single" w:sz="4" w:space="0" w:color="auto"/>
              <w:right w:val="single" w:sz="24" w:space="0" w:color="FFFFFF" w:themeColor="background1"/>
            </w:tcBorders>
            <w:shd w:val="clear" w:color="auto" w:fill="auto"/>
            <w:vAlign w:val="bottom"/>
          </w:tcPr>
          <w:p w14:paraId="7E66044A"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الذكور</w:t>
            </w:r>
          </w:p>
        </w:tc>
        <w:tc>
          <w:tcPr>
            <w:tcW w:w="22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ABF8E29"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الإناث</w:t>
            </w:r>
          </w:p>
        </w:tc>
        <w:tc>
          <w:tcPr>
            <w:tcW w:w="2434" w:type="dxa"/>
            <w:gridSpan w:val="2"/>
            <w:tcBorders>
              <w:top w:val="single" w:sz="4" w:space="0" w:color="auto"/>
              <w:left w:val="single" w:sz="24" w:space="0" w:color="FFFFFF" w:themeColor="background1"/>
              <w:bottom w:val="single" w:sz="4" w:space="0" w:color="auto"/>
            </w:tcBorders>
            <w:shd w:val="clear" w:color="auto" w:fill="auto"/>
            <w:vAlign w:val="bottom"/>
          </w:tcPr>
          <w:p w14:paraId="11BD775D" w14:textId="442EF59D" w:rsidR="00803069" w:rsidRPr="000D5B62" w:rsidRDefault="00803069" w:rsidP="00706D34">
            <w:pPr>
              <w:spacing w:before="40" w:after="40" w:line="300" w:lineRule="exact"/>
              <w:jc w:val="left"/>
              <w:textDirection w:val="tbRlV"/>
              <w:rPr>
                <w:rFonts w:eastAsiaTheme="minorEastAsia"/>
                <w:bCs/>
                <w:i/>
                <w:spacing w:val="-4"/>
                <w:szCs w:val="20"/>
                <w:lang w:eastAsia="zh-TW" w:bidi="en-GB"/>
              </w:rPr>
            </w:pPr>
            <w:r w:rsidRPr="000D5B62">
              <w:rPr>
                <w:rFonts w:eastAsiaTheme="minorEastAsia"/>
                <w:i/>
                <w:iCs/>
                <w:spacing w:val="-4"/>
                <w:szCs w:val="20"/>
                <w:rtl/>
              </w:rPr>
              <w:t>المجموع</w:t>
            </w:r>
          </w:p>
        </w:tc>
      </w:tr>
      <w:tr w:rsidR="00803069" w:rsidRPr="000D5B62" w14:paraId="3F64C065" w14:textId="77777777" w:rsidTr="00706D34">
        <w:tc>
          <w:tcPr>
            <w:tcW w:w="1406" w:type="dxa"/>
            <w:vMerge/>
            <w:tcBorders>
              <w:top w:val="nil"/>
              <w:bottom w:val="single" w:sz="12" w:space="0" w:color="auto"/>
            </w:tcBorders>
            <w:shd w:val="clear" w:color="auto" w:fill="auto"/>
          </w:tcPr>
          <w:p w14:paraId="02EEFB59" w14:textId="77777777" w:rsidR="00803069" w:rsidRPr="000D5B62" w:rsidRDefault="00803069" w:rsidP="00706D34">
            <w:pPr>
              <w:spacing w:before="40" w:after="40" w:line="300" w:lineRule="exact"/>
              <w:jc w:val="left"/>
              <w:rPr>
                <w:rFonts w:eastAsiaTheme="minorEastAsia"/>
                <w:bCs/>
                <w:i/>
                <w:spacing w:val="-4"/>
                <w:szCs w:val="20"/>
              </w:rPr>
            </w:pPr>
          </w:p>
        </w:tc>
        <w:tc>
          <w:tcPr>
            <w:tcW w:w="1249" w:type="dxa"/>
            <w:tcBorders>
              <w:top w:val="single" w:sz="4" w:space="0" w:color="auto"/>
              <w:bottom w:val="single" w:sz="12" w:space="0" w:color="auto"/>
            </w:tcBorders>
            <w:shd w:val="clear" w:color="auto" w:fill="auto"/>
            <w:vAlign w:val="bottom"/>
          </w:tcPr>
          <w:p w14:paraId="252D33CA"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العدد</w:t>
            </w:r>
            <w:r w:rsidRPr="000D5B62">
              <w:rPr>
                <w:rFonts w:eastAsiaTheme="minorEastAsia"/>
                <w:spacing w:val="-4"/>
                <w:szCs w:val="20"/>
                <w:rtl/>
              </w:rPr>
              <w:t xml:space="preserve"> </w:t>
            </w:r>
          </w:p>
        </w:tc>
        <w:tc>
          <w:tcPr>
            <w:tcW w:w="1091" w:type="dxa"/>
            <w:tcBorders>
              <w:top w:val="single" w:sz="4" w:space="0" w:color="auto"/>
              <w:bottom w:val="single" w:sz="12" w:space="0" w:color="auto"/>
              <w:right w:val="single" w:sz="24" w:space="0" w:color="FFFFFF" w:themeColor="background1"/>
            </w:tcBorders>
            <w:shd w:val="clear" w:color="auto" w:fill="auto"/>
            <w:vAlign w:val="bottom"/>
          </w:tcPr>
          <w:p w14:paraId="5228978A"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نسبة مجموع الذكور من عدد السكان</w:t>
            </w:r>
          </w:p>
        </w:tc>
        <w:tc>
          <w:tcPr>
            <w:tcW w:w="1260" w:type="dxa"/>
            <w:tcBorders>
              <w:top w:val="single" w:sz="4" w:space="0" w:color="auto"/>
              <w:left w:val="single" w:sz="24" w:space="0" w:color="FFFFFF" w:themeColor="background1"/>
              <w:bottom w:val="single" w:sz="12" w:space="0" w:color="auto"/>
            </w:tcBorders>
            <w:shd w:val="clear" w:color="auto" w:fill="auto"/>
            <w:vAlign w:val="bottom"/>
          </w:tcPr>
          <w:p w14:paraId="7A4A5ABA"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العدد</w:t>
            </w:r>
            <w:r w:rsidRPr="000D5B62">
              <w:rPr>
                <w:rFonts w:eastAsiaTheme="minorEastAsia"/>
                <w:spacing w:val="-4"/>
                <w:szCs w:val="20"/>
                <w:rtl/>
              </w:rPr>
              <w:t xml:space="preserve"> </w:t>
            </w:r>
          </w:p>
        </w:tc>
        <w:tc>
          <w:tcPr>
            <w:tcW w:w="1008" w:type="dxa"/>
            <w:tcBorders>
              <w:top w:val="single" w:sz="4" w:space="0" w:color="auto"/>
              <w:bottom w:val="single" w:sz="12" w:space="0" w:color="auto"/>
              <w:right w:val="single" w:sz="24" w:space="0" w:color="FFFFFF" w:themeColor="background1"/>
            </w:tcBorders>
            <w:shd w:val="clear" w:color="auto" w:fill="auto"/>
            <w:vAlign w:val="bottom"/>
          </w:tcPr>
          <w:p w14:paraId="11878A5C"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نسبة مجموع الإناث من عدد السكان</w:t>
            </w:r>
          </w:p>
        </w:tc>
        <w:tc>
          <w:tcPr>
            <w:tcW w:w="1190" w:type="dxa"/>
            <w:tcBorders>
              <w:top w:val="single" w:sz="4" w:space="0" w:color="auto"/>
              <w:left w:val="single" w:sz="24" w:space="0" w:color="FFFFFF" w:themeColor="background1"/>
              <w:bottom w:val="single" w:sz="12" w:space="0" w:color="auto"/>
            </w:tcBorders>
            <w:shd w:val="clear" w:color="auto" w:fill="auto"/>
            <w:vAlign w:val="bottom"/>
          </w:tcPr>
          <w:p w14:paraId="17D39768" w14:textId="77777777" w:rsidR="00803069" w:rsidRPr="000D5B62" w:rsidRDefault="00803069" w:rsidP="00706D34">
            <w:pPr>
              <w:spacing w:before="40" w:after="40" w:line="300" w:lineRule="exact"/>
              <w:jc w:val="left"/>
              <w:textDirection w:val="tbRlV"/>
              <w:rPr>
                <w:rFonts w:eastAsiaTheme="minorEastAsia"/>
                <w:bCs/>
                <w:i/>
                <w:spacing w:val="-4"/>
                <w:szCs w:val="20"/>
                <w:lang w:eastAsia="zh-TW" w:bidi="en-GB"/>
              </w:rPr>
            </w:pPr>
            <w:r w:rsidRPr="000D5B62">
              <w:rPr>
                <w:rFonts w:eastAsiaTheme="minorEastAsia"/>
                <w:i/>
                <w:iCs/>
                <w:spacing w:val="-4"/>
                <w:szCs w:val="20"/>
                <w:rtl/>
              </w:rPr>
              <w:t>العدد</w:t>
            </w:r>
          </w:p>
        </w:tc>
        <w:tc>
          <w:tcPr>
            <w:tcW w:w="1244" w:type="dxa"/>
            <w:tcBorders>
              <w:top w:val="single" w:sz="4" w:space="0" w:color="auto"/>
              <w:bottom w:val="single" w:sz="12" w:space="0" w:color="auto"/>
            </w:tcBorders>
            <w:shd w:val="clear" w:color="auto" w:fill="auto"/>
            <w:vAlign w:val="bottom"/>
          </w:tcPr>
          <w:p w14:paraId="2B643C29" w14:textId="77777777" w:rsidR="00803069" w:rsidRPr="000D5B62" w:rsidRDefault="00803069" w:rsidP="00706D34">
            <w:pPr>
              <w:spacing w:before="40" w:after="40" w:line="300" w:lineRule="exact"/>
              <w:jc w:val="left"/>
              <w:textDirection w:val="tbRlV"/>
              <w:rPr>
                <w:rFonts w:eastAsiaTheme="minorEastAsia"/>
                <w:bCs/>
                <w:i/>
                <w:spacing w:val="-4"/>
                <w:szCs w:val="20"/>
                <w:lang w:val="ar-SA" w:eastAsia="zh-TW" w:bidi="en-GB"/>
              </w:rPr>
            </w:pPr>
            <w:r w:rsidRPr="000D5B62">
              <w:rPr>
                <w:rFonts w:eastAsiaTheme="minorEastAsia"/>
                <w:i/>
                <w:iCs/>
                <w:spacing w:val="-4"/>
                <w:szCs w:val="20"/>
                <w:rtl/>
              </w:rPr>
              <w:t>النسبة من مجموع عدد السكان</w:t>
            </w:r>
          </w:p>
        </w:tc>
      </w:tr>
      <w:tr w:rsidR="00803069" w:rsidRPr="000D5B62" w14:paraId="694932CE" w14:textId="77777777" w:rsidTr="00706D34">
        <w:tc>
          <w:tcPr>
            <w:tcW w:w="1406" w:type="dxa"/>
            <w:tcBorders>
              <w:top w:val="single" w:sz="12" w:space="0" w:color="auto"/>
            </w:tcBorders>
            <w:shd w:val="clear" w:color="auto" w:fill="auto"/>
          </w:tcPr>
          <w:p w14:paraId="1735B1D2" w14:textId="77777777" w:rsidR="00803069" w:rsidRPr="000D5B62" w:rsidRDefault="00803069" w:rsidP="00706D34">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الأفريقيون السود</w:t>
            </w:r>
          </w:p>
        </w:tc>
        <w:tc>
          <w:tcPr>
            <w:tcW w:w="1249" w:type="dxa"/>
            <w:tcBorders>
              <w:top w:val="single" w:sz="12" w:space="0" w:color="auto"/>
            </w:tcBorders>
            <w:shd w:val="clear" w:color="auto" w:fill="auto"/>
            <w:vAlign w:val="bottom"/>
          </w:tcPr>
          <w:p w14:paraId="01F37193"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200 786 22</w:t>
            </w:r>
          </w:p>
        </w:tc>
        <w:tc>
          <w:tcPr>
            <w:tcW w:w="1091" w:type="dxa"/>
            <w:tcBorders>
              <w:top w:val="single" w:sz="12" w:space="0" w:color="auto"/>
            </w:tcBorders>
            <w:shd w:val="clear" w:color="auto" w:fill="auto"/>
            <w:vAlign w:val="bottom"/>
          </w:tcPr>
          <w:p w14:paraId="7358D54A"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80,9</w:t>
            </w:r>
          </w:p>
        </w:tc>
        <w:tc>
          <w:tcPr>
            <w:tcW w:w="1260" w:type="dxa"/>
            <w:tcBorders>
              <w:top w:val="single" w:sz="12" w:space="0" w:color="auto"/>
            </w:tcBorders>
            <w:shd w:val="clear" w:color="auto" w:fill="auto"/>
            <w:vAlign w:val="bottom"/>
          </w:tcPr>
          <w:p w14:paraId="31FB5D44"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700 896 23</w:t>
            </w:r>
          </w:p>
        </w:tc>
        <w:tc>
          <w:tcPr>
            <w:tcW w:w="1008" w:type="dxa"/>
            <w:tcBorders>
              <w:top w:val="single" w:sz="12" w:space="0" w:color="auto"/>
            </w:tcBorders>
            <w:shd w:val="clear" w:color="auto" w:fill="auto"/>
            <w:vAlign w:val="bottom"/>
          </w:tcPr>
          <w:p w14:paraId="1335BAF8"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80,9</w:t>
            </w:r>
          </w:p>
        </w:tc>
        <w:tc>
          <w:tcPr>
            <w:tcW w:w="1190" w:type="dxa"/>
            <w:tcBorders>
              <w:top w:val="single" w:sz="12" w:space="0" w:color="auto"/>
            </w:tcBorders>
            <w:shd w:val="clear" w:color="auto" w:fill="auto"/>
            <w:vAlign w:val="bottom"/>
          </w:tcPr>
          <w:p w14:paraId="0F527797"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900 682 46</w:t>
            </w:r>
          </w:p>
        </w:tc>
        <w:tc>
          <w:tcPr>
            <w:tcW w:w="1244" w:type="dxa"/>
            <w:tcBorders>
              <w:top w:val="single" w:sz="12" w:space="0" w:color="auto"/>
            </w:tcBorders>
            <w:shd w:val="clear" w:color="auto" w:fill="auto"/>
            <w:vAlign w:val="bottom"/>
          </w:tcPr>
          <w:p w14:paraId="69C297DF"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80,9</w:t>
            </w:r>
          </w:p>
        </w:tc>
      </w:tr>
      <w:tr w:rsidR="00803069" w:rsidRPr="000D5B62" w14:paraId="6B21AEBE" w14:textId="77777777" w:rsidTr="00706D34">
        <w:tc>
          <w:tcPr>
            <w:tcW w:w="1406" w:type="dxa"/>
            <w:shd w:val="clear" w:color="auto" w:fill="auto"/>
          </w:tcPr>
          <w:p w14:paraId="382EFF26" w14:textId="77777777" w:rsidR="00803069" w:rsidRPr="000D5B62" w:rsidRDefault="00803069" w:rsidP="00706D34">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الملونون</w:t>
            </w:r>
          </w:p>
        </w:tc>
        <w:tc>
          <w:tcPr>
            <w:tcW w:w="1249" w:type="dxa"/>
            <w:shd w:val="clear" w:color="auto" w:fill="auto"/>
            <w:vAlign w:val="bottom"/>
          </w:tcPr>
          <w:p w14:paraId="7DFF275F"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500 459 2</w:t>
            </w:r>
          </w:p>
        </w:tc>
        <w:tc>
          <w:tcPr>
            <w:tcW w:w="1091" w:type="dxa"/>
            <w:shd w:val="clear" w:color="auto" w:fill="auto"/>
            <w:vAlign w:val="bottom"/>
          </w:tcPr>
          <w:p w14:paraId="40966E28"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8,7</w:t>
            </w:r>
          </w:p>
        </w:tc>
        <w:tc>
          <w:tcPr>
            <w:tcW w:w="1260" w:type="dxa"/>
            <w:shd w:val="clear" w:color="auto" w:fill="auto"/>
            <w:vAlign w:val="bottom"/>
          </w:tcPr>
          <w:p w14:paraId="660CDE1A"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800 614 2</w:t>
            </w:r>
          </w:p>
        </w:tc>
        <w:tc>
          <w:tcPr>
            <w:tcW w:w="1008" w:type="dxa"/>
            <w:shd w:val="clear" w:color="auto" w:fill="auto"/>
            <w:vAlign w:val="bottom"/>
          </w:tcPr>
          <w:p w14:paraId="16B18907"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8,9</w:t>
            </w:r>
          </w:p>
        </w:tc>
        <w:tc>
          <w:tcPr>
            <w:tcW w:w="1190" w:type="dxa"/>
            <w:shd w:val="clear" w:color="auto" w:fill="auto"/>
            <w:vAlign w:val="bottom"/>
          </w:tcPr>
          <w:p w14:paraId="33E29581"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300 074 5</w:t>
            </w:r>
          </w:p>
        </w:tc>
        <w:tc>
          <w:tcPr>
            <w:tcW w:w="1244" w:type="dxa"/>
            <w:shd w:val="clear" w:color="auto" w:fill="auto"/>
            <w:vAlign w:val="bottom"/>
          </w:tcPr>
          <w:p w14:paraId="168E460A"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8,8</w:t>
            </w:r>
          </w:p>
        </w:tc>
      </w:tr>
      <w:tr w:rsidR="00803069" w:rsidRPr="000D5B62" w14:paraId="7429C4F9" w14:textId="77777777" w:rsidTr="00706D34">
        <w:tc>
          <w:tcPr>
            <w:tcW w:w="1406" w:type="dxa"/>
            <w:shd w:val="clear" w:color="auto" w:fill="auto"/>
          </w:tcPr>
          <w:p w14:paraId="0639A94F" w14:textId="77777777" w:rsidR="00803069" w:rsidRPr="000D5B62" w:rsidRDefault="00803069" w:rsidP="00706D34">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الهنود/الآسيويون</w:t>
            </w:r>
          </w:p>
        </w:tc>
        <w:tc>
          <w:tcPr>
            <w:tcW w:w="1249" w:type="dxa"/>
            <w:shd w:val="clear" w:color="auto" w:fill="auto"/>
            <w:vAlign w:val="bottom"/>
          </w:tcPr>
          <w:p w14:paraId="6D20FFF5"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200 740</w:t>
            </w:r>
          </w:p>
        </w:tc>
        <w:tc>
          <w:tcPr>
            <w:tcW w:w="1091" w:type="dxa"/>
            <w:shd w:val="clear" w:color="auto" w:fill="auto"/>
            <w:vAlign w:val="bottom"/>
          </w:tcPr>
          <w:p w14:paraId="2608460D"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2,6</w:t>
            </w:r>
          </w:p>
        </w:tc>
        <w:tc>
          <w:tcPr>
            <w:tcW w:w="1260" w:type="dxa"/>
            <w:shd w:val="clear" w:color="auto" w:fill="auto"/>
            <w:vAlign w:val="bottom"/>
          </w:tcPr>
          <w:p w14:paraId="267437DE"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100 708</w:t>
            </w:r>
          </w:p>
        </w:tc>
        <w:tc>
          <w:tcPr>
            <w:tcW w:w="1008" w:type="dxa"/>
            <w:shd w:val="clear" w:color="auto" w:fill="auto"/>
            <w:vAlign w:val="bottom"/>
          </w:tcPr>
          <w:p w14:paraId="538FFCA4"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2,4</w:t>
            </w:r>
          </w:p>
        </w:tc>
        <w:tc>
          <w:tcPr>
            <w:tcW w:w="1190" w:type="dxa"/>
            <w:shd w:val="clear" w:color="auto" w:fill="auto"/>
            <w:vAlign w:val="bottom"/>
          </w:tcPr>
          <w:p w14:paraId="55DBF3DF"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300 448 1</w:t>
            </w:r>
          </w:p>
        </w:tc>
        <w:tc>
          <w:tcPr>
            <w:tcW w:w="1244" w:type="dxa"/>
            <w:shd w:val="clear" w:color="auto" w:fill="auto"/>
            <w:vAlign w:val="bottom"/>
          </w:tcPr>
          <w:p w14:paraId="7227991C"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2,5</w:t>
            </w:r>
          </w:p>
        </w:tc>
      </w:tr>
      <w:tr w:rsidR="00803069" w:rsidRPr="000D5B62" w14:paraId="4BDBDC90" w14:textId="77777777" w:rsidTr="00706D34">
        <w:tc>
          <w:tcPr>
            <w:tcW w:w="1406" w:type="dxa"/>
            <w:tcBorders>
              <w:bottom w:val="single" w:sz="4" w:space="0" w:color="auto"/>
            </w:tcBorders>
            <w:shd w:val="clear" w:color="auto" w:fill="auto"/>
          </w:tcPr>
          <w:p w14:paraId="017683C4" w14:textId="77777777" w:rsidR="00803069" w:rsidRPr="000D5B62" w:rsidRDefault="00803069" w:rsidP="00706D34">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البِيض</w:t>
            </w:r>
          </w:p>
        </w:tc>
        <w:tc>
          <w:tcPr>
            <w:tcW w:w="1249" w:type="dxa"/>
            <w:tcBorders>
              <w:bottom w:val="single" w:sz="4" w:space="0" w:color="auto"/>
            </w:tcBorders>
            <w:shd w:val="clear" w:color="auto" w:fill="auto"/>
            <w:vAlign w:val="bottom"/>
          </w:tcPr>
          <w:p w14:paraId="3AA99AB2"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200 194 2</w:t>
            </w:r>
          </w:p>
        </w:tc>
        <w:tc>
          <w:tcPr>
            <w:tcW w:w="1091" w:type="dxa"/>
            <w:tcBorders>
              <w:bottom w:val="single" w:sz="4" w:space="0" w:color="auto"/>
            </w:tcBorders>
            <w:shd w:val="clear" w:color="auto" w:fill="auto"/>
            <w:vAlign w:val="bottom"/>
          </w:tcPr>
          <w:p w14:paraId="17A063C0"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7,8</w:t>
            </w:r>
          </w:p>
        </w:tc>
        <w:tc>
          <w:tcPr>
            <w:tcW w:w="1260" w:type="dxa"/>
            <w:tcBorders>
              <w:bottom w:val="single" w:sz="4" w:space="0" w:color="auto"/>
            </w:tcBorders>
            <w:shd w:val="clear" w:color="auto" w:fill="auto"/>
            <w:vAlign w:val="bottom"/>
          </w:tcPr>
          <w:p w14:paraId="7F1F8DD2"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900 325 2</w:t>
            </w:r>
          </w:p>
        </w:tc>
        <w:tc>
          <w:tcPr>
            <w:tcW w:w="1008" w:type="dxa"/>
            <w:tcBorders>
              <w:bottom w:val="single" w:sz="4" w:space="0" w:color="auto"/>
            </w:tcBorders>
            <w:shd w:val="clear" w:color="auto" w:fill="auto"/>
            <w:vAlign w:val="bottom"/>
          </w:tcPr>
          <w:p w14:paraId="78909FA8"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7,9</w:t>
            </w:r>
          </w:p>
        </w:tc>
        <w:tc>
          <w:tcPr>
            <w:tcW w:w="1190" w:type="dxa"/>
            <w:tcBorders>
              <w:bottom w:val="single" w:sz="4" w:space="0" w:color="auto"/>
            </w:tcBorders>
            <w:shd w:val="clear" w:color="auto" w:fill="auto"/>
            <w:vAlign w:val="bottom"/>
          </w:tcPr>
          <w:p w14:paraId="5F49DF4C"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100 520 4</w:t>
            </w:r>
          </w:p>
        </w:tc>
        <w:tc>
          <w:tcPr>
            <w:tcW w:w="1244" w:type="dxa"/>
            <w:tcBorders>
              <w:bottom w:val="single" w:sz="4" w:space="0" w:color="auto"/>
            </w:tcBorders>
            <w:shd w:val="clear" w:color="auto" w:fill="auto"/>
            <w:vAlign w:val="bottom"/>
          </w:tcPr>
          <w:p w14:paraId="30085CC6" w14:textId="77777777" w:rsidR="00803069" w:rsidRPr="000D5B62" w:rsidRDefault="00803069" w:rsidP="00706D3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7,8</w:t>
            </w:r>
          </w:p>
        </w:tc>
      </w:tr>
      <w:tr w:rsidR="00803069" w:rsidRPr="000D5B62" w14:paraId="6F9ADCD6" w14:textId="77777777" w:rsidTr="00706D34">
        <w:tc>
          <w:tcPr>
            <w:tcW w:w="1406" w:type="dxa"/>
            <w:tcBorders>
              <w:top w:val="single" w:sz="4" w:space="0" w:color="auto"/>
              <w:bottom w:val="single" w:sz="12" w:space="0" w:color="auto"/>
            </w:tcBorders>
            <w:shd w:val="clear" w:color="auto" w:fill="auto"/>
          </w:tcPr>
          <w:p w14:paraId="4CA968D6" w14:textId="0FA8EE0C" w:rsidR="00803069" w:rsidRPr="000D5B62" w:rsidRDefault="00803069" w:rsidP="00AD765E">
            <w:pPr>
              <w:spacing w:before="40" w:after="40" w:line="300" w:lineRule="exact"/>
              <w:ind w:left="137"/>
              <w:textDirection w:val="tbRlV"/>
              <w:rPr>
                <w:rFonts w:eastAsiaTheme="minorEastAsia"/>
                <w:b/>
                <w:spacing w:val="-4"/>
                <w:szCs w:val="20"/>
                <w:lang w:val="ar-SA" w:eastAsia="zh-TW" w:bidi="en-GB"/>
              </w:rPr>
            </w:pPr>
            <w:r w:rsidRPr="000D5B62">
              <w:rPr>
                <w:rFonts w:eastAsiaTheme="minorEastAsia"/>
                <w:b/>
                <w:bCs/>
                <w:spacing w:val="-4"/>
                <w:szCs w:val="20"/>
                <w:rtl/>
              </w:rPr>
              <w:t>المجموع</w:t>
            </w:r>
          </w:p>
        </w:tc>
        <w:tc>
          <w:tcPr>
            <w:tcW w:w="1249" w:type="dxa"/>
            <w:tcBorders>
              <w:top w:val="single" w:sz="4" w:space="0" w:color="auto"/>
              <w:bottom w:val="single" w:sz="12" w:space="0" w:color="auto"/>
            </w:tcBorders>
            <w:shd w:val="clear" w:color="auto" w:fill="auto"/>
            <w:vAlign w:val="bottom"/>
          </w:tcPr>
          <w:p w14:paraId="1A27C27F"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100 180 28</w:t>
            </w:r>
          </w:p>
        </w:tc>
        <w:tc>
          <w:tcPr>
            <w:tcW w:w="1091" w:type="dxa"/>
            <w:tcBorders>
              <w:top w:val="single" w:sz="4" w:space="0" w:color="auto"/>
              <w:bottom w:val="single" w:sz="12" w:space="0" w:color="auto"/>
            </w:tcBorders>
            <w:shd w:val="clear" w:color="auto" w:fill="auto"/>
            <w:vAlign w:val="bottom"/>
          </w:tcPr>
          <w:p w14:paraId="025D3312"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100,0</w:t>
            </w:r>
          </w:p>
        </w:tc>
        <w:tc>
          <w:tcPr>
            <w:tcW w:w="1260" w:type="dxa"/>
            <w:tcBorders>
              <w:top w:val="single" w:sz="4" w:space="0" w:color="auto"/>
              <w:bottom w:val="single" w:sz="12" w:space="0" w:color="auto"/>
            </w:tcBorders>
            <w:shd w:val="clear" w:color="auto" w:fill="auto"/>
            <w:vAlign w:val="bottom"/>
          </w:tcPr>
          <w:p w14:paraId="4C7CDE1B"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500 545 29</w:t>
            </w:r>
          </w:p>
        </w:tc>
        <w:tc>
          <w:tcPr>
            <w:tcW w:w="1008" w:type="dxa"/>
            <w:tcBorders>
              <w:top w:val="single" w:sz="4" w:space="0" w:color="auto"/>
              <w:bottom w:val="single" w:sz="12" w:space="0" w:color="auto"/>
            </w:tcBorders>
            <w:shd w:val="clear" w:color="auto" w:fill="auto"/>
            <w:vAlign w:val="bottom"/>
          </w:tcPr>
          <w:p w14:paraId="6D617DDC"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100,0</w:t>
            </w:r>
          </w:p>
        </w:tc>
        <w:tc>
          <w:tcPr>
            <w:tcW w:w="1190" w:type="dxa"/>
            <w:tcBorders>
              <w:top w:val="single" w:sz="4" w:space="0" w:color="auto"/>
              <w:bottom w:val="single" w:sz="12" w:space="0" w:color="auto"/>
            </w:tcBorders>
            <w:shd w:val="clear" w:color="auto" w:fill="auto"/>
            <w:vAlign w:val="bottom"/>
          </w:tcPr>
          <w:p w14:paraId="50265FC6"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600 725 57</w:t>
            </w:r>
          </w:p>
        </w:tc>
        <w:tc>
          <w:tcPr>
            <w:tcW w:w="1244" w:type="dxa"/>
            <w:tcBorders>
              <w:top w:val="single" w:sz="4" w:space="0" w:color="auto"/>
              <w:bottom w:val="single" w:sz="12" w:space="0" w:color="auto"/>
            </w:tcBorders>
            <w:shd w:val="clear" w:color="auto" w:fill="auto"/>
            <w:vAlign w:val="bottom"/>
          </w:tcPr>
          <w:p w14:paraId="6B351CB3" w14:textId="77777777" w:rsidR="00803069" w:rsidRPr="000D5B62" w:rsidRDefault="00803069" w:rsidP="00706D34">
            <w:pPr>
              <w:spacing w:before="40" w:after="40" w:line="300" w:lineRule="exact"/>
              <w:jc w:val="left"/>
              <w:textDirection w:val="tbRlV"/>
              <w:rPr>
                <w:rFonts w:eastAsiaTheme="minorEastAsia"/>
                <w:b/>
                <w:spacing w:val="-4"/>
                <w:szCs w:val="20"/>
                <w:lang w:val="ar-SA" w:eastAsia="zh-TW" w:bidi="en-GB"/>
              </w:rPr>
            </w:pPr>
            <w:r w:rsidRPr="000D5B62">
              <w:rPr>
                <w:rFonts w:eastAsiaTheme="minorEastAsia"/>
                <w:b/>
                <w:bCs/>
                <w:spacing w:val="-4"/>
                <w:szCs w:val="20"/>
                <w:rtl/>
              </w:rPr>
              <w:t>11,0</w:t>
            </w:r>
          </w:p>
        </w:tc>
      </w:tr>
    </w:tbl>
    <w:p w14:paraId="2316E778" w14:textId="1F8B856F" w:rsidR="00803069" w:rsidRPr="000D5B62" w:rsidRDefault="00803069" w:rsidP="00F81761">
      <w:pPr>
        <w:pStyle w:val="SingleTxtGA"/>
        <w:spacing w:before="240"/>
        <w:rPr>
          <w:spacing w:val="-2"/>
          <w:lang w:val="ar-SA" w:eastAsia="zh-TW" w:bidi="en-GB"/>
        </w:rPr>
      </w:pPr>
      <w:r w:rsidRPr="000D5B62">
        <w:rPr>
          <w:rtl/>
        </w:rPr>
        <w:t>4-</w:t>
      </w:r>
      <w:r w:rsidRPr="000D5B62">
        <w:rPr>
          <w:rtl/>
        </w:rPr>
        <w:tab/>
      </w:r>
      <w:r w:rsidRPr="000D5B62">
        <w:rPr>
          <w:spacing w:val="-2"/>
          <w:rtl/>
        </w:rPr>
        <w:t>وهناك ما مجموعه 16,9 مليون أسرة معيشية يبلغ متوسط حجم الأسرة الواحدة منها 3,3</w:t>
      </w:r>
      <w:r w:rsidRPr="000D5B62">
        <w:rPr>
          <w:rStyle w:val="FootnoteReference"/>
          <w:spacing w:val="-2"/>
          <w:szCs w:val="22"/>
          <w:rtl/>
        </w:rPr>
        <w:t>(</w:t>
      </w:r>
      <w:r w:rsidRPr="000D5B62">
        <w:rPr>
          <w:rStyle w:val="FootnoteReference"/>
          <w:spacing w:val="-2"/>
          <w:szCs w:val="22"/>
          <w:rtl/>
        </w:rPr>
        <w:footnoteReference w:id="7"/>
      </w:r>
      <w:r w:rsidRPr="000D5B62">
        <w:rPr>
          <w:rStyle w:val="FootnoteReference"/>
          <w:spacing w:val="-2"/>
          <w:szCs w:val="22"/>
          <w:rtl/>
        </w:rPr>
        <w:t>)</w:t>
      </w:r>
      <w:r w:rsidRPr="000D5B62">
        <w:rPr>
          <w:spacing w:val="-2"/>
          <w:rtl/>
        </w:rPr>
        <w:t>. ويفوق متوسط حجم الأسرة المعيشية التي تعيلها إناث، وقدره 3,36، متوسط حجم الأسرة المعيشية التي يعيلها ذكور وقدره 3,25. ويلاحَظ أن النمط العام نفسه سائد في جميع أنواع الموائل. فالأسر المعيشية التي تعيلها إناث في المناطق التقليدية هي أكبر الأسر المعيشية حجماً، حيث يبلغ حجمها في المتوسط 4,36، في حين أن الأسر المعيشية التي يعيلها ذكور في المناطق الحضرية العشوائية أصغر حجماً، حيث يبلغ متوسط حجمها 2,71</w:t>
      </w:r>
      <w:r w:rsidRPr="000D5B62">
        <w:rPr>
          <w:rStyle w:val="FootnoteReference"/>
          <w:spacing w:val="-2"/>
          <w:szCs w:val="22"/>
          <w:rtl/>
        </w:rPr>
        <w:t>(</w:t>
      </w:r>
      <w:r w:rsidRPr="000D5B62">
        <w:rPr>
          <w:rStyle w:val="FootnoteReference"/>
          <w:spacing w:val="-2"/>
          <w:szCs w:val="22"/>
          <w:rtl/>
        </w:rPr>
        <w:footnoteReference w:id="8"/>
      </w:r>
      <w:r w:rsidRPr="000D5B62">
        <w:rPr>
          <w:rStyle w:val="FootnoteReference"/>
          <w:spacing w:val="-2"/>
          <w:szCs w:val="22"/>
          <w:rtl/>
        </w:rPr>
        <w:t>)</w:t>
      </w:r>
      <w:r w:rsidRPr="000D5B62">
        <w:rPr>
          <w:spacing w:val="-2"/>
          <w:rtl/>
        </w:rPr>
        <w:t>. وتفيد البيانات بأن النساء والأطفال والأفريقيين السود الذين يقطنون في الأرياف والذين لم ينالوا قسطاً وافراً من التعليم، هم أفقر سكان جنوب أفريقيا. أما معدل الخصوبة فهو أعلى بين نساء المناطق غير الحضرية منه بين نساء الحضر. ويُستدل على صحة هذه الملاحظة من ارتفاع معدلات الخصوبة في عمر معيَّن في المناطق غير الحضرية منها في المناطق الحضرية في جميع الفئات العمرية. ويرد في الجدول أدناه بيان معدلات الخصوبة بالتفصيل.</w:t>
      </w:r>
    </w:p>
    <w:p w14:paraId="536A628D" w14:textId="11B05A92" w:rsidR="00803069" w:rsidRPr="000D5B62" w:rsidRDefault="00803069" w:rsidP="0035195D">
      <w:pPr>
        <w:pStyle w:val="SingleTxtGA"/>
        <w:pageBreakBefore/>
        <w:rPr>
          <w:lang w:val="ar-SA" w:eastAsia="zh-TW" w:bidi="en-GB"/>
        </w:rPr>
      </w:pPr>
      <w:r w:rsidRPr="000D5B62">
        <w:rPr>
          <w:rtl/>
        </w:rPr>
        <w:t xml:space="preserve">الجدول 3 </w:t>
      </w:r>
      <w:r w:rsidR="00706D34" w:rsidRPr="000D5B62">
        <w:rPr>
          <w:rtl/>
        </w:rPr>
        <w:tab/>
      </w:r>
      <w:r w:rsidR="00706D34" w:rsidRPr="000D5B62">
        <w:rPr>
          <w:rtl/>
        </w:rPr>
        <w:br/>
      </w:r>
      <w:r w:rsidRPr="000D5B62">
        <w:rPr>
          <w:b/>
          <w:bCs/>
          <w:rtl/>
        </w:rPr>
        <w:t>معدلات الخصوبة (2016) معدلات الخصوبة المحددة حسب الفئة العمرية ومعدلات الخصوبة الإجمالية، ومعدل المواليد الخام للسنوات الثلاث قبل سنة الدراسة الاستقصائية، حسب مكان الإقامة</w:t>
      </w:r>
      <w:r w:rsidRPr="000D5B62">
        <w:rPr>
          <w:rStyle w:val="FootnoteReference"/>
          <w:b/>
          <w:szCs w:val="22"/>
          <w:rtl/>
        </w:rPr>
        <w:t>(</w:t>
      </w:r>
      <w:r w:rsidRPr="000D5B62">
        <w:rPr>
          <w:rStyle w:val="FootnoteReference"/>
          <w:b/>
          <w:szCs w:val="22"/>
          <w:rtl/>
        </w:rPr>
        <w:footnoteReference w:id="9"/>
      </w:r>
      <w:r w:rsidRPr="000D5B62">
        <w:rPr>
          <w:rStyle w:val="FootnoteReference"/>
          <w:b/>
          <w:szCs w:val="22"/>
          <w:rtl/>
        </w:rPr>
        <w:t>)</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3397"/>
        <w:gridCol w:w="1201"/>
        <w:gridCol w:w="1932"/>
        <w:gridCol w:w="840"/>
      </w:tblGrid>
      <w:tr w:rsidR="00803069" w:rsidRPr="000D5B62" w14:paraId="1A358973" w14:textId="77777777" w:rsidTr="00C518D2">
        <w:trPr>
          <w:tblHeader/>
        </w:trPr>
        <w:tc>
          <w:tcPr>
            <w:tcW w:w="3397" w:type="dxa"/>
            <w:vMerge w:val="restart"/>
            <w:tcBorders>
              <w:top w:val="single" w:sz="4" w:space="0" w:color="auto"/>
            </w:tcBorders>
            <w:shd w:val="clear" w:color="auto" w:fill="auto"/>
            <w:vAlign w:val="bottom"/>
          </w:tcPr>
          <w:p w14:paraId="3353AE63" w14:textId="77777777" w:rsidR="00803069" w:rsidRPr="000D5B62" w:rsidRDefault="00803069" w:rsidP="00706D34">
            <w:pPr>
              <w:spacing w:before="40" w:after="40" w:line="300" w:lineRule="exact"/>
              <w:jc w:val="left"/>
              <w:textDirection w:val="tbRlV"/>
              <w:rPr>
                <w:rFonts w:eastAsiaTheme="minorEastAsia"/>
                <w:bCs/>
                <w:i/>
                <w:szCs w:val="20"/>
                <w:lang w:eastAsia="zh-TW" w:bidi="en-GB"/>
              </w:rPr>
            </w:pPr>
            <w:r w:rsidRPr="000D5B62">
              <w:rPr>
                <w:rFonts w:eastAsiaTheme="minorEastAsia"/>
                <w:i/>
                <w:iCs/>
                <w:szCs w:val="20"/>
                <w:rtl/>
              </w:rPr>
              <w:t>الفئة العمرية</w:t>
            </w:r>
          </w:p>
        </w:tc>
        <w:tc>
          <w:tcPr>
            <w:tcW w:w="3133" w:type="dxa"/>
            <w:gridSpan w:val="2"/>
            <w:tcBorders>
              <w:top w:val="single" w:sz="4" w:space="0" w:color="auto"/>
              <w:bottom w:val="single" w:sz="4" w:space="0" w:color="auto"/>
            </w:tcBorders>
            <w:shd w:val="clear" w:color="auto" w:fill="auto"/>
            <w:vAlign w:val="bottom"/>
          </w:tcPr>
          <w:p w14:paraId="2C55ECC6" w14:textId="77777777" w:rsidR="00803069" w:rsidRPr="000D5B62" w:rsidRDefault="00803069" w:rsidP="00706D34">
            <w:pPr>
              <w:spacing w:before="40" w:after="40" w:line="300" w:lineRule="exact"/>
              <w:jc w:val="center"/>
              <w:textDirection w:val="tbRlV"/>
              <w:rPr>
                <w:rFonts w:eastAsiaTheme="minorEastAsia"/>
                <w:bCs/>
                <w:i/>
                <w:szCs w:val="20"/>
                <w:lang w:val="ar-SA" w:eastAsia="zh-TW" w:bidi="en-GB"/>
              </w:rPr>
            </w:pPr>
            <w:r w:rsidRPr="000D5B62">
              <w:rPr>
                <w:rFonts w:eastAsiaTheme="minorEastAsia"/>
                <w:i/>
                <w:iCs/>
                <w:szCs w:val="20"/>
                <w:rtl/>
              </w:rPr>
              <w:t>مكان الإقامة</w:t>
            </w:r>
          </w:p>
        </w:tc>
        <w:tc>
          <w:tcPr>
            <w:tcW w:w="840" w:type="dxa"/>
            <w:vMerge w:val="restart"/>
            <w:tcBorders>
              <w:top w:val="single" w:sz="4" w:space="0" w:color="auto"/>
            </w:tcBorders>
            <w:shd w:val="clear" w:color="auto" w:fill="auto"/>
            <w:vAlign w:val="bottom"/>
          </w:tcPr>
          <w:p w14:paraId="7769357A" w14:textId="77777777" w:rsidR="00803069" w:rsidRPr="000D5B62" w:rsidRDefault="00803069" w:rsidP="00706D34">
            <w:pPr>
              <w:spacing w:before="40" w:after="40" w:line="300" w:lineRule="exact"/>
              <w:jc w:val="left"/>
              <w:textDirection w:val="tbRlV"/>
              <w:rPr>
                <w:rFonts w:eastAsiaTheme="minorEastAsia"/>
                <w:bCs/>
                <w:i/>
                <w:szCs w:val="20"/>
                <w:lang w:val="ar-SA" w:eastAsia="zh-TW" w:bidi="en-GB"/>
              </w:rPr>
            </w:pPr>
            <w:r w:rsidRPr="000D5B62">
              <w:rPr>
                <w:rFonts w:eastAsiaTheme="minorEastAsia"/>
                <w:i/>
                <w:iCs/>
                <w:szCs w:val="20"/>
                <w:rtl/>
              </w:rPr>
              <w:t>المجموع:</w:t>
            </w:r>
          </w:p>
        </w:tc>
      </w:tr>
      <w:tr w:rsidR="00803069" w:rsidRPr="000D5B62" w14:paraId="35DA19E4" w14:textId="77777777" w:rsidTr="00C518D2">
        <w:trPr>
          <w:tblHeader/>
        </w:trPr>
        <w:tc>
          <w:tcPr>
            <w:tcW w:w="3397" w:type="dxa"/>
            <w:vMerge/>
            <w:tcBorders>
              <w:bottom w:val="single" w:sz="12" w:space="0" w:color="auto"/>
            </w:tcBorders>
            <w:shd w:val="clear" w:color="auto" w:fill="auto"/>
            <w:vAlign w:val="bottom"/>
          </w:tcPr>
          <w:p w14:paraId="12E6CBA2" w14:textId="77777777" w:rsidR="00803069" w:rsidRPr="000D5B62" w:rsidRDefault="00803069" w:rsidP="00706D34">
            <w:pPr>
              <w:spacing w:before="40" w:after="40" w:line="300" w:lineRule="exact"/>
              <w:jc w:val="left"/>
              <w:rPr>
                <w:rFonts w:eastAsiaTheme="minorEastAsia"/>
                <w:bCs/>
                <w:i/>
                <w:szCs w:val="20"/>
              </w:rPr>
            </w:pPr>
          </w:p>
        </w:tc>
        <w:tc>
          <w:tcPr>
            <w:tcW w:w="1201" w:type="dxa"/>
            <w:tcBorders>
              <w:top w:val="single" w:sz="4" w:space="0" w:color="auto"/>
              <w:bottom w:val="single" w:sz="12" w:space="0" w:color="auto"/>
            </w:tcBorders>
            <w:shd w:val="clear" w:color="auto" w:fill="auto"/>
            <w:vAlign w:val="bottom"/>
          </w:tcPr>
          <w:p w14:paraId="3B1ECAF0" w14:textId="77777777" w:rsidR="00803069" w:rsidRPr="000D5B62" w:rsidRDefault="00803069" w:rsidP="00706D34">
            <w:pPr>
              <w:spacing w:before="40" w:after="40" w:line="300" w:lineRule="exact"/>
              <w:jc w:val="left"/>
              <w:textDirection w:val="tbRlV"/>
              <w:rPr>
                <w:rFonts w:eastAsiaTheme="minorEastAsia"/>
                <w:bCs/>
                <w:i/>
                <w:szCs w:val="20"/>
                <w:lang w:val="ar-SA" w:eastAsia="zh-TW" w:bidi="en-GB"/>
              </w:rPr>
            </w:pPr>
            <w:r w:rsidRPr="000D5B62">
              <w:rPr>
                <w:rFonts w:eastAsiaTheme="minorEastAsia"/>
                <w:i/>
                <w:iCs/>
                <w:szCs w:val="20"/>
                <w:rtl/>
              </w:rPr>
              <w:t>الحضر</w:t>
            </w:r>
          </w:p>
        </w:tc>
        <w:tc>
          <w:tcPr>
            <w:tcW w:w="1932" w:type="dxa"/>
            <w:tcBorders>
              <w:top w:val="single" w:sz="4" w:space="0" w:color="auto"/>
              <w:bottom w:val="single" w:sz="12" w:space="0" w:color="auto"/>
            </w:tcBorders>
            <w:shd w:val="clear" w:color="auto" w:fill="auto"/>
            <w:vAlign w:val="bottom"/>
          </w:tcPr>
          <w:p w14:paraId="275C1ECC" w14:textId="77777777" w:rsidR="00803069" w:rsidRPr="000D5B62" w:rsidRDefault="00803069" w:rsidP="00706D34">
            <w:pPr>
              <w:spacing w:before="40" w:after="40" w:line="300" w:lineRule="exact"/>
              <w:jc w:val="left"/>
              <w:textDirection w:val="tbRlV"/>
              <w:rPr>
                <w:rFonts w:eastAsiaTheme="minorEastAsia"/>
                <w:bCs/>
                <w:i/>
                <w:szCs w:val="20"/>
                <w:lang w:val="ar-SA" w:eastAsia="zh-TW" w:bidi="en-GB"/>
              </w:rPr>
            </w:pPr>
            <w:r w:rsidRPr="000D5B62">
              <w:rPr>
                <w:rFonts w:eastAsiaTheme="minorEastAsia"/>
                <w:i/>
                <w:iCs/>
                <w:szCs w:val="20"/>
                <w:rtl/>
              </w:rPr>
              <w:t>المناطق غير الحضرية</w:t>
            </w:r>
          </w:p>
        </w:tc>
        <w:tc>
          <w:tcPr>
            <w:tcW w:w="840" w:type="dxa"/>
            <w:vMerge/>
            <w:tcBorders>
              <w:bottom w:val="single" w:sz="12" w:space="0" w:color="auto"/>
            </w:tcBorders>
            <w:shd w:val="clear" w:color="auto" w:fill="auto"/>
            <w:vAlign w:val="bottom"/>
          </w:tcPr>
          <w:p w14:paraId="14164823" w14:textId="77777777" w:rsidR="00803069" w:rsidRPr="000D5B62" w:rsidRDefault="00803069" w:rsidP="00706D34">
            <w:pPr>
              <w:spacing w:before="40" w:after="40" w:line="300" w:lineRule="exact"/>
              <w:jc w:val="left"/>
              <w:rPr>
                <w:rFonts w:eastAsiaTheme="minorEastAsia"/>
                <w:bCs/>
                <w:i/>
                <w:szCs w:val="20"/>
              </w:rPr>
            </w:pPr>
          </w:p>
        </w:tc>
      </w:tr>
      <w:tr w:rsidR="00803069" w:rsidRPr="000D5B62" w14:paraId="003724BF" w14:textId="77777777" w:rsidTr="00C518D2">
        <w:tc>
          <w:tcPr>
            <w:tcW w:w="3397" w:type="dxa"/>
            <w:tcBorders>
              <w:top w:val="single" w:sz="12" w:space="0" w:color="auto"/>
            </w:tcBorders>
            <w:shd w:val="clear" w:color="auto" w:fill="auto"/>
          </w:tcPr>
          <w:p w14:paraId="0B201BFE"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Pr>
              <w:t>19–15</w:t>
            </w:r>
          </w:p>
        </w:tc>
        <w:tc>
          <w:tcPr>
            <w:tcW w:w="1201" w:type="dxa"/>
            <w:tcBorders>
              <w:top w:val="single" w:sz="12" w:space="0" w:color="auto"/>
            </w:tcBorders>
            <w:shd w:val="clear" w:color="auto" w:fill="auto"/>
            <w:vAlign w:val="bottom"/>
          </w:tcPr>
          <w:p w14:paraId="69DEA2C8"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62</w:t>
            </w:r>
          </w:p>
        </w:tc>
        <w:tc>
          <w:tcPr>
            <w:tcW w:w="1932" w:type="dxa"/>
            <w:tcBorders>
              <w:top w:val="single" w:sz="12" w:space="0" w:color="auto"/>
            </w:tcBorders>
            <w:shd w:val="clear" w:color="auto" w:fill="auto"/>
            <w:vAlign w:val="bottom"/>
          </w:tcPr>
          <w:p w14:paraId="1D17C5C0"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86</w:t>
            </w:r>
          </w:p>
        </w:tc>
        <w:tc>
          <w:tcPr>
            <w:tcW w:w="840" w:type="dxa"/>
            <w:tcBorders>
              <w:top w:val="single" w:sz="12" w:space="0" w:color="auto"/>
            </w:tcBorders>
            <w:shd w:val="clear" w:color="auto" w:fill="auto"/>
            <w:vAlign w:val="bottom"/>
          </w:tcPr>
          <w:p w14:paraId="340A0A3A"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71</w:t>
            </w:r>
          </w:p>
        </w:tc>
      </w:tr>
      <w:tr w:rsidR="00803069" w:rsidRPr="000D5B62" w14:paraId="260E9312" w14:textId="77777777" w:rsidTr="00C518D2">
        <w:tc>
          <w:tcPr>
            <w:tcW w:w="3397" w:type="dxa"/>
            <w:shd w:val="clear" w:color="auto" w:fill="auto"/>
          </w:tcPr>
          <w:p w14:paraId="5E896669" w14:textId="77777777" w:rsidR="00803069" w:rsidRPr="000D5B62" w:rsidRDefault="00803069" w:rsidP="00706D34">
            <w:pPr>
              <w:spacing w:before="40" w:after="40" w:line="300" w:lineRule="exact"/>
              <w:textDirection w:val="tbRlV"/>
              <w:rPr>
                <w:rFonts w:eastAsiaTheme="minorEastAsia"/>
                <w:bCs/>
                <w:szCs w:val="20"/>
                <w:lang w:eastAsia="zh-TW" w:bidi="en-GB"/>
              </w:rPr>
            </w:pPr>
            <w:r w:rsidRPr="000D5B62">
              <w:rPr>
                <w:rFonts w:eastAsiaTheme="minorEastAsia"/>
                <w:szCs w:val="20"/>
              </w:rPr>
              <w:t>24–20</w:t>
            </w:r>
          </w:p>
        </w:tc>
        <w:tc>
          <w:tcPr>
            <w:tcW w:w="1201" w:type="dxa"/>
            <w:shd w:val="clear" w:color="auto" w:fill="auto"/>
            <w:vAlign w:val="bottom"/>
          </w:tcPr>
          <w:p w14:paraId="582ABEBC"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125</w:t>
            </w:r>
          </w:p>
        </w:tc>
        <w:tc>
          <w:tcPr>
            <w:tcW w:w="1932" w:type="dxa"/>
            <w:shd w:val="clear" w:color="auto" w:fill="auto"/>
            <w:vAlign w:val="bottom"/>
          </w:tcPr>
          <w:p w14:paraId="7AE40C6F"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150</w:t>
            </w:r>
          </w:p>
        </w:tc>
        <w:tc>
          <w:tcPr>
            <w:tcW w:w="840" w:type="dxa"/>
            <w:shd w:val="clear" w:color="auto" w:fill="auto"/>
            <w:vAlign w:val="bottom"/>
          </w:tcPr>
          <w:p w14:paraId="19BDEBDF"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133</w:t>
            </w:r>
          </w:p>
        </w:tc>
      </w:tr>
      <w:tr w:rsidR="00803069" w:rsidRPr="000D5B62" w14:paraId="37EF32C8" w14:textId="77777777" w:rsidTr="00C518D2">
        <w:tc>
          <w:tcPr>
            <w:tcW w:w="3397" w:type="dxa"/>
            <w:shd w:val="clear" w:color="auto" w:fill="auto"/>
          </w:tcPr>
          <w:p w14:paraId="182CD0D7"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Pr>
              <w:t>29–25</w:t>
            </w:r>
          </w:p>
        </w:tc>
        <w:tc>
          <w:tcPr>
            <w:tcW w:w="1201" w:type="dxa"/>
            <w:shd w:val="clear" w:color="auto" w:fill="auto"/>
            <w:vAlign w:val="bottom"/>
          </w:tcPr>
          <w:p w14:paraId="0A547D88"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131</w:t>
            </w:r>
          </w:p>
        </w:tc>
        <w:tc>
          <w:tcPr>
            <w:tcW w:w="1932" w:type="dxa"/>
            <w:shd w:val="clear" w:color="auto" w:fill="auto"/>
            <w:vAlign w:val="bottom"/>
          </w:tcPr>
          <w:p w14:paraId="66609170"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156</w:t>
            </w:r>
          </w:p>
        </w:tc>
        <w:tc>
          <w:tcPr>
            <w:tcW w:w="840" w:type="dxa"/>
            <w:shd w:val="clear" w:color="auto" w:fill="auto"/>
            <w:vAlign w:val="bottom"/>
          </w:tcPr>
          <w:p w14:paraId="21B85706"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139</w:t>
            </w:r>
          </w:p>
        </w:tc>
      </w:tr>
      <w:tr w:rsidR="00803069" w:rsidRPr="000D5B62" w14:paraId="30AE8BE0" w14:textId="77777777" w:rsidTr="00C518D2">
        <w:tc>
          <w:tcPr>
            <w:tcW w:w="3397" w:type="dxa"/>
            <w:shd w:val="clear" w:color="auto" w:fill="auto"/>
          </w:tcPr>
          <w:p w14:paraId="6E7C05EF"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Pr>
              <w:t>34–30</w:t>
            </w:r>
          </w:p>
        </w:tc>
        <w:tc>
          <w:tcPr>
            <w:tcW w:w="1201" w:type="dxa"/>
            <w:shd w:val="clear" w:color="auto" w:fill="auto"/>
            <w:vAlign w:val="bottom"/>
          </w:tcPr>
          <w:p w14:paraId="26FC9584"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94</w:t>
            </w:r>
          </w:p>
        </w:tc>
        <w:tc>
          <w:tcPr>
            <w:tcW w:w="1932" w:type="dxa"/>
            <w:shd w:val="clear" w:color="auto" w:fill="auto"/>
            <w:vAlign w:val="bottom"/>
          </w:tcPr>
          <w:p w14:paraId="4300ADD0"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107</w:t>
            </w:r>
          </w:p>
        </w:tc>
        <w:tc>
          <w:tcPr>
            <w:tcW w:w="840" w:type="dxa"/>
            <w:shd w:val="clear" w:color="auto" w:fill="auto"/>
            <w:vAlign w:val="bottom"/>
          </w:tcPr>
          <w:p w14:paraId="0C18DBA2"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98</w:t>
            </w:r>
          </w:p>
        </w:tc>
      </w:tr>
      <w:tr w:rsidR="00803069" w:rsidRPr="000D5B62" w14:paraId="6477AA96" w14:textId="77777777" w:rsidTr="00C518D2">
        <w:tc>
          <w:tcPr>
            <w:tcW w:w="3397" w:type="dxa"/>
            <w:shd w:val="clear" w:color="auto" w:fill="auto"/>
          </w:tcPr>
          <w:p w14:paraId="3338E8CB"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Pr>
              <w:t>39–35</w:t>
            </w:r>
          </w:p>
        </w:tc>
        <w:tc>
          <w:tcPr>
            <w:tcW w:w="1201" w:type="dxa"/>
            <w:shd w:val="clear" w:color="auto" w:fill="auto"/>
            <w:vAlign w:val="bottom"/>
          </w:tcPr>
          <w:p w14:paraId="2947741C"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52</w:t>
            </w:r>
          </w:p>
        </w:tc>
        <w:tc>
          <w:tcPr>
            <w:tcW w:w="1932" w:type="dxa"/>
            <w:shd w:val="clear" w:color="auto" w:fill="auto"/>
            <w:vAlign w:val="bottom"/>
          </w:tcPr>
          <w:p w14:paraId="353E3123"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87</w:t>
            </w:r>
          </w:p>
        </w:tc>
        <w:tc>
          <w:tcPr>
            <w:tcW w:w="840" w:type="dxa"/>
            <w:shd w:val="clear" w:color="auto" w:fill="auto"/>
            <w:vAlign w:val="bottom"/>
          </w:tcPr>
          <w:p w14:paraId="2DEFD2D3"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62</w:t>
            </w:r>
          </w:p>
        </w:tc>
      </w:tr>
      <w:tr w:rsidR="00803069" w:rsidRPr="000D5B62" w14:paraId="4B462C80" w14:textId="77777777" w:rsidTr="00C518D2">
        <w:tc>
          <w:tcPr>
            <w:tcW w:w="3397" w:type="dxa"/>
            <w:shd w:val="clear" w:color="auto" w:fill="auto"/>
          </w:tcPr>
          <w:p w14:paraId="5DD836B3"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Pr>
              <w:t>44–40</w:t>
            </w:r>
          </w:p>
        </w:tc>
        <w:tc>
          <w:tcPr>
            <w:tcW w:w="1201" w:type="dxa"/>
            <w:shd w:val="clear" w:color="auto" w:fill="auto"/>
            <w:vAlign w:val="bottom"/>
          </w:tcPr>
          <w:p w14:paraId="4AB754AF"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21</w:t>
            </w:r>
          </w:p>
        </w:tc>
        <w:tc>
          <w:tcPr>
            <w:tcW w:w="1932" w:type="dxa"/>
            <w:shd w:val="clear" w:color="auto" w:fill="auto"/>
            <w:vAlign w:val="bottom"/>
          </w:tcPr>
          <w:p w14:paraId="76388760"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29</w:t>
            </w:r>
          </w:p>
        </w:tc>
        <w:tc>
          <w:tcPr>
            <w:tcW w:w="840" w:type="dxa"/>
            <w:shd w:val="clear" w:color="auto" w:fill="auto"/>
            <w:vAlign w:val="bottom"/>
          </w:tcPr>
          <w:p w14:paraId="71AE6ADA"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23</w:t>
            </w:r>
          </w:p>
        </w:tc>
      </w:tr>
      <w:tr w:rsidR="00803069" w:rsidRPr="000D5B62" w14:paraId="79D778CB" w14:textId="77777777" w:rsidTr="00C518D2">
        <w:tc>
          <w:tcPr>
            <w:tcW w:w="3397" w:type="dxa"/>
            <w:shd w:val="clear" w:color="auto" w:fill="auto"/>
          </w:tcPr>
          <w:p w14:paraId="5E25F55A" w14:textId="77777777" w:rsidR="00803069" w:rsidRPr="000D5B62" w:rsidRDefault="00803069" w:rsidP="00706D34">
            <w:pPr>
              <w:spacing w:before="40" w:after="40" w:line="300" w:lineRule="exact"/>
              <w:textDirection w:val="tbRlV"/>
              <w:rPr>
                <w:rFonts w:eastAsiaTheme="minorEastAsia"/>
                <w:bCs/>
                <w:szCs w:val="20"/>
                <w:lang w:eastAsia="zh-TW" w:bidi="en-GB"/>
              </w:rPr>
            </w:pPr>
            <w:r w:rsidRPr="000D5B62">
              <w:rPr>
                <w:rFonts w:eastAsiaTheme="minorEastAsia"/>
                <w:szCs w:val="20"/>
              </w:rPr>
              <w:t>49–45</w:t>
            </w:r>
          </w:p>
        </w:tc>
        <w:tc>
          <w:tcPr>
            <w:tcW w:w="1201" w:type="dxa"/>
            <w:shd w:val="clear" w:color="auto" w:fill="auto"/>
            <w:vAlign w:val="bottom"/>
          </w:tcPr>
          <w:p w14:paraId="71426924"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w:t>
            </w:r>
          </w:p>
        </w:tc>
        <w:tc>
          <w:tcPr>
            <w:tcW w:w="1932" w:type="dxa"/>
            <w:shd w:val="clear" w:color="auto" w:fill="auto"/>
            <w:vAlign w:val="bottom"/>
          </w:tcPr>
          <w:p w14:paraId="1BC8760D"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4</w:t>
            </w:r>
          </w:p>
        </w:tc>
        <w:tc>
          <w:tcPr>
            <w:tcW w:w="840" w:type="dxa"/>
            <w:shd w:val="clear" w:color="auto" w:fill="auto"/>
            <w:vAlign w:val="bottom"/>
          </w:tcPr>
          <w:p w14:paraId="7465A0D1"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w:t>
            </w:r>
          </w:p>
        </w:tc>
      </w:tr>
      <w:tr w:rsidR="00803069" w:rsidRPr="000D5B62" w14:paraId="03E86C6F" w14:textId="77777777" w:rsidTr="00C518D2">
        <w:tc>
          <w:tcPr>
            <w:tcW w:w="3397" w:type="dxa"/>
            <w:shd w:val="clear" w:color="auto" w:fill="auto"/>
          </w:tcPr>
          <w:p w14:paraId="5A420226"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tl/>
              </w:rPr>
              <w:t>معدل الخصوبة الإجمالي (15–49)</w:t>
            </w:r>
          </w:p>
        </w:tc>
        <w:tc>
          <w:tcPr>
            <w:tcW w:w="1201" w:type="dxa"/>
            <w:shd w:val="clear" w:color="auto" w:fill="auto"/>
            <w:vAlign w:val="bottom"/>
          </w:tcPr>
          <w:p w14:paraId="31595621"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2,4</w:t>
            </w:r>
          </w:p>
        </w:tc>
        <w:tc>
          <w:tcPr>
            <w:tcW w:w="1932" w:type="dxa"/>
            <w:shd w:val="clear" w:color="auto" w:fill="auto"/>
            <w:vAlign w:val="bottom"/>
          </w:tcPr>
          <w:p w14:paraId="4B4A0029"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3,1</w:t>
            </w:r>
          </w:p>
        </w:tc>
        <w:tc>
          <w:tcPr>
            <w:tcW w:w="840" w:type="dxa"/>
            <w:shd w:val="clear" w:color="auto" w:fill="auto"/>
            <w:vAlign w:val="bottom"/>
          </w:tcPr>
          <w:p w14:paraId="70F50C5E"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2,6</w:t>
            </w:r>
          </w:p>
        </w:tc>
      </w:tr>
      <w:tr w:rsidR="00803069" w:rsidRPr="000D5B62" w14:paraId="6B2544B7" w14:textId="77777777" w:rsidTr="00C518D2">
        <w:tc>
          <w:tcPr>
            <w:tcW w:w="3397" w:type="dxa"/>
            <w:shd w:val="clear" w:color="auto" w:fill="auto"/>
          </w:tcPr>
          <w:p w14:paraId="0694A296"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tl/>
              </w:rPr>
              <w:t>معدل الخصوبة العام (15–44)</w:t>
            </w:r>
          </w:p>
        </w:tc>
        <w:tc>
          <w:tcPr>
            <w:tcW w:w="1201" w:type="dxa"/>
            <w:shd w:val="clear" w:color="auto" w:fill="auto"/>
            <w:vAlign w:val="bottom"/>
          </w:tcPr>
          <w:p w14:paraId="0F2E1A2E"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87</w:t>
            </w:r>
          </w:p>
        </w:tc>
        <w:tc>
          <w:tcPr>
            <w:tcW w:w="1932" w:type="dxa"/>
            <w:shd w:val="clear" w:color="auto" w:fill="auto"/>
            <w:vAlign w:val="bottom"/>
          </w:tcPr>
          <w:p w14:paraId="76AF0756"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109</w:t>
            </w:r>
          </w:p>
        </w:tc>
        <w:tc>
          <w:tcPr>
            <w:tcW w:w="840" w:type="dxa"/>
            <w:shd w:val="clear" w:color="auto" w:fill="auto"/>
            <w:vAlign w:val="bottom"/>
          </w:tcPr>
          <w:p w14:paraId="33B96A06"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94</w:t>
            </w:r>
          </w:p>
        </w:tc>
      </w:tr>
      <w:tr w:rsidR="00803069" w:rsidRPr="000D5B62" w14:paraId="44B5C8AC" w14:textId="77777777" w:rsidTr="00C518D2">
        <w:tc>
          <w:tcPr>
            <w:tcW w:w="3397" w:type="dxa"/>
            <w:shd w:val="clear" w:color="auto" w:fill="auto"/>
          </w:tcPr>
          <w:p w14:paraId="0FCA06D6" w14:textId="77777777" w:rsidR="00803069" w:rsidRPr="000D5B62" w:rsidRDefault="00803069" w:rsidP="00706D34">
            <w:pPr>
              <w:spacing w:before="40" w:after="40" w:line="300" w:lineRule="exact"/>
              <w:textDirection w:val="tbRlV"/>
              <w:rPr>
                <w:rFonts w:eastAsiaTheme="minorEastAsia"/>
                <w:bCs/>
                <w:szCs w:val="20"/>
                <w:lang w:val="ar-SA" w:eastAsia="zh-TW" w:bidi="en-GB"/>
              </w:rPr>
            </w:pPr>
            <w:r w:rsidRPr="000D5B62">
              <w:rPr>
                <w:rFonts w:eastAsiaTheme="minorEastAsia"/>
                <w:szCs w:val="20"/>
                <w:rtl/>
              </w:rPr>
              <w:t>معدل الخصوبة العام (15–49)</w:t>
            </w:r>
          </w:p>
        </w:tc>
        <w:tc>
          <w:tcPr>
            <w:tcW w:w="1201" w:type="dxa"/>
            <w:shd w:val="clear" w:color="auto" w:fill="auto"/>
            <w:vAlign w:val="bottom"/>
          </w:tcPr>
          <w:p w14:paraId="5474F803"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80</w:t>
            </w:r>
          </w:p>
        </w:tc>
        <w:tc>
          <w:tcPr>
            <w:tcW w:w="1932" w:type="dxa"/>
            <w:shd w:val="clear" w:color="auto" w:fill="auto"/>
            <w:vAlign w:val="bottom"/>
          </w:tcPr>
          <w:p w14:paraId="265B74BE"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101</w:t>
            </w:r>
          </w:p>
        </w:tc>
        <w:tc>
          <w:tcPr>
            <w:tcW w:w="840" w:type="dxa"/>
            <w:shd w:val="clear" w:color="auto" w:fill="auto"/>
            <w:vAlign w:val="bottom"/>
          </w:tcPr>
          <w:p w14:paraId="1D9A54D9"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87</w:t>
            </w:r>
          </w:p>
        </w:tc>
      </w:tr>
      <w:tr w:rsidR="00803069" w:rsidRPr="000D5B62" w14:paraId="26806DB5" w14:textId="77777777" w:rsidTr="00C518D2">
        <w:tc>
          <w:tcPr>
            <w:tcW w:w="3397" w:type="dxa"/>
            <w:shd w:val="clear" w:color="auto" w:fill="auto"/>
          </w:tcPr>
          <w:p w14:paraId="0CE03F09" w14:textId="77777777" w:rsidR="00803069" w:rsidRPr="000D5B62" w:rsidRDefault="00803069" w:rsidP="00706D34">
            <w:pPr>
              <w:spacing w:before="40" w:after="40" w:line="300" w:lineRule="exact"/>
              <w:textDirection w:val="tbRlV"/>
              <w:rPr>
                <w:rFonts w:eastAsiaTheme="minorEastAsia"/>
                <w:szCs w:val="20"/>
                <w:rtl/>
                <w:lang w:val="ar-SA" w:eastAsia="zh-TW" w:bidi="ar-YE"/>
              </w:rPr>
            </w:pPr>
            <w:r w:rsidRPr="000D5B62">
              <w:rPr>
                <w:rFonts w:eastAsiaTheme="minorEastAsia"/>
                <w:szCs w:val="20"/>
                <w:rtl/>
              </w:rPr>
              <w:t>معدل المواليد الخام</w:t>
            </w:r>
          </w:p>
        </w:tc>
        <w:tc>
          <w:tcPr>
            <w:tcW w:w="1201" w:type="dxa"/>
            <w:shd w:val="clear" w:color="auto" w:fill="auto"/>
            <w:vAlign w:val="bottom"/>
          </w:tcPr>
          <w:p w14:paraId="11DEF9DD"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21,9</w:t>
            </w:r>
          </w:p>
        </w:tc>
        <w:tc>
          <w:tcPr>
            <w:tcW w:w="1932" w:type="dxa"/>
            <w:shd w:val="clear" w:color="auto" w:fill="auto"/>
            <w:vAlign w:val="bottom"/>
          </w:tcPr>
          <w:p w14:paraId="3224529A"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23,1</w:t>
            </w:r>
          </w:p>
        </w:tc>
        <w:tc>
          <w:tcPr>
            <w:tcW w:w="840" w:type="dxa"/>
            <w:shd w:val="clear" w:color="auto" w:fill="auto"/>
            <w:vAlign w:val="bottom"/>
          </w:tcPr>
          <w:p w14:paraId="3681A414" w14:textId="77777777" w:rsidR="00803069" w:rsidRPr="000D5B62" w:rsidRDefault="00803069" w:rsidP="00706D34">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22,3</w:t>
            </w:r>
          </w:p>
        </w:tc>
      </w:tr>
    </w:tbl>
    <w:p w14:paraId="27FD7573" w14:textId="079A14C5" w:rsidR="00803069" w:rsidRPr="000D5B62" w:rsidRDefault="00803069" w:rsidP="00706D34">
      <w:pPr>
        <w:pStyle w:val="SingleTxtGA"/>
        <w:spacing w:before="120" w:after="60" w:line="300" w:lineRule="exact"/>
        <w:ind w:left="1899" w:hanging="652"/>
        <w:rPr>
          <w:sz w:val="18"/>
          <w:szCs w:val="18"/>
          <w:lang w:val="ar-SA" w:eastAsia="zh-TW" w:bidi="en-GB"/>
        </w:rPr>
      </w:pPr>
      <w:r w:rsidRPr="000D5B62">
        <w:rPr>
          <w:i/>
          <w:iCs/>
          <w:sz w:val="18"/>
          <w:szCs w:val="18"/>
          <w:rtl/>
        </w:rPr>
        <w:t>ملحوظة</w:t>
      </w:r>
      <w:r w:rsidRPr="000D5B62">
        <w:rPr>
          <w:sz w:val="18"/>
          <w:szCs w:val="18"/>
          <w:rtl/>
        </w:rPr>
        <w:t>:</w:t>
      </w:r>
      <w:r w:rsidR="00706D34" w:rsidRPr="000D5B62">
        <w:rPr>
          <w:sz w:val="18"/>
          <w:szCs w:val="18"/>
          <w:rtl/>
        </w:rPr>
        <w:tab/>
      </w:r>
      <w:r w:rsidRPr="000D5B62">
        <w:rPr>
          <w:sz w:val="18"/>
          <w:szCs w:val="18"/>
          <w:rtl/>
        </w:rPr>
        <w:t>معدل الخصوبة حسب الفئة العمرية لكل 000 1 امرأة. وقد تنطوي المعدلات الخاصة بالفئة العمرية 45-49 على أخطاء طفيفة بسبب الاختزال. وتنسحب هذه المعدلات على الفترة الممتدة من شهر إلى 36 شهراً قبل الاستجواب.</w:t>
      </w:r>
    </w:p>
    <w:p w14:paraId="418F7533" w14:textId="0FE13445" w:rsidR="00803069" w:rsidRPr="000D5B62" w:rsidRDefault="00CE7A0A" w:rsidP="00706D34">
      <w:pPr>
        <w:pStyle w:val="SingleTxtGA"/>
        <w:spacing w:after="60" w:line="300" w:lineRule="exact"/>
        <w:rPr>
          <w:rFonts w:eastAsiaTheme="minorEastAsia"/>
          <w:sz w:val="18"/>
          <w:szCs w:val="18"/>
          <w:lang w:val="ar-SA" w:eastAsia="zh-TW" w:bidi="en-GB"/>
        </w:rPr>
      </w:pPr>
      <w:r w:rsidRPr="000D5B62">
        <w:rPr>
          <w:rFonts w:eastAsiaTheme="minorEastAsia"/>
          <w:sz w:val="18"/>
          <w:szCs w:val="18"/>
          <w:rtl/>
        </w:rPr>
        <w:tab/>
      </w:r>
      <w:r w:rsidR="00803069" w:rsidRPr="000D5B62">
        <w:rPr>
          <w:rFonts w:eastAsiaTheme="minorEastAsia"/>
          <w:sz w:val="18"/>
          <w:szCs w:val="18"/>
          <w:rtl/>
        </w:rPr>
        <w:t>معدل الخصوبة الإجمالي لدى كل امرأة</w:t>
      </w:r>
    </w:p>
    <w:p w14:paraId="378FF6C0" w14:textId="4D9EFCB4" w:rsidR="00803069" w:rsidRPr="000D5B62" w:rsidRDefault="00CE7A0A" w:rsidP="00706D34">
      <w:pPr>
        <w:pStyle w:val="SingleTxtGA"/>
        <w:spacing w:after="60" w:line="300" w:lineRule="exact"/>
        <w:rPr>
          <w:rFonts w:eastAsiaTheme="minorEastAsia"/>
          <w:sz w:val="18"/>
          <w:szCs w:val="18"/>
          <w:lang w:val="ar-SA" w:eastAsia="zh-TW" w:bidi="en-GB"/>
        </w:rPr>
      </w:pPr>
      <w:r w:rsidRPr="000D5B62">
        <w:rPr>
          <w:rFonts w:eastAsiaTheme="minorEastAsia"/>
          <w:sz w:val="18"/>
          <w:szCs w:val="18"/>
          <w:rtl/>
        </w:rPr>
        <w:tab/>
      </w:r>
      <w:r w:rsidR="00803069" w:rsidRPr="000D5B62">
        <w:rPr>
          <w:rFonts w:eastAsiaTheme="minorEastAsia"/>
          <w:sz w:val="18"/>
          <w:szCs w:val="18"/>
          <w:rtl/>
        </w:rPr>
        <w:t>معدل الخصوبة العام لكل 000 1 امرأة في الفئة العمرية 15-44 أو لكل 000 1 امرأة في الفئة العمرية 15-49.</w:t>
      </w:r>
    </w:p>
    <w:p w14:paraId="28F9F9B2" w14:textId="675163B9" w:rsidR="00803069" w:rsidRPr="000D5B62" w:rsidRDefault="00CE7A0A" w:rsidP="00706D34">
      <w:pPr>
        <w:pStyle w:val="SingleTxtGA"/>
        <w:spacing w:after="240" w:line="300" w:lineRule="exact"/>
        <w:rPr>
          <w:rFonts w:eastAsiaTheme="minorEastAsia"/>
          <w:sz w:val="18"/>
          <w:szCs w:val="18"/>
          <w:lang w:val="en-US" w:eastAsia="zh-TW" w:bidi="en-GB"/>
        </w:rPr>
      </w:pPr>
      <w:r w:rsidRPr="000D5B62">
        <w:rPr>
          <w:rFonts w:eastAsiaTheme="minorEastAsia"/>
          <w:sz w:val="18"/>
          <w:szCs w:val="18"/>
          <w:rtl/>
        </w:rPr>
        <w:tab/>
      </w:r>
      <w:r w:rsidR="00803069" w:rsidRPr="000D5B62">
        <w:rPr>
          <w:rFonts w:eastAsiaTheme="minorEastAsia"/>
          <w:sz w:val="18"/>
          <w:szCs w:val="18"/>
          <w:rtl/>
        </w:rPr>
        <w:t>معدل المواليد الخام، لكل 000 1 نسمة.</w:t>
      </w:r>
    </w:p>
    <w:p w14:paraId="18ECE241" w14:textId="23BD04E8" w:rsidR="00803069" w:rsidRPr="000D5B62" w:rsidRDefault="00803069" w:rsidP="00706D34">
      <w:pPr>
        <w:pStyle w:val="SingleTxtGA"/>
        <w:rPr>
          <w:lang w:val="ar-SA" w:eastAsia="zh-TW" w:bidi="en-GB"/>
        </w:rPr>
      </w:pPr>
      <w:r w:rsidRPr="000D5B62">
        <w:rPr>
          <w:rtl/>
        </w:rPr>
        <w:t>5-</w:t>
      </w:r>
      <w:r w:rsidRPr="000D5B62">
        <w:rPr>
          <w:rtl/>
        </w:rPr>
        <w:tab/>
        <w:t>والمتوخى من خطة التنمية الوطنية التي اعتمدتها جنوب أفريقيا كفالة أن يبلغ متوسط العمر المتوقع 70 عاماً على أقل تقدير وخلو عدد كبير من السكان دون سن ا</w:t>
      </w:r>
      <w:r w:rsidR="00E0049B" w:rsidRPr="000D5B62">
        <w:rPr>
          <w:rtl/>
        </w:rPr>
        <w:t>ﻠ</w:t>
      </w:r>
      <w:r w:rsidRPr="000D5B62">
        <w:rPr>
          <w:rtl/>
        </w:rPr>
        <w:t xml:space="preserve"> 20 من فيروس نقص المناعة البشرية المكتسب، وخفض معدلات انتشار الأمراض غير السارية بنسبة 28 في المائة، وخفض عدد الإصابات والحوادث وأعمال العنف بنسبة 50 في المائة، وخفض معدل وفيات الرضع إلى أقل من 20 حالة وفاة من كل 000 1 مولود حي ومعدل وفيات الأطفال دون سن الخامسة إلى أقل من 30 حالة وفاة من كل 000 1 مولود حي ومعدل الوفيات المرتبطة بالأمومة إلى 100 حالة وفاة لكل 000 100 مولود حي، ودحر وباء السل ووباء فيروس نقص المناعة البشرية/الإيدز بحلول عام 2030</w:t>
      </w:r>
      <w:r w:rsidRPr="000D5B62">
        <w:rPr>
          <w:rStyle w:val="FootnoteReference"/>
          <w:szCs w:val="22"/>
          <w:rtl/>
        </w:rPr>
        <w:t>(</w:t>
      </w:r>
      <w:r w:rsidRPr="000D5B62">
        <w:rPr>
          <w:rStyle w:val="FootnoteReference"/>
          <w:szCs w:val="22"/>
          <w:rtl/>
        </w:rPr>
        <w:footnoteReference w:id="10"/>
      </w:r>
      <w:r w:rsidRPr="000D5B62">
        <w:rPr>
          <w:rStyle w:val="FootnoteReference"/>
          <w:szCs w:val="22"/>
          <w:rtl/>
        </w:rPr>
        <w:t>)</w:t>
      </w:r>
      <w:r w:rsidRPr="000D5B62">
        <w:rPr>
          <w:rtl/>
        </w:rPr>
        <w:t xml:space="preserve">. ومن الأهداف الرئيسية الواردة في خطة التنمية الوطنية توفير </w:t>
      </w:r>
      <w:r w:rsidR="005B754C" w:rsidRPr="000D5B62">
        <w:rPr>
          <w:rFonts w:hint="cs"/>
          <w:rtl/>
        </w:rPr>
        <w:t>”</w:t>
      </w:r>
      <w:r w:rsidRPr="000D5B62">
        <w:rPr>
          <w:rtl/>
        </w:rPr>
        <w:t>الرعاية الصحية للجميع</w:t>
      </w:r>
      <w:r w:rsidR="005B754C" w:rsidRPr="000D5B62">
        <w:rPr>
          <w:rFonts w:hint="cs"/>
          <w:rtl/>
        </w:rPr>
        <w:t>“</w:t>
      </w:r>
      <w:r w:rsidRPr="000D5B62">
        <w:rPr>
          <w:rtl/>
        </w:rPr>
        <w:t>، في سياق الالتزامات بتحقيق التغطية الصحية الشاملة. وتبنّت جنوب أفريقيا أهداف التنمية المستدامة التي وضعتها الأمم المتحدة والتي تقوم أيضاً على مبدأ ألّا يتخلف أحد عن الركب في مجال الصحة. وتحرز جنوب أفريقيا تقدماً لا يستهان به في تحقيق أهداف خطة التنمية الوطنية ذات الصلة بمتوسط العمر المتوقع ومعدلات وفيات الأطفال دون سن الخامسة ووفيات المواليد والرضع والوفيات المرتبطة بالأمومة. ويرد في الجدول أدناه بيان المؤشرات الديمغرافية الكاملة للفترة ما بين عامي 2002 و2017.</w:t>
      </w:r>
    </w:p>
    <w:p w14:paraId="5D21DD01" w14:textId="1D537D88" w:rsidR="00803069" w:rsidRPr="000D5B62" w:rsidRDefault="00803069" w:rsidP="00F81761">
      <w:pPr>
        <w:pStyle w:val="SingleTxtGA"/>
        <w:rPr>
          <w:rStyle w:val="FootnoteReference"/>
          <w:rFonts w:eastAsiaTheme="minorEastAsia"/>
          <w:b/>
          <w:bCs/>
          <w:szCs w:val="22"/>
          <w:lang w:val="ar-SA" w:eastAsia="zh-TW" w:bidi="en-GB"/>
        </w:rPr>
      </w:pPr>
      <w:r w:rsidRPr="000D5B62">
        <w:rPr>
          <w:rtl/>
        </w:rPr>
        <w:t xml:space="preserve">الجدول 4 </w:t>
      </w:r>
      <w:r w:rsidR="00F81761" w:rsidRPr="000D5B62">
        <w:rPr>
          <w:rtl/>
        </w:rPr>
        <w:tab/>
      </w:r>
      <w:r w:rsidR="00F81761" w:rsidRPr="000D5B62">
        <w:rPr>
          <w:rtl/>
        </w:rPr>
        <w:br/>
      </w:r>
      <w:r w:rsidRPr="000D5B62">
        <w:rPr>
          <w:b/>
          <w:bCs/>
          <w:rtl/>
        </w:rPr>
        <w:t>المؤشرات الديمغرافية، 2002-2017</w:t>
      </w:r>
      <w:r w:rsidRPr="000D5B62">
        <w:rPr>
          <w:rStyle w:val="FootnoteReference"/>
          <w:b/>
          <w:szCs w:val="22"/>
          <w:rtl/>
        </w:rPr>
        <w:t>(</w:t>
      </w:r>
      <w:r w:rsidRPr="000D5B62">
        <w:rPr>
          <w:rStyle w:val="FootnoteReference"/>
          <w:b/>
          <w:szCs w:val="22"/>
          <w:rtl/>
        </w:rPr>
        <w:footnoteReference w:id="11"/>
      </w:r>
      <w:r w:rsidRPr="000D5B62">
        <w:rPr>
          <w:rStyle w:val="FootnoteReference"/>
          <w:b/>
          <w:szCs w:val="22"/>
          <w:rtl/>
        </w:rPr>
        <w:t>)</w:t>
      </w:r>
    </w:p>
    <w:p w14:paraId="772858C9" w14:textId="77777777" w:rsidR="00803069" w:rsidRPr="000D5B62" w:rsidRDefault="00803069" w:rsidP="00803069">
      <w:pPr>
        <w:spacing w:line="360" w:lineRule="auto"/>
        <w:ind w:left="993" w:hanging="11"/>
        <w:jc w:val="center"/>
        <w:rPr>
          <w:rFonts w:eastAsiaTheme="minorEastAsia"/>
          <w:bCs/>
          <w:sz w:val="22"/>
        </w:rPr>
      </w:pPr>
      <w:r w:rsidRPr="000D5B62">
        <w:rPr>
          <w:rFonts w:eastAsiaTheme="minorEastAsia"/>
          <w:bCs/>
          <w:noProof/>
          <w:sz w:val="22"/>
          <w:lang w:eastAsia="en-GB"/>
        </w:rPr>
        <w:drawing>
          <wp:inline distT="0" distB="0" distL="0" distR="0" wp14:anchorId="3C0E9A6A" wp14:editId="1A94EEA1">
            <wp:extent cx="5291455" cy="34036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455" cy="3403600"/>
                    </a:xfrm>
                    <a:prstGeom prst="rect">
                      <a:avLst/>
                    </a:prstGeom>
                    <a:noFill/>
                    <a:ln>
                      <a:noFill/>
                    </a:ln>
                  </pic:spPr>
                </pic:pic>
              </a:graphicData>
            </a:graphic>
          </wp:inline>
        </w:drawing>
      </w:r>
    </w:p>
    <w:p w14:paraId="61E306A9" w14:textId="77777777" w:rsidR="00803069" w:rsidRPr="000D5B62" w:rsidRDefault="00803069" w:rsidP="00F81761">
      <w:pPr>
        <w:pStyle w:val="SingleTxtGA"/>
        <w:rPr>
          <w:spacing w:val="-4"/>
          <w:lang w:val="en-US" w:eastAsia="zh-TW" w:bidi="en-GB"/>
        </w:rPr>
      </w:pPr>
      <w:r w:rsidRPr="000D5B62">
        <w:rPr>
          <w:rtl/>
        </w:rPr>
        <w:t>6-</w:t>
      </w:r>
      <w:r w:rsidRPr="000D5B62">
        <w:rPr>
          <w:rtl/>
        </w:rPr>
        <w:tab/>
      </w:r>
      <w:r w:rsidRPr="000D5B62">
        <w:rPr>
          <w:spacing w:val="-4"/>
          <w:rtl/>
        </w:rPr>
        <w:t>ويرد في الجدول أدناه بيان معدل النمو السكاني السنوي التقديري خلال الفترة ما بين عامي 2002 و2017:</w:t>
      </w:r>
    </w:p>
    <w:p w14:paraId="170A3389" w14:textId="7281BA44" w:rsidR="00803069" w:rsidRPr="000D5B62" w:rsidRDefault="00803069" w:rsidP="0035195D">
      <w:pPr>
        <w:pStyle w:val="SingleTxtGA"/>
        <w:rPr>
          <w:rStyle w:val="FootnoteReference"/>
          <w:rFonts w:eastAsiaTheme="minorEastAsia"/>
          <w:szCs w:val="22"/>
          <w:lang w:val="ar-SA" w:eastAsia="zh-TW" w:bidi="en-GB"/>
        </w:rPr>
      </w:pPr>
      <w:r w:rsidRPr="000D5B62">
        <w:rPr>
          <w:rtl/>
        </w:rPr>
        <w:t xml:space="preserve">الجدول 5 </w:t>
      </w:r>
      <w:r w:rsidR="00F81761" w:rsidRPr="000D5B62">
        <w:rPr>
          <w:rtl/>
        </w:rPr>
        <w:tab/>
      </w:r>
      <w:r w:rsidR="00F81761" w:rsidRPr="000D5B62">
        <w:rPr>
          <w:rtl/>
        </w:rPr>
        <w:br/>
      </w:r>
      <w:r w:rsidRPr="000D5B62">
        <w:rPr>
          <w:rFonts w:eastAsiaTheme="minorEastAsia"/>
          <w:bCs/>
          <w:rtl/>
        </w:rPr>
        <w:t>معدل النمو السكاني السنوي التقديري (2002-2017)</w:t>
      </w:r>
      <w:r w:rsidRPr="000D5B62">
        <w:rPr>
          <w:rStyle w:val="FootnoteReference"/>
          <w:b/>
          <w:szCs w:val="22"/>
          <w:rtl/>
        </w:rPr>
        <w:t>(</w:t>
      </w:r>
      <w:r w:rsidRPr="000D5B62">
        <w:rPr>
          <w:rStyle w:val="FootnoteReference"/>
          <w:b/>
          <w:szCs w:val="22"/>
          <w:rtl/>
        </w:rPr>
        <w:footnoteReference w:id="12"/>
      </w:r>
      <w:r w:rsidRPr="000D5B62">
        <w:rPr>
          <w:rStyle w:val="FootnoteReference"/>
          <w:b/>
          <w:szCs w:val="22"/>
          <w:rtl/>
        </w:rPr>
        <w:t>)</w:t>
      </w:r>
    </w:p>
    <w:p w14:paraId="7D67CEAE" w14:textId="77777777" w:rsidR="00803069" w:rsidRPr="000D5B62" w:rsidRDefault="00803069" w:rsidP="00803069">
      <w:pPr>
        <w:spacing w:line="360" w:lineRule="auto"/>
        <w:ind w:left="720" w:hanging="720"/>
        <w:jc w:val="right"/>
        <w:rPr>
          <w:rFonts w:eastAsiaTheme="minorEastAsia"/>
          <w:bCs/>
          <w:sz w:val="22"/>
        </w:rPr>
      </w:pPr>
      <w:r w:rsidRPr="000D5B62">
        <w:rPr>
          <w:rFonts w:eastAsiaTheme="minorEastAsia"/>
          <w:bCs/>
          <w:noProof/>
          <w:sz w:val="22"/>
          <w:lang w:eastAsia="en-GB"/>
        </w:rPr>
        <w:drawing>
          <wp:inline distT="0" distB="0" distL="0" distR="0" wp14:anchorId="09E6C8AF" wp14:editId="673A0215">
            <wp:extent cx="5393877" cy="305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886" cy="3054921"/>
                    </a:xfrm>
                    <a:prstGeom prst="rect">
                      <a:avLst/>
                    </a:prstGeom>
                    <a:noFill/>
                    <a:ln>
                      <a:noFill/>
                    </a:ln>
                  </pic:spPr>
                </pic:pic>
              </a:graphicData>
            </a:graphic>
          </wp:inline>
        </w:drawing>
      </w:r>
    </w:p>
    <w:p w14:paraId="1270E718" w14:textId="77777777" w:rsidR="00803069" w:rsidRPr="000D5B62" w:rsidRDefault="00803069" w:rsidP="00803069">
      <w:pPr>
        <w:pStyle w:val="SingleTxtG"/>
        <w:bidi/>
        <w:textDirection w:val="tbRlV"/>
        <w:rPr>
          <w:rFonts w:eastAsiaTheme="minorEastAsia"/>
          <w:sz w:val="22"/>
          <w:szCs w:val="22"/>
          <w:lang w:val="ar-SA" w:eastAsia="zh-TW" w:bidi="en-GB"/>
        </w:rPr>
      </w:pPr>
      <w:r w:rsidRPr="000D5B62">
        <w:rPr>
          <w:rFonts w:eastAsiaTheme="minorEastAsia"/>
          <w:sz w:val="22"/>
          <w:szCs w:val="22"/>
          <w:rtl/>
        </w:rPr>
        <w:t>7-</w:t>
      </w:r>
      <w:r w:rsidRPr="000D5B62">
        <w:rPr>
          <w:rFonts w:eastAsiaTheme="minorEastAsia"/>
          <w:sz w:val="22"/>
          <w:szCs w:val="22"/>
          <w:rtl/>
        </w:rPr>
        <w:tab/>
        <w:t>ويرد في الجدول أدناه بيان الأسباب الطبيعية الرئيسية العشرة للوفاة أثناء الفترة 2014-2016.</w:t>
      </w:r>
    </w:p>
    <w:p w14:paraId="0A5E407E" w14:textId="3224137E" w:rsidR="00803069" w:rsidRPr="000D5B62" w:rsidRDefault="00803069" w:rsidP="00F81761">
      <w:pPr>
        <w:pStyle w:val="SingleTxtGA"/>
        <w:rPr>
          <w:rStyle w:val="FootnoteReference"/>
          <w:rFonts w:eastAsiaTheme="minorEastAsia"/>
          <w:szCs w:val="22"/>
          <w:lang w:val="ar-SA" w:eastAsia="zh-TW" w:bidi="en-GB"/>
        </w:rPr>
      </w:pPr>
      <w:r w:rsidRPr="000D5B62">
        <w:rPr>
          <w:rtl/>
        </w:rPr>
        <w:t xml:space="preserve">الجدول 6 </w:t>
      </w:r>
      <w:r w:rsidR="00F81761" w:rsidRPr="000D5B62">
        <w:rPr>
          <w:rtl/>
        </w:rPr>
        <w:tab/>
      </w:r>
      <w:r w:rsidR="00F81761" w:rsidRPr="000D5B62">
        <w:rPr>
          <w:rtl/>
        </w:rPr>
        <w:br/>
      </w:r>
      <w:r w:rsidRPr="000D5B62">
        <w:rPr>
          <w:rFonts w:eastAsiaTheme="minorEastAsia"/>
          <w:bCs/>
          <w:rtl/>
        </w:rPr>
        <w:t>الأسباب الطبيعية الرئيسية العشرة للوفاة، أثناء الفترة 2014-2016</w:t>
      </w:r>
      <w:r w:rsidRPr="000D5B62">
        <w:rPr>
          <w:rStyle w:val="FootnoteReference"/>
          <w:b/>
          <w:szCs w:val="22"/>
          <w:rtl/>
        </w:rPr>
        <w:t>(</w:t>
      </w:r>
      <w:r w:rsidRPr="000D5B62">
        <w:rPr>
          <w:rStyle w:val="FootnoteReference"/>
          <w:b/>
          <w:szCs w:val="22"/>
          <w:rtl/>
        </w:rPr>
        <w:footnoteReference w:id="13"/>
      </w:r>
      <w:r w:rsidRPr="000D5B62">
        <w:rPr>
          <w:rStyle w:val="FootnoteReference"/>
          <w:b/>
          <w:szCs w:val="22"/>
          <w:rtl/>
        </w:rPr>
        <w:t>)</w:t>
      </w:r>
    </w:p>
    <w:tbl>
      <w:tblPr>
        <w:bidiVisual/>
        <w:tblW w:w="8505" w:type="dxa"/>
        <w:tblInd w:w="1134" w:type="dxa"/>
        <w:tblBorders>
          <w:top w:val="single" w:sz="4" w:space="0" w:color="auto"/>
          <w:bottom w:val="single" w:sz="12" w:space="0" w:color="auto"/>
        </w:tblBorders>
        <w:tblLayout w:type="fixed"/>
        <w:tblLook w:val="00A0" w:firstRow="1" w:lastRow="0" w:firstColumn="1" w:lastColumn="0" w:noHBand="0" w:noVBand="0"/>
      </w:tblPr>
      <w:tblGrid>
        <w:gridCol w:w="1935"/>
        <w:gridCol w:w="719"/>
        <w:gridCol w:w="930"/>
        <w:gridCol w:w="642"/>
        <w:gridCol w:w="581"/>
        <w:gridCol w:w="905"/>
        <w:gridCol w:w="638"/>
        <w:gridCol w:w="691"/>
        <w:gridCol w:w="839"/>
        <w:gridCol w:w="625"/>
      </w:tblGrid>
      <w:tr w:rsidR="00803069" w:rsidRPr="000D5B62" w14:paraId="4D55187C" w14:textId="77777777" w:rsidTr="00D8475F">
        <w:trPr>
          <w:tblHeader/>
        </w:trPr>
        <w:tc>
          <w:tcPr>
            <w:tcW w:w="1935" w:type="dxa"/>
            <w:vMerge w:val="restart"/>
            <w:tcBorders>
              <w:top w:val="single" w:sz="4" w:space="0" w:color="auto"/>
              <w:bottom w:val="single" w:sz="12" w:space="0" w:color="auto"/>
            </w:tcBorders>
            <w:shd w:val="clear" w:color="auto" w:fill="auto"/>
            <w:vAlign w:val="bottom"/>
          </w:tcPr>
          <w:p w14:paraId="5CDCE462" w14:textId="27A8FC19" w:rsidR="00803069" w:rsidRPr="000D5B62" w:rsidRDefault="00803069" w:rsidP="00F81761">
            <w:pPr>
              <w:spacing w:before="40" w:after="40" w:line="300" w:lineRule="exact"/>
              <w:jc w:val="left"/>
              <w:textDirection w:val="tbRlV"/>
              <w:rPr>
                <w:rFonts w:eastAsiaTheme="minorEastAsia"/>
                <w:i/>
                <w:iCs/>
                <w:sz w:val="18"/>
                <w:szCs w:val="18"/>
                <w:rtl/>
              </w:rPr>
            </w:pPr>
            <w:r w:rsidRPr="000D5B62">
              <w:rPr>
                <w:rFonts w:eastAsiaTheme="minorEastAsia"/>
                <w:i/>
                <w:iCs/>
                <w:sz w:val="18"/>
                <w:szCs w:val="18"/>
                <w:rtl/>
              </w:rPr>
              <w:t>أسباب الوفاة (استنادا</w:t>
            </w:r>
            <w:r w:rsidR="00AD51A5" w:rsidRPr="000D5B62">
              <w:rPr>
                <w:rFonts w:eastAsiaTheme="minorEastAsia" w:hint="cs"/>
                <w:i/>
                <w:iCs/>
                <w:sz w:val="18"/>
                <w:szCs w:val="18"/>
                <w:rtl/>
              </w:rPr>
              <w:t>ً</w:t>
            </w:r>
            <w:r w:rsidRPr="000D5B62">
              <w:rPr>
                <w:rFonts w:eastAsiaTheme="minorEastAsia"/>
                <w:i/>
                <w:iCs/>
                <w:sz w:val="18"/>
                <w:szCs w:val="18"/>
                <w:rtl/>
              </w:rPr>
              <w:t xml:space="preserve"> إلى </w:t>
            </w:r>
            <w:r w:rsidR="00973E2A" w:rsidRPr="000D5B62">
              <w:rPr>
                <w:rFonts w:eastAsia="Calibri"/>
                <w:i/>
                <w:sz w:val="16"/>
                <w:lang w:eastAsia="en-GB"/>
              </w:rPr>
              <w:t>ICD-10</w:t>
            </w:r>
            <w:r w:rsidRPr="000D5B62">
              <w:rPr>
                <w:rFonts w:eastAsiaTheme="minorEastAsia"/>
                <w:i/>
                <w:iCs/>
                <w:sz w:val="18"/>
                <w:szCs w:val="18"/>
                <w:rtl/>
              </w:rPr>
              <w:t>)</w:t>
            </w:r>
          </w:p>
        </w:tc>
        <w:tc>
          <w:tcPr>
            <w:tcW w:w="2291" w:type="dxa"/>
            <w:gridSpan w:val="3"/>
            <w:tcBorders>
              <w:top w:val="single" w:sz="4" w:space="0" w:color="auto"/>
              <w:bottom w:val="single" w:sz="4" w:space="0" w:color="auto"/>
              <w:right w:val="single" w:sz="24" w:space="0" w:color="FFFFFF" w:themeColor="background1"/>
            </w:tcBorders>
            <w:shd w:val="clear" w:color="auto" w:fill="auto"/>
            <w:vAlign w:val="bottom"/>
          </w:tcPr>
          <w:p w14:paraId="21326FCD" w14:textId="77777777" w:rsidR="00803069" w:rsidRPr="000D5B62" w:rsidRDefault="00803069" w:rsidP="00F81761">
            <w:pPr>
              <w:spacing w:before="40" w:after="40" w:line="300" w:lineRule="exact"/>
              <w:jc w:val="center"/>
              <w:textDirection w:val="tbRlV"/>
              <w:rPr>
                <w:rFonts w:eastAsiaTheme="minorEastAsia"/>
                <w:i/>
                <w:sz w:val="18"/>
                <w:szCs w:val="18"/>
                <w:lang w:eastAsia="zh-TW" w:bidi="en-GB"/>
              </w:rPr>
            </w:pPr>
            <w:r w:rsidRPr="000D5B62">
              <w:rPr>
                <w:rFonts w:eastAsiaTheme="minorEastAsia"/>
                <w:i/>
                <w:iCs/>
                <w:sz w:val="18"/>
                <w:szCs w:val="18"/>
                <w:rtl/>
              </w:rPr>
              <w:t>2014</w:t>
            </w:r>
          </w:p>
        </w:tc>
        <w:tc>
          <w:tcPr>
            <w:tcW w:w="212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6F7CA0A" w14:textId="77777777" w:rsidR="00803069" w:rsidRPr="000D5B62" w:rsidRDefault="00803069" w:rsidP="00F81761">
            <w:pPr>
              <w:spacing w:before="40" w:after="40" w:line="300" w:lineRule="exact"/>
              <w:jc w:val="center"/>
              <w:textDirection w:val="tbRlV"/>
              <w:rPr>
                <w:rFonts w:eastAsiaTheme="minorEastAsia"/>
                <w:i/>
                <w:sz w:val="18"/>
                <w:szCs w:val="18"/>
                <w:lang w:val="ar-SA" w:eastAsia="zh-TW" w:bidi="en-GB"/>
              </w:rPr>
            </w:pPr>
            <w:r w:rsidRPr="000D5B62">
              <w:rPr>
                <w:rFonts w:eastAsiaTheme="minorEastAsia"/>
                <w:i/>
                <w:iCs/>
                <w:sz w:val="18"/>
                <w:szCs w:val="18"/>
                <w:rtl/>
              </w:rPr>
              <w:t>2015</w:t>
            </w:r>
          </w:p>
        </w:tc>
        <w:tc>
          <w:tcPr>
            <w:tcW w:w="2155" w:type="dxa"/>
            <w:gridSpan w:val="3"/>
            <w:tcBorders>
              <w:top w:val="single" w:sz="4" w:space="0" w:color="auto"/>
              <w:left w:val="single" w:sz="24" w:space="0" w:color="FFFFFF" w:themeColor="background1"/>
              <w:bottom w:val="single" w:sz="4" w:space="0" w:color="auto"/>
            </w:tcBorders>
            <w:shd w:val="clear" w:color="auto" w:fill="auto"/>
            <w:vAlign w:val="bottom"/>
          </w:tcPr>
          <w:p w14:paraId="0B0EAED0" w14:textId="77777777" w:rsidR="00803069" w:rsidRPr="000D5B62" w:rsidRDefault="00803069" w:rsidP="00F81761">
            <w:pPr>
              <w:spacing w:before="40" w:after="40" w:line="300" w:lineRule="exact"/>
              <w:jc w:val="center"/>
              <w:textDirection w:val="tbRlV"/>
              <w:rPr>
                <w:rFonts w:eastAsiaTheme="minorEastAsia"/>
                <w:i/>
                <w:sz w:val="18"/>
                <w:szCs w:val="18"/>
                <w:lang w:val="ar-SA" w:eastAsia="zh-TW" w:bidi="en-GB"/>
              </w:rPr>
            </w:pPr>
            <w:r w:rsidRPr="000D5B62">
              <w:rPr>
                <w:rFonts w:eastAsiaTheme="minorEastAsia"/>
                <w:i/>
                <w:iCs/>
                <w:sz w:val="18"/>
                <w:szCs w:val="18"/>
                <w:rtl/>
              </w:rPr>
              <w:t>2016</w:t>
            </w:r>
          </w:p>
        </w:tc>
      </w:tr>
      <w:tr w:rsidR="00803069" w:rsidRPr="000D5B62" w14:paraId="78CA1863" w14:textId="77777777" w:rsidTr="00D8475F">
        <w:tc>
          <w:tcPr>
            <w:tcW w:w="1935" w:type="dxa"/>
            <w:vMerge/>
            <w:tcBorders>
              <w:top w:val="nil"/>
              <w:bottom w:val="single" w:sz="12" w:space="0" w:color="auto"/>
            </w:tcBorders>
            <w:shd w:val="clear" w:color="auto" w:fill="auto"/>
          </w:tcPr>
          <w:p w14:paraId="54992C5B" w14:textId="77777777" w:rsidR="00803069" w:rsidRPr="000D5B62" w:rsidRDefault="00803069" w:rsidP="00F81761">
            <w:pPr>
              <w:spacing w:before="40" w:after="40" w:line="300" w:lineRule="exact"/>
              <w:jc w:val="left"/>
              <w:rPr>
                <w:rFonts w:eastAsiaTheme="minorEastAsia"/>
                <w:i/>
                <w:sz w:val="18"/>
                <w:szCs w:val="18"/>
                <w:lang w:eastAsia="en-GB"/>
              </w:rPr>
            </w:pPr>
          </w:p>
        </w:tc>
        <w:tc>
          <w:tcPr>
            <w:tcW w:w="719" w:type="dxa"/>
            <w:tcBorders>
              <w:top w:val="single" w:sz="4" w:space="0" w:color="auto"/>
              <w:bottom w:val="single" w:sz="12" w:space="0" w:color="auto"/>
            </w:tcBorders>
            <w:shd w:val="clear" w:color="auto" w:fill="auto"/>
          </w:tcPr>
          <w:p w14:paraId="13477AB3"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الرتبة</w:t>
            </w:r>
          </w:p>
        </w:tc>
        <w:tc>
          <w:tcPr>
            <w:tcW w:w="930" w:type="dxa"/>
            <w:tcBorders>
              <w:top w:val="single" w:sz="4" w:space="0" w:color="auto"/>
              <w:bottom w:val="single" w:sz="12" w:space="0" w:color="auto"/>
            </w:tcBorders>
            <w:shd w:val="clear" w:color="auto" w:fill="auto"/>
          </w:tcPr>
          <w:p w14:paraId="383ADE20"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العدد</w:t>
            </w:r>
            <w:r w:rsidRPr="000D5B62">
              <w:rPr>
                <w:rFonts w:eastAsiaTheme="minorEastAsia"/>
                <w:sz w:val="18"/>
                <w:szCs w:val="18"/>
                <w:rtl/>
              </w:rPr>
              <w:t xml:space="preserve"> </w:t>
            </w:r>
          </w:p>
        </w:tc>
        <w:tc>
          <w:tcPr>
            <w:tcW w:w="642" w:type="dxa"/>
            <w:tcBorders>
              <w:top w:val="single" w:sz="4" w:space="0" w:color="auto"/>
              <w:bottom w:val="single" w:sz="12" w:space="0" w:color="auto"/>
              <w:right w:val="single" w:sz="24" w:space="0" w:color="FFFFFF" w:themeColor="background1"/>
            </w:tcBorders>
            <w:shd w:val="clear" w:color="auto" w:fill="auto"/>
          </w:tcPr>
          <w:p w14:paraId="456834D6" w14:textId="0CC96469" w:rsidR="00803069" w:rsidRPr="000D5B62" w:rsidRDefault="008B0906"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sz w:val="18"/>
                <w:szCs w:val="18"/>
                <w:rtl/>
                <w:lang w:val="ar-SA" w:eastAsia="zh-TW" w:bidi="ar-YE"/>
              </w:rPr>
              <w:t>٪</w:t>
            </w:r>
          </w:p>
        </w:tc>
        <w:tc>
          <w:tcPr>
            <w:tcW w:w="581" w:type="dxa"/>
            <w:tcBorders>
              <w:top w:val="single" w:sz="4" w:space="0" w:color="auto"/>
              <w:left w:val="single" w:sz="24" w:space="0" w:color="FFFFFF" w:themeColor="background1"/>
              <w:bottom w:val="single" w:sz="12" w:space="0" w:color="auto"/>
            </w:tcBorders>
            <w:shd w:val="clear" w:color="auto" w:fill="auto"/>
          </w:tcPr>
          <w:p w14:paraId="49BFCCF5"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الرتبة</w:t>
            </w:r>
          </w:p>
        </w:tc>
        <w:tc>
          <w:tcPr>
            <w:tcW w:w="905" w:type="dxa"/>
            <w:tcBorders>
              <w:top w:val="single" w:sz="4" w:space="0" w:color="auto"/>
              <w:bottom w:val="single" w:sz="12" w:space="0" w:color="auto"/>
            </w:tcBorders>
            <w:shd w:val="clear" w:color="auto" w:fill="auto"/>
          </w:tcPr>
          <w:p w14:paraId="5E26BD53"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العدد</w:t>
            </w:r>
            <w:r w:rsidRPr="000D5B62">
              <w:rPr>
                <w:rFonts w:eastAsiaTheme="minorEastAsia"/>
                <w:sz w:val="18"/>
                <w:szCs w:val="18"/>
                <w:rtl/>
              </w:rPr>
              <w:t xml:space="preserve"> </w:t>
            </w:r>
          </w:p>
        </w:tc>
        <w:tc>
          <w:tcPr>
            <w:tcW w:w="638" w:type="dxa"/>
            <w:tcBorders>
              <w:top w:val="single" w:sz="4" w:space="0" w:color="auto"/>
              <w:bottom w:val="single" w:sz="12" w:space="0" w:color="auto"/>
              <w:right w:val="single" w:sz="24" w:space="0" w:color="FFFFFF" w:themeColor="background1"/>
            </w:tcBorders>
            <w:shd w:val="clear" w:color="auto" w:fill="auto"/>
          </w:tcPr>
          <w:p w14:paraId="0F3A0FB1" w14:textId="01EC3C2E" w:rsidR="00803069" w:rsidRPr="000D5B62" w:rsidRDefault="008B0906" w:rsidP="00F81761">
            <w:pPr>
              <w:spacing w:before="40" w:after="40" w:line="300" w:lineRule="exact"/>
              <w:jc w:val="left"/>
              <w:textDirection w:val="tbRlV"/>
              <w:rPr>
                <w:rFonts w:eastAsiaTheme="minorEastAsia"/>
                <w:i/>
                <w:sz w:val="18"/>
                <w:szCs w:val="18"/>
                <w:lang w:eastAsia="zh-TW" w:bidi="en-GB"/>
              </w:rPr>
            </w:pPr>
            <w:r w:rsidRPr="000D5B62">
              <w:rPr>
                <w:rFonts w:eastAsiaTheme="minorEastAsia"/>
                <w:i/>
                <w:sz w:val="18"/>
                <w:szCs w:val="18"/>
                <w:rtl/>
                <w:lang w:val="ar-SA" w:eastAsia="zh-TW" w:bidi="ar-YE"/>
              </w:rPr>
              <w:t>٪</w:t>
            </w:r>
          </w:p>
        </w:tc>
        <w:tc>
          <w:tcPr>
            <w:tcW w:w="691" w:type="dxa"/>
            <w:tcBorders>
              <w:top w:val="single" w:sz="4" w:space="0" w:color="auto"/>
              <w:left w:val="single" w:sz="24" w:space="0" w:color="FFFFFF" w:themeColor="background1"/>
              <w:bottom w:val="single" w:sz="12" w:space="0" w:color="auto"/>
            </w:tcBorders>
            <w:shd w:val="clear" w:color="auto" w:fill="auto"/>
          </w:tcPr>
          <w:p w14:paraId="4178BA6A"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الرتبة</w:t>
            </w:r>
          </w:p>
        </w:tc>
        <w:tc>
          <w:tcPr>
            <w:tcW w:w="839" w:type="dxa"/>
            <w:tcBorders>
              <w:top w:val="single" w:sz="4" w:space="0" w:color="auto"/>
              <w:bottom w:val="single" w:sz="12" w:space="0" w:color="auto"/>
            </w:tcBorders>
            <w:shd w:val="clear" w:color="auto" w:fill="auto"/>
          </w:tcPr>
          <w:p w14:paraId="4F94486D" w14:textId="77777777" w:rsidR="00803069" w:rsidRPr="000D5B62" w:rsidRDefault="00803069" w:rsidP="00F81761">
            <w:pPr>
              <w:spacing w:before="40" w:after="40" w:line="300" w:lineRule="exact"/>
              <w:jc w:val="left"/>
              <w:textDirection w:val="tbRlV"/>
              <w:rPr>
                <w:rFonts w:eastAsiaTheme="minorEastAsia"/>
                <w:i/>
                <w:sz w:val="18"/>
                <w:szCs w:val="18"/>
                <w:lang w:val="ar-SA" w:eastAsia="zh-TW" w:bidi="en-GB"/>
              </w:rPr>
            </w:pPr>
            <w:r w:rsidRPr="000D5B62">
              <w:rPr>
                <w:rFonts w:eastAsiaTheme="minorEastAsia"/>
                <w:i/>
                <w:iCs/>
                <w:sz w:val="18"/>
                <w:szCs w:val="18"/>
                <w:rtl/>
              </w:rPr>
              <w:t>العدد</w:t>
            </w:r>
            <w:r w:rsidRPr="000D5B62">
              <w:rPr>
                <w:rFonts w:eastAsiaTheme="minorEastAsia"/>
                <w:sz w:val="18"/>
                <w:szCs w:val="18"/>
                <w:rtl/>
              </w:rPr>
              <w:t xml:space="preserve"> </w:t>
            </w:r>
          </w:p>
        </w:tc>
        <w:tc>
          <w:tcPr>
            <w:tcW w:w="625" w:type="dxa"/>
            <w:tcBorders>
              <w:top w:val="single" w:sz="4" w:space="0" w:color="auto"/>
              <w:bottom w:val="single" w:sz="12" w:space="0" w:color="auto"/>
            </w:tcBorders>
            <w:shd w:val="clear" w:color="auto" w:fill="auto"/>
          </w:tcPr>
          <w:p w14:paraId="06AB6839" w14:textId="073BE61E" w:rsidR="00803069" w:rsidRPr="000D5B62" w:rsidRDefault="008B0906" w:rsidP="00F81761">
            <w:pPr>
              <w:spacing w:before="40" w:after="40" w:line="300" w:lineRule="exact"/>
              <w:jc w:val="left"/>
              <w:textDirection w:val="tbRlV"/>
              <w:rPr>
                <w:rFonts w:eastAsiaTheme="minorEastAsia"/>
                <w:i/>
                <w:sz w:val="18"/>
                <w:szCs w:val="18"/>
                <w:lang w:eastAsia="zh-TW" w:bidi="en-GB"/>
              </w:rPr>
            </w:pPr>
            <w:r w:rsidRPr="000D5B62">
              <w:rPr>
                <w:rFonts w:eastAsiaTheme="minorEastAsia"/>
                <w:i/>
                <w:sz w:val="18"/>
                <w:szCs w:val="18"/>
                <w:rtl/>
                <w:lang w:val="ar-SA" w:eastAsia="zh-TW" w:bidi="ar-YE"/>
              </w:rPr>
              <w:t>٪</w:t>
            </w:r>
          </w:p>
        </w:tc>
      </w:tr>
      <w:tr w:rsidR="00803069" w:rsidRPr="000D5B62" w14:paraId="3BF7E784" w14:textId="77777777" w:rsidTr="00D8475F">
        <w:tc>
          <w:tcPr>
            <w:tcW w:w="1935" w:type="dxa"/>
            <w:tcBorders>
              <w:top w:val="single" w:sz="12" w:space="0" w:color="auto"/>
            </w:tcBorders>
            <w:shd w:val="clear" w:color="auto" w:fill="auto"/>
          </w:tcPr>
          <w:p w14:paraId="7C168B51"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 xml:space="preserve">داء السل </w:t>
            </w:r>
            <w:r w:rsidRPr="000D5B62">
              <w:rPr>
                <w:rFonts w:eastAsiaTheme="minorEastAsia"/>
                <w:sz w:val="18"/>
                <w:szCs w:val="18"/>
                <w:u w:val="single"/>
                <w:rtl/>
              </w:rPr>
              <w:t>(</w:t>
            </w:r>
            <w:r w:rsidRPr="000D5B62">
              <w:rPr>
                <w:rFonts w:eastAsiaTheme="minorEastAsia"/>
                <w:sz w:val="18"/>
                <w:szCs w:val="18"/>
                <w:u w:val="single"/>
              </w:rPr>
              <w:t>A15-A19</w:t>
            </w:r>
            <w:r w:rsidRPr="000D5B62">
              <w:rPr>
                <w:rFonts w:eastAsiaTheme="minorEastAsia"/>
                <w:sz w:val="18"/>
                <w:szCs w:val="18"/>
                <w:u w:val="single"/>
                <w:rtl/>
              </w:rPr>
              <w:t>)</w:t>
            </w:r>
          </w:p>
        </w:tc>
        <w:tc>
          <w:tcPr>
            <w:tcW w:w="719" w:type="dxa"/>
            <w:tcBorders>
              <w:top w:val="single" w:sz="12" w:space="0" w:color="auto"/>
            </w:tcBorders>
            <w:shd w:val="clear" w:color="auto" w:fill="auto"/>
          </w:tcPr>
          <w:p w14:paraId="07EB9E49" w14:textId="77777777" w:rsidR="00803069" w:rsidRPr="000D5B62" w:rsidRDefault="00803069" w:rsidP="00F51074">
            <w:pPr>
              <w:spacing w:before="40" w:after="40" w:line="300" w:lineRule="exact"/>
              <w:jc w:val="left"/>
              <w:textDirection w:val="tbRlV"/>
              <w:rPr>
                <w:rFonts w:eastAsiaTheme="minorEastAsia"/>
                <w:sz w:val="18"/>
                <w:szCs w:val="18"/>
                <w:lang w:eastAsia="zh-TW" w:bidi="en-GB"/>
              </w:rPr>
            </w:pPr>
            <w:r w:rsidRPr="000D5B62">
              <w:rPr>
                <w:rFonts w:eastAsiaTheme="minorEastAsia"/>
                <w:sz w:val="18"/>
                <w:szCs w:val="18"/>
                <w:rtl/>
              </w:rPr>
              <w:t>1</w:t>
            </w:r>
          </w:p>
        </w:tc>
        <w:tc>
          <w:tcPr>
            <w:tcW w:w="930" w:type="dxa"/>
            <w:tcBorders>
              <w:top w:val="single" w:sz="12" w:space="0" w:color="auto"/>
            </w:tcBorders>
            <w:shd w:val="clear" w:color="auto" w:fill="auto"/>
          </w:tcPr>
          <w:p w14:paraId="752413BC"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695 39</w:t>
            </w:r>
          </w:p>
        </w:tc>
        <w:tc>
          <w:tcPr>
            <w:tcW w:w="642" w:type="dxa"/>
            <w:tcBorders>
              <w:top w:val="single" w:sz="12" w:space="0" w:color="auto"/>
            </w:tcBorders>
            <w:shd w:val="clear" w:color="auto" w:fill="auto"/>
          </w:tcPr>
          <w:p w14:paraId="0415FC8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8,3</w:t>
            </w:r>
          </w:p>
        </w:tc>
        <w:tc>
          <w:tcPr>
            <w:tcW w:w="581" w:type="dxa"/>
            <w:tcBorders>
              <w:top w:val="single" w:sz="12" w:space="0" w:color="auto"/>
            </w:tcBorders>
            <w:shd w:val="clear" w:color="auto" w:fill="auto"/>
          </w:tcPr>
          <w:p w14:paraId="5A846EE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w:t>
            </w:r>
          </w:p>
        </w:tc>
        <w:tc>
          <w:tcPr>
            <w:tcW w:w="905" w:type="dxa"/>
            <w:tcBorders>
              <w:top w:val="single" w:sz="12" w:space="0" w:color="auto"/>
            </w:tcBorders>
            <w:shd w:val="clear" w:color="auto" w:fill="auto"/>
          </w:tcPr>
          <w:p w14:paraId="259E5FF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042 34</w:t>
            </w:r>
          </w:p>
        </w:tc>
        <w:tc>
          <w:tcPr>
            <w:tcW w:w="638" w:type="dxa"/>
            <w:tcBorders>
              <w:top w:val="single" w:sz="12" w:space="0" w:color="auto"/>
            </w:tcBorders>
            <w:shd w:val="clear" w:color="auto" w:fill="auto"/>
          </w:tcPr>
          <w:p w14:paraId="47D36ED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7,2</w:t>
            </w:r>
          </w:p>
        </w:tc>
        <w:tc>
          <w:tcPr>
            <w:tcW w:w="691" w:type="dxa"/>
            <w:tcBorders>
              <w:top w:val="single" w:sz="12" w:space="0" w:color="auto"/>
            </w:tcBorders>
            <w:shd w:val="clear" w:color="auto" w:fill="auto"/>
          </w:tcPr>
          <w:p w14:paraId="155073E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w:t>
            </w:r>
          </w:p>
        </w:tc>
        <w:tc>
          <w:tcPr>
            <w:tcW w:w="839" w:type="dxa"/>
            <w:tcBorders>
              <w:top w:val="single" w:sz="12" w:space="0" w:color="auto"/>
            </w:tcBorders>
            <w:shd w:val="clear" w:color="auto" w:fill="auto"/>
          </w:tcPr>
          <w:p w14:paraId="4A7BC63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513 29</w:t>
            </w:r>
          </w:p>
        </w:tc>
        <w:tc>
          <w:tcPr>
            <w:tcW w:w="625" w:type="dxa"/>
            <w:tcBorders>
              <w:top w:val="single" w:sz="12" w:space="0" w:color="auto"/>
            </w:tcBorders>
            <w:shd w:val="clear" w:color="auto" w:fill="auto"/>
          </w:tcPr>
          <w:p w14:paraId="0970805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6,5</w:t>
            </w:r>
          </w:p>
        </w:tc>
      </w:tr>
      <w:tr w:rsidR="00803069" w:rsidRPr="000D5B62" w14:paraId="138D0FF6" w14:textId="77777777" w:rsidTr="00D8475F">
        <w:tc>
          <w:tcPr>
            <w:tcW w:w="1935" w:type="dxa"/>
            <w:shd w:val="clear" w:color="auto" w:fill="auto"/>
          </w:tcPr>
          <w:p w14:paraId="307973FE"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داء السكري (</w:t>
            </w:r>
            <w:r w:rsidRPr="000D5B62">
              <w:rPr>
                <w:rFonts w:eastAsiaTheme="minorEastAsia"/>
                <w:sz w:val="18"/>
                <w:szCs w:val="18"/>
                <w:u w:val="single"/>
              </w:rPr>
              <w:t>E10-E14</w:t>
            </w:r>
            <w:r w:rsidRPr="000D5B62">
              <w:rPr>
                <w:rFonts w:eastAsiaTheme="minorEastAsia"/>
                <w:sz w:val="18"/>
                <w:szCs w:val="18"/>
                <w:rtl/>
              </w:rPr>
              <w:t>)</w:t>
            </w:r>
          </w:p>
        </w:tc>
        <w:tc>
          <w:tcPr>
            <w:tcW w:w="719" w:type="dxa"/>
            <w:shd w:val="clear" w:color="auto" w:fill="auto"/>
          </w:tcPr>
          <w:p w14:paraId="3E63A43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w:t>
            </w:r>
          </w:p>
        </w:tc>
        <w:tc>
          <w:tcPr>
            <w:tcW w:w="930" w:type="dxa"/>
            <w:shd w:val="clear" w:color="auto" w:fill="auto"/>
          </w:tcPr>
          <w:p w14:paraId="0FA00D7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092 24</w:t>
            </w:r>
          </w:p>
        </w:tc>
        <w:tc>
          <w:tcPr>
            <w:tcW w:w="642" w:type="dxa"/>
            <w:shd w:val="clear" w:color="auto" w:fill="auto"/>
          </w:tcPr>
          <w:p w14:paraId="0A30E07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w:t>
            </w:r>
          </w:p>
        </w:tc>
        <w:tc>
          <w:tcPr>
            <w:tcW w:w="581" w:type="dxa"/>
            <w:shd w:val="clear" w:color="auto" w:fill="auto"/>
          </w:tcPr>
          <w:p w14:paraId="101F764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w:t>
            </w:r>
          </w:p>
        </w:tc>
        <w:tc>
          <w:tcPr>
            <w:tcW w:w="905" w:type="dxa"/>
            <w:shd w:val="clear" w:color="auto" w:fill="auto"/>
          </w:tcPr>
          <w:p w14:paraId="2209DEE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774 25</w:t>
            </w:r>
          </w:p>
        </w:tc>
        <w:tc>
          <w:tcPr>
            <w:tcW w:w="638" w:type="dxa"/>
            <w:shd w:val="clear" w:color="auto" w:fill="auto"/>
          </w:tcPr>
          <w:p w14:paraId="6FB944F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5,4</w:t>
            </w:r>
          </w:p>
        </w:tc>
        <w:tc>
          <w:tcPr>
            <w:tcW w:w="691" w:type="dxa"/>
            <w:shd w:val="clear" w:color="auto" w:fill="auto"/>
          </w:tcPr>
          <w:p w14:paraId="3196C983"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w:t>
            </w:r>
          </w:p>
        </w:tc>
        <w:tc>
          <w:tcPr>
            <w:tcW w:w="839" w:type="dxa"/>
            <w:shd w:val="clear" w:color="auto" w:fill="auto"/>
          </w:tcPr>
          <w:p w14:paraId="00BD791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255 25</w:t>
            </w:r>
          </w:p>
        </w:tc>
        <w:tc>
          <w:tcPr>
            <w:tcW w:w="625" w:type="dxa"/>
            <w:shd w:val="clear" w:color="auto" w:fill="auto"/>
          </w:tcPr>
          <w:p w14:paraId="7FDB1A4E"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5,5</w:t>
            </w:r>
          </w:p>
        </w:tc>
      </w:tr>
      <w:tr w:rsidR="00803069" w:rsidRPr="000D5B62" w14:paraId="76DA3ECD" w14:textId="77777777" w:rsidTr="00D8475F">
        <w:tc>
          <w:tcPr>
            <w:tcW w:w="1935" w:type="dxa"/>
            <w:shd w:val="clear" w:color="auto" w:fill="auto"/>
          </w:tcPr>
          <w:p w14:paraId="25AA057E"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أمراض أخرى تصيب القلب (</w:t>
            </w:r>
            <w:r w:rsidRPr="000D5B62">
              <w:rPr>
                <w:rFonts w:eastAsiaTheme="minorEastAsia"/>
                <w:sz w:val="18"/>
                <w:szCs w:val="18"/>
              </w:rPr>
              <w:t>I30-I52</w:t>
            </w:r>
            <w:r w:rsidRPr="000D5B62">
              <w:rPr>
                <w:rFonts w:eastAsiaTheme="minorEastAsia"/>
                <w:sz w:val="18"/>
                <w:szCs w:val="18"/>
                <w:rtl/>
              </w:rPr>
              <w:t>)</w:t>
            </w:r>
          </w:p>
        </w:tc>
        <w:tc>
          <w:tcPr>
            <w:tcW w:w="719" w:type="dxa"/>
            <w:shd w:val="clear" w:color="auto" w:fill="auto"/>
          </w:tcPr>
          <w:p w14:paraId="06A1844D"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w:t>
            </w:r>
          </w:p>
        </w:tc>
        <w:tc>
          <w:tcPr>
            <w:tcW w:w="930" w:type="dxa"/>
            <w:shd w:val="clear" w:color="auto" w:fill="auto"/>
          </w:tcPr>
          <w:p w14:paraId="7D5D230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009 23</w:t>
            </w:r>
          </w:p>
        </w:tc>
        <w:tc>
          <w:tcPr>
            <w:tcW w:w="642" w:type="dxa"/>
            <w:shd w:val="clear" w:color="auto" w:fill="auto"/>
          </w:tcPr>
          <w:p w14:paraId="7916F34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4,8</w:t>
            </w:r>
          </w:p>
        </w:tc>
        <w:tc>
          <w:tcPr>
            <w:tcW w:w="581" w:type="dxa"/>
            <w:shd w:val="clear" w:color="auto" w:fill="auto"/>
          </w:tcPr>
          <w:p w14:paraId="007FDC5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w:t>
            </w:r>
          </w:p>
        </w:tc>
        <w:tc>
          <w:tcPr>
            <w:tcW w:w="905" w:type="dxa"/>
            <w:shd w:val="clear" w:color="auto" w:fill="auto"/>
          </w:tcPr>
          <w:p w14:paraId="4433A3B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299 23</w:t>
            </w:r>
          </w:p>
        </w:tc>
        <w:tc>
          <w:tcPr>
            <w:tcW w:w="638" w:type="dxa"/>
            <w:shd w:val="clear" w:color="auto" w:fill="auto"/>
          </w:tcPr>
          <w:p w14:paraId="0C1D1F6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4,9</w:t>
            </w:r>
          </w:p>
        </w:tc>
        <w:tc>
          <w:tcPr>
            <w:tcW w:w="691" w:type="dxa"/>
            <w:shd w:val="clear" w:color="auto" w:fill="auto"/>
          </w:tcPr>
          <w:p w14:paraId="544A183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w:t>
            </w:r>
          </w:p>
        </w:tc>
        <w:tc>
          <w:tcPr>
            <w:tcW w:w="839" w:type="dxa"/>
            <w:shd w:val="clear" w:color="auto" w:fill="auto"/>
          </w:tcPr>
          <w:p w14:paraId="398EF9F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515 23</w:t>
            </w:r>
          </w:p>
        </w:tc>
        <w:tc>
          <w:tcPr>
            <w:tcW w:w="625" w:type="dxa"/>
            <w:shd w:val="clear" w:color="auto" w:fill="auto"/>
          </w:tcPr>
          <w:p w14:paraId="3D18AE0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w:t>
            </w:r>
          </w:p>
        </w:tc>
      </w:tr>
      <w:tr w:rsidR="00803069" w:rsidRPr="000D5B62" w14:paraId="52B8DE46" w14:textId="77777777" w:rsidTr="00D8475F">
        <w:tc>
          <w:tcPr>
            <w:tcW w:w="1935" w:type="dxa"/>
            <w:shd w:val="clear" w:color="auto" w:fill="auto"/>
          </w:tcPr>
          <w:p w14:paraId="2DA83802"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الأمراض الدماغية الوعائية (</w:t>
            </w:r>
            <w:r w:rsidRPr="000D5B62">
              <w:rPr>
                <w:rFonts w:eastAsiaTheme="minorEastAsia"/>
                <w:sz w:val="18"/>
                <w:szCs w:val="18"/>
              </w:rPr>
              <w:t>I60-I69</w:t>
            </w:r>
            <w:r w:rsidRPr="000D5B62">
              <w:rPr>
                <w:rFonts w:eastAsiaTheme="minorEastAsia"/>
                <w:sz w:val="18"/>
                <w:szCs w:val="18"/>
                <w:rtl/>
              </w:rPr>
              <w:t>) الأمراض المعوية المعدية (</w:t>
            </w:r>
            <w:r w:rsidRPr="000D5B62">
              <w:rPr>
                <w:rFonts w:eastAsiaTheme="minorEastAsia"/>
                <w:sz w:val="18"/>
                <w:szCs w:val="18"/>
              </w:rPr>
              <w:t>A00-A09</w:t>
            </w:r>
            <w:r w:rsidRPr="000D5B62">
              <w:rPr>
                <w:rFonts w:eastAsiaTheme="minorEastAsia"/>
                <w:sz w:val="18"/>
                <w:szCs w:val="18"/>
                <w:rtl/>
              </w:rPr>
              <w:t>)</w:t>
            </w:r>
          </w:p>
        </w:tc>
        <w:tc>
          <w:tcPr>
            <w:tcW w:w="719" w:type="dxa"/>
            <w:shd w:val="clear" w:color="auto" w:fill="auto"/>
          </w:tcPr>
          <w:p w14:paraId="2979702E"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w:t>
            </w:r>
          </w:p>
        </w:tc>
        <w:tc>
          <w:tcPr>
            <w:tcW w:w="930" w:type="dxa"/>
            <w:shd w:val="clear" w:color="auto" w:fill="auto"/>
          </w:tcPr>
          <w:p w14:paraId="32D16B2E"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258 24</w:t>
            </w:r>
          </w:p>
        </w:tc>
        <w:tc>
          <w:tcPr>
            <w:tcW w:w="642" w:type="dxa"/>
            <w:shd w:val="clear" w:color="auto" w:fill="auto"/>
          </w:tcPr>
          <w:p w14:paraId="27098EB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w:t>
            </w:r>
          </w:p>
        </w:tc>
        <w:tc>
          <w:tcPr>
            <w:tcW w:w="581" w:type="dxa"/>
            <w:shd w:val="clear" w:color="auto" w:fill="auto"/>
          </w:tcPr>
          <w:p w14:paraId="34B4D58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w:t>
            </w:r>
          </w:p>
        </w:tc>
        <w:tc>
          <w:tcPr>
            <w:tcW w:w="905" w:type="dxa"/>
            <w:shd w:val="clear" w:color="auto" w:fill="auto"/>
          </w:tcPr>
          <w:p w14:paraId="186F733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505 23</w:t>
            </w:r>
          </w:p>
        </w:tc>
        <w:tc>
          <w:tcPr>
            <w:tcW w:w="638" w:type="dxa"/>
            <w:shd w:val="clear" w:color="auto" w:fill="auto"/>
          </w:tcPr>
          <w:p w14:paraId="06A46F3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5,0</w:t>
            </w:r>
          </w:p>
        </w:tc>
        <w:tc>
          <w:tcPr>
            <w:tcW w:w="691" w:type="dxa"/>
            <w:shd w:val="clear" w:color="auto" w:fill="auto"/>
          </w:tcPr>
          <w:p w14:paraId="6D4B16B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w:t>
            </w:r>
          </w:p>
        </w:tc>
        <w:tc>
          <w:tcPr>
            <w:tcW w:w="839" w:type="dxa"/>
            <w:shd w:val="clear" w:color="auto" w:fill="auto"/>
          </w:tcPr>
          <w:p w14:paraId="74B49D1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137 23</w:t>
            </w:r>
          </w:p>
        </w:tc>
        <w:tc>
          <w:tcPr>
            <w:tcW w:w="625" w:type="dxa"/>
            <w:shd w:val="clear" w:color="auto" w:fill="auto"/>
          </w:tcPr>
          <w:p w14:paraId="4FFA5C6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5,1</w:t>
            </w:r>
          </w:p>
        </w:tc>
      </w:tr>
      <w:tr w:rsidR="00803069" w:rsidRPr="000D5B62" w14:paraId="65E1F18A" w14:textId="77777777" w:rsidTr="00D8475F">
        <w:tc>
          <w:tcPr>
            <w:tcW w:w="1935" w:type="dxa"/>
            <w:shd w:val="clear" w:color="auto" w:fill="auto"/>
          </w:tcPr>
          <w:p w14:paraId="1933F601" w14:textId="77777777" w:rsidR="00803069" w:rsidRPr="000D5B62" w:rsidRDefault="00803069" w:rsidP="00F81761">
            <w:pPr>
              <w:spacing w:before="40" w:after="40" w:line="300" w:lineRule="exact"/>
              <w:textDirection w:val="tbRlV"/>
              <w:rPr>
                <w:rFonts w:eastAsiaTheme="minorEastAsia"/>
                <w:sz w:val="18"/>
                <w:szCs w:val="18"/>
                <w:lang w:eastAsia="zh-TW" w:bidi="en-GB"/>
              </w:rPr>
            </w:pPr>
            <w:r w:rsidRPr="000D5B62">
              <w:rPr>
                <w:rFonts w:eastAsiaTheme="minorEastAsia"/>
                <w:sz w:val="18"/>
                <w:szCs w:val="18"/>
                <w:rtl/>
              </w:rPr>
              <w:t xml:space="preserve">مرض فيروس نقص المناعة </w:t>
            </w:r>
            <w:r w:rsidRPr="000D5B62">
              <w:rPr>
                <w:rFonts w:eastAsiaTheme="minorEastAsia"/>
                <w:spacing w:val="-2"/>
                <w:sz w:val="18"/>
                <w:szCs w:val="18"/>
                <w:rtl/>
              </w:rPr>
              <w:t>البشرية المكتسب (</w:t>
            </w:r>
            <w:r w:rsidRPr="000D5B62">
              <w:rPr>
                <w:rFonts w:eastAsiaTheme="minorEastAsia"/>
                <w:spacing w:val="-2"/>
                <w:sz w:val="18"/>
                <w:szCs w:val="18"/>
              </w:rPr>
              <w:t>B20-B24</w:t>
            </w:r>
            <w:r w:rsidRPr="000D5B62">
              <w:rPr>
                <w:rFonts w:eastAsiaTheme="minorEastAsia"/>
                <w:spacing w:val="-2"/>
                <w:sz w:val="18"/>
                <w:szCs w:val="18"/>
                <w:rtl/>
              </w:rPr>
              <w:t>)</w:t>
            </w:r>
          </w:p>
        </w:tc>
        <w:tc>
          <w:tcPr>
            <w:tcW w:w="719" w:type="dxa"/>
            <w:shd w:val="clear" w:color="auto" w:fill="auto"/>
          </w:tcPr>
          <w:p w14:paraId="79713E4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w:t>
            </w:r>
          </w:p>
        </w:tc>
        <w:tc>
          <w:tcPr>
            <w:tcW w:w="930" w:type="dxa"/>
            <w:shd w:val="clear" w:color="auto" w:fill="auto"/>
          </w:tcPr>
          <w:p w14:paraId="086F39A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866 22</w:t>
            </w:r>
          </w:p>
        </w:tc>
        <w:tc>
          <w:tcPr>
            <w:tcW w:w="642" w:type="dxa"/>
            <w:shd w:val="clear" w:color="auto" w:fill="auto"/>
          </w:tcPr>
          <w:p w14:paraId="2E03B24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4,8</w:t>
            </w:r>
          </w:p>
        </w:tc>
        <w:tc>
          <w:tcPr>
            <w:tcW w:w="581" w:type="dxa"/>
            <w:shd w:val="clear" w:color="auto" w:fill="auto"/>
          </w:tcPr>
          <w:p w14:paraId="5EDB3C3C"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w:t>
            </w:r>
          </w:p>
        </w:tc>
        <w:tc>
          <w:tcPr>
            <w:tcW w:w="905" w:type="dxa"/>
            <w:shd w:val="clear" w:color="auto" w:fill="auto"/>
          </w:tcPr>
          <w:p w14:paraId="1BA2BFF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557 22</w:t>
            </w:r>
          </w:p>
        </w:tc>
        <w:tc>
          <w:tcPr>
            <w:tcW w:w="638" w:type="dxa"/>
            <w:shd w:val="clear" w:color="auto" w:fill="auto"/>
          </w:tcPr>
          <w:p w14:paraId="4DAB050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4,8</w:t>
            </w:r>
          </w:p>
        </w:tc>
        <w:tc>
          <w:tcPr>
            <w:tcW w:w="691" w:type="dxa"/>
            <w:shd w:val="clear" w:color="auto" w:fill="auto"/>
          </w:tcPr>
          <w:p w14:paraId="34EBB98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w:t>
            </w:r>
          </w:p>
        </w:tc>
        <w:tc>
          <w:tcPr>
            <w:tcW w:w="839" w:type="dxa"/>
            <w:shd w:val="clear" w:color="auto" w:fill="auto"/>
          </w:tcPr>
          <w:p w14:paraId="5239326E"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830 21</w:t>
            </w:r>
          </w:p>
        </w:tc>
        <w:tc>
          <w:tcPr>
            <w:tcW w:w="625" w:type="dxa"/>
            <w:shd w:val="clear" w:color="auto" w:fill="auto"/>
          </w:tcPr>
          <w:p w14:paraId="77507D4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4,8</w:t>
            </w:r>
          </w:p>
        </w:tc>
      </w:tr>
      <w:tr w:rsidR="00803069" w:rsidRPr="000D5B62" w14:paraId="379529ED" w14:textId="77777777" w:rsidTr="00D8475F">
        <w:tc>
          <w:tcPr>
            <w:tcW w:w="1935" w:type="dxa"/>
            <w:shd w:val="clear" w:color="auto" w:fill="auto"/>
          </w:tcPr>
          <w:p w14:paraId="27FC2D8D"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أمراض ارتفاع ضغط الدم (</w:t>
            </w:r>
            <w:r w:rsidRPr="000D5B62">
              <w:rPr>
                <w:rFonts w:eastAsiaTheme="minorEastAsia"/>
                <w:sz w:val="18"/>
                <w:szCs w:val="18"/>
              </w:rPr>
              <w:t>I10-I15</w:t>
            </w:r>
            <w:r w:rsidRPr="000D5B62">
              <w:rPr>
                <w:rFonts w:eastAsiaTheme="minorEastAsia"/>
                <w:sz w:val="18"/>
                <w:szCs w:val="18"/>
                <w:rtl/>
              </w:rPr>
              <w:t>)</w:t>
            </w:r>
          </w:p>
        </w:tc>
        <w:tc>
          <w:tcPr>
            <w:tcW w:w="719" w:type="dxa"/>
            <w:shd w:val="clear" w:color="auto" w:fill="auto"/>
          </w:tcPr>
          <w:p w14:paraId="106C3BB7" w14:textId="77777777" w:rsidR="00803069" w:rsidRPr="000D5B62" w:rsidRDefault="00803069" w:rsidP="00F51074">
            <w:pPr>
              <w:spacing w:before="40" w:after="40" w:line="300" w:lineRule="exact"/>
              <w:jc w:val="left"/>
              <w:textDirection w:val="tbRlV"/>
              <w:rPr>
                <w:rFonts w:eastAsiaTheme="minorEastAsia"/>
                <w:sz w:val="18"/>
                <w:szCs w:val="18"/>
                <w:lang w:eastAsia="zh-TW" w:bidi="en-GB"/>
              </w:rPr>
            </w:pPr>
            <w:r w:rsidRPr="000D5B62">
              <w:rPr>
                <w:rFonts w:eastAsiaTheme="minorEastAsia"/>
                <w:sz w:val="18"/>
                <w:szCs w:val="18"/>
                <w:rtl/>
              </w:rPr>
              <w:t>7</w:t>
            </w:r>
          </w:p>
        </w:tc>
        <w:tc>
          <w:tcPr>
            <w:tcW w:w="930" w:type="dxa"/>
            <w:shd w:val="clear" w:color="auto" w:fill="auto"/>
          </w:tcPr>
          <w:p w14:paraId="233B858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416 18</w:t>
            </w:r>
          </w:p>
        </w:tc>
        <w:tc>
          <w:tcPr>
            <w:tcW w:w="642" w:type="dxa"/>
            <w:shd w:val="clear" w:color="auto" w:fill="auto"/>
          </w:tcPr>
          <w:p w14:paraId="3D7DEEF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3,9</w:t>
            </w:r>
          </w:p>
        </w:tc>
        <w:tc>
          <w:tcPr>
            <w:tcW w:w="581" w:type="dxa"/>
            <w:shd w:val="clear" w:color="auto" w:fill="auto"/>
          </w:tcPr>
          <w:p w14:paraId="23458E0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w:t>
            </w:r>
          </w:p>
        </w:tc>
        <w:tc>
          <w:tcPr>
            <w:tcW w:w="905" w:type="dxa"/>
            <w:shd w:val="clear" w:color="auto" w:fill="auto"/>
          </w:tcPr>
          <w:p w14:paraId="3E65F4D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845 19</w:t>
            </w:r>
          </w:p>
        </w:tc>
        <w:tc>
          <w:tcPr>
            <w:tcW w:w="638" w:type="dxa"/>
            <w:shd w:val="clear" w:color="auto" w:fill="auto"/>
          </w:tcPr>
          <w:p w14:paraId="686E973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4,2</w:t>
            </w:r>
          </w:p>
        </w:tc>
        <w:tc>
          <w:tcPr>
            <w:tcW w:w="691" w:type="dxa"/>
            <w:shd w:val="clear" w:color="auto" w:fill="auto"/>
          </w:tcPr>
          <w:p w14:paraId="75AC4B9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w:t>
            </w:r>
          </w:p>
        </w:tc>
        <w:tc>
          <w:tcPr>
            <w:tcW w:w="839" w:type="dxa"/>
            <w:shd w:val="clear" w:color="auto" w:fill="auto"/>
          </w:tcPr>
          <w:p w14:paraId="6DDD7AB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960 19</w:t>
            </w:r>
          </w:p>
        </w:tc>
        <w:tc>
          <w:tcPr>
            <w:tcW w:w="625" w:type="dxa"/>
            <w:shd w:val="clear" w:color="auto" w:fill="auto"/>
          </w:tcPr>
          <w:p w14:paraId="64B9664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4,4</w:t>
            </w:r>
          </w:p>
        </w:tc>
      </w:tr>
      <w:tr w:rsidR="00803069" w:rsidRPr="000D5B62" w14:paraId="7CD7640E" w14:textId="77777777" w:rsidTr="00D8475F">
        <w:tc>
          <w:tcPr>
            <w:tcW w:w="1935" w:type="dxa"/>
            <w:shd w:val="clear" w:color="auto" w:fill="auto"/>
          </w:tcPr>
          <w:p w14:paraId="70764029"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الإنفلونزا والالتهاب الرئوي (</w:t>
            </w:r>
            <w:r w:rsidRPr="000D5B62">
              <w:rPr>
                <w:rFonts w:eastAsiaTheme="minorEastAsia"/>
                <w:sz w:val="18"/>
                <w:szCs w:val="18"/>
              </w:rPr>
              <w:t>J09-J18</w:t>
            </w:r>
            <w:r w:rsidRPr="000D5B62">
              <w:rPr>
                <w:rFonts w:eastAsiaTheme="minorEastAsia"/>
                <w:sz w:val="18"/>
                <w:szCs w:val="18"/>
                <w:rtl/>
              </w:rPr>
              <w:t>)</w:t>
            </w:r>
          </w:p>
        </w:tc>
        <w:tc>
          <w:tcPr>
            <w:tcW w:w="719" w:type="dxa"/>
            <w:shd w:val="clear" w:color="auto" w:fill="auto"/>
          </w:tcPr>
          <w:p w14:paraId="038867A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w:t>
            </w:r>
          </w:p>
        </w:tc>
        <w:tc>
          <w:tcPr>
            <w:tcW w:w="930" w:type="dxa"/>
            <w:shd w:val="clear" w:color="auto" w:fill="auto"/>
          </w:tcPr>
          <w:p w14:paraId="22FCFD6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878 22</w:t>
            </w:r>
          </w:p>
        </w:tc>
        <w:tc>
          <w:tcPr>
            <w:tcW w:w="642" w:type="dxa"/>
            <w:shd w:val="clear" w:color="auto" w:fill="auto"/>
          </w:tcPr>
          <w:p w14:paraId="5E9352A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4,8</w:t>
            </w:r>
          </w:p>
        </w:tc>
        <w:tc>
          <w:tcPr>
            <w:tcW w:w="581" w:type="dxa"/>
            <w:shd w:val="clear" w:color="auto" w:fill="auto"/>
          </w:tcPr>
          <w:p w14:paraId="54D6CDD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w:t>
            </w:r>
          </w:p>
        </w:tc>
        <w:tc>
          <w:tcPr>
            <w:tcW w:w="905" w:type="dxa"/>
            <w:shd w:val="clear" w:color="auto" w:fill="auto"/>
          </w:tcPr>
          <w:p w14:paraId="4FA4D1D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001 21</w:t>
            </w:r>
          </w:p>
        </w:tc>
        <w:tc>
          <w:tcPr>
            <w:tcW w:w="638" w:type="dxa"/>
            <w:shd w:val="clear" w:color="auto" w:fill="auto"/>
          </w:tcPr>
          <w:p w14:paraId="0113A35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4,4</w:t>
            </w:r>
          </w:p>
        </w:tc>
        <w:tc>
          <w:tcPr>
            <w:tcW w:w="691" w:type="dxa"/>
            <w:shd w:val="clear" w:color="auto" w:fill="auto"/>
          </w:tcPr>
          <w:p w14:paraId="696DFFD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w:t>
            </w:r>
          </w:p>
        </w:tc>
        <w:tc>
          <w:tcPr>
            <w:tcW w:w="839" w:type="dxa"/>
            <w:shd w:val="clear" w:color="auto" w:fill="auto"/>
          </w:tcPr>
          <w:p w14:paraId="3BFCE70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638 19</w:t>
            </w:r>
          </w:p>
        </w:tc>
        <w:tc>
          <w:tcPr>
            <w:tcW w:w="625" w:type="dxa"/>
            <w:shd w:val="clear" w:color="auto" w:fill="auto"/>
          </w:tcPr>
          <w:p w14:paraId="7036AEA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4,3</w:t>
            </w:r>
          </w:p>
        </w:tc>
      </w:tr>
      <w:tr w:rsidR="00803069" w:rsidRPr="000D5B62" w14:paraId="00A281CD" w14:textId="77777777" w:rsidTr="00D8475F">
        <w:tc>
          <w:tcPr>
            <w:tcW w:w="1935" w:type="dxa"/>
            <w:shd w:val="clear" w:color="auto" w:fill="auto"/>
          </w:tcPr>
          <w:p w14:paraId="6E266532" w14:textId="77777777" w:rsidR="00803069" w:rsidRPr="000D5B62" w:rsidRDefault="00803069" w:rsidP="00F81761">
            <w:pPr>
              <w:spacing w:before="40" w:after="40" w:line="300" w:lineRule="exact"/>
              <w:textDirection w:val="tbRlV"/>
              <w:rPr>
                <w:rFonts w:eastAsiaTheme="minorEastAsia"/>
                <w:sz w:val="18"/>
                <w:szCs w:val="18"/>
                <w:lang w:eastAsia="zh-TW" w:bidi="en-GB"/>
              </w:rPr>
            </w:pPr>
            <w:r w:rsidRPr="000D5B62">
              <w:rPr>
                <w:rFonts w:eastAsiaTheme="minorEastAsia"/>
                <w:sz w:val="18"/>
                <w:szCs w:val="18"/>
                <w:rtl/>
              </w:rPr>
              <w:t>أمراض فيروسية أخرى (</w:t>
            </w:r>
            <w:r w:rsidRPr="000D5B62">
              <w:rPr>
                <w:rFonts w:eastAsiaTheme="minorEastAsia"/>
                <w:sz w:val="18"/>
                <w:szCs w:val="18"/>
              </w:rPr>
              <w:t>B25-B34</w:t>
            </w:r>
            <w:r w:rsidRPr="000D5B62">
              <w:rPr>
                <w:rFonts w:eastAsiaTheme="minorEastAsia"/>
                <w:sz w:val="18"/>
                <w:szCs w:val="18"/>
                <w:rtl/>
              </w:rPr>
              <w:t>)</w:t>
            </w:r>
          </w:p>
        </w:tc>
        <w:tc>
          <w:tcPr>
            <w:tcW w:w="719" w:type="dxa"/>
            <w:shd w:val="clear" w:color="auto" w:fill="auto"/>
          </w:tcPr>
          <w:p w14:paraId="52050F9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9</w:t>
            </w:r>
          </w:p>
        </w:tc>
        <w:tc>
          <w:tcPr>
            <w:tcW w:w="930" w:type="dxa"/>
            <w:shd w:val="clear" w:color="auto" w:fill="auto"/>
          </w:tcPr>
          <w:p w14:paraId="273431B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574 14</w:t>
            </w:r>
          </w:p>
        </w:tc>
        <w:tc>
          <w:tcPr>
            <w:tcW w:w="642" w:type="dxa"/>
            <w:shd w:val="clear" w:color="auto" w:fill="auto"/>
          </w:tcPr>
          <w:p w14:paraId="1864A1E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3,1</w:t>
            </w:r>
          </w:p>
        </w:tc>
        <w:tc>
          <w:tcPr>
            <w:tcW w:w="581" w:type="dxa"/>
            <w:shd w:val="clear" w:color="auto" w:fill="auto"/>
          </w:tcPr>
          <w:p w14:paraId="67A42C5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w:t>
            </w:r>
          </w:p>
        </w:tc>
        <w:tc>
          <w:tcPr>
            <w:tcW w:w="905" w:type="dxa"/>
            <w:shd w:val="clear" w:color="auto" w:fill="auto"/>
          </w:tcPr>
          <w:p w14:paraId="2046683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475 16</w:t>
            </w:r>
          </w:p>
        </w:tc>
        <w:tc>
          <w:tcPr>
            <w:tcW w:w="638" w:type="dxa"/>
            <w:shd w:val="clear" w:color="auto" w:fill="auto"/>
          </w:tcPr>
          <w:p w14:paraId="4817DE1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3,5</w:t>
            </w:r>
          </w:p>
        </w:tc>
        <w:tc>
          <w:tcPr>
            <w:tcW w:w="691" w:type="dxa"/>
            <w:shd w:val="clear" w:color="auto" w:fill="auto"/>
          </w:tcPr>
          <w:p w14:paraId="56AF09D7" w14:textId="77777777" w:rsidR="00803069" w:rsidRPr="000D5B62" w:rsidRDefault="00803069" w:rsidP="00F51074">
            <w:pPr>
              <w:spacing w:before="40" w:after="40" w:line="300" w:lineRule="exact"/>
              <w:jc w:val="left"/>
              <w:textDirection w:val="tbRlV"/>
              <w:rPr>
                <w:rFonts w:eastAsiaTheme="minorEastAsia"/>
                <w:sz w:val="18"/>
                <w:szCs w:val="18"/>
                <w:lang w:eastAsia="zh-TW" w:bidi="en-GB"/>
              </w:rPr>
            </w:pPr>
            <w:r w:rsidRPr="000D5B62">
              <w:rPr>
                <w:rFonts w:eastAsiaTheme="minorEastAsia"/>
                <w:sz w:val="18"/>
                <w:szCs w:val="18"/>
                <w:rtl/>
              </w:rPr>
              <w:t>8</w:t>
            </w:r>
          </w:p>
        </w:tc>
        <w:tc>
          <w:tcPr>
            <w:tcW w:w="839" w:type="dxa"/>
            <w:shd w:val="clear" w:color="auto" w:fill="auto"/>
          </w:tcPr>
          <w:p w14:paraId="14196AE1"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577 16</w:t>
            </w:r>
          </w:p>
        </w:tc>
        <w:tc>
          <w:tcPr>
            <w:tcW w:w="625" w:type="dxa"/>
            <w:shd w:val="clear" w:color="auto" w:fill="auto"/>
          </w:tcPr>
          <w:p w14:paraId="2E25F13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3,6</w:t>
            </w:r>
          </w:p>
        </w:tc>
      </w:tr>
      <w:tr w:rsidR="00803069" w:rsidRPr="000D5B62" w14:paraId="16BA8219" w14:textId="77777777" w:rsidTr="00D8475F">
        <w:tc>
          <w:tcPr>
            <w:tcW w:w="1935" w:type="dxa"/>
            <w:tcBorders>
              <w:bottom w:val="nil"/>
            </w:tcBorders>
            <w:shd w:val="clear" w:color="auto" w:fill="auto"/>
          </w:tcPr>
          <w:p w14:paraId="755A5442"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أمراض أوعية القلب الدموية (</w:t>
            </w:r>
            <w:r w:rsidRPr="000D5B62">
              <w:rPr>
                <w:rFonts w:eastAsiaTheme="minorEastAsia"/>
                <w:sz w:val="18"/>
                <w:szCs w:val="18"/>
              </w:rPr>
              <w:t>I20-I25</w:t>
            </w:r>
            <w:r w:rsidRPr="000D5B62">
              <w:rPr>
                <w:rFonts w:eastAsiaTheme="minorEastAsia"/>
                <w:sz w:val="18"/>
                <w:szCs w:val="18"/>
                <w:rtl/>
              </w:rPr>
              <w:t>)</w:t>
            </w:r>
          </w:p>
        </w:tc>
        <w:tc>
          <w:tcPr>
            <w:tcW w:w="719" w:type="dxa"/>
            <w:tcBorders>
              <w:bottom w:val="nil"/>
            </w:tcBorders>
            <w:shd w:val="clear" w:color="auto" w:fill="auto"/>
          </w:tcPr>
          <w:p w14:paraId="255F706D"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930" w:type="dxa"/>
            <w:tcBorders>
              <w:bottom w:val="nil"/>
            </w:tcBorders>
            <w:shd w:val="clear" w:color="auto" w:fill="auto"/>
          </w:tcPr>
          <w:p w14:paraId="5968BBC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642" w:type="dxa"/>
            <w:tcBorders>
              <w:bottom w:val="nil"/>
            </w:tcBorders>
            <w:shd w:val="clear" w:color="auto" w:fill="auto"/>
          </w:tcPr>
          <w:p w14:paraId="21F85AEC"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581" w:type="dxa"/>
            <w:tcBorders>
              <w:bottom w:val="nil"/>
            </w:tcBorders>
            <w:shd w:val="clear" w:color="auto" w:fill="auto"/>
          </w:tcPr>
          <w:p w14:paraId="4FC4C7DB"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10</w:t>
            </w:r>
          </w:p>
        </w:tc>
        <w:tc>
          <w:tcPr>
            <w:tcW w:w="905" w:type="dxa"/>
            <w:tcBorders>
              <w:bottom w:val="nil"/>
            </w:tcBorders>
            <w:shd w:val="clear" w:color="auto" w:fill="auto"/>
          </w:tcPr>
          <w:p w14:paraId="4B33F84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714 12</w:t>
            </w:r>
          </w:p>
        </w:tc>
        <w:tc>
          <w:tcPr>
            <w:tcW w:w="638" w:type="dxa"/>
            <w:tcBorders>
              <w:bottom w:val="nil"/>
            </w:tcBorders>
            <w:shd w:val="clear" w:color="auto" w:fill="auto"/>
          </w:tcPr>
          <w:p w14:paraId="23C8557F"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2,7</w:t>
            </w:r>
          </w:p>
        </w:tc>
        <w:tc>
          <w:tcPr>
            <w:tcW w:w="691" w:type="dxa"/>
            <w:tcBorders>
              <w:bottom w:val="nil"/>
            </w:tcBorders>
            <w:shd w:val="clear" w:color="auto" w:fill="auto"/>
          </w:tcPr>
          <w:p w14:paraId="5784A83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9</w:t>
            </w:r>
          </w:p>
        </w:tc>
        <w:tc>
          <w:tcPr>
            <w:tcW w:w="839" w:type="dxa"/>
            <w:tcBorders>
              <w:bottom w:val="nil"/>
            </w:tcBorders>
            <w:shd w:val="clear" w:color="auto" w:fill="auto"/>
          </w:tcPr>
          <w:p w14:paraId="173690A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883 12</w:t>
            </w:r>
          </w:p>
        </w:tc>
        <w:tc>
          <w:tcPr>
            <w:tcW w:w="625" w:type="dxa"/>
            <w:tcBorders>
              <w:bottom w:val="nil"/>
            </w:tcBorders>
            <w:shd w:val="clear" w:color="auto" w:fill="auto"/>
          </w:tcPr>
          <w:p w14:paraId="23588A33"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2,8</w:t>
            </w:r>
          </w:p>
        </w:tc>
      </w:tr>
      <w:tr w:rsidR="00803069" w:rsidRPr="000D5B62" w14:paraId="0BC3A22A" w14:textId="77777777" w:rsidTr="00D8475F">
        <w:tc>
          <w:tcPr>
            <w:tcW w:w="1935" w:type="dxa"/>
            <w:tcBorders>
              <w:top w:val="nil"/>
              <w:bottom w:val="nil"/>
            </w:tcBorders>
            <w:shd w:val="clear" w:color="auto" w:fill="auto"/>
          </w:tcPr>
          <w:p w14:paraId="0C1DBC12"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أمراض الجهاز التنفسي السفلي المزمنة (</w:t>
            </w:r>
            <w:r w:rsidRPr="000D5B62">
              <w:rPr>
                <w:rFonts w:eastAsiaTheme="minorEastAsia"/>
                <w:sz w:val="18"/>
                <w:szCs w:val="18"/>
              </w:rPr>
              <w:t>J40-J47</w:t>
            </w:r>
            <w:r w:rsidRPr="000D5B62">
              <w:rPr>
                <w:rFonts w:eastAsiaTheme="minorEastAsia"/>
                <w:sz w:val="18"/>
                <w:szCs w:val="18"/>
                <w:rtl/>
              </w:rPr>
              <w:t>)</w:t>
            </w:r>
          </w:p>
        </w:tc>
        <w:tc>
          <w:tcPr>
            <w:tcW w:w="719" w:type="dxa"/>
            <w:tcBorders>
              <w:top w:val="nil"/>
              <w:bottom w:val="nil"/>
            </w:tcBorders>
            <w:shd w:val="clear" w:color="auto" w:fill="auto"/>
          </w:tcPr>
          <w:p w14:paraId="6BC4C0D9"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10</w:t>
            </w:r>
          </w:p>
        </w:tc>
        <w:tc>
          <w:tcPr>
            <w:tcW w:w="930" w:type="dxa"/>
            <w:tcBorders>
              <w:top w:val="nil"/>
              <w:bottom w:val="nil"/>
            </w:tcBorders>
            <w:shd w:val="clear" w:color="auto" w:fill="auto"/>
          </w:tcPr>
          <w:p w14:paraId="76273B8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793 12</w:t>
            </w:r>
          </w:p>
        </w:tc>
        <w:tc>
          <w:tcPr>
            <w:tcW w:w="642" w:type="dxa"/>
            <w:tcBorders>
              <w:top w:val="nil"/>
              <w:bottom w:val="nil"/>
            </w:tcBorders>
            <w:shd w:val="clear" w:color="auto" w:fill="auto"/>
          </w:tcPr>
          <w:p w14:paraId="5A232C5D"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2,7</w:t>
            </w:r>
          </w:p>
        </w:tc>
        <w:tc>
          <w:tcPr>
            <w:tcW w:w="581" w:type="dxa"/>
            <w:tcBorders>
              <w:top w:val="nil"/>
              <w:bottom w:val="nil"/>
            </w:tcBorders>
            <w:shd w:val="clear" w:color="auto" w:fill="auto"/>
          </w:tcPr>
          <w:p w14:paraId="1269DDE7"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9</w:t>
            </w:r>
          </w:p>
        </w:tc>
        <w:tc>
          <w:tcPr>
            <w:tcW w:w="905" w:type="dxa"/>
            <w:tcBorders>
              <w:top w:val="nil"/>
              <w:bottom w:val="nil"/>
            </w:tcBorders>
            <w:shd w:val="clear" w:color="auto" w:fill="auto"/>
          </w:tcPr>
          <w:p w14:paraId="0272B2E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006 13</w:t>
            </w:r>
          </w:p>
        </w:tc>
        <w:tc>
          <w:tcPr>
            <w:tcW w:w="638" w:type="dxa"/>
            <w:tcBorders>
              <w:top w:val="nil"/>
              <w:bottom w:val="nil"/>
            </w:tcBorders>
            <w:shd w:val="clear" w:color="auto" w:fill="auto"/>
          </w:tcPr>
          <w:p w14:paraId="0545DC1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2,7</w:t>
            </w:r>
          </w:p>
        </w:tc>
        <w:tc>
          <w:tcPr>
            <w:tcW w:w="691" w:type="dxa"/>
            <w:tcBorders>
              <w:top w:val="nil"/>
              <w:bottom w:val="nil"/>
            </w:tcBorders>
            <w:shd w:val="clear" w:color="auto" w:fill="auto"/>
          </w:tcPr>
          <w:p w14:paraId="6418996C"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10</w:t>
            </w:r>
          </w:p>
        </w:tc>
        <w:tc>
          <w:tcPr>
            <w:tcW w:w="839" w:type="dxa"/>
            <w:tcBorders>
              <w:top w:val="nil"/>
              <w:bottom w:val="nil"/>
            </w:tcBorders>
            <w:shd w:val="clear" w:color="auto" w:fill="auto"/>
          </w:tcPr>
          <w:p w14:paraId="1EC2B0E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659 12</w:t>
            </w:r>
          </w:p>
        </w:tc>
        <w:tc>
          <w:tcPr>
            <w:tcW w:w="625" w:type="dxa"/>
            <w:tcBorders>
              <w:top w:val="nil"/>
              <w:bottom w:val="nil"/>
            </w:tcBorders>
            <w:shd w:val="clear" w:color="auto" w:fill="auto"/>
          </w:tcPr>
          <w:p w14:paraId="2E08341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2,8</w:t>
            </w:r>
          </w:p>
        </w:tc>
      </w:tr>
      <w:tr w:rsidR="00803069" w:rsidRPr="000D5B62" w14:paraId="2491D2A6" w14:textId="77777777" w:rsidTr="00D8475F">
        <w:tc>
          <w:tcPr>
            <w:tcW w:w="1935" w:type="dxa"/>
            <w:tcBorders>
              <w:top w:val="nil"/>
            </w:tcBorders>
            <w:shd w:val="clear" w:color="auto" w:fill="auto"/>
          </w:tcPr>
          <w:p w14:paraId="6B30DB21"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الأمراض المعوية المعدية (</w:t>
            </w:r>
            <w:r w:rsidRPr="000D5B62">
              <w:rPr>
                <w:rFonts w:eastAsiaTheme="minorEastAsia"/>
                <w:sz w:val="18"/>
                <w:szCs w:val="18"/>
              </w:rPr>
              <w:t>A00-A09</w:t>
            </w:r>
            <w:r w:rsidRPr="000D5B62">
              <w:rPr>
                <w:rFonts w:eastAsiaTheme="minorEastAsia"/>
                <w:sz w:val="18"/>
                <w:szCs w:val="18"/>
                <w:rtl/>
              </w:rPr>
              <w:t>)</w:t>
            </w:r>
          </w:p>
        </w:tc>
        <w:tc>
          <w:tcPr>
            <w:tcW w:w="719" w:type="dxa"/>
            <w:tcBorders>
              <w:top w:val="nil"/>
            </w:tcBorders>
            <w:shd w:val="clear" w:color="auto" w:fill="auto"/>
          </w:tcPr>
          <w:p w14:paraId="4C5371D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w:t>
            </w:r>
          </w:p>
        </w:tc>
        <w:tc>
          <w:tcPr>
            <w:tcW w:w="930" w:type="dxa"/>
            <w:tcBorders>
              <w:top w:val="nil"/>
            </w:tcBorders>
            <w:shd w:val="clear" w:color="auto" w:fill="auto"/>
          </w:tcPr>
          <w:p w14:paraId="3842C123"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834 14</w:t>
            </w:r>
          </w:p>
        </w:tc>
        <w:tc>
          <w:tcPr>
            <w:tcW w:w="642" w:type="dxa"/>
            <w:tcBorders>
              <w:top w:val="nil"/>
            </w:tcBorders>
            <w:shd w:val="clear" w:color="auto" w:fill="auto"/>
          </w:tcPr>
          <w:p w14:paraId="73F81D80"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3,1</w:t>
            </w:r>
          </w:p>
        </w:tc>
        <w:tc>
          <w:tcPr>
            <w:tcW w:w="581" w:type="dxa"/>
            <w:tcBorders>
              <w:top w:val="nil"/>
            </w:tcBorders>
            <w:shd w:val="clear" w:color="auto" w:fill="auto"/>
          </w:tcPr>
          <w:p w14:paraId="1090A3C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905" w:type="dxa"/>
            <w:tcBorders>
              <w:top w:val="nil"/>
            </w:tcBorders>
            <w:shd w:val="clear" w:color="auto" w:fill="auto"/>
          </w:tcPr>
          <w:p w14:paraId="17E7A88A"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638" w:type="dxa"/>
            <w:tcBorders>
              <w:top w:val="nil"/>
            </w:tcBorders>
            <w:shd w:val="clear" w:color="auto" w:fill="auto"/>
          </w:tcPr>
          <w:p w14:paraId="2D39862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691" w:type="dxa"/>
            <w:tcBorders>
              <w:top w:val="nil"/>
            </w:tcBorders>
            <w:shd w:val="clear" w:color="auto" w:fill="auto"/>
          </w:tcPr>
          <w:p w14:paraId="12DC8613"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839" w:type="dxa"/>
            <w:tcBorders>
              <w:top w:val="nil"/>
            </w:tcBorders>
            <w:shd w:val="clear" w:color="auto" w:fill="auto"/>
          </w:tcPr>
          <w:p w14:paraId="31103CB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w:t>
            </w:r>
          </w:p>
        </w:tc>
        <w:tc>
          <w:tcPr>
            <w:tcW w:w="625" w:type="dxa"/>
            <w:tcBorders>
              <w:top w:val="nil"/>
            </w:tcBorders>
            <w:shd w:val="clear" w:color="auto" w:fill="auto"/>
          </w:tcPr>
          <w:p w14:paraId="56F588E6" w14:textId="77777777" w:rsidR="00803069" w:rsidRPr="000D5B62" w:rsidRDefault="00803069" w:rsidP="00F51074">
            <w:pPr>
              <w:spacing w:before="40" w:after="40" w:line="300" w:lineRule="exact"/>
              <w:jc w:val="left"/>
              <w:textDirection w:val="tbRlV"/>
              <w:rPr>
                <w:rFonts w:eastAsiaTheme="minorEastAsia"/>
                <w:sz w:val="18"/>
                <w:szCs w:val="18"/>
              </w:rPr>
            </w:pPr>
            <w:r w:rsidRPr="000D5B62">
              <w:rPr>
                <w:rFonts w:eastAsiaTheme="minorEastAsia"/>
                <w:sz w:val="18"/>
                <w:szCs w:val="18"/>
                <w:rtl/>
              </w:rPr>
              <w:t>..</w:t>
            </w:r>
          </w:p>
        </w:tc>
      </w:tr>
      <w:tr w:rsidR="00803069" w:rsidRPr="000D5B62" w14:paraId="68A2A641" w14:textId="77777777" w:rsidTr="00D8475F">
        <w:tc>
          <w:tcPr>
            <w:tcW w:w="1935" w:type="dxa"/>
            <w:shd w:val="clear" w:color="auto" w:fill="auto"/>
          </w:tcPr>
          <w:p w14:paraId="094ADDC9"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أسباب أخرى طبيعية</w:t>
            </w:r>
          </w:p>
        </w:tc>
        <w:tc>
          <w:tcPr>
            <w:tcW w:w="719" w:type="dxa"/>
            <w:shd w:val="clear" w:color="auto" w:fill="auto"/>
          </w:tcPr>
          <w:p w14:paraId="182B1355" w14:textId="77777777" w:rsidR="00803069" w:rsidRPr="000D5B62" w:rsidRDefault="00803069" w:rsidP="00F51074">
            <w:pPr>
              <w:spacing w:before="40" w:after="40" w:line="300" w:lineRule="exact"/>
              <w:jc w:val="left"/>
              <w:rPr>
                <w:rFonts w:eastAsiaTheme="minorEastAsia"/>
                <w:sz w:val="18"/>
                <w:szCs w:val="18"/>
                <w:lang w:eastAsia="en-GB"/>
              </w:rPr>
            </w:pPr>
          </w:p>
        </w:tc>
        <w:tc>
          <w:tcPr>
            <w:tcW w:w="930" w:type="dxa"/>
            <w:shd w:val="clear" w:color="auto" w:fill="auto"/>
          </w:tcPr>
          <w:p w14:paraId="479156E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537 208</w:t>
            </w:r>
          </w:p>
        </w:tc>
        <w:tc>
          <w:tcPr>
            <w:tcW w:w="642" w:type="dxa"/>
            <w:shd w:val="clear" w:color="auto" w:fill="auto"/>
          </w:tcPr>
          <w:p w14:paraId="2DBFD082"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43,7</w:t>
            </w:r>
          </w:p>
        </w:tc>
        <w:tc>
          <w:tcPr>
            <w:tcW w:w="581" w:type="dxa"/>
            <w:shd w:val="clear" w:color="auto" w:fill="auto"/>
          </w:tcPr>
          <w:p w14:paraId="32AED6FB" w14:textId="77777777" w:rsidR="00803069" w:rsidRPr="000D5B62" w:rsidRDefault="00803069" w:rsidP="00F51074">
            <w:pPr>
              <w:spacing w:before="40" w:after="40" w:line="300" w:lineRule="exact"/>
              <w:jc w:val="left"/>
              <w:rPr>
                <w:rFonts w:eastAsiaTheme="minorEastAsia"/>
                <w:sz w:val="18"/>
                <w:szCs w:val="18"/>
                <w:lang w:eastAsia="en-GB"/>
              </w:rPr>
            </w:pPr>
          </w:p>
        </w:tc>
        <w:tc>
          <w:tcPr>
            <w:tcW w:w="905" w:type="dxa"/>
            <w:shd w:val="clear" w:color="auto" w:fill="auto"/>
          </w:tcPr>
          <w:p w14:paraId="787A272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820 207</w:t>
            </w:r>
          </w:p>
        </w:tc>
        <w:tc>
          <w:tcPr>
            <w:tcW w:w="638" w:type="dxa"/>
            <w:shd w:val="clear" w:color="auto" w:fill="auto"/>
          </w:tcPr>
          <w:p w14:paraId="013D30C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43,9</w:t>
            </w:r>
          </w:p>
        </w:tc>
        <w:tc>
          <w:tcPr>
            <w:tcW w:w="691" w:type="dxa"/>
            <w:shd w:val="clear" w:color="auto" w:fill="auto"/>
          </w:tcPr>
          <w:p w14:paraId="238516E4" w14:textId="77777777" w:rsidR="00803069" w:rsidRPr="000D5B62" w:rsidRDefault="00803069" w:rsidP="00F51074">
            <w:pPr>
              <w:spacing w:before="40" w:after="40" w:line="300" w:lineRule="exact"/>
              <w:jc w:val="left"/>
              <w:rPr>
                <w:rFonts w:eastAsiaTheme="minorEastAsia"/>
                <w:sz w:val="18"/>
                <w:szCs w:val="18"/>
                <w:lang w:eastAsia="en-GB"/>
              </w:rPr>
            </w:pPr>
          </w:p>
        </w:tc>
        <w:tc>
          <w:tcPr>
            <w:tcW w:w="839" w:type="dxa"/>
            <w:shd w:val="clear" w:color="auto" w:fill="auto"/>
          </w:tcPr>
          <w:p w14:paraId="43CBDF14"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403 200</w:t>
            </w:r>
          </w:p>
        </w:tc>
        <w:tc>
          <w:tcPr>
            <w:tcW w:w="625" w:type="dxa"/>
            <w:shd w:val="clear" w:color="auto" w:fill="auto"/>
          </w:tcPr>
          <w:p w14:paraId="7F39D4B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43,9</w:t>
            </w:r>
          </w:p>
        </w:tc>
      </w:tr>
      <w:tr w:rsidR="00803069" w:rsidRPr="000D5B62" w14:paraId="4730B981" w14:textId="77777777" w:rsidTr="00D8475F">
        <w:tc>
          <w:tcPr>
            <w:tcW w:w="1935" w:type="dxa"/>
            <w:tcBorders>
              <w:bottom w:val="single" w:sz="4" w:space="0" w:color="auto"/>
            </w:tcBorders>
            <w:shd w:val="clear" w:color="auto" w:fill="auto"/>
          </w:tcPr>
          <w:p w14:paraId="42D0FEEE" w14:textId="77777777" w:rsidR="00803069" w:rsidRPr="000D5B62" w:rsidRDefault="00803069" w:rsidP="00F81761">
            <w:pPr>
              <w:spacing w:before="40" w:after="40" w:line="300" w:lineRule="exact"/>
              <w:textDirection w:val="tbRlV"/>
              <w:rPr>
                <w:rFonts w:eastAsiaTheme="minorEastAsia"/>
                <w:sz w:val="18"/>
                <w:szCs w:val="18"/>
                <w:lang w:val="ar-SA" w:eastAsia="zh-TW" w:bidi="en-GB"/>
              </w:rPr>
            </w:pPr>
            <w:r w:rsidRPr="000D5B62">
              <w:rPr>
                <w:rFonts w:eastAsiaTheme="minorEastAsia"/>
                <w:sz w:val="18"/>
                <w:szCs w:val="18"/>
                <w:rtl/>
              </w:rPr>
              <w:t>أسباب غير طبيعية</w:t>
            </w:r>
          </w:p>
        </w:tc>
        <w:tc>
          <w:tcPr>
            <w:tcW w:w="719" w:type="dxa"/>
            <w:tcBorders>
              <w:bottom w:val="single" w:sz="4" w:space="0" w:color="auto"/>
            </w:tcBorders>
            <w:shd w:val="clear" w:color="auto" w:fill="auto"/>
          </w:tcPr>
          <w:p w14:paraId="66D0B8D7" w14:textId="77777777" w:rsidR="00803069" w:rsidRPr="000D5B62" w:rsidRDefault="00803069" w:rsidP="00F51074">
            <w:pPr>
              <w:spacing w:before="40" w:after="40" w:line="300" w:lineRule="exact"/>
              <w:jc w:val="left"/>
              <w:rPr>
                <w:rFonts w:eastAsiaTheme="minorEastAsia"/>
                <w:sz w:val="18"/>
                <w:szCs w:val="18"/>
                <w:lang w:eastAsia="en-GB"/>
              </w:rPr>
            </w:pPr>
          </w:p>
        </w:tc>
        <w:tc>
          <w:tcPr>
            <w:tcW w:w="930" w:type="dxa"/>
            <w:tcBorders>
              <w:bottom w:val="single" w:sz="4" w:space="0" w:color="auto"/>
            </w:tcBorders>
            <w:shd w:val="clear" w:color="auto" w:fill="auto"/>
          </w:tcPr>
          <w:p w14:paraId="704FFBC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939 50</w:t>
            </w:r>
          </w:p>
        </w:tc>
        <w:tc>
          <w:tcPr>
            <w:tcW w:w="642" w:type="dxa"/>
            <w:tcBorders>
              <w:bottom w:val="single" w:sz="4" w:space="0" w:color="auto"/>
            </w:tcBorders>
            <w:shd w:val="clear" w:color="auto" w:fill="auto"/>
          </w:tcPr>
          <w:p w14:paraId="477ADBCE"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10,7</w:t>
            </w:r>
          </w:p>
        </w:tc>
        <w:tc>
          <w:tcPr>
            <w:tcW w:w="581" w:type="dxa"/>
            <w:tcBorders>
              <w:bottom w:val="single" w:sz="4" w:space="0" w:color="auto"/>
            </w:tcBorders>
            <w:shd w:val="clear" w:color="auto" w:fill="auto"/>
          </w:tcPr>
          <w:p w14:paraId="4F4F57DC" w14:textId="77777777" w:rsidR="00803069" w:rsidRPr="000D5B62" w:rsidRDefault="00803069" w:rsidP="00F51074">
            <w:pPr>
              <w:spacing w:before="40" w:after="40" w:line="300" w:lineRule="exact"/>
              <w:jc w:val="left"/>
              <w:rPr>
                <w:rFonts w:eastAsiaTheme="minorEastAsia"/>
                <w:sz w:val="18"/>
                <w:szCs w:val="18"/>
                <w:lang w:eastAsia="en-GB"/>
              </w:rPr>
            </w:pPr>
          </w:p>
        </w:tc>
        <w:tc>
          <w:tcPr>
            <w:tcW w:w="905" w:type="dxa"/>
            <w:tcBorders>
              <w:bottom w:val="single" w:sz="4" w:space="0" w:color="auto"/>
            </w:tcBorders>
            <w:shd w:val="clear" w:color="auto" w:fill="auto"/>
          </w:tcPr>
          <w:p w14:paraId="31EA6D96"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228 53</w:t>
            </w:r>
          </w:p>
        </w:tc>
        <w:tc>
          <w:tcPr>
            <w:tcW w:w="638" w:type="dxa"/>
            <w:tcBorders>
              <w:bottom w:val="single" w:sz="4" w:space="0" w:color="auto"/>
            </w:tcBorders>
            <w:shd w:val="clear" w:color="auto" w:fill="auto"/>
          </w:tcPr>
          <w:p w14:paraId="097AE518"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11,2</w:t>
            </w:r>
          </w:p>
        </w:tc>
        <w:tc>
          <w:tcPr>
            <w:tcW w:w="691" w:type="dxa"/>
            <w:tcBorders>
              <w:bottom w:val="single" w:sz="4" w:space="0" w:color="auto"/>
            </w:tcBorders>
            <w:shd w:val="clear" w:color="auto" w:fill="auto"/>
          </w:tcPr>
          <w:p w14:paraId="4AB375C7" w14:textId="77777777" w:rsidR="00803069" w:rsidRPr="000D5B62" w:rsidRDefault="00803069" w:rsidP="00F51074">
            <w:pPr>
              <w:spacing w:before="40" w:after="40" w:line="300" w:lineRule="exact"/>
              <w:jc w:val="left"/>
              <w:rPr>
                <w:rFonts w:eastAsiaTheme="minorEastAsia"/>
                <w:sz w:val="18"/>
                <w:szCs w:val="18"/>
                <w:lang w:eastAsia="en-GB"/>
              </w:rPr>
            </w:pPr>
          </w:p>
        </w:tc>
        <w:tc>
          <w:tcPr>
            <w:tcW w:w="839" w:type="dxa"/>
            <w:tcBorders>
              <w:bottom w:val="single" w:sz="4" w:space="0" w:color="auto"/>
            </w:tcBorders>
            <w:shd w:val="clear" w:color="auto" w:fill="auto"/>
          </w:tcPr>
          <w:p w14:paraId="61BA25A3"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242 51</w:t>
            </w:r>
          </w:p>
        </w:tc>
        <w:tc>
          <w:tcPr>
            <w:tcW w:w="625" w:type="dxa"/>
            <w:tcBorders>
              <w:bottom w:val="single" w:sz="4" w:space="0" w:color="auto"/>
            </w:tcBorders>
            <w:shd w:val="clear" w:color="auto" w:fill="auto"/>
          </w:tcPr>
          <w:p w14:paraId="3D42CFF5" w14:textId="77777777" w:rsidR="00803069" w:rsidRPr="000D5B62" w:rsidRDefault="00803069" w:rsidP="00F51074">
            <w:pPr>
              <w:spacing w:before="40" w:after="40" w:line="300" w:lineRule="exact"/>
              <w:jc w:val="left"/>
              <w:textDirection w:val="tbRlV"/>
              <w:rPr>
                <w:rFonts w:eastAsiaTheme="minorEastAsia"/>
                <w:sz w:val="18"/>
                <w:szCs w:val="18"/>
                <w:lang w:val="ar-SA" w:eastAsia="zh-TW" w:bidi="en-GB"/>
              </w:rPr>
            </w:pPr>
            <w:r w:rsidRPr="000D5B62">
              <w:rPr>
                <w:rFonts w:eastAsiaTheme="minorEastAsia"/>
                <w:sz w:val="18"/>
                <w:szCs w:val="18"/>
                <w:rtl/>
              </w:rPr>
              <w:t>11,2</w:t>
            </w:r>
          </w:p>
        </w:tc>
      </w:tr>
      <w:tr w:rsidR="00803069" w:rsidRPr="000D5B62" w14:paraId="7D1961FA" w14:textId="77777777" w:rsidTr="00D8475F">
        <w:tc>
          <w:tcPr>
            <w:tcW w:w="1935" w:type="dxa"/>
            <w:tcBorders>
              <w:top w:val="single" w:sz="4" w:space="0" w:color="auto"/>
              <w:bottom w:val="single" w:sz="12" w:space="0" w:color="auto"/>
            </w:tcBorders>
            <w:shd w:val="clear" w:color="auto" w:fill="auto"/>
          </w:tcPr>
          <w:p w14:paraId="334958FD" w14:textId="77777777" w:rsidR="00803069" w:rsidRPr="000D5B62" w:rsidRDefault="00803069" w:rsidP="00F81761">
            <w:pPr>
              <w:spacing w:before="40" w:after="40" w:line="300" w:lineRule="exact"/>
              <w:textDirection w:val="tbRlV"/>
              <w:rPr>
                <w:rFonts w:eastAsiaTheme="minorEastAsia"/>
                <w:b/>
                <w:sz w:val="18"/>
                <w:szCs w:val="18"/>
                <w:lang w:eastAsia="zh-TW" w:bidi="en-GB"/>
              </w:rPr>
            </w:pPr>
            <w:r w:rsidRPr="000D5B62">
              <w:rPr>
                <w:rFonts w:eastAsiaTheme="minorEastAsia"/>
                <w:b/>
                <w:bCs/>
                <w:sz w:val="18"/>
                <w:szCs w:val="18"/>
                <w:rtl/>
              </w:rPr>
              <w:t>جميع الأسباب</w:t>
            </w:r>
          </w:p>
        </w:tc>
        <w:tc>
          <w:tcPr>
            <w:tcW w:w="719" w:type="dxa"/>
            <w:tcBorders>
              <w:top w:val="single" w:sz="4" w:space="0" w:color="auto"/>
              <w:bottom w:val="single" w:sz="12" w:space="0" w:color="auto"/>
            </w:tcBorders>
            <w:shd w:val="clear" w:color="auto" w:fill="auto"/>
          </w:tcPr>
          <w:p w14:paraId="1FE7B48F" w14:textId="77777777" w:rsidR="00803069" w:rsidRPr="000D5B62" w:rsidRDefault="00803069" w:rsidP="00F51074">
            <w:pPr>
              <w:spacing w:before="40" w:after="40" w:line="300" w:lineRule="exact"/>
              <w:jc w:val="left"/>
              <w:rPr>
                <w:rFonts w:eastAsiaTheme="minorEastAsia"/>
                <w:b/>
                <w:bCs/>
                <w:sz w:val="18"/>
                <w:szCs w:val="18"/>
                <w:lang w:eastAsia="en-GB"/>
              </w:rPr>
            </w:pPr>
          </w:p>
        </w:tc>
        <w:tc>
          <w:tcPr>
            <w:tcW w:w="930" w:type="dxa"/>
            <w:tcBorders>
              <w:top w:val="single" w:sz="4" w:space="0" w:color="auto"/>
              <w:bottom w:val="single" w:sz="12" w:space="0" w:color="auto"/>
            </w:tcBorders>
            <w:shd w:val="clear" w:color="auto" w:fill="auto"/>
          </w:tcPr>
          <w:p w14:paraId="170692D7" w14:textId="77777777" w:rsidR="00803069" w:rsidRPr="000D5B62" w:rsidRDefault="00803069" w:rsidP="00F51074">
            <w:pPr>
              <w:spacing w:before="40" w:after="40" w:line="300" w:lineRule="exact"/>
              <w:jc w:val="left"/>
              <w:textDirection w:val="tbRlV"/>
              <w:rPr>
                <w:rFonts w:eastAsiaTheme="minorEastAsia"/>
                <w:b/>
                <w:sz w:val="18"/>
                <w:szCs w:val="18"/>
                <w:lang w:val="ar-SA" w:eastAsia="zh-TW" w:bidi="en-GB"/>
              </w:rPr>
            </w:pPr>
            <w:r w:rsidRPr="000D5B62">
              <w:rPr>
                <w:rFonts w:eastAsiaTheme="minorEastAsia"/>
                <w:b/>
                <w:bCs/>
                <w:sz w:val="18"/>
                <w:szCs w:val="18"/>
                <w:rtl/>
              </w:rPr>
              <w:t>891 476</w:t>
            </w:r>
          </w:p>
        </w:tc>
        <w:tc>
          <w:tcPr>
            <w:tcW w:w="642" w:type="dxa"/>
            <w:tcBorders>
              <w:top w:val="single" w:sz="4" w:space="0" w:color="auto"/>
              <w:bottom w:val="single" w:sz="12" w:space="0" w:color="auto"/>
            </w:tcBorders>
            <w:shd w:val="clear" w:color="auto" w:fill="auto"/>
          </w:tcPr>
          <w:p w14:paraId="723C011E" w14:textId="77777777" w:rsidR="00803069" w:rsidRPr="000D5B62" w:rsidRDefault="00803069" w:rsidP="00F51074">
            <w:pPr>
              <w:spacing w:before="40" w:after="40" w:line="300" w:lineRule="exact"/>
              <w:jc w:val="left"/>
              <w:textDirection w:val="tbRlV"/>
              <w:rPr>
                <w:rFonts w:eastAsiaTheme="minorEastAsia"/>
                <w:b/>
                <w:sz w:val="18"/>
                <w:szCs w:val="18"/>
                <w:lang w:val="ar-SA" w:eastAsia="zh-TW" w:bidi="en-GB"/>
              </w:rPr>
            </w:pPr>
            <w:r w:rsidRPr="000D5B62">
              <w:rPr>
                <w:rFonts w:eastAsiaTheme="minorEastAsia"/>
                <w:b/>
                <w:bCs/>
                <w:sz w:val="18"/>
                <w:szCs w:val="18"/>
                <w:rtl/>
              </w:rPr>
              <w:t>100,0</w:t>
            </w:r>
          </w:p>
        </w:tc>
        <w:tc>
          <w:tcPr>
            <w:tcW w:w="581" w:type="dxa"/>
            <w:tcBorders>
              <w:top w:val="single" w:sz="4" w:space="0" w:color="auto"/>
              <w:bottom w:val="single" w:sz="12" w:space="0" w:color="auto"/>
            </w:tcBorders>
            <w:shd w:val="clear" w:color="auto" w:fill="auto"/>
          </w:tcPr>
          <w:p w14:paraId="0303D2E3" w14:textId="77777777" w:rsidR="00803069" w:rsidRPr="000D5B62" w:rsidRDefault="00803069" w:rsidP="00F51074">
            <w:pPr>
              <w:spacing w:before="40" w:after="40" w:line="300" w:lineRule="exact"/>
              <w:jc w:val="left"/>
              <w:rPr>
                <w:rFonts w:eastAsiaTheme="minorEastAsia"/>
                <w:b/>
                <w:bCs/>
                <w:sz w:val="18"/>
                <w:szCs w:val="18"/>
                <w:lang w:eastAsia="en-GB"/>
              </w:rPr>
            </w:pPr>
          </w:p>
        </w:tc>
        <w:tc>
          <w:tcPr>
            <w:tcW w:w="905" w:type="dxa"/>
            <w:tcBorders>
              <w:top w:val="single" w:sz="4" w:space="0" w:color="auto"/>
              <w:bottom w:val="single" w:sz="12" w:space="0" w:color="auto"/>
            </w:tcBorders>
            <w:shd w:val="clear" w:color="auto" w:fill="auto"/>
          </w:tcPr>
          <w:p w14:paraId="44BE1306" w14:textId="77777777" w:rsidR="00803069" w:rsidRPr="000D5B62" w:rsidRDefault="00803069" w:rsidP="00F51074">
            <w:pPr>
              <w:spacing w:before="40" w:after="40" w:line="300" w:lineRule="exact"/>
              <w:jc w:val="left"/>
              <w:textDirection w:val="tbRlV"/>
              <w:rPr>
                <w:rFonts w:eastAsiaTheme="minorEastAsia"/>
                <w:b/>
                <w:sz w:val="18"/>
                <w:szCs w:val="18"/>
                <w:lang w:val="ar-SA" w:eastAsia="zh-TW" w:bidi="en-GB"/>
              </w:rPr>
            </w:pPr>
            <w:r w:rsidRPr="000D5B62">
              <w:rPr>
                <w:rFonts w:eastAsiaTheme="minorEastAsia"/>
                <w:b/>
                <w:bCs/>
                <w:sz w:val="18"/>
                <w:szCs w:val="18"/>
                <w:rtl/>
              </w:rPr>
              <w:t>266 473</w:t>
            </w:r>
          </w:p>
        </w:tc>
        <w:tc>
          <w:tcPr>
            <w:tcW w:w="638" w:type="dxa"/>
            <w:tcBorders>
              <w:top w:val="single" w:sz="4" w:space="0" w:color="auto"/>
              <w:bottom w:val="single" w:sz="12" w:space="0" w:color="auto"/>
            </w:tcBorders>
            <w:shd w:val="clear" w:color="auto" w:fill="auto"/>
          </w:tcPr>
          <w:p w14:paraId="4AECAEBD" w14:textId="77777777" w:rsidR="00803069" w:rsidRPr="000D5B62" w:rsidRDefault="00803069" w:rsidP="00F51074">
            <w:pPr>
              <w:spacing w:before="40" w:after="40" w:line="300" w:lineRule="exact"/>
              <w:jc w:val="left"/>
              <w:textDirection w:val="tbRlV"/>
              <w:rPr>
                <w:rFonts w:eastAsiaTheme="minorEastAsia"/>
                <w:b/>
                <w:sz w:val="18"/>
                <w:szCs w:val="18"/>
                <w:lang w:val="ar-SA" w:eastAsia="zh-TW" w:bidi="en-GB"/>
              </w:rPr>
            </w:pPr>
            <w:r w:rsidRPr="000D5B62">
              <w:rPr>
                <w:rFonts w:eastAsiaTheme="minorEastAsia"/>
                <w:b/>
                <w:bCs/>
                <w:sz w:val="18"/>
                <w:szCs w:val="18"/>
                <w:rtl/>
              </w:rPr>
              <w:t>100,0</w:t>
            </w:r>
          </w:p>
        </w:tc>
        <w:tc>
          <w:tcPr>
            <w:tcW w:w="691" w:type="dxa"/>
            <w:tcBorders>
              <w:top w:val="single" w:sz="4" w:space="0" w:color="auto"/>
              <w:bottom w:val="single" w:sz="12" w:space="0" w:color="auto"/>
            </w:tcBorders>
            <w:shd w:val="clear" w:color="auto" w:fill="auto"/>
          </w:tcPr>
          <w:p w14:paraId="74F8662B" w14:textId="77777777" w:rsidR="00803069" w:rsidRPr="000D5B62" w:rsidRDefault="00803069" w:rsidP="00F51074">
            <w:pPr>
              <w:spacing w:before="40" w:after="40" w:line="300" w:lineRule="exact"/>
              <w:jc w:val="left"/>
              <w:rPr>
                <w:rFonts w:eastAsiaTheme="minorEastAsia"/>
                <w:b/>
                <w:bCs/>
                <w:sz w:val="18"/>
                <w:szCs w:val="18"/>
                <w:lang w:eastAsia="en-GB"/>
              </w:rPr>
            </w:pPr>
          </w:p>
        </w:tc>
        <w:tc>
          <w:tcPr>
            <w:tcW w:w="839" w:type="dxa"/>
            <w:tcBorders>
              <w:top w:val="single" w:sz="4" w:space="0" w:color="auto"/>
              <w:bottom w:val="single" w:sz="12" w:space="0" w:color="auto"/>
            </w:tcBorders>
            <w:shd w:val="clear" w:color="auto" w:fill="auto"/>
          </w:tcPr>
          <w:p w14:paraId="787473D5" w14:textId="77777777" w:rsidR="00803069" w:rsidRPr="000D5B62" w:rsidRDefault="00803069" w:rsidP="00F51074">
            <w:pPr>
              <w:spacing w:before="40" w:after="40" w:line="300" w:lineRule="exact"/>
              <w:jc w:val="left"/>
              <w:textDirection w:val="tbRlV"/>
              <w:rPr>
                <w:rFonts w:eastAsiaTheme="minorEastAsia"/>
                <w:b/>
                <w:sz w:val="18"/>
                <w:szCs w:val="18"/>
                <w:lang w:val="ar-SA" w:eastAsia="zh-TW" w:bidi="en-GB"/>
              </w:rPr>
            </w:pPr>
            <w:r w:rsidRPr="000D5B62">
              <w:rPr>
                <w:rFonts w:eastAsiaTheme="minorEastAsia"/>
                <w:b/>
                <w:bCs/>
                <w:sz w:val="18"/>
                <w:szCs w:val="18"/>
                <w:rtl/>
              </w:rPr>
              <w:t>612 456</w:t>
            </w:r>
          </w:p>
        </w:tc>
        <w:tc>
          <w:tcPr>
            <w:tcW w:w="625" w:type="dxa"/>
            <w:tcBorders>
              <w:top w:val="single" w:sz="4" w:space="0" w:color="auto"/>
              <w:bottom w:val="single" w:sz="12" w:space="0" w:color="auto"/>
            </w:tcBorders>
            <w:shd w:val="clear" w:color="auto" w:fill="auto"/>
          </w:tcPr>
          <w:p w14:paraId="268CA818" w14:textId="77777777" w:rsidR="00803069" w:rsidRPr="000D5B62" w:rsidRDefault="00803069" w:rsidP="00F51074">
            <w:pPr>
              <w:spacing w:before="40" w:after="40" w:line="300" w:lineRule="exact"/>
              <w:jc w:val="left"/>
              <w:textDirection w:val="tbRlV"/>
              <w:rPr>
                <w:rFonts w:ascii="Times New Roman Bold" w:eastAsiaTheme="minorEastAsia" w:hAnsi="Times New Roman Bold" w:hint="eastAsia"/>
                <w:b/>
                <w:bCs/>
                <w:spacing w:val="-2"/>
                <w:sz w:val="18"/>
                <w:szCs w:val="18"/>
                <w:lang w:val="ar-SA" w:eastAsia="zh-TW" w:bidi="en-GB"/>
              </w:rPr>
            </w:pPr>
            <w:r w:rsidRPr="000D5B62">
              <w:rPr>
                <w:rFonts w:ascii="Times New Roman Bold" w:eastAsiaTheme="minorEastAsia" w:hAnsi="Times New Roman Bold"/>
                <w:b/>
                <w:bCs/>
                <w:spacing w:val="-2"/>
                <w:sz w:val="18"/>
                <w:szCs w:val="18"/>
                <w:rtl/>
              </w:rPr>
              <w:t>100,0</w:t>
            </w:r>
          </w:p>
        </w:tc>
      </w:tr>
    </w:tbl>
    <w:p w14:paraId="51D0BC0A" w14:textId="10D390BB" w:rsidR="00803069" w:rsidRPr="000D5B62" w:rsidRDefault="00803069" w:rsidP="00F81761">
      <w:pPr>
        <w:pStyle w:val="SingleTxtGA"/>
        <w:spacing w:before="240"/>
        <w:rPr>
          <w:lang w:val="ar-SA" w:eastAsia="zh-TW" w:bidi="en-GB"/>
        </w:rPr>
      </w:pPr>
      <w:r w:rsidRPr="000D5B62">
        <w:rPr>
          <w:rtl/>
        </w:rPr>
        <w:t>8-</w:t>
      </w:r>
      <w:r w:rsidRPr="000D5B62">
        <w:rPr>
          <w:rtl/>
        </w:rPr>
        <w:tab/>
        <w:t>وتتضمن الخطة الاستراتيجية الوطنية المتعلقة بفيروس نقص المناعة البشرية المكتسب والسل وعدوى الأمراض المنقولة بالاتصال الجنسي للفترة 2017-2022 استعراضاً شاملاً لحالة انتشار وباء فيروس نقص المناعة البشرية المكتسب وخططاً للحد من إصابات جديدة وللتخفيف من حدة الوصم والتمييز. ويبلغ حالياً عدد المصابين بفيروس نقص المناعة البشرية المكتسب 7,1 ملايين شخص وعدد من يعالَجون بمضادات الفيروسات العكوسة 4,2 ملايين شخص. ومن المزمع توفير العلاج بمضادات الفيروسات العكوسة لمليوني شخص إضافي بحلول كانون الأول/ديسمبر 2020 لأجل بلوغ أهداف برنامج الأمم المتحدة المشترك المعني بفيروس نقص المناعة البشرية/الإيدز 90-90-90. أما عن مسألة منع انتقال الفيروس من الأم إلى الطفل، فقد انخفض معدل انتقاله في فترة الأسابيع الستة بعد الولادة من 8 في المائة في عام 2008 إلى 1,4 في المائة في عام 2017. ويرد في الجدول أدناه بيان معدلات انتشار فيروس نقص المناعة البشرية المكتسب.</w:t>
      </w:r>
    </w:p>
    <w:p w14:paraId="2D8855A1" w14:textId="47BB6DE1" w:rsidR="00803069" w:rsidRPr="000D5B62" w:rsidRDefault="00803069" w:rsidP="00F81761">
      <w:pPr>
        <w:pStyle w:val="SingleTxtGA"/>
        <w:rPr>
          <w:rStyle w:val="FootnoteReference"/>
          <w:rFonts w:eastAsiaTheme="minorEastAsia"/>
          <w:szCs w:val="22"/>
          <w:lang w:val="ar-SA" w:eastAsia="zh-TW" w:bidi="en-GB"/>
        </w:rPr>
      </w:pPr>
      <w:r w:rsidRPr="000D5B62">
        <w:rPr>
          <w:rtl/>
        </w:rPr>
        <w:t xml:space="preserve">الجدول 7 </w:t>
      </w:r>
      <w:r w:rsidR="00F81761" w:rsidRPr="000D5B62">
        <w:rPr>
          <w:rtl/>
        </w:rPr>
        <w:tab/>
      </w:r>
      <w:r w:rsidR="00F81761" w:rsidRPr="000D5B62">
        <w:rPr>
          <w:rtl/>
        </w:rPr>
        <w:br/>
      </w:r>
      <w:r w:rsidRPr="000D5B62">
        <w:rPr>
          <w:b/>
          <w:bCs/>
          <w:rtl/>
        </w:rPr>
        <w:t>انتشار فيروس نقص المناعة البشرية المكتسب (2014-2017)</w:t>
      </w:r>
      <w:r w:rsidRPr="000D5B62">
        <w:rPr>
          <w:rStyle w:val="FootnoteReference"/>
          <w:b/>
          <w:szCs w:val="22"/>
          <w:rtl/>
        </w:rPr>
        <w:t>(</w:t>
      </w:r>
      <w:r w:rsidRPr="000D5B62">
        <w:rPr>
          <w:rStyle w:val="FootnoteReference"/>
          <w:b/>
          <w:szCs w:val="22"/>
          <w:rtl/>
        </w:rPr>
        <w:footnoteReference w:id="14"/>
      </w:r>
      <w:r w:rsidRPr="000D5B62">
        <w:rPr>
          <w:rStyle w:val="FootnoteReference"/>
          <w:b/>
          <w:szCs w:val="22"/>
          <w:rtl/>
        </w:rPr>
        <w:t>)</w:t>
      </w:r>
    </w:p>
    <w:tbl>
      <w:tblPr>
        <w:bidiVisual/>
        <w:tblW w:w="7370" w:type="dxa"/>
        <w:tblInd w:w="1134" w:type="dxa"/>
        <w:tblBorders>
          <w:top w:val="single" w:sz="4" w:space="0" w:color="auto"/>
          <w:bottom w:val="single" w:sz="12" w:space="0" w:color="auto"/>
        </w:tblBorders>
        <w:tblLayout w:type="fixed"/>
        <w:tblLook w:val="0000" w:firstRow="0" w:lastRow="0" w:firstColumn="0" w:lastColumn="0" w:noHBand="0" w:noVBand="0"/>
      </w:tblPr>
      <w:tblGrid>
        <w:gridCol w:w="735"/>
        <w:gridCol w:w="1203"/>
        <w:gridCol w:w="1181"/>
        <w:gridCol w:w="1134"/>
        <w:gridCol w:w="1559"/>
        <w:gridCol w:w="1558"/>
      </w:tblGrid>
      <w:tr w:rsidR="00803069" w:rsidRPr="000D5B62" w14:paraId="50440E12" w14:textId="77777777" w:rsidTr="00F81761">
        <w:trPr>
          <w:tblHeader/>
        </w:trPr>
        <w:tc>
          <w:tcPr>
            <w:tcW w:w="735" w:type="dxa"/>
            <w:vMerge w:val="restart"/>
            <w:tcBorders>
              <w:top w:val="single" w:sz="4" w:space="0" w:color="auto"/>
              <w:bottom w:val="single" w:sz="12" w:space="0" w:color="auto"/>
            </w:tcBorders>
            <w:shd w:val="clear" w:color="auto" w:fill="auto"/>
            <w:vAlign w:val="bottom"/>
          </w:tcPr>
          <w:p w14:paraId="6249C931" w14:textId="441CC0EB" w:rsidR="00803069" w:rsidRPr="000D5B62" w:rsidRDefault="00803069" w:rsidP="00F81761">
            <w:pPr>
              <w:autoSpaceDE w:val="0"/>
              <w:autoSpaceDN w:val="0"/>
              <w:adjustRightInd w:val="0"/>
              <w:spacing w:before="40" w:after="40" w:line="300" w:lineRule="exact"/>
              <w:textDirection w:val="tbRlV"/>
              <w:rPr>
                <w:rFonts w:eastAsiaTheme="minorEastAsia"/>
                <w:i/>
                <w:iCs/>
                <w:spacing w:val="-4"/>
                <w:szCs w:val="20"/>
                <w:lang w:val="ar-SA" w:eastAsia="zh-TW" w:bidi="en-GB"/>
              </w:rPr>
            </w:pPr>
            <w:r w:rsidRPr="000D5B62">
              <w:rPr>
                <w:rFonts w:eastAsiaTheme="minorEastAsia"/>
                <w:i/>
                <w:iCs/>
                <w:spacing w:val="-4"/>
                <w:szCs w:val="20"/>
                <w:rtl/>
              </w:rPr>
              <w:t xml:space="preserve">السنة </w:t>
            </w:r>
          </w:p>
        </w:tc>
        <w:tc>
          <w:tcPr>
            <w:tcW w:w="3518" w:type="dxa"/>
            <w:gridSpan w:val="3"/>
            <w:tcBorders>
              <w:top w:val="single" w:sz="4" w:space="0" w:color="auto"/>
              <w:bottom w:val="single" w:sz="4" w:space="0" w:color="auto"/>
            </w:tcBorders>
            <w:shd w:val="clear" w:color="auto" w:fill="auto"/>
            <w:vAlign w:val="bottom"/>
          </w:tcPr>
          <w:p w14:paraId="43B8567C" w14:textId="77777777" w:rsidR="00803069" w:rsidRPr="000D5B62" w:rsidRDefault="00803069" w:rsidP="00F81761">
            <w:pPr>
              <w:autoSpaceDE w:val="0"/>
              <w:autoSpaceDN w:val="0"/>
              <w:adjustRightInd w:val="0"/>
              <w:spacing w:before="40" w:after="40" w:line="300" w:lineRule="exact"/>
              <w:jc w:val="center"/>
              <w:textDirection w:val="tbRlV"/>
              <w:rPr>
                <w:rFonts w:eastAsiaTheme="minorEastAsia"/>
                <w:i/>
                <w:iCs/>
                <w:spacing w:val="-4"/>
                <w:szCs w:val="20"/>
                <w:lang w:val="ar-SA" w:eastAsia="zh-TW" w:bidi="en-GB"/>
              </w:rPr>
            </w:pPr>
            <w:r w:rsidRPr="000D5B62">
              <w:rPr>
                <w:rFonts w:eastAsiaTheme="minorEastAsia"/>
                <w:i/>
                <w:iCs/>
                <w:spacing w:val="-4"/>
                <w:szCs w:val="20"/>
                <w:rtl/>
              </w:rPr>
              <w:t>معدلات الانتشار</w:t>
            </w:r>
          </w:p>
        </w:tc>
        <w:tc>
          <w:tcPr>
            <w:tcW w:w="1559" w:type="dxa"/>
            <w:vMerge w:val="restart"/>
            <w:tcBorders>
              <w:top w:val="single" w:sz="4" w:space="0" w:color="auto"/>
              <w:bottom w:val="single" w:sz="12" w:space="0" w:color="auto"/>
            </w:tcBorders>
            <w:shd w:val="clear" w:color="auto" w:fill="auto"/>
            <w:vAlign w:val="bottom"/>
          </w:tcPr>
          <w:p w14:paraId="11DAAC4A"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bCs/>
                <w:i/>
                <w:iCs/>
                <w:spacing w:val="-4"/>
                <w:szCs w:val="20"/>
                <w:lang w:val="ar-SA" w:eastAsia="zh-TW" w:bidi="en-GB"/>
              </w:rPr>
            </w:pPr>
            <w:r w:rsidRPr="000D5B62">
              <w:rPr>
                <w:rFonts w:eastAsiaTheme="minorEastAsia"/>
                <w:i/>
                <w:iCs/>
                <w:spacing w:val="-4"/>
                <w:szCs w:val="20"/>
                <w:rtl/>
              </w:rPr>
              <w:t>معدل الإصابة بالنسبة المئوية</w:t>
            </w:r>
          </w:p>
          <w:p w14:paraId="0D10532D"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i/>
                <w:iCs/>
                <w:spacing w:val="-4"/>
                <w:szCs w:val="20"/>
                <w:lang w:val="ar-SA" w:eastAsia="zh-TW" w:bidi="en-GB"/>
              </w:rPr>
            </w:pPr>
            <w:r w:rsidRPr="000D5B62">
              <w:rPr>
                <w:rFonts w:eastAsiaTheme="minorEastAsia"/>
                <w:i/>
                <w:iCs/>
                <w:spacing w:val="-4"/>
                <w:szCs w:val="20"/>
              </w:rPr>
              <w:t>49–15</w:t>
            </w:r>
          </w:p>
        </w:tc>
        <w:tc>
          <w:tcPr>
            <w:tcW w:w="1558" w:type="dxa"/>
            <w:vMerge w:val="restart"/>
            <w:tcBorders>
              <w:top w:val="single" w:sz="4" w:space="0" w:color="auto"/>
              <w:bottom w:val="single" w:sz="12" w:space="0" w:color="auto"/>
            </w:tcBorders>
            <w:shd w:val="clear" w:color="auto" w:fill="auto"/>
            <w:vAlign w:val="bottom"/>
          </w:tcPr>
          <w:p w14:paraId="465392FB"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bCs/>
                <w:i/>
                <w:iCs/>
                <w:spacing w:val="-4"/>
                <w:szCs w:val="20"/>
                <w:lang w:val="ar-SA" w:eastAsia="zh-TW" w:bidi="en-GB"/>
              </w:rPr>
            </w:pPr>
            <w:r w:rsidRPr="000D5B62">
              <w:rPr>
                <w:rFonts w:eastAsiaTheme="minorEastAsia"/>
                <w:i/>
                <w:iCs/>
                <w:spacing w:val="-4"/>
                <w:szCs w:val="20"/>
                <w:rtl/>
              </w:rPr>
              <w:t>السكان المصابون بفيروس نقص المناعة البشرية المكتسب</w:t>
            </w:r>
          </w:p>
          <w:p w14:paraId="0F3A726A"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i/>
                <w:iCs/>
                <w:spacing w:val="-4"/>
                <w:szCs w:val="20"/>
                <w:lang w:val="ar-SA" w:eastAsia="zh-TW" w:bidi="en-GB"/>
              </w:rPr>
            </w:pPr>
            <w:r w:rsidRPr="000D5B62">
              <w:rPr>
                <w:rFonts w:eastAsiaTheme="minorEastAsia"/>
                <w:i/>
                <w:iCs/>
                <w:spacing w:val="-4"/>
                <w:szCs w:val="20"/>
                <w:rtl/>
              </w:rPr>
              <w:t>(بالملايين)</w:t>
            </w:r>
          </w:p>
        </w:tc>
      </w:tr>
      <w:tr w:rsidR="00803069" w:rsidRPr="000D5B62" w14:paraId="650BAE5C" w14:textId="77777777" w:rsidTr="00F81761">
        <w:tc>
          <w:tcPr>
            <w:tcW w:w="735" w:type="dxa"/>
            <w:vMerge/>
            <w:tcBorders>
              <w:top w:val="single" w:sz="12" w:space="0" w:color="auto"/>
              <w:bottom w:val="single" w:sz="12" w:space="0" w:color="auto"/>
            </w:tcBorders>
            <w:shd w:val="clear" w:color="auto" w:fill="auto"/>
          </w:tcPr>
          <w:p w14:paraId="5DDC9FE7" w14:textId="77777777" w:rsidR="00803069" w:rsidRPr="000D5B62" w:rsidRDefault="00803069" w:rsidP="00F81761">
            <w:pPr>
              <w:autoSpaceDE w:val="0"/>
              <w:autoSpaceDN w:val="0"/>
              <w:adjustRightInd w:val="0"/>
              <w:spacing w:before="40" w:after="40" w:line="300" w:lineRule="exact"/>
              <w:rPr>
                <w:rFonts w:eastAsiaTheme="minorEastAsia"/>
                <w:i/>
                <w:spacing w:val="-4"/>
                <w:szCs w:val="20"/>
              </w:rPr>
            </w:pPr>
          </w:p>
        </w:tc>
        <w:tc>
          <w:tcPr>
            <w:tcW w:w="1203" w:type="dxa"/>
            <w:tcBorders>
              <w:top w:val="single" w:sz="4" w:space="0" w:color="auto"/>
              <w:bottom w:val="single" w:sz="12" w:space="0" w:color="auto"/>
            </w:tcBorders>
            <w:shd w:val="clear" w:color="auto" w:fill="auto"/>
            <w:vAlign w:val="bottom"/>
          </w:tcPr>
          <w:p w14:paraId="73EF592D"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i/>
                <w:iCs/>
                <w:spacing w:val="-4"/>
                <w:szCs w:val="20"/>
                <w:lang w:val="ar-SA" w:eastAsia="zh-TW" w:bidi="en-GB"/>
              </w:rPr>
            </w:pPr>
            <w:r w:rsidRPr="000D5B62">
              <w:rPr>
                <w:rFonts w:eastAsiaTheme="minorEastAsia"/>
                <w:i/>
                <w:iCs/>
                <w:spacing w:val="-4"/>
                <w:szCs w:val="20"/>
                <w:rtl/>
              </w:rPr>
              <w:t>النساء 15-49</w:t>
            </w:r>
          </w:p>
        </w:tc>
        <w:tc>
          <w:tcPr>
            <w:tcW w:w="1181" w:type="dxa"/>
            <w:tcBorders>
              <w:top w:val="single" w:sz="4" w:space="0" w:color="auto"/>
              <w:bottom w:val="single" w:sz="12" w:space="0" w:color="auto"/>
            </w:tcBorders>
            <w:shd w:val="clear" w:color="auto" w:fill="auto"/>
            <w:vAlign w:val="bottom"/>
          </w:tcPr>
          <w:p w14:paraId="403D01A4"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i/>
                <w:iCs/>
                <w:spacing w:val="-4"/>
                <w:szCs w:val="20"/>
                <w:lang w:val="ar-SA" w:eastAsia="zh-TW" w:bidi="en-GB"/>
              </w:rPr>
            </w:pPr>
            <w:r w:rsidRPr="000D5B62">
              <w:rPr>
                <w:rFonts w:eastAsiaTheme="minorEastAsia"/>
                <w:i/>
                <w:iCs/>
                <w:spacing w:val="-4"/>
                <w:szCs w:val="20"/>
                <w:rtl/>
              </w:rPr>
              <w:t xml:space="preserve">الكبار 15-49 </w:t>
            </w:r>
          </w:p>
        </w:tc>
        <w:tc>
          <w:tcPr>
            <w:tcW w:w="1134" w:type="dxa"/>
            <w:tcBorders>
              <w:top w:val="single" w:sz="4" w:space="0" w:color="auto"/>
              <w:bottom w:val="single" w:sz="12" w:space="0" w:color="auto"/>
            </w:tcBorders>
            <w:shd w:val="clear" w:color="auto" w:fill="auto"/>
            <w:vAlign w:val="bottom"/>
          </w:tcPr>
          <w:p w14:paraId="7F74D8CD"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i/>
                <w:iCs/>
                <w:spacing w:val="-4"/>
                <w:szCs w:val="20"/>
                <w:lang w:eastAsia="zh-TW" w:bidi="en-GB"/>
              </w:rPr>
            </w:pPr>
            <w:r w:rsidRPr="000D5B62">
              <w:rPr>
                <w:rFonts w:eastAsiaTheme="minorEastAsia"/>
                <w:i/>
                <w:iCs/>
                <w:spacing w:val="-4"/>
                <w:szCs w:val="20"/>
                <w:rtl/>
              </w:rPr>
              <w:t>مجموع السكان</w:t>
            </w:r>
          </w:p>
        </w:tc>
        <w:tc>
          <w:tcPr>
            <w:tcW w:w="1559" w:type="dxa"/>
            <w:vMerge/>
            <w:tcBorders>
              <w:top w:val="nil"/>
              <w:bottom w:val="single" w:sz="12" w:space="0" w:color="auto"/>
            </w:tcBorders>
            <w:shd w:val="clear" w:color="auto" w:fill="auto"/>
            <w:vAlign w:val="bottom"/>
          </w:tcPr>
          <w:p w14:paraId="40AE23B6" w14:textId="77777777" w:rsidR="00803069" w:rsidRPr="000D5B62" w:rsidRDefault="00803069" w:rsidP="00F81761">
            <w:pPr>
              <w:autoSpaceDE w:val="0"/>
              <w:autoSpaceDN w:val="0"/>
              <w:adjustRightInd w:val="0"/>
              <w:spacing w:before="40" w:after="40" w:line="300" w:lineRule="exact"/>
              <w:jc w:val="left"/>
              <w:rPr>
                <w:rFonts w:eastAsiaTheme="minorEastAsia"/>
                <w:i/>
                <w:iCs/>
                <w:spacing w:val="-4"/>
                <w:szCs w:val="20"/>
              </w:rPr>
            </w:pPr>
          </w:p>
        </w:tc>
        <w:tc>
          <w:tcPr>
            <w:tcW w:w="1558" w:type="dxa"/>
            <w:vMerge/>
            <w:tcBorders>
              <w:top w:val="nil"/>
              <w:bottom w:val="single" w:sz="12" w:space="0" w:color="auto"/>
            </w:tcBorders>
            <w:shd w:val="clear" w:color="auto" w:fill="auto"/>
            <w:vAlign w:val="bottom"/>
          </w:tcPr>
          <w:p w14:paraId="739CE50A" w14:textId="77777777" w:rsidR="00803069" w:rsidRPr="000D5B62" w:rsidRDefault="00803069" w:rsidP="00F81761">
            <w:pPr>
              <w:autoSpaceDE w:val="0"/>
              <w:autoSpaceDN w:val="0"/>
              <w:adjustRightInd w:val="0"/>
              <w:spacing w:before="40" w:after="40" w:line="300" w:lineRule="exact"/>
              <w:jc w:val="left"/>
              <w:rPr>
                <w:rFonts w:eastAsiaTheme="minorEastAsia"/>
                <w:i/>
                <w:iCs/>
                <w:spacing w:val="-4"/>
                <w:szCs w:val="20"/>
              </w:rPr>
            </w:pPr>
          </w:p>
        </w:tc>
      </w:tr>
      <w:tr w:rsidR="00803069" w:rsidRPr="000D5B62" w14:paraId="399BEECF" w14:textId="77777777" w:rsidTr="00F81761">
        <w:tc>
          <w:tcPr>
            <w:tcW w:w="735" w:type="dxa"/>
            <w:tcBorders>
              <w:top w:val="single" w:sz="12" w:space="0" w:color="auto"/>
            </w:tcBorders>
            <w:shd w:val="clear" w:color="auto" w:fill="auto"/>
          </w:tcPr>
          <w:p w14:paraId="0C2CF7D6"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2014</w:t>
            </w:r>
          </w:p>
        </w:tc>
        <w:tc>
          <w:tcPr>
            <w:tcW w:w="1203" w:type="dxa"/>
            <w:tcBorders>
              <w:top w:val="single" w:sz="12" w:space="0" w:color="auto"/>
            </w:tcBorders>
            <w:shd w:val="clear" w:color="auto" w:fill="auto"/>
            <w:vAlign w:val="bottom"/>
          </w:tcPr>
          <w:p w14:paraId="342C7C3F"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21,40</w:t>
            </w:r>
          </w:p>
        </w:tc>
        <w:tc>
          <w:tcPr>
            <w:tcW w:w="1181" w:type="dxa"/>
            <w:tcBorders>
              <w:top w:val="single" w:sz="12" w:space="0" w:color="auto"/>
            </w:tcBorders>
            <w:shd w:val="clear" w:color="auto" w:fill="auto"/>
            <w:vAlign w:val="bottom"/>
          </w:tcPr>
          <w:p w14:paraId="29A75CDF"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18,25</w:t>
            </w:r>
          </w:p>
        </w:tc>
        <w:tc>
          <w:tcPr>
            <w:tcW w:w="1134" w:type="dxa"/>
            <w:tcBorders>
              <w:top w:val="single" w:sz="12" w:space="0" w:color="auto"/>
            </w:tcBorders>
            <w:shd w:val="clear" w:color="auto" w:fill="auto"/>
            <w:vAlign w:val="bottom"/>
          </w:tcPr>
          <w:p w14:paraId="14A2A4A4"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12,46</w:t>
            </w:r>
          </w:p>
        </w:tc>
        <w:tc>
          <w:tcPr>
            <w:tcW w:w="1559" w:type="dxa"/>
            <w:tcBorders>
              <w:top w:val="single" w:sz="12" w:space="0" w:color="auto"/>
            </w:tcBorders>
            <w:shd w:val="clear" w:color="auto" w:fill="auto"/>
            <w:vAlign w:val="bottom"/>
          </w:tcPr>
          <w:p w14:paraId="3E92E1F3"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0,97</w:t>
            </w:r>
          </w:p>
        </w:tc>
        <w:tc>
          <w:tcPr>
            <w:tcW w:w="1558" w:type="dxa"/>
            <w:tcBorders>
              <w:top w:val="single" w:sz="12" w:space="0" w:color="auto"/>
            </w:tcBorders>
            <w:shd w:val="clear" w:color="auto" w:fill="auto"/>
            <w:vAlign w:val="bottom"/>
          </w:tcPr>
          <w:p w14:paraId="23F2EDDD"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6,67</w:t>
            </w:r>
          </w:p>
        </w:tc>
      </w:tr>
      <w:tr w:rsidR="00803069" w:rsidRPr="000D5B62" w14:paraId="22FB1640" w14:textId="77777777" w:rsidTr="00F81761">
        <w:tc>
          <w:tcPr>
            <w:tcW w:w="735" w:type="dxa"/>
            <w:shd w:val="clear" w:color="auto" w:fill="auto"/>
          </w:tcPr>
          <w:p w14:paraId="2E254588"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2015</w:t>
            </w:r>
          </w:p>
        </w:tc>
        <w:tc>
          <w:tcPr>
            <w:tcW w:w="1203" w:type="dxa"/>
            <w:shd w:val="clear" w:color="auto" w:fill="auto"/>
            <w:vAlign w:val="bottom"/>
          </w:tcPr>
          <w:p w14:paraId="66E92D13"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21,34</w:t>
            </w:r>
          </w:p>
        </w:tc>
        <w:tc>
          <w:tcPr>
            <w:tcW w:w="1181" w:type="dxa"/>
            <w:shd w:val="clear" w:color="auto" w:fill="auto"/>
            <w:vAlign w:val="bottom"/>
          </w:tcPr>
          <w:p w14:paraId="1A73145C"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18,17</w:t>
            </w:r>
          </w:p>
        </w:tc>
        <w:tc>
          <w:tcPr>
            <w:tcW w:w="1134" w:type="dxa"/>
            <w:shd w:val="clear" w:color="auto" w:fill="auto"/>
            <w:vAlign w:val="bottom"/>
          </w:tcPr>
          <w:p w14:paraId="4BE0DAD3"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12,50</w:t>
            </w:r>
          </w:p>
        </w:tc>
        <w:tc>
          <w:tcPr>
            <w:tcW w:w="1559" w:type="dxa"/>
            <w:shd w:val="clear" w:color="auto" w:fill="auto"/>
            <w:vAlign w:val="bottom"/>
          </w:tcPr>
          <w:p w14:paraId="0C379C7C"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1,01</w:t>
            </w:r>
          </w:p>
        </w:tc>
        <w:tc>
          <w:tcPr>
            <w:tcW w:w="1558" w:type="dxa"/>
            <w:shd w:val="clear" w:color="auto" w:fill="auto"/>
            <w:vAlign w:val="bottom"/>
          </w:tcPr>
          <w:p w14:paraId="4C7AEDA1"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8,80</w:t>
            </w:r>
          </w:p>
        </w:tc>
      </w:tr>
      <w:tr w:rsidR="00803069" w:rsidRPr="000D5B62" w14:paraId="40E3074C" w14:textId="77777777" w:rsidTr="00F81761">
        <w:tc>
          <w:tcPr>
            <w:tcW w:w="735" w:type="dxa"/>
            <w:shd w:val="clear" w:color="auto" w:fill="auto"/>
          </w:tcPr>
          <w:p w14:paraId="15916A26"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2016</w:t>
            </w:r>
          </w:p>
        </w:tc>
        <w:tc>
          <w:tcPr>
            <w:tcW w:w="1203" w:type="dxa"/>
            <w:shd w:val="clear" w:color="auto" w:fill="auto"/>
            <w:vAlign w:val="bottom"/>
          </w:tcPr>
          <w:p w14:paraId="06A1DF91"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21,29</w:t>
            </w:r>
          </w:p>
        </w:tc>
        <w:tc>
          <w:tcPr>
            <w:tcW w:w="1181" w:type="dxa"/>
            <w:shd w:val="clear" w:color="auto" w:fill="auto"/>
            <w:vAlign w:val="bottom"/>
          </w:tcPr>
          <w:p w14:paraId="0B0A7427"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18,10</w:t>
            </w:r>
          </w:p>
        </w:tc>
        <w:tc>
          <w:tcPr>
            <w:tcW w:w="1134" w:type="dxa"/>
            <w:shd w:val="clear" w:color="auto" w:fill="auto"/>
            <w:vAlign w:val="bottom"/>
          </w:tcPr>
          <w:p w14:paraId="2B16B1AB"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12,55</w:t>
            </w:r>
          </w:p>
        </w:tc>
        <w:tc>
          <w:tcPr>
            <w:tcW w:w="1559" w:type="dxa"/>
            <w:shd w:val="clear" w:color="auto" w:fill="auto"/>
            <w:vAlign w:val="bottom"/>
          </w:tcPr>
          <w:p w14:paraId="20AABB20"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1,00</w:t>
            </w:r>
          </w:p>
        </w:tc>
        <w:tc>
          <w:tcPr>
            <w:tcW w:w="1558" w:type="dxa"/>
            <w:shd w:val="clear" w:color="auto" w:fill="auto"/>
            <w:vAlign w:val="bottom"/>
          </w:tcPr>
          <w:p w14:paraId="50D97179"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6,93</w:t>
            </w:r>
          </w:p>
        </w:tc>
      </w:tr>
      <w:tr w:rsidR="00803069" w:rsidRPr="000D5B62" w14:paraId="710D57AD" w14:textId="77777777" w:rsidTr="00F81761">
        <w:tc>
          <w:tcPr>
            <w:tcW w:w="735" w:type="dxa"/>
            <w:shd w:val="clear" w:color="auto" w:fill="auto"/>
          </w:tcPr>
          <w:p w14:paraId="609BCE5E"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2017</w:t>
            </w:r>
          </w:p>
        </w:tc>
        <w:tc>
          <w:tcPr>
            <w:tcW w:w="1203" w:type="dxa"/>
            <w:shd w:val="clear" w:color="auto" w:fill="auto"/>
            <w:vAlign w:val="bottom"/>
          </w:tcPr>
          <w:p w14:paraId="5448CB3B"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21,17</w:t>
            </w:r>
          </w:p>
        </w:tc>
        <w:tc>
          <w:tcPr>
            <w:tcW w:w="1181" w:type="dxa"/>
            <w:shd w:val="clear" w:color="auto" w:fill="auto"/>
            <w:vAlign w:val="bottom"/>
          </w:tcPr>
          <w:p w14:paraId="07A98388"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17,98</w:t>
            </w:r>
          </w:p>
        </w:tc>
        <w:tc>
          <w:tcPr>
            <w:tcW w:w="1134" w:type="dxa"/>
            <w:shd w:val="clear" w:color="auto" w:fill="auto"/>
            <w:vAlign w:val="bottom"/>
          </w:tcPr>
          <w:p w14:paraId="0D27BDDE"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12,57</w:t>
            </w:r>
          </w:p>
        </w:tc>
        <w:tc>
          <w:tcPr>
            <w:tcW w:w="1559" w:type="dxa"/>
            <w:shd w:val="clear" w:color="auto" w:fill="auto"/>
            <w:vAlign w:val="bottom"/>
          </w:tcPr>
          <w:p w14:paraId="48ABAFBC"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0,91</w:t>
            </w:r>
          </w:p>
        </w:tc>
        <w:tc>
          <w:tcPr>
            <w:tcW w:w="1558" w:type="dxa"/>
            <w:shd w:val="clear" w:color="auto" w:fill="auto"/>
            <w:vAlign w:val="bottom"/>
          </w:tcPr>
          <w:p w14:paraId="7D81A113" w14:textId="77777777" w:rsidR="00803069" w:rsidRPr="000D5B62" w:rsidRDefault="00803069" w:rsidP="00F81761">
            <w:pPr>
              <w:autoSpaceDE w:val="0"/>
              <w:autoSpaceDN w:val="0"/>
              <w:adjustRightInd w:val="0"/>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tl/>
              </w:rPr>
              <w:t>7,06</w:t>
            </w:r>
          </w:p>
        </w:tc>
      </w:tr>
    </w:tbl>
    <w:p w14:paraId="27E978C4" w14:textId="62DBFAC4" w:rsidR="00803069" w:rsidRPr="000D5B62" w:rsidRDefault="00803069" w:rsidP="0035195D">
      <w:pPr>
        <w:pStyle w:val="SingleTxtGA"/>
        <w:spacing w:before="240"/>
        <w:rPr>
          <w:rStyle w:val="FootnoteReference"/>
          <w:rFonts w:eastAsiaTheme="minorEastAsia"/>
          <w:szCs w:val="22"/>
          <w:lang w:val="ar-SA" w:eastAsia="zh-TW" w:bidi="en-GB"/>
        </w:rPr>
      </w:pPr>
      <w:r w:rsidRPr="000D5B62">
        <w:rPr>
          <w:rtl/>
        </w:rPr>
        <w:t>9-</w:t>
      </w:r>
      <w:r w:rsidRPr="000D5B62">
        <w:rPr>
          <w:rtl/>
        </w:rPr>
        <w:tab/>
        <w:t>وتفيد حوالي سبع أسر من بين كل عشر أُسر معيشية (71,2 في المائة) بأنها تذهب أولاً إلى العيادات أو المستشفيات الحكومية أو غيرها من المؤسسات العامة عند إصابة أحد أفرادها بوعكة صحية أو بجروح. ومن ناحية أخرى، أفادت نسبة 27,4 في المائة من الأسر المعيشية بأنها تذهب إلى أطباء خاصين أو عيادات أو مستشفيات خاصة. وفي نحو رُبع الأسر المعيشية في جنوب أفريقيا (23,3 في المائة)، هناك فرد واحد على الأقل مشمول بخطة تأمين طبي. بيد أن نسبة الأفراد المشترِكين في خطط التأمين الطبي في جنوب أفريقيا كانت ضئيلة نسبياً (17,1 في المائة) في عام 2017</w:t>
      </w:r>
      <w:r w:rsidRPr="000D5B62">
        <w:rPr>
          <w:rStyle w:val="FootnoteReference"/>
          <w:szCs w:val="22"/>
          <w:rtl/>
        </w:rPr>
        <w:t>(</w:t>
      </w:r>
      <w:r w:rsidRPr="000D5B62">
        <w:rPr>
          <w:rStyle w:val="FootnoteReference"/>
          <w:szCs w:val="22"/>
          <w:rtl/>
        </w:rPr>
        <w:footnoteReference w:id="15"/>
      </w:r>
      <w:r w:rsidRPr="000D5B62">
        <w:rPr>
          <w:rStyle w:val="FootnoteReference"/>
          <w:szCs w:val="22"/>
          <w:rtl/>
        </w:rPr>
        <w:t>)</w:t>
      </w:r>
      <w:r w:rsidRPr="000D5B62">
        <w:rPr>
          <w:rtl/>
        </w:rPr>
        <w:t>.</w:t>
      </w:r>
    </w:p>
    <w:p w14:paraId="42CAC6DA" w14:textId="6B93189D" w:rsidR="00803069" w:rsidRPr="000D5B62" w:rsidRDefault="00803069" w:rsidP="00706D34">
      <w:pPr>
        <w:pStyle w:val="SingleTxtGA"/>
        <w:rPr>
          <w:rStyle w:val="FootnoteReference"/>
          <w:rFonts w:eastAsiaTheme="minorEastAsia"/>
          <w:spacing w:val="-4"/>
          <w:szCs w:val="22"/>
          <w:lang w:val="en-US" w:eastAsia="zh-TW" w:bidi="en-GB"/>
        </w:rPr>
      </w:pPr>
      <w:r w:rsidRPr="000D5B62">
        <w:rPr>
          <w:rtl/>
        </w:rPr>
        <w:t>10-</w:t>
      </w:r>
      <w:r w:rsidRPr="000D5B62">
        <w:rPr>
          <w:rtl/>
        </w:rPr>
        <w:tab/>
      </w:r>
      <w:r w:rsidRPr="000D5B62">
        <w:rPr>
          <w:spacing w:val="-4"/>
          <w:rtl/>
        </w:rPr>
        <w:t>وزاد عدد الأطفال الذين تتراوح أعمارهم ما بين سبعة أعوام و17 عاماً في جنوب أفريقيا من 11,1 مليون طفل في عام 2010 إلى 11,2 مليون طفل في عام 2015، أي بزيادة تناهز 000 127 طفل. وكانت نسبة الأطفال من كل جنس متعادلة في عام 2015. وفي عام 2015، كان والدا غالبية الأطفال (74,8 في المائة) الذين تتراوح أعمارهم ما بين سبعة أعوام و17 عاماً على قيد الحياة، بينما بلغت نسبة الأطفال يتامى الوالدين 7,3 في المائة. وكانت نسبة الأطفال الذين لم يكن والدوهم يعيشون ضمن الأسرة المعيشية أعلى في عام 2015 في صفوف الأطفال السود (28,3 في المائة) منها في سائر فئات السكان. وتجدر الإشارة إلى أن عدد الأطفال الذين لا يعيش والدوهم ضمن أسرهم المعيشية ويقيمون مع الجدة أو الجد على الأقل قد انخفض في عام 2015 من 56,5 في المائة إلى 52,9 في المائة. وفي عام 2015، ناهزت نسبة الأطفال الملتحقين بالمدارس (98,4 في المائة). إلا أن احتمالات التحاق الأطفال يتامى الوالدين بالمدارس في عام 2015 كانت أقل مقارنة باحتمالات التحاق الأطفال يتيمي الأب أو الأم بها. ومن ناحية أخرى، كانت احتمالات التحاق الأطفال المقيمين مع كلا الوالدين أو مع أمهاتهم بالمدارس أقوى</w:t>
      </w:r>
      <w:r w:rsidRPr="000D5B62">
        <w:rPr>
          <w:rStyle w:val="FootnoteReference"/>
          <w:spacing w:val="-4"/>
          <w:szCs w:val="22"/>
          <w:rtl/>
        </w:rPr>
        <w:t>(</w:t>
      </w:r>
      <w:r w:rsidRPr="000D5B62">
        <w:rPr>
          <w:rStyle w:val="FootnoteReference"/>
          <w:spacing w:val="-4"/>
          <w:szCs w:val="22"/>
          <w:rtl/>
        </w:rPr>
        <w:footnoteReference w:id="16"/>
      </w:r>
      <w:r w:rsidRPr="000D5B62">
        <w:rPr>
          <w:rStyle w:val="FootnoteReference"/>
          <w:spacing w:val="-4"/>
          <w:szCs w:val="22"/>
          <w:rtl/>
        </w:rPr>
        <w:t>)</w:t>
      </w:r>
      <w:r w:rsidRPr="000D5B62">
        <w:rPr>
          <w:spacing w:val="-4"/>
          <w:rtl/>
        </w:rPr>
        <w:t>.</w:t>
      </w:r>
    </w:p>
    <w:p w14:paraId="783B7641" w14:textId="1DD7AF8F" w:rsidR="00803069" w:rsidRPr="000D5B62" w:rsidRDefault="00803069" w:rsidP="00706D34">
      <w:pPr>
        <w:pStyle w:val="SingleTxtGA"/>
        <w:rPr>
          <w:rStyle w:val="FootnoteReference"/>
          <w:rFonts w:eastAsiaTheme="minorEastAsia"/>
          <w:szCs w:val="22"/>
          <w:lang w:val="ar-SA" w:eastAsia="zh-TW" w:bidi="en-GB"/>
        </w:rPr>
      </w:pPr>
      <w:r w:rsidRPr="000D5B62">
        <w:rPr>
          <w:rtl/>
        </w:rPr>
        <w:t>11-</w:t>
      </w:r>
      <w:r w:rsidRPr="000D5B62">
        <w:rPr>
          <w:rtl/>
        </w:rPr>
        <w:tab/>
        <w:t xml:space="preserve">وفيما يتعلق </w:t>
      </w:r>
      <w:r w:rsidR="00263EED" w:rsidRPr="000D5B62">
        <w:rPr>
          <w:rFonts w:hint="cs"/>
          <w:b/>
          <w:bCs/>
          <w:rtl/>
        </w:rPr>
        <w:t>بالتعليم</w:t>
      </w:r>
      <w:r w:rsidRPr="000D5B62">
        <w:rPr>
          <w:rtl/>
        </w:rPr>
        <w:t xml:space="preserve">، تنص المادة 29 من دستور جمهورية جنوب أفريقيا لعام 1996 </w:t>
      </w:r>
      <w:r w:rsidR="005B754C" w:rsidRPr="000D5B62">
        <w:rPr>
          <w:rFonts w:hint="cs"/>
          <w:rtl/>
        </w:rPr>
        <w:t>”</w:t>
      </w:r>
      <w:r w:rsidRPr="000D5B62">
        <w:rPr>
          <w:rtl/>
        </w:rPr>
        <w:t>الدستور</w:t>
      </w:r>
      <w:r w:rsidR="005B754C" w:rsidRPr="000D5B62">
        <w:rPr>
          <w:rFonts w:hint="cs"/>
          <w:rtl/>
        </w:rPr>
        <w:t>“</w:t>
      </w:r>
      <w:r w:rsidRPr="000D5B62">
        <w:rPr>
          <w:rtl/>
        </w:rPr>
        <w:t>) على الحق في التعليم</w:t>
      </w:r>
      <w:r w:rsidRPr="000D5B62">
        <w:rPr>
          <w:rStyle w:val="FootnoteReference"/>
          <w:szCs w:val="22"/>
          <w:rtl/>
        </w:rPr>
        <w:t>(</w:t>
      </w:r>
      <w:r w:rsidRPr="000D5B62">
        <w:rPr>
          <w:rStyle w:val="FootnoteReference"/>
          <w:szCs w:val="22"/>
          <w:rtl/>
        </w:rPr>
        <w:footnoteReference w:id="17"/>
      </w:r>
      <w:r w:rsidRPr="000D5B62">
        <w:rPr>
          <w:rStyle w:val="FootnoteReference"/>
          <w:szCs w:val="22"/>
          <w:rtl/>
        </w:rPr>
        <w:t>)</w:t>
      </w:r>
      <w:r w:rsidRPr="000D5B62">
        <w:rPr>
          <w:rtl/>
        </w:rPr>
        <w:t>. وقد سُن تشريع يجعل التعليم إلزاميا</w:t>
      </w:r>
      <w:r w:rsidR="007B10BC" w:rsidRPr="000D5B62">
        <w:rPr>
          <w:rFonts w:hint="cs"/>
          <w:rtl/>
        </w:rPr>
        <w:t>ً</w:t>
      </w:r>
      <w:r w:rsidRPr="000D5B62">
        <w:rPr>
          <w:rtl/>
        </w:rPr>
        <w:t xml:space="preserve"> منذ أن يبلغ الطفل سبع سنوات </w:t>
      </w:r>
      <w:r w:rsidRPr="000D5B62">
        <w:rPr>
          <w:spacing w:val="-2"/>
          <w:rtl/>
        </w:rPr>
        <w:t>من العمر إلى أن يبلغ 15 عاماً (أو الصف التاسع، أيُّهما حدث أولاً) بقصد إرغام الوالدين والإدارات التعليمية</w:t>
      </w:r>
      <w:r w:rsidRPr="000D5B62">
        <w:rPr>
          <w:rtl/>
        </w:rPr>
        <w:t xml:space="preserve"> في الأقاليم على اتخاذ جميع ما يلزم من مبادرات لكفالة حصول الأطفال على التعليم الأساسي. وتيسيراً لذلك، اتُّخذت خطوات تشريعية أخرى تتيح إعلان المدارس في المناطق الفقيرة ”مدارس بدون رسوم“، دعماً لأبناء الأسر الفقيرة ولليتامى. واستفاد نحو تسعة ملايين متعلم في 965 20 مدرسة عامة من سياسة </w:t>
      </w:r>
      <w:r w:rsidR="005B754C" w:rsidRPr="000D5B62">
        <w:rPr>
          <w:rFonts w:hint="cs"/>
          <w:rtl/>
        </w:rPr>
        <w:t>”</w:t>
      </w:r>
      <w:r w:rsidRPr="000D5B62">
        <w:rPr>
          <w:rtl/>
        </w:rPr>
        <w:t>مدارس بدون رسوم</w:t>
      </w:r>
      <w:r w:rsidR="005B754C" w:rsidRPr="000D5B62">
        <w:rPr>
          <w:rFonts w:hint="cs"/>
          <w:rtl/>
        </w:rPr>
        <w:t>“</w:t>
      </w:r>
      <w:r w:rsidRPr="000D5B62">
        <w:rPr>
          <w:rtl/>
        </w:rPr>
        <w:t>. ويمثل ذلك 87</w:t>
      </w:r>
      <w:r w:rsidR="00263EED" w:rsidRPr="000D5B62">
        <w:rPr>
          <w:rFonts w:ascii="Simplified Arabic" w:hAnsi="Simplified Arabic"/>
          <w:rtl/>
        </w:rPr>
        <w:t>,</w:t>
      </w:r>
      <w:r w:rsidRPr="000D5B62">
        <w:rPr>
          <w:rtl/>
        </w:rPr>
        <w:t xml:space="preserve">1 في المائة من المدارس العامة المصنفة كـ </w:t>
      </w:r>
      <w:r w:rsidR="005B754C" w:rsidRPr="000D5B62">
        <w:rPr>
          <w:rFonts w:hint="cs"/>
          <w:rtl/>
        </w:rPr>
        <w:t>”</w:t>
      </w:r>
      <w:r w:rsidRPr="000D5B62">
        <w:rPr>
          <w:rtl/>
        </w:rPr>
        <w:t>مدارس بدون رسوم</w:t>
      </w:r>
      <w:r w:rsidR="005B754C" w:rsidRPr="000D5B62">
        <w:rPr>
          <w:rFonts w:hint="cs"/>
          <w:rtl/>
        </w:rPr>
        <w:t>“</w:t>
      </w:r>
      <w:r w:rsidRPr="000D5B62">
        <w:rPr>
          <w:rtl/>
        </w:rPr>
        <w:t xml:space="preserve"> وبذلك استفاد منها 71</w:t>
      </w:r>
      <w:r w:rsidR="00263EED" w:rsidRPr="000D5B62">
        <w:rPr>
          <w:rFonts w:ascii="Simplified Arabic" w:hAnsi="Simplified Arabic"/>
          <w:rtl/>
        </w:rPr>
        <w:t>,</w:t>
      </w:r>
      <w:r w:rsidRPr="000D5B62">
        <w:rPr>
          <w:rtl/>
        </w:rPr>
        <w:t>8 في المائة من المتعلمين في تلك المدارس</w:t>
      </w:r>
      <w:r w:rsidRPr="000D5B62">
        <w:rPr>
          <w:rStyle w:val="FootnoteReference"/>
          <w:szCs w:val="22"/>
          <w:rtl/>
        </w:rPr>
        <w:t>(</w:t>
      </w:r>
      <w:r w:rsidRPr="000D5B62">
        <w:rPr>
          <w:rStyle w:val="FootnoteReference"/>
          <w:szCs w:val="22"/>
          <w:rtl/>
        </w:rPr>
        <w:footnoteReference w:id="18"/>
      </w:r>
      <w:r w:rsidRPr="000D5B62">
        <w:rPr>
          <w:rStyle w:val="FootnoteReference"/>
          <w:szCs w:val="22"/>
          <w:rtl/>
        </w:rPr>
        <w:t>)</w:t>
      </w:r>
      <w:r w:rsidRPr="000D5B62">
        <w:rPr>
          <w:rtl/>
        </w:rPr>
        <w:t>.</w:t>
      </w:r>
    </w:p>
    <w:p w14:paraId="1C348C62" w14:textId="6CF26D11" w:rsidR="00803069" w:rsidRPr="000D5B62" w:rsidRDefault="00803069" w:rsidP="00706D34">
      <w:pPr>
        <w:pStyle w:val="SingleTxtGA"/>
        <w:rPr>
          <w:rStyle w:val="FootnoteReference"/>
          <w:rFonts w:eastAsiaTheme="minorEastAsia"/>
          <w:szCs w:val="22"/>
          <w:lang w:val="ar-SA" w:eastAsia="zh-TW" w:bidi="en-GB"/>
        </w:rPr>
      </w:pPr>
      <w:r w:rsidRPr="000D5B62">
        <w:rPr>
          <w:rtl/>
        </w:rPr>
        <w:t>12-</w:t>
      </w:r>
      <w:r w:rsidRPr="000D5B62">
        <w:rPr>
          <w:rtl/>
        </w:rPr>
        <w:tab/>
        <w:t>وتؤكد البحوث أن تلبية احتياجات النماء في مرحلة الطفولة المبكرة، أي منذ الولادة وحتى سن الرابعة، تعود بفوائد جمة. وفي هذا الصدد، أدرجت جنوب أفريقيا ضمن أولوياتها البالغة الأهمية في مجال التعليم كفالة الاستفادة من برامج شاملة تتعلق بالنماء في مرحلة الطفولة المبكرة. وتتاح تلك البرامج في مراكز الرعاية النهارية ودور الحضانة ومجموعات اللعب ومدارس الحضانة ومدارس ما قبل التعليم الابتدائي. ويقضي ما يقرب من 42,8 في المائة من أطفال جنوب أفريقيا الذين تتراوح أعمارهم ما بين صفر وأربعة أعوام سحابة أيامهم خارج منازلهم في دور الرعاية النهارية أو في مرافق تعليمية. ومن بين أطفال جنوب أفريقيا فوق سن الخامسة الذين يذهبون إلى مؤسسات تعليمية، التحق نحو 87,5 في المائة منهم بالمدارس في حين بلغت نسبة الملتحقين بمؤسسات التعليم العالي 4,5 في المائة. ومن ناحية أخرى، لم تتجاوز نسبة الملتحقين بكليات التعليم والتدريب في المجالين التقني والمهني 2,1 في المائة. وفي حين أن النسبة المئوية من هذه الفئة العمرية العريضة لم تتغير، يواظب على الدراسة السواد الأعظم ممّن هم ضمن الفئة العمرية من سبعة أعوام إلى 15 عاماً التي تكون فيها القدرة على التحصيل في أوْجها</w:t>
      </w:r>
      <w:r w:rsidRPr="000D5B62">
        <w:rPr>
          <w:rStyle w:val="FootnoteReference"/>
          <w:szCs w:val="22"/>
          <w:rtl/>
        </w:rPr>
        <w:t>(</w:t>
      </w:r>
      <w:r w:rsidRPr="000D5B62">
        <w:rPr>
          <w:rStyle w:val="FootnoteReference"/>
          <w:szCs w:val="22"/>
          <w:rtl/>
        </w:rPr>
        <w:footnoteReference w:id="19"/>
      </w:r>
      <w:r w:rsidRPr="000D5B62">
        <w:rPr>
          <w:rStyle w:val="FootnoteReference"/>
          <w:szCs w:val="22"/>
          <w:rtl/>
        </w:rPr>
        <w:t>)</w:t>
      </w:r>
      <w:r w:rsidRPr="000D5B62">
        <w:rPr>
          <w:rtl/>
        </w:rPr>
        <w:t>.</w:t>
      </w:r>
    </w:p>
    <w:p w14:paraId="26FA4D51" w14:textId="4F558E12" w:rsidR="00803069" w:rsidRPr="000D5B62" w:rsidRDefault="00803069" w:rsidP="00706D34">
      <w:pPr>
        <w:pStyle w:val="SingleTxtGA"/>
        <w:rPr>
          <w:spacing w:val="-4"/>
          <w:lang w:val="ar-SA" w:eastAsia="zh-TW" w:bidi="en-GB"/>
        </w:rPr>
      </w:pPr>
      <w:r w:rsidRPr="000D5B62">
        <w:rPr>
          <w:rtl/>
        </w:rPr>
        <w:t>13-</w:t>
      </w:r>
      <w:r w:rsidRPr="000D5B62">
        <w:rPr>
          <w:rtl/>
        </w:rPr>
        <w:tab/>
      </w:r>
      <w:r w:rsidRPr="000D5B62">
        <w:rPr>
          <w:spacing w:val="-4"/>
          <w:rtl/>
        </w:rPr>
        <w:t>وزادت نسبة المتعلمين الذين أبلغوا عن إعفائهم من سداد الرسوم المدرسية من 0,4 في المائة في عام</w:t>
      </w:r>
      <w:r w:rsidR="0035195D" w:rsidRPr="000D5B62">
        <w:rPr>
          <w:rFonts w:hint="cs"/>
          <w:spacing w:val="-4"/>
          <w:rtl/>
        </w:rPr>
        <w:t> </w:t>
      </w:r>
      <w:r w:rsidRPr="000D5B62">
        <w:rPr>
          <w:spacing w:val="-4"/>
          <w:rtl/>
        </w:rPr>
        <w:t xml:space="preserve">2002 إلى 66 في المائة في عام 2017. وعلى صعيد المقاطعات، بلغت نسبة المتعلمين الملتحقين بالمدارس بدون رسوم في ليمبوبو 91,4 في المائة وفي الكيب الشرقي 76,6 في المائة مقابل 48,8 في المائة من المتعلمين في الكيب الغربي و48,5 في المائة في غاوتنغ. </w:t>
      </w:r>
    </w:p>
    <w:p w14:paraId="6B74DB5D" w14:textId="0C034F3E" w:rsidR="00803069" w:rsidRPr="000D5B62" w:rsidRDefault="00803069" w:rsidP="00706D34">
      <w:pPr>
        <w:pStyle w:val="SingleTxtGA"/>
        <w:rPr>
          <w:lang w:val="ar-SA" w:eastAsia="zh-TW" w:bidi="en-GB"/>
        </w:rPr>
      </w:pPr>
      <w:r w:rsidRPr="000D5B62">
        <w:rPr>
          <w:rtl/>
        </w:rPr>
        <w:t>14-</w:t>
      </w:r>
      <w:r w:rsidRPr="000D5B62">
        <w:rPr>
          <w:rtl/>
        </w:rPr>
        <w:tab/>
        <w:t>وفي عام 2017، بلغ عدد المتعلمين في المدارس حوالي 14 مليون التحق 5</w:t>
      </w:r>
      <w:r w:rsidR="007B10BC" w:rsidRPr="000D5B62">
        <w:rPr>
          <w:rFonts w:hint="cs"/>
          <w:rtl/>
        </w:rPr>
        <w:t>,</w:t>
      </w:r>
      <w:r w:rsidRPr="000D5B62">
        <w:rPr>
          <w:rtl/>
        </w:rPr>
        <w:t>9 في المائة منهم بمدارس خاصة. ويستفيد ثلاثة أرباع (77,3 في المائة) المتعلمين الملتحقين بالمدارس الحكومية من برامج التغذية المدرسية. وعلاوة على ذلك، يذهب 68,1 في المائة من المتعلمين إلى المدارس سيراً على الأقدام في حين يستقل 8,2 في المائة مركبات خاصة. وسُجّل ما يقرب من 000 686 طالب في مؤسسات التعليم العالي خلال عام 2017. وكان أكثر من ثلثي أولئك الطلاب (66</w:t>
      </w:r>
      <w:r w:rsidR="007B10BC" w:rsidRPr="000D5B62">
        <w:rPr>
          <w:rFonts w:hint="cs"/>
          <w:rtl/>
        </w:rPr>
        <w:t>,</w:t>
      </w:r>
      <w:r w:rsidRPr="000D5B62">
        <w:rPr>
          <w:rtl/>
        </w:rPr>
        <w:t>4 في المائة) من الأفريقيين السود. ومع ذلك، ما زال معدل تمثيل هذه الفئة منخفضاً نسبياً</w:t>
      </w:r>
      <w:r w:rsidRPr="000D5B62">
        <w:rPr>
          <w:rStyle w:val="FootnoteReference"/>
          <w:szCs w:val="22"/>
          <w:rtl/>
        </w:rPr>
        <w:t>(</w:t>
      </w:r>
      <w:r w:rsidRPr="000D5B62">
        <w:rPr>
          <w:rStyle w:val="FootnoteReference"/>
          <w:szCs w:val="22"/>
          <w:rtl/>
        </w:rPr>
        <w:footnoteReference w:id="20"/>
      </w:r>
      <w:r w:rsidRPr="000D5B62">
        <w:rPr>
          <w:rStyle w:val="FootnoteReference"/>
          <w:szCs w:val="22"/>
          <w:rtl/>
        </w:rPr>
        <w:t>)</w:t>
      </w:r>
      <w:r w:rsidRPr="000D5B62">
        <w:rPr>
          <w:rtl/>
        </w:rPr>
        <w:t xml:space="preserve">. </w:t>
      </w:r>
    </w:p>
    <w:p w14:paraId="7D106ECD" w14:textId="70DDFB9F" w:rsidR="00803069" w:rsidRPr="000D5B62" w:rsidRDefault="00803069" w:rsidP="00706D34">
      <w:pPr>
        <w:pStyle w:val="SingleTxtGA"/>
        <w:rPr>
          <w:spacing w:val="-2"/>
          <w:lang w:val="ar-SA" w:eastAsia="zh-TW" w:bidi="en-GB"/>
        </w:rPr>
      </w:pPr>
      <w:r w:rsidRPr="000D5B62">
        <w:rPr>
          <w:rtl/>
        </w:rPr>
        <w:t>15-</w:t>
      </w:r>
      <w:r w:rsidRPr="000D5B62">
        <w:rPr>
          <w:rtl/>
        </w:rPr>
        <w:tab/>
        <w:t xml:space="preserve">ولا تزال تتحسّن نتائج التحصيل العلمي المحرزة حيث زادت إمكانية الاستفادة من التسهيلات والخدمات التعليمية. ومن بين الأفراد البالغين من العمر 20 عاماً فأكثر، زادت نسبة من وصلوا إلى الصف 12 كأعلى مستوى تعليمي بلغوه، من 30,7 في المائة في عام 2002 إلى 43,6 في المائة في </w:t>
      </w:r>
      <w:r w:rsidRPr="000D5B62">
        <w:rPr>
          <w:spacing w:val="-2"/>
          <w:rtl/>
        </w:rPr>
        <w:t>عام 2017. وعلاوة على ذلك، زادت نسبة الأفراد الحاصلين على مؤهلات جامعية من 9,2 في المائة إلى</w:t>
      </w:r>
      <w:r w:rsidR="0035195D" w:rsidRPr="000D5B62">
        <w:rPr>
          <w:rFonts w:hint="cs"/>
          <w:spacing w:val="-2"/>
          <w:rtl/>
        </w:rPr>
        <w:t> </w:t>
      </w:r>
      <w:r w:rsidRPr="000D5B62">
        <w:rPr>
          <w:spacing w:val="-2"/>
          <w:rtl/>
        </w:rPr>
        <w:t>13,9 في المائة. وانخفضت نسبة من لم يتلقوا أي تعليم من 11,4 في المائة في عام 2002 إلى 4,7 في المائة في عام 2017. بيد أن النتائج تفيد بأن جميع الأقاليم شهد، خلال الفترة من عام 2002 إلى عام</w:t>
      </w:r>
      <w:r w:rsidR="0035195D" w:rsidRPr="000D5B62">
        <w:rPr>
          <w:rFonts w:hint="cs"/>
          <w:spacing w:val="-2"/>
          <w:rtl/>
        </w:rPr>
        <w:t> </w:t>
      </w:r>
      <w:r w:rsidRPr="000D5B62">
        <w:rPr>
          <w:spacing w:val="-2"/>
          <w:rtl/>
        </w:rPr>
        <w:t xml:space="preserve">2017، انخفاضاً في نسب الأشخاص الذين لم ينالوا أي قسط من التعليم النظامي. وتراجع أيضاً معدل الأمية الوظيفية من 27,3 في المائة في عام 2002 إلى 13,7 في المائة في عام 2017 بينما أدى ازدياد فرص الحصول على التعليم المدرسي إلى انخفاضٍ لا يستهان به في نسبة الأمية الوظيفية بين الأفراد ضمن الفئة العمرية من 20 إلى 39 عاماً. </w:t>
      </w:r>
    </w:p>
    <w:p w14:paraId="7A779D97" w14:textId="77777777" w:rsidR="00803069" w:rsidRPr="000D5B62" w:rsidRDefault="00803069" w:rsidP="0035195D">
      <w:pPr>
        <w:pStyle w:val="SingleTxtGA"/>
        <w:spacing w:line="340" w:lineRule="exact"/>
        <w:rPr>
          <w:lang w:val="ar-SA" w:eastAsia="zh-TW" w:bidi="en-GB"/>
        </w:rPr>
      </w:pPr>
      <w:r w:rsidRPr="000D5B62">
        <w:rPr>
          <w:rtl/>
        </w:rPr>
        <w:t>16-</w:t>
      </w:r>
      <w:r w:rsidRPr="000D5B62">
        <w:rPr>
          <w:rtl/>
        </w:rPr>
        <w:tab/>
        <w:t>وفي الفترة ما بين عامي 2002 و2017، انخفض بشكل ملحوظ معدل انتشار الأمية الوظيفية بين كل من الرجال (من 17,1 في المائة إلى 6 في المائة) والنساء (من 15,8 في المائة إلى 3,5 في المائة) ضمن الفئة العمرية من 20 إلى 39 عاماً. بيد أن معدل إلمام البالغين بالقراءة والكتابة كان دون المعدل الوطني (94,3 في المائة) في أقاليم مثل الكيب الشمالي (89,5 في المائة) والشمال الغربي (89,6 في المائة) وليمبوبو (89,9 في المائة).</w:t>
      </w:r>
    </w:p>
    <w:p w14:paraId="59E59214" w14:textId="076CF918" w:rsidR="00803069" w:rsidRPr="000D5B62" w:rsidRDefault="00803069" w:rsidP="0035195D">
      <w:pPr>
        <w:pStyle w:val="SingleTxtGA"/>
        <w:spacing w:line="340" w:lineRule="exact"/>
        <w:rPr>
          <w:spacing w:val="-2"/>
          <w:lang w:val="en-US" w:eastAsia="zh-TW" w:bidi="en-GB"/>
        </w:rPr>
      </w:pPr>
      <w:r w:rsidRPr="000D5B62">
        <w:rPr>
          <w:rtl/>
        </w:rPr>
        <w:t>17-</w:t>
      </w:r>
      <w:r w:rsidRPr="000D5B62">
        <w:rPr>
          <w:rtl/>
        </w:rPr>
        <w:tab/>
        <w:t>ولما كانت جنوب أفريقيا قد حققت هدف كفالة التعليم الابتدائي للجميع تقريبا</w:t>
      </w:r>
      <w:r w:rsidR="00263EED" w:rsidRPr="000D5B62">
        <w:rPr>
          <w:rFonts w:hint="cs"/>
          <w:rtl/>
        </w:rPr>
        <w:t>ً</w:t>
      </w:r>
      <w:r w:rsidRPr="000D5B62">
        <w:rPr>
          <w:rtl/>
        </w:rPr>
        <w:t>، فهي تركز الآن على تحسين نوعية التعليم وزيادة توفير الهياكل الأساسية والمرافق وموارد التعلم وتعزيز قدرة المعلِّمين على تقديم تعليم أساسي أكثر تنوعاً وأعلى جودة. واستُحدث نظام التقييمات الوطنية السنوية في عام</w:t>
      </w:r>
      <w:r w:rsidR="0035195D" w:rsidRPr="000D5B62">
        <w:rPr>
          <w:rFonts w:hint="cs"/>
          <w:rtl/>
        </w:rPr>
        <w:t> </w:t>
      </w:r>
      <w:r w:rsidRPr="000D5B62">
        <w:rPr>
          <w:rtl/>
        </w:rPr>
        <w:t xml:space="preserve">2010 بهدف تحسين نوعية التعليم. وتلتزم الحكومة أيضاً بالتخلص من المدارس المبنية من الطين وبتوفير المياه والصرف الصحي والكهرباء في إطار برنامج مبادرة التعجيل بتوفير الهياكل الأساسية للمدارس والبرنامج الأقاليمي للتجهيز بالهياكل الأساسية. وأُحرز تقدم جيّد في توفير الخدمات الأساسية (المياه والصرف الصحي والإمداد بالكهرباء) وبناء مدارس جديدة وصيانة المدارس القائمة. وفي هذا </w:t>
      </w:r>
      <w:r w:rsidRPr="000D5B62">
        <w:rPr>
          <w:spacing w:val="-2"/>
          <w:rtl/>
        </w:rPr>
        <w:t>الصدد، تضطلع الأقاليم بتنفيذ البرنامج التكميلي لبناء المدارس على الصعيد المحلي وتتوخى توفير الخدمات الأساسية وبناء مدارس جديدة وإضافة ملحقات إلى المدارس الموجودة وتوفير مرافق جديدة وتحديث المرافق الموجودة وصيانتها، في حين أن مبادرة التعجيل بتوفير الهياكل الأساسية للمدارس عبارة عن برنامج أطلقته إدارة التعليم الأساسي بهدف إنجاز الأعمال المتأخرة المتعلقة بالهياكل الأساسية في جميع المدارس غير المستوفية لقواعد ومعايير السلامة الأساسية. ويتمثل الغرض من البرنامج في التخلص من المدارس ذات الأساسات غير سليمة وتزويد المدارس بالحد الأدنى الأساسي من المياه والصرف الصحي والكهرباء. وفي إطار المبادرة، تم التخلص من 173 مبنى ذي أساس غير سليم وتزويد 615 مدرسة بالمياه و425 مدرسة بمرافق الصرف الصحي و307 مدارس بالكهرباء. ويرجع إلى البرنامجين معاً الفضل في تحسين الهياكل الأساسية مما أسفر عن ارتفاع نسبة حضور الأطفال إلى الفصول المدرسية.</w:t>
      </w:r>
    </w:p>
    <w:p w14:paraId="5721FC94" w14:textId="1B943806" w:rsidR="00803069" w:rsidRPr="000D5B62" w:rsidRDefault="00803069" w:rsidP="0035195D">
      <w:pPr>
        <w:pStyle w:val="SingleTxtGA"/>
        <w:spacing w:line="340" w:lineRule="exact"/>
        <w:rPr>
          <w:lang w:val="ar-SA" w:eastAsia="zh-TW" w:bidi="en-GB"/>
        </w:rPr>
      </w:pPr>
      <w:r w:rsidRPr="000D5B62">
        <w:rPr>
          <w:rtl/>
        </w:rPr>
        <w:t>18-</w:t>
      </w:r>
      <w:r w:rsidRPr="000D5B62">
        <w:rPr>
          <w:rtl/>
        </w:rPr>
        <w:tab/>
        <w:t>وتوجد آليات شتى لرصد التقدم باتجاه إعمال الحق في التعليم إعمالا</w:t>
      </w:r>
      <w:r w:rsidR="00692C50" w:rsidRPr="000D5B62">
        <w:rPr>
          <w:rFonts w:hint="cs"/>
          <w:rtl/>
        </w:rPr>
        <w:t>ً</w:t>
      </w:r>
      <w:r w:rsidRPr="000D5B62">
        <w:rPr>
          <w:rtl/>
        </w:rPr>
        <w:t xml:space="preserve"> تاما</w:t>
      </w:r>
      <w:r w:rsidR="00692C50" w:rsidRPr="000D5B62">
        <w:rPr>
          <w:rFonts w:hint="cs"/>
          <w:rtl/>
        </w:rPr>
        <w:t>ً</w:t>
      </w:r>
      <w:r w:rsidRPr="000D5B62">
        <w:rPr>
          <w:rtl/>
        </w:rPr>
        <w:t>. فبالنظر إلى تاريخ جنوب أفريقيا، تتداخل عوامل الفقر والأصل العرقي وتركة الحرمان التاريخي. ومن ثم، ورغم التركيز في السياسات التعليمية والاقتصادية بالأساس على تحقيق صالح الفقراء، لم يتسن محو الأثر السلبي لعوامل النشأة تماماً. وهكذا تمثل وتيرة التنمية الاجتماعية والاقتصادية في البلد عقبة طويلة الأمد تحُول دون إعمال الحق في التعليم بشكل كامل.</w:t>
      </w:r>
    </w:p>
    <w:p w14:paraId="4DE3A882" w14:textId="77777777" w:rsidR="00803069" w:rsidRPr="000D5B62" w:rsidRDefault="00803069" w:rsidP="0035195D">
      <w:pPr>
        <w:pStyle w:val="H23GA"/>
        <w:rPr>
          <w:lang w:val="en-US" w:eastAsia="zh-TW" w:bidi="en-GB"/>
        </w:rPr>
      </w:pPr>
      <w:r w:rsidRPr="000D5B62">
        <w:rPr>
          <w:rtl/>
        </w:rPr>
        <w:tab/>
      </w:r>
      <w:r w:rsidRPr="000D5B62">
        <w:rPr>
          <w:rtl/>
        </w:rPr>
        <w:tab/>
        <w:t>المؤشرات الاقتصادية</w:t>
      </w:r>
    </w:p>
    <w:p w14:paraId="31C46EE6" w14:textId="74C990EB" w:rsidR="00803069" w:rsidRPr="000D5B62" w:rsidRDefault="00803069" w:rsidP="00706D34">
      <w:pPr>
        <w:pStyle w:val="SingleTxtGA"/>
        <w:rPr>
          <w:spacing w:val="-2"/>
          <w:rtl/>
          <w:lang w:val="ar-SA" w:eastAsia="zh-TW" w:bidi="en-GB"/>
        </w:rPr>
      </w:pPr>
      <w:r w:rsidRPr="000D5B62">
        <w:rPr>
          <w:rtl/>
        </w:rPr>
        <w:t>19-</w:t>
      </w:r>
      <w:r w:rsidRPr="000D5B62">
        <w:rPr>
          <w:rtl/>
        </w:rPr>
        <w:tab/>
      </w:r>
      <w:r w:rsidRPr="000D5B62">
        <w:rPr>
          <w:spacing w:val="-2"/>
          <w:rtl/>
        </w:rPr>
        <w:t>فيما يتعلق بالمؤشرات الاقتصادية والإنفاق الحكومي، من المتوقع أن ينخفض عجز الميزانية من نسبة بلغت، حسب التقديرات، 4,3 في المائة من الناتج المحلي الإجمالي في الفترة 2017/2018 إلى 3,5 في المائة في الفترة 2020/2021. ولئن كان من المتوقع أن تستقر نسبة الدين الصافي عند 53,2 في المائة في الفترة 2023/2024، فإن حجم الدين ما فتئ يزداد في الأجل المتوسط، شأنه شأن تكاليف خدمة الدين. وتقدر القيمة الاسمية للناتج المحلي الإجمالي في الربع الأول من عام 2018 بمبلغ 1,184 تريليون راند، أي بأقل من 24 مليار راند منها في الربع الأخير من عام 2017. فقد انخفض الناتج المحلي الإجمالي في جنوب أفريقيا بنسبة 2,2 في المائة في الربع الأول من عام 2018. وانخفض الإنفاق على الناتج المحلي الإجمالي الحقيقي بنسبة 2</w:t>
      </w:r>
      <w:r w:rsidR="00E672A8" w:rsidRPr="000D5B62">
        <w:rPr>
          <w:rFonts w:hint="cs"/>
          <w:spacing w:val="-2"/>
          <w:rtl/>
        </w:rPr>
        <w:t>,</w:t>
      </w:r>
      <w:r w:rsidRPr="000D5B62">
        <w:rPr>
          <w:spacing w:val="-2"/>
          <w:rtl/>
        </w:rPr>
        <w:t>5 في المائة في الربع الأول من عام 2018. وزاد الإنفاق الاستهلاكي النهائي للأسر المعيشية بنسبة 1,5 في المائة في الربع الأول، فأسهم بنسبة 0,9 في المائة في معدل النمو الإجمالي. وترد في الجدول أدناه الإحصاءات الرئيسية في كانون الأول/ديسمبر 2017:</w:t>
      </w:r>
    </w:p>
    <w:p w14:paraId="2BDC9E33" w14:textId="116070F5" w:rsidR="00803069" w:rsidRPr="000D5B62" w:rsidRDefault="00803069" w:rsidP="002F53CB">
      <w:pPr>
        <w:pStyle w:val="SingleTxtGA"/>
        <w:rPr>
          <w:b/>
          <w:bCs/>
          <w:lang w:val="en-US" w:eastAsia="zh-TW" w:bidi="en-GB"/>
        </w:rPr>
      </w:pPr>
      <w:r w:rsidRPr="000D5B62">
        <w:rPr>
          <w:rtl/>
        </w:rPr>
        <w:t xml:space="preserve">الجدول 8 </w:t>
      </w:r>
      <w:r w:rsidR="002F53CB" w:rsidRPr="000D5B62">
        <w:rPr>
          <w:rtl/>
        </w:rPr>
        <w:tab/>
      </w:r>
      <w:r w:rsidR="002F53CB" w:rsidRPr="000D5B62">
        <w:rPr>
          <w:rtl/>
        </w:rPr>
        <w:br/>
      </w:r>
      <w:r w:rsidRPr="000D5B62">
        <w:rPr>
          <w:b/>
          <w:bCs/>
          <w:rtl/>
        </w:rPr>
        <w:t>الإحصاءات الرئيسية (كانون الأول/ديسمبر 2017)</w:t>
      </w:r>
    </w:p>
    <w:tbl>
      <w:tblPr>
        <w:bidiVisual/>
        <w:tblW w:w="7370" w:type="dxa"/>
        <w:tblInd w:w="1134" w:type="dxa"/>
        <w:tblLayout w:type="fixed"/>
        <w:tblLook w:val="00A0" w:firstRow="1" w:lastRow="0" w:firstColumn="1" w:lastColumn="0" w:noHBand="0" w:noVBand="0"/>
      </w:tblPr>
      <w:tblGrid>
        <w:gridCol w:w="5732"/>
        <w:gridCol w:w="1638"/>
      </w:tblGrid>
      <w:tr w:rsidR="00803069" w:rsidRPr="000D5B62" w14:paraId="061ECD7B" w14:textId="77777777" w:rsidTr="00394C64">
        <w:tc>
          <w:tcPr>
            <w:tcW w:w="5732" w:type="dxa"/>
            <w:tcBorders>
              <w:top w:val="single" w:sz="4" w:space="0" w:color="auto"/>
            </w:tcBorders>
            <w:shd w:val="clear" w:color="auto" w:fill="auto"/>
            <w:vAlign w:val="bottom"/>
          </w:tcPr>
          <w:p w14:paraId="49ADE531" w14:textId="77777777" w:rsidR="00803069" w:rsidRPr="000D5B62" w:rsidRDefault="00803069" w:rsidP="002F53CB">
            <w:pPr>
              <w:spacing w:before="40" w:after="40" w:line="300" w:lineRule="exact"/>
              <w:textDirection w:val="tbRlV"/>
              <w:rPr>
                <w:rFonts w:eastAsiaTheme="minorEastAsia"/>
                <w:i/>
                <w:spacing w:val="-4"/>
                <w:szCs w:val="20"/>
                <w:lang w:eastAsia="zh-TW" w:bidi="en-GB"/>
              </w:rPr>
            </w:pPr>
            <w:r w:rsidRPr="000D5B62">
              <w:rPr>
                <w:rFonts w:eastAsiaTheme="minorEastAsia"/>
                <w:spacing w:val="-4"/>
                <w:szCs w:val="20"/>
                <w:rtl/>
              </w:rPr>
              <w:t xml:space="preserve">الرقم القياسي لأسعار الاستهلاك: كانون الأول/ديسمبر 2017 </w:t>
            </w:r>
            <w:r w:rsidRPr="000D5B62">
              <w:rPr>
                <w:rFonts w:eastAsiaTheme="minorEastAsia"/>
                <w:i/>
                <w:iCs/>
                <w:spacing w:val="-4"/>
                <w:szCs w:val="20"/>
                <w:rtl/>
              </w:rPr>
              <w:t>(عنوان رئيسي)</w:t>
            </w:r>
          </w:p>
        </w:tc>
        <w:tc>
          <w:tcPr>
            <w:tcW w:w="1638" w:type="dxa"/>
            <w:tcBorders>
              <w:top w:val="single" w:sz="4" w:space="0" w:color="auto"/>
            </w:tcBorders>
            <w:shd w:val="clear" w:color="auto" w:fill="auto"/>
            <w:vAlign w:val="bottom"/>
          </w:tcPr>
          <w:p w14:paraId="2F3E5A66" w14:textId="4471CD08" w:rsidR="00803069" w:rsidRPr="000D5B62" w:rsidRDefault="00803069" w:rsidP="00394C6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Pr>
              <w:t>4,6</w:t>
            </w:r>
            <w:r w:rsidR="00E165E2" w:rsidRPr="000D5B62">
              <w:rPr>
                <w:rFonts w:eastAsiaTheme="minorEastAsia"/>
                <w:spacing w:val="-4"/>
                <w:szCs w:val="20"/>
                <w:rtl/>
              </w:rPr>
              <w:t xml:space="preserve"> ٪</w:t>
            </w:r>
            <w:r w:rsidRPr="000D5B62">
              <w:rPr>
                <w:rFonts w:eastAsiaTheme="minorEastAsia"/>
                <w:spacing w:val="-4"/>
                <w:szCs w:val="20"/>
                <w:rtl/>
              </w:rPr>
              <w:t xml:space="preserve"> </w:t>
            </w:r>
          </w:p>
        </w:tc>
      </w:tr>
      <w:tr w:rsidR="00803069" w:rsidRPr="000D5B62" w14:paraId="795647FF" w14:textId="77777777" w:rsidTr="00394C64">
        <w:tc>
          <w:tcPr>
            <w:tcW w:w="5732" w:type="dxa"/>
            <w:shd w:val="clear" w:color="auto" w:fill="auto"/>
          </w:tcPr>
          <w:p w14:paraId="66BD93AA" w14:textId="77777777" w:rsidR="00803069" w:rsidRPr="000D5B62" w:rsidRDefault="00803069" w:rsidP="002F53CB">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الرقم القياسي لأسعار الإنتاج</w:t>
            </w:r>
            <w:r w:rsidRPr="000D5B62">
              <w:rPr>
                <w:rFonts w:eastAsiaTheme="minorEastAsia"/>
                <w:spacing w:val="-4"/>
                <w:szCs w:val="20"/>
              </w:rPr>
              <w:t>:</w:t>
            </w:r>
            <w:r w:rsidRPr="000D5B62">
              <w:rPr>
                <w:rFonts w:eastAsiaTheme="minorEastAsia"/>
                <w:spacing w:val="-4"/>
                <w:szCs w:val="20"/>
                <w:rtl/>
              </w:rPr>
              <w:t xml:space="preserve"> كانون الأول/ديسمبر 2017 </w:t>
            </w:r>
            <w:r w:rsidRPr="000D5B62">
              <w:rPr>
                <w:rFonts w:eastAsiaTheme="minorEastAsia"/>
                <w:i/>
                <w:iCs/>
                <w:spacing w:val="-4"/>
                <w:szCs w:val="20"/>
                <w:rtl/>
              </w:rPr>
              <w:t>(عنوان رئيسي)</w:t>
            </w:r>
          </w:p>
        </w:tc>
        <w:tc>
          <w:tcPr>
            <w:tcW w:w="1638" w:type="dxa"/>
            <w:shd w:val="clear" w:color="auto" w:fill="auto"/>
            <w:vAlign w:val="bottom"/>
          </w:tcPr>
          <w:p w14:paraId="11D6D281" w14:textId="3A76B9C8" w:rsidR="00803069" w:rsidRPr="000D5B62" w:rsidRDefault="00803069" w:rsidP="00394C6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Pr>
              <w:t>5,1</w:t>
            </w:r>
            <w:r w:rsidR="00E165E2" w:rsidRPr="000D5B62">
              <w:rPr>
                <w:rFonts w:eastAsiaTheme="minorEastAsia"/>
                <w:spacing w:val="-4"/>
                <w:szCs w:val="20"/>
                <w:rtl/>
              </w:rPr>
              <w:t xml:space="preserve"> ٪</w:t>
            </w:r>
            <w:r w:rsidRPr="000D5B62">
              <w:rPr>
                <w:rFonts w:eastAsiaTheme="minorEastAsia"/>
                <w:spacing w:val="-4"/>
                <w:szCs w:val="20"/>
                <w:rtl/>
              </w:rPr>
              <w:t xml:space="preserve"> </w:t>
            </w:r>
          </w:p>
        </w:tc>
      </w:tr>
      <w:tr w:rsidR="00803069" w:rsidRPr="000D5B62" w14:paraId="4FC29364" w14:textId="77777777" w:rsidTr="00394C64">
        <w:tc>
          <w:tcPr>
            <w:tcW w:w="5732" w:type="dxa"/>
            <w:shd w:val="clear" w:color="auto" w:fill="auto"/>
          </w:tcPr>
          <w:p w14:paraId="7E14F71F" w14:textId="07880880" w:rsidR="00803069" w:rsidRPr="000D5B62" w:rsidRDefault="00803069" w:rsidP="002F53CB">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الرقم القياسي لأسعار الإنتاج</w:t>
            </w:r>
            <w:r w:rsidRPr="000D5B62">
              <w:rPr>
                <w:rFonts w:eastAsiaTheme="minorEastAsia"/>
                <w:b/>
                <w:bCs/>
                <w:spacing w:val="-4"/>
                <w:szCs w:val="20"/>
              </w:rPr>
              <w:t>:</w:t>
            </w:r>
            <w:r w:rsidRPr="000D5B62">
              <w:rPr>
                <w:rFonts w:eastAsiaTheme="minorEastAsia"/>
                <w:spacing w:val="-4"/>
                <w:szCs w:val="20"/>
                <w:rtl/>
              </w:rPr>
              <w:t xml:space="preserve"> كانون الأول/ديسمبر 2017 </w:t>
            </w:r>
            <w:r w:rsidRPr="000D5B62">
              <w:rPr>
                <w:rFonts w:eastAsiaTheme="minorEastAsia"/>
                <w:i/>
                <w:iCs/>
                <w:spacing w:val="-4"/>
                <w:szCs w:val="20"/>
                <w:rtl/>
              </w:rPr>
              <w:t>(الصناعة التحويلية المتوسطة)</w:t>
            </w:r>
          </w:p>
        </w:tc>
        <w:tc>
          <w:tcPr>
            <w:tcW w:w="1638" w:type="dxa"/>
            <w:shd w:val="clear" w:color="auto" w:fill="auto"/>
            <w:vAlign w:val="bottom"/>
          </w:tcPr>
          <w:p w14:paraId="05595946" w14:textId="6A4D1D4E" w:rsidR="00803069" w:rsidRPr="000D5B62" w:rsidRDefault="00803069" w:rsidP="00394C6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Pr>
              <w:t>4,1</w:t>
            </w:r>
            <w:r w:rsidR="00E165E2" w:rsidRPr="000D5B62">
              <w:rPr>
                <w:rFonts w:eastAsiaTheme="minorEastAsia"/>
                <w:spacing w:val="-4"/>
                <w:szCs w:val="20"/>
                <w:rtl/>
              </w:rPr>
              <w:t xml:space="preserve"> ٪</w:t>
            </w:r>
            <w:r w:rsidRPr="000D5B62">
              <w:rPr>
                <w:rFonts w:eastAsiaTheme="minorEastAsia"/>
                <w:spacing w:val="-4"/>
                <w:szCs w:val="20"/>
                <w:rtl/>
              </w:rPr>
              <w:t xml:space="preserve"> </w:t>
            </w:r>
          </w:p>
        </w:tc>
      </w:tr>
      <w:tr w:rsidR="00803069" w:rsidRPr="000D5B62" w14:paraId="6D777DB4" w14:textId="77777777" w:rsidTr="00394C64">
        <w:tc>
          <w:tcPr>
            <w:tcW w:w="5732" w:type="dxa"/>
            <w:shd w:val="clear" w:color="auto" w:fill="auto"/>
          </w:tcPr>
          <w:p w14:paraId="769D4FAC" w14:textId="77777777" w:rsidR="00803069" w:rsidRPr="000D5B62" w:rsidRDefault="00803069" w:rsidP="002F53CB">
            <w:pPr>
              <w:spacing w:before="40" w:after="40" w:line="300" w:lineRule="exact"/>
              <w:textDirection w:val="tbRlV"/>
              <w:rPr>
                <w:rFonts w:eastAsiaTheme="minorEastAsia"/>
                <w:spacing w:val="-4"/>
                <w:szCs w:val="20"/>
                <w:lang w:eastAsia="zh-TW" w:bidi="en-GB"/>
              </w:rPr>
            </w:pPr>
            <w:r w:rsidRPr="000D5B62">
              <w:rPr>
                <w:rFonts w:eastAsiaTheme="minorEastAsia"/>
                <w:spacing w:val="-4"/>
                <w:szCs w:val="20"/>
                <w:rtl/>
              </w:rPr>
              <w:t>الرقم القياسي لأسعار الإنتاج</w:t>
            </w:r>
            <w:r w:rsidRPr="000D5B62">
              <w:rPr>
                <w:rFonts w:eastAsiaTheme="minorEastAsia"/>
                <w:spacing w:val="-4"/>
                <w:szCs w:val="20"/>
              </w:rPr>
              <w:t>:</w:t>
            </w:r>
            <w:r w:rsidRPr="000D5B62">
              <w:rPr>
                <w:rFonts w:eastAsiaTheme="minorEastAsia"/>
                <w:spacing w:val="-4"/>
                <w:szCs w:val="20"/>
                <w:rtl/>
              </w:rPr>
              <w:t xml:space="preserve"> كانون الأول/ديسمبر 2017 </w:t>
            </w:r>
            <w:r w:rsidRPr="000D5B62">
              <w:rPr>
                <w:rFonts w:eastAsiaTheme="minorEastAsia"/>
                <w:i/>
                <w:iCs/>
                <w:spacing w:val="-4"/>
                <w:szCs w:val="20"/>
                <w:rtl/>
              </w:rPr>
              <w:t>(الزراعة)</w:t>
            </w:r>
          </w:p>
        </w:tc>
        <w:tc>
          <w:tcPr>
            <w:tcW w:w="1638" w:type="dxa"/>
            <w:shd w:val="clear" w:color="auto" w:fill="auto"/>
            <w:vAlign w:val="bottom"/>
          </w:tcPr>
          <w:p w14:paraId="0C066C5A" w14:textId="23C9C4D8" w:rsidR="00803069" w:rsidRPr="000D5B62" w:rsidRDefault="00803069" w:rsidP="00394C64">
            <w:pPr>
              <w:spacing w:before="40" w:after="40" w:line="300" w:lineRule="exact"/>
              <w:jc w:val="left"/>
              <w:textDirection w:val="tbRlV"/>
              <w:rPr>
                <w:rFonts w:eastAsiaTheme="minorEastAsia"/>
                <w:spacing w:val="-4"/>
                <w:szCs w:val="20"/>
                <w:lang w:val="ar-SA" w:eastAsia="zh-TW" w:bidi="en-GB"/>
              </w:rPr>
            </w:pPr>
            <w:r w:rsidRPr="000D5B62">
              <w:rPr>
                <w:rFonts w:eastAsiaTheme="minorEastAsia"/>
                <w:spacing w:val="-4"/>
                <w:szCs w:val="20"/>
              </w:rPr>
              <w:t>6,78</w:t>
            </w:r>
            <w:r w:rsidR="00E165E2" w:rsidRPr="000D5B62">
              <w:rPr>
                <w:rFonts w:eastAsiaTheme="minorEastAsia"/>
                <w:spacing w:val="-4"/>
                <w:szCs w:val="20"/>
                <w:rtl/>
              </w:rPr>
              <w:t xml:space="preserve"> ٪</w:t>
            </w:r>
            <w:r w:rsidRPr="000D5B62">
              <w:rPr>
                <w:rFonts w:eastAsiaTheme="minorEastAsia"/>
                <w:spacing w:val="-4"/>
                <w:szCs w:val="20"/>
                <w:rtl/>
              </w:rPr>
              <w:t xml:space="preserve"> </w:t>
            </w:r>
          </w:p>
        </w:tc>
      </w:tr>
      <w:tr w:rsidR="00803069" w:rsidRPr="000D5B62" w14:paraId="020A07E9" w14:textId="77777777" w:rsidTr="00394C64">
        <w:tc>
          <w:tcPr>
            <w:tcW w:w="5732" w:type="dxa"/>
            <w:shd w:val="clear" w:color="auto" w:fill="auto"/>
          </w:tcPr>
          <w:p w14:paraId="1C1E4765" w14:textId="77777777" w:rsidR="00803069" w:rsidRPr="000D5B62" w:rsidRDefault="00803069" w:rsidP="002F53CB">
            <w:pPr>
              <w:spacing w:before="40" w:after="40" w:line="300" w:lineRule="exact"/>
              <w:textDirection w:val="tbRlV"/>
              <w:rPr>
                <w:rFonts w:eastAsiaTheme="minorEastAsia"/>
                <w:spacing w:val="-4"/>
                <w:szCs w:val="20"/>
                <w:lang w:val="ar-SA" w:eastAsia="zh-TW"/>
              </w:rPr>
            </w:pPr>
            <w:r w:rsidRPr="000D5B62">
              <w:rPr>
                <w:rFonts w:eastAsiaTheme="minorEastAsia"/>
                <w:spacing w:val="-4"/>
                <w:szCs w:val="20"/>
                <w:rtl/>
              </w:rPr>
              <w:t>الناتج المحلي الإجمالي (الربع الأخير من 2017)</w:t>
            </w:r>
          </w:p>
        </w:tc>
        <w:tc>
          <w:tcPr>
            <w:tcW w:w="1638" w:type="dxa"/>
            <w:shd w:val="clear" w:color="auto" w:fill="auto"/>
            <w:vAlign w:val="bottom"/>
          </w:tcPr>
          <w:p w14:paraId="50A5C1D6" w14:textId="3001727D" w:rsidR="00803069" w:rsidRPr="000D5B62" w:rsidRDefault="00803069" w:rsidP="00394C64">
            <w:pPr>
              <w:spacing w:before="40" w:after="40" w:line="300" w:lineRule="exact"/>
              <w:jc w:val="left"/>
              <w:textDirection w:val="tbRlV"/>
              <w:rPr>
                <w:rFonts w:eastAsiaTheme="minorEastAsia"/>
                <w:spacing w:val="-4"/>
                <w:szCs w:val="20"/>
                <w:rtl/>
                <w:lang w:eastAsia="zh-TW" w:bidi="ar-YE"/>
              </w:rPr>
            </w:pPr>
            <w:r w:rsidRPr="000D5B62">
              <w:rPr>
                <w:rFonts w:eastAsiaTheme="minorEastAsia"/>
                <w:spacing w:val="-4"/>
                <w:szCs w:val="20"/>
                <w:rtl/>
              </w:rPr>
              <w:t xml:space="preserve">2 </w:t>
            </w:r>
            <w:r w:rsidR="008B0906" w:rsidRPr="000D5B62">
              <w:rPr>
                <w:rFonts w:eastAsiaTheme="minorEastAsia"/>
                <w:spacing w:val="-4"/>
                <w:szCs w:val="20"/>
                <w:rtl/>
              </w:rPr>
              <w:t>٪</w:t>
            </w:r>
            <w:r w:rsidRPr="000D5B62">
              <w:rPr>
                <w:rFonts w:eastAsiaTheme="minorEastAsia"/>
                <w:spacing w:val="-4"/>
                <w:szCs w:val="20"/>
                <w:rtl/>
              </w:rPr>
              <w:t xml:space="preserve"> من رُبع إلى آخر </w:t>
            </w:r>
          </w:p>
        </w:tc>
      </w:tr>
      <w:tr w:rsidR="00803069" w:rsidRPr="000D5B62" w14:paraId="283413B1" w14:textId="77777777" w:rsidTr="00394C64">
        <w:tc>
          <w:tcPr>
            <w:tcW w:w="5732" w:type="dxa"/>
            <w:tcBorders>
              <w:bottom w:val="single" w:sz="12" w:space="0" w:color="auto"/>
            </w:tcBorders>
            <w:shd w:val="clear" w:color="auto" w:fill="auto"/>
          </w:tcPr>
          <w:p w14:paraId="55DE2EF7" w14:textId="77777777" w:rsidR="00803069" w:rsidRPr="000D5B62" w:rsidRDefault="00803069" w:rsidP="002F53CB">
            <w:pPr>
              <w:spacing w:before="40" w:after="40" w:line="300" w:lineRule="exact"/>
              <w:textDirection w:val="tbRlV"/>
              <w:rPr>
                <w:rFonts w:eastAsiaTheme="minorEastAsia"/>
                <w:spacing w:val="-4"/>
                <w:szCs w:val="20"/>
                <w:lang w:eastAsia="zh-TW" w:bidi="en-GB"/>
              </w:rPr>
            </w:pPr>
            <w:r w:rsidRPr="000D5B62">
              <w:rPr>
                <w:rFonts w:eastAsiaTheme="minorEastAsia"/>
                <w:spacing w:val="-4"/>
                <w:szCs w:val="20"/>
                <w:rtl/>
              </w:rPr>
              <w:t>الدخل القومي الإجمالي (2017)</w:t>
            </w:r>
          </w:p>
        </w:tc>
        <w:tc>
          <w:tcPr>
            <w:tcW w:w="1638" w:type="dxa"/>
            <w:tcBorders>
              <w:bottom w:val="single" w:sz="12" w:space="0" w:color="auto"/>
            </w:tcBorders>
            <w:shd w:val="clear" w:color="auto" w:fill="auto"/>
            <w:vAlign w:val="bottom"/>
          </w:tcPr>
          <w:p w14:paraId="47BC91D9" w14:textId="544A1062" w:rsidR="00803069" w:rsidRPr="000D5B62" w:rsidRDefault="00147093" w:rsidP="00394C64">
            <w:pPr>
              <w:spacing w:before="40" w:after="40" w:line="300" w:lineRule="exact"/>
              <w:jc w:val="left"/>
              <w:textDirection w:val="tbRlV"/>
              <w:rPr>
                <w:rFonts w:eastAsiaTheme="minorEastAsia"/>
                <w:spacing w:val="-4"/>
                <w:szCs w:val="20"/>
                <w:rtl/>
                <w:lang w:val="ar-SA" w:eastAsia="zh-TW" w:bidi="ar-YE"/>
              </w:rPr>
            </w:pPr>
            <w:r w:rsidRPr="000D5B62">
              <w:rPr>
                <w:rFonts w:eastAsiaTheme="minorEastAsia" w:hint="cs"/>
                <w:spacing w:val="-4"/>
                <w:szCs w:val="20"/>
                <w:rtl/>
              </w:rPr>
              <w:t>606 085 3</w:t>
            </w:r>
            <w:r w:rsidR="00803069" w:rsidRPr="000D5B62">
              <w:rPr>
                <w:rFonts w:eastAsiaTheme="minorEastAsia"/>
                <w:spacing w:val="-4"/>
                <w:szCs w:val="20"/>
                <w:rtl/>
              </w:rPr>
              <w:t xml:space="preserve"> مليار راند </w:t>
            </w:r>
          </w:p>
        </w:tc>
      </w:tr>
    </w:tbl>
    <w:p w14:paraId="70E42951" w14:textId="69236C80" w:rsidR="00803069" w:rsidRPr="000D5B62" w:rsidRDefault="00803069" w:rsidP="0035195D">
      <w:pPr>
        <w:pStyle w:val="SingleTxtGA"/>
        <w:spacing w:before="240"/>
        <w:rPr>
          <w:lang w:val="ar-SA" w:eastAsia="zh-TW" w:bidi="en-GB"/>
        </w:rPr>
      </w:pPr>
      <w:r w:rsidRPr="000D5B62">
        <w:rPr>
          <w:rtl/>
        </w:rPr>
        <w:t>20-</w:t>
      </w:r>
      <w:r w:rsidRPr="000D5B62">
        <w:rPr>
          <w:rtl/>
        </w:rPr>
        <w:tab/>
        <w:t xml:space="preserve">ويتبين من </w:t>
      </w:r>
      <w:r w:rsidRPr="000D5B62">
        <w:rPr>
          <w:i/>
          <w:iCs/>
          <w:rtl/>
        </w:rPr>
        <w:t>الإحصاءات المالية الواردة في تقرير الحكومة الوطنية</w:t>
      </w:r>
      <w:r w:rsidRPr="000D5B62">
        <w:rPr>
          <w:rtl/>
        </w:rPr>
        <w:t xml:space="preserve"> الذي أصدرته هيئة إحصاءات جنوب أفريقيا أن الحكومة أنفقت ما مجموعه 1,33 تريليون راند في الفترة 2016/2017</w:t>
      </w:r>
      <w:r w:rsidRPr="000D5B62">
        <w:rPr>
          <w:rStyle w:val="FootnoteReference"/>
          <w:szCs w:val="22"/>
          <w:rtl/>
        </w:rPr>
        <w:t>(</w:t>
      </w:r>
      <w:r w:rsidRPr="000D5B62">
        <w:rPr>
          <w:rStyle w:val="FootnoteReference"/>
          <w:szCs w:val="22"/>
          <w:rtl/>
        </w:rPr>
        <w:footnoteReference w:id="21"/>
      </w:r>
      <w:r w:rsidRPr="000D5B62">
        <w:rPr>
          <w:rStyle w:val="FootnoteReference"/>
          <w:szCs w:val="22"/>
          <w:rtl/>
        </w:rPr>
        <w:t>)</w:t>
      </w:r>
      <w:r w:rsidRPr="000D5B62">
        <w:rPr>
          <w:rtl/>
        </w:rPr>
        <w:t>. وهذا أعلى بنسبة 4 في المائة من مبلغ 1,28 تريليون راند الذي أُنفق في عامي 2015/2016. وشكّلت المنح المالية أكبر بنود الإنفاق. وتتمثل المنح المالية، التي ينبغي عدم الخلط بينها وبين المنح الاجتماعية، في التحويلات المالية من وحدة حكومية إلى وحدة حكومية أخرى أو إلى هيئة دولية. والمنح هي الوقود المالي الذي يجعل دواليب العمل الحكومي تدور باستمرار. وفي الفترة 2016/2017، حولت الحكومة 764 مليار راند (57 في المائة من مجموع الإنفاق) في شكل منح إلى مستويات أخرى من الجهاز الحكومي وإلى منظمات دولية. وتلقت الحكومة الإقليمية الجزء الأكبر من المنح في عامي 2016/2017، أي ما يقرب من ثلثي مبلغ 764 مليار راند. وكان هذا المبلغ أعلى بنسبة 6</w:t>
      </w:r>
      <w:r w:rsidR="00E165E2" w:rsidRPr="000D5B62">
        <w:rPr>
          <w:rtl/>
        </w:rPr>
        <w:t xml:space="preserve"> ٪</w:t>
      </w:r>
      <w:r w:rsidRPr="000D5B62">
        <w:rPr>
          <w:rtl/>
        </w:rPr>
        <w:t xml:space="preserve"> من المبلغ الذي تم تلقيه في عامي</w:t>
      </w:r>
      <w:r w:rsidR="00302EAB" w:rsidRPr="000D5B62">
        <w:rPr>
          <w:rFonts w:hint="cs"/>
          <w:rtl/>
        </w:rPr>
        <w:t> </w:t>
      </w:r>
      <w:r w:rsidRPr="000D5B62">
        <w:rPr>
          <w:rtl/>
        </w:rPr>
        <w:t xml:space="preserve">2015/2016. وهذا أمر متوقع، حيث إن الأقاليم التسعة تتولى مسؤولية إدارة بعض الوظائف الأساسية المنوطة بالحكومة (كالتعليم والصحة). وقد حُوّل زهاء 14 في المائة من المنح المالية إلى 257 بلدية. وتم دفع ما يربو قليلاً على 11 في المائة (أو 87 مليار راند) </w:t>
      </w:r>
      <w:r w:rsidR="00E0049B" w:rsidRPr="000D5B62">
        <w:rPr>
          <w:rtl/>
        </w:rPr>
        <w:t>ﻠ</w:t>
      </w:r>
      <w:r w:rsidRPr="000D5B62">
        <w:rPr>
          <w:rtl/>
        </w:rPr>
        <w:t xml:space="preserve"> 252 صندوقاً وحساباً خارجاً عن الميزانية في جنوب أفريقيا (بزيادة 8 في المائة عن الفترة 2015/2016). ودُفع مبلغ قدره 46 مليار راند (6 في المائة) لمنظمات أجنبية ومؤسسات دولية. ودُفع من هذا المبلغ 39 مليار راند للاتحاد الجمركي للجنوب الأفريقي، وجنوب أفريقيا من الأعضاء فيه. وتلقى مصرف التنمية الجديد الذي أنشأته مجموعة البريكس (البرازيل وروسيا والهند والصين وجنوب أفريقيا) 3,5 </w:t>
      </w:r>
      <w:r w:rsidR="007D69FD" w:rsidRPr="000D5B62">
        <w:rPr>
          <w:rtl/>
        </w:rPr>
        <w:t>مليارات</w:t>
      </w:r>
      <w:r w:rsidRPr="000D5B62">
        <w:rPr>
          <w:rtl/>
        </w:rPr>
        <w:t xml:space="preserve"> راند. وحصلت 26 مؤسسة من مؤسسات التعليم العالي في جنوب أفريقيا على 28 مليار راند (4 في المائة) من تحويلات منح الحكومة الوطنية في الفترة 2016/2017.</w:t>
      </w:r>
    </w:p>
    <w:p w14:paraId="7C11F538" w14:textId="77777777" w:rsidR="00803069" w:rsidRPr="000D5B62" w:rsidRDefault="00803069" w:rsidP="00706D34">
      <w:pPr>
        <w:pStyle w:val="SingleTxtGA"/>
        <w:rPr>
          <w:lang w:val="ar-SA" w:eastAsia="zh-TW" w:bidi="en-GB"/>
        </w:rPr>
      </w:pPr>
      <w:r w:rsidRPr="000D5B62">
        <w:rPr>
          <w:rtl/>
        </w:rPr>
        <w:t>21-</w:t>
      </w:r>
      <w:r w:rsidRPr="000D5B62">
        <w:rPr>
          <w:rtl/>
        </w:rPr>
        <w:tab/>
        <w:t>ويرد في الجدول أدناه بيان نسبة الإيرادات العامة الممولة من الضرائب.</w:t>
      </w:r>
    </w:p>
    <w:p w14:paraId="143E0EAE" w14:textId="0FD6E739" w:rsidR="00803069" w:rsidRPr="000D5B62" w:rsidRDefault="00803069" w:rsidP="00D8475F">
      <w:pPr>
        <w:pStyle w:val="SingleTxtGA"/>
        <w:keepNext/>
        <w:rPr>
          <w:b/>
          <w:bCs/>
          <w:lang w:val="ar-SA" w:eastAsia="zh-TW" w:bidi="en-GB"/>
        </w:rPr>
      </w:pPr>
      <w:r w:rsidRPr="000D5B62">
        <w:rPr>
          <w:rtl/>
        </w:rPr>
        <w:t xml:space="preserve">الجدول 9 </w:t>
      </w:r>
      <w:r w:rsidR="00394C64" w:rsidRPr="000D5B62">
        <w:rPr>
          <w:rtl/>
        </w:rPr>
        <w:tab/>
      </w:r>
      <w:r w:rsidR="00394C64" w:rsidRPr="000D5B62">
        <w:rPr>
          <w:rtl/>
        </w:rPr>
        <w:br/>
      </w:r>
      <w:r w:rsidRPr="000D5B62">
        <w:rPr>
          <w:b/>
          <w:bCs/>
          <w:rtl/>
        </w:rPr>
        <w:t>الإيرادات العامة الممولة من الضرائب (2006-2019)</w:t>
      </w:r>
    </w:p>
    <w:tbl>
      <w:tblPr>
        <w:bidiVisual/>
        <w:tblW w:w="7370" w:type="dxa"/>
        <w:tblInd w:w="1134" w:type="dxa"/>
        <w:tblLayout w:type="fixed"/>
        <w:tblLook w:val="04A0" w:firstRow="1" w:lastRow="0" w:firstColumn="1" w:lastColumn="0" w:noHBand="0" w:noVBand="1"/>
      </w:tblPr>
      <w:tblGrid>
        <w:gridCol w:w="4107"/>
        <w:gridCol w:w="1555"/>
        <w:gridCol w:w="1708"/>
      </w:tblGrid>
      <w:tr w:rsidR="00803069" w:rsidRPr="000D5B62" w14:paraId="7AA8CD7D" w14:textId="77777777" w:rsidTr="00B038BD">
        <w:trPr>
          <w:tblHeader/>
        </w:trPr>
        <w:tc>
          <w:tcPr>
            <w:tcW w:w="4107" w:type="dxa"/>
            <w:tcBorders>
              <w:top w:val="single" w:sz="4" w:space="0" w:color="auto"/>
              <w:bottom w:val="single" w:sz="12" w:space="0" w:color="auto"/>
            </w:tcBorders>
            <w:shd w:val="clear" w:color="auto" w:fill="auto"/>
            <w:noWrap/>
            <w:vAlign w:val="bottom"/>
            <w:hideMark/>
          </w:tcPr>
          <w:p w14:paraId="2BC5EA1A" w14:textId="77777777" w:rsidR="00803069" w:rsidRPr="000D5B62" w:rsidRDefault="00803069" w:rsidP="00394C64">
            <w:pPr>
              <w:spacing w:before="40" w:after="40" w:line="300" w:lineRule="exact"/>
              <w:textDirection w:val="tbRlV"/>
              <w:rPr>
                <w:rFonts w:eastAsiaTheme="minorEastAsia"/>
                <w:bCs/>
                <w:i/>
                <w:iCs/>
                <w:sz w:val="22"/>
                <w:lang w:val="ar-SA" w:eastAsia="zh-TW" w:bidi="en-GB"/>
              </w:rPr>
            </w:pPr>
            <w:r w:rsidRPr="000D5B62">
              <w:rPr>
                <w:rFonts w:eastAsiaTheme="minorEastAsia"/>
                <w:i/>
                <w:iCs/>
                <w:sz w:val="22"/>
                <w:rtl/>
              </w:rPr>
              <w:t>السنة المالية</w:t>
            </w:r>
          </w:p>
        </w:tc>
        <w:tc>
          <w:tcPr>
            <w:tcW w:w="3263" w:type="dxa"/>
            <w:gridSpan w:val="2"/>
            <w:tcBorders>
              <w:top w:val="single" w:sz="4" w:space="0" w:color="auto"/>
              <w:bottom w:val="single" w:sz="12" w:space="0" w:color="auto"/>
            </w:tcBorders>
            <w:shd w:val="clear" w:color="auto" w:fill="auto"/>
            <w:vAlign w:val="bottom"/>
            <w:hideMark/>
          </w:tcPr>
          <w:p w14:paraId="62B2A675" w14:textId="77777777" w:rsidR="00803069" w:rsidRPr="000D5B62" w:rsidRDefault="00803069" w:rsidP="00394C64">
            <w:pPr>
              <w:spacing w:before="40" w:after="40" w:line="300" w:lineRule="exact"/>
              <w:jc w:val="left"/>
              <w:textDirection w:val="tbRlV"/>
              <w:rPr>
                <w:rFonts w:eastAsiaTheme="minorEastAsia"/>
                <w:bCs/>
                <w:i/>
                <w:iCs/>
                <w:sz w:val="22"/>
                <w:lang w:val="ar-SA" w:eastAsia="zh-TW" w:bidi="en-GB"/>
              </w:rPr>
            </w:pPr>
            <w:r w:rsidRPr="000D5B62">
              <w:rPr>
                <w:rFonts w:eastAsiaTheme="minorEastAsia"/>
                <w:i/>
                <w:iCs/>
                <w:sz w:val="22"/>
                <w:rtl/>
              </w:rPr>
              <w:t>نسبة الإيرادات العامة الممولة من الضرائب</w:t>
            </w:r>
          </w:p>
        </w:tc>
      </w:tr>
      <w:tr w:rsidR="00803069" w:rsidRPr="000D5B62" w14:paraId="00BE2C12" w14:textId="77777777" w:rsidTr="00394C64">
        <w:tc>
          <w:tcPr>
            <w:tcW w:w="5662" w:type="dxa"/>
            <w:gridSpan w:val="2"/>
            <w:tcBorders>
              <w:top w:val="single" w:sz="12" w:space="0" w:color="auto"/>
            </w:tcBorders>
            <w:shd w:val="clear" w:color="auto" w:fill="auto"/>
            <w:noWrap/>
            <w:hideMark/>
          </w:tcPr>
          <w:p w14:paraId="38E01F55"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2006/07</w:t>
            </w:r>
          </w:p>
        </w:tc>
        <w:tc>
          <w:tcPr>
            <w:tcW w:w="1708" w:type="dxa"/>
            <w:tcBorders>
              <w:top w:val="single" w:sz="12" w:space="0" w:color="auto"/>
            </w:tcBorders>
            <w:shd w:val="clear" w:color="auto" w:fill="auto"/>
            <w:noWrap/>
            <w:vAlign w:val="bottom"/>
            <w:hideMark/>
          </w:tcPr>
          <w:p w14:paraId="091EE184" w14:textId="720BF92F"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97,75 </w:t>
            </w:r>
            <w:r w:rsidR="008B0906" w:rsidRPr="000D5B62">
              <w:rPr>
                <w:rFonts w:eastAsiaTheme="minorEastAsia"/>
                <w:sz w:val="22"/>
                <w:rtl/>
              </w:rPr>
              <w:t>٪</w:t>
            </w:r>
          </w:p>
        </w:tc>
      </w:tr>
      <w:tr w:rsidR="00803069" w:rsidRPr="000D5B62" w14:paraId="00749FCC" w14:textId="77777777" w:rsidTr="00394C64">
        <w:tc>
          <w:tcPr>
            <w:tcW w:w="5662" w:type="dxa"/>
            <w:gridSpan w:val="2"/>
            <w:shd w:val="clear" w:color="auto" w:fill="auto"/>
            <w:noWrap/>
            <w:hideMark/>
          </w:tcPr>
          <w:p w14:paraId="1AAD5AF9"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2007/08</w:t>
            </w:r>
          </w:p>
        </w:tc>
        <w:tc>
          <w:tcPr>
            <w:tcW w:w="1708" w:type="dxa"/>
            <w:shd w:val="clear" w:color="auto" w:fill="auto"/>
            <w:noWrap/>
            <w:vAlign w:val="bottom"/>
            <w:hideMark/>
          </w:tcPr>
          <w:p w14:paraId="0787D149" w14:textId="11DB90F6"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97,74 </w:t>
            </w:r>
            <w:r w:rsidR="008B0906" w:rsidRPr="000D5B62">
              <w:rPr>
                <w:rFonts w:eastAsiaTheme="minorEastAsia"/>
                <w:sz w:val="22"/>
                <w:rtl/>
              </w:rPr>
              <w:t>٪</w:t>
            </w:r>
          </w:p>
        </w:tc>
      </w:tr>
      <w:tr w:rsidR="00803069" w:rsidRPr="000D5B62" w14:paraId="2B483421" w14:textId="77777777" w:rsidTr="00394C64">
        <w:tc>
          <w:tcPr>
            <w:tcW w:w="5662" w:type="dxa"/>
            <w:gridSpan w:val="2"/>
            <w:shd w:val="clear" w:color="auto" w:fill="auto"/>
            <w:noWrap/>
            <w:hideMark/>
          </w:tcPr>
          <w:p w14:paraId="15230EC5"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2008/09</w:t>
            </w:r>
          </w:p>
        </w:tc>
        <w:tc>
          <w:tcPr>
            <w:tcW w:w="1708" w:type="dxa"/>
            <w:shd w:val="clear" w:color="auto" w:fill="auto"/>
            <w:noWrap/>
            <w:vAlign w:val="bottom"/>
            <w:hideMark/>
          </w:tcPr>
          <w:p w14:paraId="7CFA597E" w14:textId="65EF33E4"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97,93 </w:t>
            </w:r>
            <w:r w:rsidR="008B0906" w:rsidRPr="000D5B62">
              <w:rPr>
                <w:rFonts w:eastAsiaTheme="minorEastAsia"/>
                <w:sz w:val="22"/>
                <w:rtl/>
              </w:rPr>
              <w:t>٪</w:t>
            </w:r>
          </w:p>
        </w:tc>
      </w:tr>
      <w:tr w:rsidR="00803069" w:rsidRPr="000D5B62" w14:paraId="128A20AC" w14:textId="77777777" w:rsidTr="00394C64">
        <w:tc>
          <w:tcPr>
            <w:tcW w:w="5662" w:type="dxa"/>
            <w:gridSpan w:val="2"/>
            <w:shd w:val="clear" w:color="auto" w:fill="auto"/>
            <w:noWrap/>
            <w:hideMark/>
          </w:tcPr>
          <w:p w14:paraId="0C04AB7C"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2009/10</w:t>
            </w:r>
          </w:p>
        </w:tc>
        <w:tc>
          <w:tcPr>
            <w:tcW w:w="1708" w:type="dxa"/>
            <w:shd w:val="clear" w:color="auto" w:fill="auto"/>
            <w:noWrap/>
            <w:vAlign w:val="bottom"/>
            <w:hideMark/>
          </w:tcPr>
          <w:p w14:paraId="2A337131" w14:textId="24E149F1"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98,47 </w:t>
            </w:r>
            <w:r w:rsidR="008B0906" w:rsidRPr="000D5B62">
              <w:rPr>
                <w:rFonts w:eastAsiaTheme="minorEastAsia"/>
                <w:sz w:val="22"/>
                <w:rtl/>
              </w:rPr>
              <w:t>٪</w:t>
            </w:r>
          </w:p>
        </w:tc>
      </w:tr>
      <w:tr w:rsidR="00803069" w:rsidRPr="000D5B62" w14:paraId="5DBF43B2" w14:textId="77777777" w:rsidTr="00394C64">
        <w:tc>
          <w:tcPr>
            <w:tcW w:w="5662" w:type="dxa"/>
            <w:gridSpan w:val="2"/>
            <w:shd w:val="clear" w:color="auto" w:fill="auto"/>
            <w:noWrap/>
            <w:hideMark/>
          </w:tcPr>
          <w:p w14:paraId="58141EFB"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2010/11</w:t>
            </w:r>
          </w:p>
        </w:tc>
        <w:tc>
          <w:tcPr>
            <w:tcW w:w="1708" w:type="dxa"/>
            <w:shd w:val="clear" w:color="auto" w:fill="auto"/>
            <w:noWrap/>
            <w:vAlign w:val="bottom"/>
            <w:hideMark/>
          </w:tcPr>
          <w:p w14:paraId="16F55B61" w14:textId="7B4928AF"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97,55 </w:t>
            </w:r>
            <w:r w:rsidR="008B0906" w:rsidRPr="000D5B62">
              <w:rPr>
                <w:rFonts w:eastAsiaTheme="minorEastAsia"/>
                <w:sz w:val="22"/>
                <w:rtl/>
              </w:rPr>
              <w:t>٪</w:t>
            </w:r>
          </w:p>
        </w:tc>
      </w:tr>
      <w:tr w:rsidR="00803069" w:rsidRPr="000D5B62" w14:paraId="3900287B" w14:textId="77777777" w:rsidTr="00394C64">
        <w:tc>
          <w:tcPr>
            <w:tcW w:w="5662" w:type="dxa"/>
            <w:gridSpan w:val="2"/>
            <w:shd w:val="clear" w:color="auto" w:fill="auto"/>
            <w:noWrap/>
            <w:hideMark/>
          </w:tcPr>
          <w:p w14:paraId="0D94EAFE"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2011/12</w:t>
            </w:r>
          </w:p>
        </w:tc>
        <w:tc>
          <w:tcPr>
            <w:tcW w:w="1708" w:type="dxa"/>
            <w:shd w:val="clear" w:color="auto" w:fill="auto"/>
            <w:noWrap/>
            <w:vAlign w:val="bottom"/>
            <w:hideMark/>
          </w:tcPr>
          <w:p w14:paraId="2507D842" w14:textId="7085904C"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96,73 </w:t>
            </w:r>
            <w:r w:rsidR="008B0906" w:rsidRPr="000D5B62">
              <w:rPr>
                <w:rFonts w:eastAsiaTheme="minorEastAsia"/>
                <w:sz w:val="22"/>
                <w:rtl/>
              </w:rPr>
              <w:t>٪</w:t>
            </w:r>
          </w:p>
        </w:tc>
      </w:tr>
      <w:tr w:rsidR="00803069" w:rsidRPr="000D5B62" w14:paraId="796CCC96" w14:textId="77777777" w:rsidTr="00394C64">
        <w:tc>
          <w:tcPr>
            <w:tcW w:w="5662" w:type="dxa"/>
            <w:gridSpan w:val="2"/>
            <w:shd w:val="clear" w:color="auto" w:fill="auto"/>
            <w:noWrap/>
            <w:hideMark/>
          </w:tcPr>
          <w:p w14:paraId="561DBB9E"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2012/13</w:t>
            </w:r>
          </w:p>
        </w:tc>
        <w:tc>
          <w:tcPr>
            <w:tcW w:w="1708" w:type="dxa"/>
            <w:shd w:val="clear" w:color="auto" w:fill="auto"/>
            <w:noWrap/>
            <w:vAlign w:val="bottom"/>
            <w:hideMark/>
          </w:tcPr>
          <w:p w14:paraId="4DB37A6F" w14:textId="7504EE73"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96,44 </w:t>
            </w:r>
            <w:r w:rsidR="008B0906" w:rsidRPr="000D5B62">
              <w:rPr>
                <w:rFonts w:eastAsiaTheme="minorEastAsia"/>
                <w:sz w:val="22"/>
                <w:rtl/>
              </w:rPr>
              <w:t>٪</w:t>
            </w:r>
          </w:p>
        </w:tc>
      </w:tr>
      <w:tr w:rsidR="00803069" w:rsidRPr="000D5B62" w14:paraId="55BC5E08" w14:textId="77777777" w:rsidTr="00394C64">
        <w:tc>
          <w:tcPr>
            <w:tcW w:w="5662" w:type="dxa"/>
            <w:gridSpan w:val="2"/>
            <w:shd w:val="clear" w:color="auto" w:fill="auto"/>
            <w:noWrap/>
            <w:hideMark/>
          </w:tcPr>
          <w:p w14:paraId="5DF195A5"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 xml:space="preserve">2013/14 </w:t>
            </w:r>
          </w:p>
        </w:tc>
        <w:tc>
          <w:tcPr>
            <w:tcW w:w="1708" w:type="dxa"/>
            <w:shd w:val="clear" w:color="auto" w:fill="auto"/>
            <w:noWrap/>
            <w:vAlign w:val="bottom"/>
            <w:hideMark/>
          </w:tcPr>
          <w:p w14:paraId="1806BE39" w14:textId="057F7ECC"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96,54 </w:t>
            </w:r>
            <w:r w:rsidR="008B0906" w:rsidRPr="000D5B62">
              <w:rPr>
                <w:rFonts w:eastAsiaTheme="minorEastAsia"/>
                <w:sz w:val="22"/>
                <w:rtl/>
              </w:rPr>
              <w:t>٪</w:t>
            </w:r>
          </w:p>
        </w:tc>
      </w:tr>
      <w:tr w:rsidR="00803069" w:rsidRPr="000D5B62" w14:paraId="70B45E78" w14:textId="77777777" w:rsidTr="00394C64">
        <w:tc>
          <w:tcPr>
            <w:tcW w:w="5662" w:type="dxa"/>
            <w:gridSpan w:val="2"/>
            <w:shd w:val="clear" w:color="auto" w:fill="auto"/>
            <w:noWrap/>
            <w:hideMark/>
          </w:tcPr>
          <w:p w14:paraId="36704421"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 xml:space="preserve">2014/15 </w:t>
            </w:r>
          </w:p>
        </w:tc>
        <w:tc>
          <w:tcPr>
            <w:tcW w:w="1708" w:type="dxa"/>
            <w:shd w:val="clear" w:color="auto" w:fill="auto"/>
            <w:noWrap/>
            <w:vAlign w:val="bottom"/>
            <w:hideMark/>
          </w:tcPr>
          <w:p w14:paraId="0BF27D0F" w14:textId="5AA65ABD"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96,80 </w:t>
            </w:r>
            <w:r w:rsidR="008B0906" w:rsidRPr="000D5B62">
              <w:rPr>
                <w:rFonts w:eastAsiaTheme="minorEastAsia"/>
                <w:sz w:val="22"/>
                <w:rtl/>
              </w:rPr>
              <w:t>٪</w:t>
            </w:r>
          </w:p>
        </w:tc>
      </w:tr>
      <w:tr w:rsidR="00803069" w:rsidRPr="000D5B62" w14:paraId="41FDD620" w14:textId="77777777" w:rsidTr="00394C64">
        <w:tc>
          <w:tcPr>
            <w:tcW w:w="5662" w:type="dxa"/>
            <w:gridSpan w:val="2"/>
            <w:shd w:val="clear" w:color="auto" w:fill="auto"/>
            <w:noWrap/>
            <w:hideMark/>
          </w:tcPr>
          <w:p w14:paraId="5299205F"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 xml:space="preserve">2015/16 </w:t>
            </w:r>
          </w:p>
        </w:tc>
        <w:tc>
          <w:tcPr>
            <w:tcW w:w="1708" w:type="dxa"/>
            <w:shd w:val="clear" w:color="auto" w:fill="auto"/>
            <w:noWrap/>
            <w:vAlign w:val="bottom"/>
            <w:hideMark/>
          </w:tcPr>
          <w:p w14:paraId="577BC33D" w14:textId="3AA86F48"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94,68 </w:t>
            </w:r>
            <w:r w:rsidR="008B0906" w:rsidRPr="000D5B62">
              <w:rPr>
                <w:rFonts w:eastAsiaTheme="minorEastAsia"/>
                <w:sz w:val="22"/>
                <w:rtl/>
              </w:rPr>
              <w:t>٪</w:t>
            </w:r>
          </w:p>
        </w:tc>
      </w:tr>
      <w:tr w:rsidR="00803069" w:rsidRPr="000D5B62" w14:paraId="2F0317A5" w14:textId="77777777" w:rsidTr="00394C64">
        <w:tc>
          <w:tcPr>
            <w:tcW w:w="5662" w:type="dxa"/>
            <w:gridSpan w:val="2"/>
            <w:shd w:val="clear" w:color="auto" w:fill="auto"/>
            <w:noWrap/>
            <w:hideMark/>
          </w:tcPr>
          <w:p w14:paraId="420C50BB"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2016/17</w:t>
            </w:r>
          </w:p>
        </w:tc>
        <w:tc>
          <w:tcPr>
            <w:tcW w:w="1708" w:type="dxa"/>
            <w:shd w:val="clear" w:color="auto" w:fill="auto"/>
            <w:noWrap/>
            <w:vAlign w:val="bottom"/>
            <w:hideMark/>
          </w:tcPr>
          <w:p w14:paraId="6D81FE3B" w14:textId="2E0807FE"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97,08 </w:t>
            </w:r>
            <w:r w:rsidR="008B0906" w:rsidRPr="000D5B62">
              <w:rPr>
                <w:rFonts w:eastAsiaTheme="minorEastAsia"/>
                <w:sz w:val="22"/>
                <w:rtl/>
              </w:rPr>
              <w:t>٪</w:t>
            </w:r>
          </w:p>
        </w:tc>
      </w:tr>
      <w:tr w:rsidR="00803069" w:rsidRPr="000D5B62" w14:paraId="282A8174" w14:textId="77777777" w:rsidTr="00394C64">
        <w:tc>
          <w:tcPr>
            <w:tcW w:w="5662" w:type="dxa"/>
            <w:gridSpan w:val="2"/>
            <w:shd w:val="clear" w:color="auto" w:fill="auto"/>
            <w:noWrap/>
            <w:hideMark/>
          </w:tcPr>
          <w:p w14:paraId="24AED24F"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2017/18*</w:t>
            </w:r>
          </w:p>
        </w:tc>
        <w:tc>
          <w:tcPr>
            <w:tcW w:w="1708" w:type="dxa"/>
            <w:shd w:val="clear" w:color="auto" w:fill="auto"/>
            <w:noWrap/>
            <w:vAlign w:val="bottom"/>
            <w:hideMark/>
          </w:tcPr>
          <w:p w14:paraId="61C6F178" w14:textId="523B33F2"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97,22 </w:t>
            </w:r>
            <w:r w:rsidR="008B0906" w:rsidRPr="000D5B62">
              <w:rPr>
                <w:rFonts w:eastAsiaTheme="minorEastAsia"/>
                <w:sz w:val="22"/>
                <w:rtl/>
              </w:rPr>
              <w:t>٪</w:t>
            </w:r>
          </w:p>
        </w:tc>
      </w:tr>
      <w:tr w:rsidR="00803069" w:rsidRPr="000D5B62" w14:paraId="66CE93B7" w14:textId="77777777" w:rsidTr="00394C64">
        <w:tc>
          <w:tcPr>
            <w:tcW w:w="5662" w:type="dxa"/>
            <w:gridSpan w:val="2"/>
            <w:tcBorders>
              <w:bottom w:val="single" w:sz="12" w:space="0" w:color="auto"/>
            </w:tcBorders>
            <w:shd w:val="clear" w:color="auto" w:fill="auto"/>
            <w:noWrap/>
            <w:hideMark/>
          </w:tcPr>
          <w:p w14:paraId="01B51876" w14:textId="77777777" w:rsidR="00803069" w:rsidRPr="000D5B62" w:rsidRDefault="00803069" w:rsidP="00394C64">
            <w:pPr>
              <w:spacing w:before="40" w:after="40" w:line="300" w:lineRule="exact"/>
              <w:textDirection w:val="tbRlV"/>
              <w:rPr>
                <w:rFonts w:eastAsiaTheme="minorEastAsia"/>
                <w:bCs/>
                <w:sz w:val="22"/>
                <w:lang w:val="ar-SA" w:eastAsia="zh-TW" w:bidi="en-GB"/>
              </w:rPr>
            </w:pPr>
            <w:r w:rsidRPr="000D5B62">
              <w:rPr>
                <w:rFonts w:eastAsiaTheme="minorEastAsia"/>
                <w:sz w:val="22"/>
                <w:rtl/>
              </w:rPr>
              <w:t>2018/19*</w:t>
            </w:r>
          </w:p>
        </w:tc>
        <w:tc>
          <w:tcPr>
            <w:tcW w:w="1708" w:type="dxa"/>
            <w:tcBorders>
              <w:bottom w:val="single" w:sz="12" w:space="0" w:color="auto"/>
            </w:tcBorders>
            <w:shd w:val="clear" w:color="auto" w:fill="auto"/>
            <w:noWrap/>
            <w:vAlign w:val="bottom"/>
            <w:hideMark/>
          </w:tcPr>
          <w:p w14:paraId="1B7807C3" w14:textId="17717D4C" w:rsidR="00803069" w:rsidRPr="000D5B62" w:rsidRDefault="00803069" w:rsidP="00394C64">
            <w:pPr>
              <w:spacing w:before="40" w:after="40" w:line="300" w:lineRule="exact"/>
              <w:jc w:val="left"/>
              <w:textDirection w:val="tbRlV"/>
              <w:rPr>
                <w:rFonts w:eastAsiaTheme="minorEastAsia"/>
                <w:bCs/>
                <w:iCs/>
                <w:sz w:val="22"/>
                <w:rtl/>
                <w:lang w:val="ar-SA" w:eastAsia="zh-TW" w:bidi="en-GB"/>
              </w:rPr>
            </w:pPr>
            <w:r w:rsidRPr="000D5B62">
              <w:rPr>
                <w:rFonts w:eastAsiaTheme="minorEastAsia"/>
                <w:sz w:val="22"/>
                <w:rtl/>
              </w:rPr>
              <w:t>98,15 </w:t>
            </w:r>
            <w:r w:rsidR="008B0906" w:rsidRPr="000D5B62">
              <w:rPr>
                <w:rFonts w:eastAsiaTheme="minorEastAsia"/>
                <w:sz w:val="22"/>
                <w:rtl/>
              </w:rPr>
              <w:t>٪</w:t>
            </w:r>
          </w:p>
        </w:tc>
      </w:tr>
    </w:tbl>
    <w:p w14:paraId="1E05B617" w14:textId="77777777" w:rsidR="00803069" w:rsidRPr="000D5B62" w:rsidRDefault="00803069" w:rsidP="0035195D">
      <w:pPr>
        <w:spacing w:before="120" w:after="240"/>
        <w:ind w:left="1134" w:right="1134" w:firstLine="170"/>
        <w:textDirection w:val="tbRlV"/>
        <w:rPr>
          <w:rFonts w:eastAsiaTheme="minorEastAsia"/>
          <w:sz w:val="18"/>
          <w:szCs w:val="18"/>
          <w:lang w:eastAsia="zh-TW" w:bidi="en-GB"/>
        </w:rPr>
      </w:pPr>
      <w:r w:rsidRPr="000D5B62">
        <w:rPr>
          <w:rFonts w:eastAsiaTheme="minorEastAsia"/>
          <w:sz w:val="18"/>
          <w:szCs w:val="18"/>
          <w:rtl/>
        </w:rPr>
        <w:t>* تقديري.</w:t>
      </w:r>
    </w:p>
    <w:p w14:paraId="5C274554" w14:textId="77777777" w:rsidR="00803069" w:rsidRPr="000D5B62" w:rsidRDefault="00803069" w:rsidP="00706D34">
      <w:pPr>
        <w:pStyle w:val="SingleTxtGA"/>
        <w:rPr>
          <w:lang w:val="ar-SA" w:eastAsia="zh-TW" w:bidi="en-GB"/>
        </w:rPr>
      </w:pPr>
      <w:r w:rsidRPr="000D5B62">
        <w:rPr>
          <w:rtl/>
        </w:rPr>
        <w:t>22-</w:t>
      </w:r>
      <w:r w:rsidRPr="000D5B62">
        <w:rPr>
          <w:rtl/>
        </w:rPr>
        <w:tab/>
        <w:t>وتظهر في الجدول أدناه معدلات الضرائب المفروضة على أرباح الشركات وعلى المداخيل الشخصية، ومعدل ضريبة القيمة المضافة (باستثناء ضريبة القيمة المضافة على السلع الفاخرة، أو التبغ/ الكحول، أو المشروبات/الوجبات الخفيفة السكرية، والبنزين)، على التوالي؛ وكذلك النسبة المئوية لإجمالي الإيرادات من الضرائب على المداخيل الشخصية التي يتم تحصيلها من فئة أغنى عُشر السكان:</w:t>
      </w:r>
    </w:p>
    <w:p w14:paraId="102855EE" w14:textId="7150502A" w:rsidR="00803069" w:rsidRPr="000D5B62" w:rsidRDefault="00803069" w:rsidP="00394C64">
      <w:pPr>
        <w:pStyle w:val="SingleTxtGA"/>
        <w:rPr>
          <w:b/>
          <w:bCs/>
          <w:lang w:val="ar-SA" w:eastAsia="zh-TW" w:bidi="en-GB"/>
        </w:rPr>
      </w:pPr>
      <w:r w:rsidRPr="000D5B62">
        <w:rPr>
          <w:rtl/>
        </w:rPr>
        <w:t xml:space="preserve">الجدول 10 </w:t>
      </w:r>
      <w:r w:rsidR="00394C64" w:rsidRPr="000D5B62">
        <w:rPr>
          <w:rtl/>
        </w:rPr>
        <w:tab/>
      </w:r>
      <w:r w:rsidR="00394C64" w:rsidRPr="000D5B62">
        <w:rPr>
          <w:rtl/>
        </w:rPr>
        <w:br/>
      </w:r>
      <w:r w:rsidRPr="000D5B62">
        <w:rPr>
          <w:b/>
          <w:bCs/>
          <w:rtl/>
        </w:rPr>
        <w:t>الضرائب (2006-2019)</w:t>
      </w:r>
    </w:p>
    <w:tbl>
      <w:tblPr>
        <w:bidiVisual/>
        <w:tblW w:w="8504" w:type="dxa"/>
        <w:tblInd w:w="1134" w:type="dxa"/>
        <w:tblBorders>
          <w:top w:val="single" w:sz="4" w:space="0" w:color="auto"/>
          <w:bottom w:val="single" w:sz="12" w:space="0" w:color="auto"/>
        </w:tblBorders>
        <w:tblLayout w:type="fixed"/>
        <w:tblLook w:val="0420" w:firstRow="1" w:lastRow="0" w:firstColumn="0" w:lastColumn="0" w:noHBand="0" w:noVBand="1"/>
      </w:tblPr>
      <w:tblGrid>
        <w:gridCol w:w="1384"/>
        <w:gridCol w:w="1256"/>
        <w:gridCol w:w="1256"/>
        <w:gridCol w:w="1256"/>
        <w:gridCol w:w="1256"/>
        <w:gridCol w:w="2096"/>
      </w:tblGrid>
      <w:tr w:rsidR="00803069" w:rsidRPr="000D5B62" w14:paraId="0844BC90" w14:textId="77777777" w:rsidTr="00394C64">
        <w:trPr>
          <w:tblHeader/>
        </w:trPr>
        <w:tc>
          <w:tcPr>
            <w:tcW w:w="1384" w:type="dxa"/>
            <w:tcBorders>
              <w:top w:val="single" w:sz="4" w:space="0" w:color="auto"/>
              <w:bottom w:val="single" w:sz="12" w:space="0" w:color="auto"/>
            </w:tcBorders>
            <w:shd w:val="clear" w:color="auto" w:fill="auto"/>
            <w:noWrap/>
            <w:vAlign w:val="bottom"/>
            <w:hideMark/>
          </w:tcPr>
          <w:p w14:paraId="76753AD0"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السنة المالية</w:t>
            </w:r>
          </w:p>
        </w:tc>
        <w:tc>
          <w:tcPr>
            <w:tcW w:w="1256" w:type="dxa"/>
            <w:tcBorders>
              <w:top w:val="single" w:sz="4" w:space="0" w:color="auto"/>
              <w:bottom w:val="single" w:sz="12" w:space="0" w:color="auto"/>
            </w:tcBorders>
            <w:shd w:val="clear" w:color="auto" w:fill="auto"/>
            <w:vAlign w:val="bottom"/>
            <w:hideMark/>
          </w:tcPr>
          <w:p w14:paraId="0A5E35FA"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معدل الضرائب على أرباح الشركات</w:t>
            </w:r>
          </w:p>
        </w:tc>
        <w:tc>
          <w:tcPr>
            <w:tcW w:w="1256" w:type="dxa"/>
            <w:tcBorders>
              <w:top w:val="single" w:sz="4" w:space="0" w:color="auto"/>
              <w:bottom w:val="single" w:sz="12" w:space="0" w:color="auto"/>
            </w:tcBorders>
            <w:shd w:val="clear" w:color="auto" w:fill="auto"/>
            <w:vAlign w:val="bottom"/>
            <w:hideMark/>
          </w:tcPr>
          <w:p w14:paraId="5B496766"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معدل الضرائب على المداخيل الشخصية الدنيا</w:t>
            </w:r>
          </w:p>
        </w:tc>
        <w:tc>
          <w:tcPr>
            <w:tcW w:w="1256" w:type="dxa"/>
            <w:tcBorders>
              <w:top w:val="single" w:sz="4" w:space="0" w:color="auto"/>
              <w:bottom w:val="single" w:sz="12" w:space="0" w:color="auto"/>
            </w:tcBorders>
            <w:shd w:val="clear" w:color="auto" w:fill="auto"/>
            <w:vAlign w:val="bottom"/>
            <w:hideMark/>
          </w:tcPr>
          <w:p w14:paraId="2A109B02"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معدل الضرائب على المداخيل الشخصية العليا</w:t>
            </w:r>
          </w:p>
        </w:tc>
        <w:tc>
          <w:tcPr>
            <w:tcW w:w="1256" w:type="dxa"/>
            <w:tcBorders>
              <w:top w:val="single" w:sz="4" w:space="0" w:color="auto"/>
              <w:bottom w:val="single" w:sz="12" w:space="0" w:color="auto"/>
            </w:tcBorders>
            <w:shd w:val="clear" w:color="auto" w:fill="auto"/>
            <w:vAlign w:val="bottom"/>
            <w:hideMark/>
          </w:tcPr>
          <w:p w14:paraId="5A17653B"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المعدل القياسي لضريبة القيمة المضافة</w:t>
            </w:r>
          </w:p>
        </w:tc>
        <w:tc>
          <w:tcPr>
            <w:tcW w:w="2096" w:type="dxa"/>
            <w:tcBorders>
              <w:top w:val="single" w:sz="4" w:space="0" w:color="auto"/>
              <w:bottom w:val="single" w:sz="12" w:space="0" w:color="auto"/>
            </w:tcBorders>
            <w:shd w:val="clear" w:color="auto" w:fill="auto"/>
            <w:vAlign w:val="bottom"/>
            <w:hideMark/>
          </w:tcPr>
          <w:p w14:paraId="4E93698A" w14:textId="0C97CE3E"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النسبة المئوية من الإيرادات المتأتية من ضرائب المداخيل الشخصية التي يتم تحصيلها من أغنى عُشر السكان**</w:t>
            </w:r>
          </w:p>
        </w:tc>
      </w:tr>
      <w:tr w:rsidR="00803069" w:rsidRPr="000D5B62" w14:paraId="132FB4D7" w14:textId="77777777" w:rsidTr="00394C64">
        <w:tc>
          <w:tcPr>
            <w:tcW w:w="1384" w:type="dxa"/>
            <w:tcBorders>
              <w:top w:val="single" w:sz="12" w:space="0" w:color="auto"/>
            </w:tcBorders>
            <w:shd w:val="clear" w:color="auto" w:fill="auto"/>
            <w:noWrap/>
            <w:hideMark/>
          </w:tcPr>
          <w:p w14:paraId="5002833A"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2006/07</w:t>
            </w:r>
          </w:p>
        </w:tc>
        <w:tc>
          <w:tcPr>
            <w:tcW w:w="1256" w:type="dxa"/>
            <w:tcBorders>
              <w:top w:val="single" w:sz="12" w:space="0" w:color="auto"/>
            </w:tcBorders>
            <w:shd w:val="clear" w:color="auto" w:fill="auto"/>
            <w:noWrap/>
            <w:vAlign w:val="bottom"/>
            <w:hideMark/>
          </w:tcPr>
          <w:p w14:paraId="0B713AA4" w14:textId="7DC65952"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29,0 </w:t>
            </w:r>
            <w:r w:rsidR="008B0906" w:rsidRPr="000D5B62">
              <w:rPr>
                <w:rFonts w:eastAsiaTheme="minorEastAsia"/>
                <w:szCs w:val="20"/>
                <w:rtl/>
              </w:rPr>
              <w:t>٪</w:t>
            </w:r>
          </w:p>
        </w:tc>
        <w:tc>
          <w:tcPr>
            <w:tcW w:w="1256" w:type="dxa"/>
            <w:tcBorders>
              <w:top w:val="single" w:sz="12" w:space="0" w:color="auto"/>
            </w:tcBorders>
            <w:shd w:val="clear" w:color="auto" w:fill="auto"/>
            <w:noWrap/>
            <w:vAlign w:val="bottom"/>
            <w:hideMark/>
          </w:tcPr>
          <w:p w14:paraId="11E34EA4" w14:textId="4A89D4F4"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single" w:sz="12" w:space="0" w:color="auto"/>
            </w:tcBorders>
            <w:shd w:val="clear" w:color="auto" w:fill="auto"/>
            <w:noWrap/>
            <w:vAlign w:val="bottom"/>
            <w:hideMark/>
          </w:tcPr>
          <w:p w14:paraId="584CB1BC" w14:textId="4508DC2D"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single" w:sz="12" w:space="0" w:color="auto"/>
            </w:tcBorders>
            <w:shd w:val="clear" w:color="auto" w:fill="auto"/>
            <w:noWrap/>
            <w:vAlign w:val="bottom"/>
            <w:hideMark/>
          </w:tcPr>
          <w:p w14:paraId="114B5011" w14:textId="3B1D62E1"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single" w:sz="12" w:space="0" w:color="auto"/>
            </w:tcBorders>
            <w:shd w:val="clear" w:color="auto" w:fill="auto"/>
            <w:noWrap/>
            <w:vAlign w:val="bottom"/>
            <w:hideMark/>
          </w:tcPr>
          <w:p w14:paraId="114B5CB1"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52D2D525" w14:textId="77777777" w:rsidTr="00394C64">
        <w:tc>
          <w:tcPr>
            <w:tcW w:w="1384" w:type="dxa"/>
            <w:tcBorders>
              <w:bottom w:val="nil"/>
            </w:tcBorders>
            <w:shd w:val="clear" w:color="auto" w:fill="auto"/>
            <w:noWrap/>
            <w:hideMark/>
          </w:tcPr>
          <w:p w14:paraId="28395AF9"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2007/08</w:t>
            </w:r>
          </w:p>
        </w:tc>
        <w:tc>
          <w:tcPr>
            <w:tcW w:w="1256" w:type="dxa"/>
            <w:tcBorders>
              <w:bottom w:val="nil"/>
            </w:tcBorders>
            <w:shd w:val="clear" w:color="auto" w:fill="auto"/>
            <w:noWrap/>
            <w:vAlign w:val="bottom"/>
            <w:hideMark/>
          </w:tcPr>
          <w:p w14:paraId="3B63C525" w14:textId="1CA6ADF6"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29,0 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7D8EE93D" w14:textId="7678DCE6"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6E96D054" w14:textId="672140BA"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2AC31A6E" w14:textId="4B934D7A"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bottom w:val="nil"/>
            </w:tcBorders>
            <w:shd w:val="clear" w:color="auto" w:fill="auto"/>
            <w:noWrap/>
            <w:vAlign w:val="bottom"/>
            <w:hideMark/>
          </w:tcPr>
          <w:p w14:paraId="19D9C7CD"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16683822" w14:textId="77777777" w:rsidTr="00394C64">
        <w:tc>
          <w:tcPr>
            <w:tcW w:w="1384" w:type="dxa"/>
            <w:tcBorders>
              <w:top w:val="nil"/>
              <w:bottom w:val="nil"/>
            </w:tcBorders>
            <w:shd w:val="clear" w:color="auto" w:fill="auto"/>
            <w:noWrap/>
            <w:hideMark/>
          </w:tcPr>
          <w:p w14:paraId="7D47C5D4"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2008/09</w:t>
            </w:r>
          </w:p>
        </w:tc>
        <w:tc>
          <w:tcPr>
            <w:tcW w:w="1256" w:type="dxa"/>
            <w:tcBorders>
              <w:top w:val="nil"/>
              <w:bottom w:val="nil"/>
            </w:tcBorders>
            <w:shd w:val="clear" w:color="auto" w:fill="auto"/>
            <w:noWrap/>
            <w:vAlign w:val="bottom"/>
            <w:hideMark/>
          </w:tcPr>
          <w:p w14:paraId="457D4A9B" w14:textId="1F72EB1D"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72A3E80F" w14:textId="57301335"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150A79CB" w14:textId="28E4C49D"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4DEF1B6A" w14:textId="194AAECF"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bottom w:val="nil"/>
            </w:tcBorders>
            <w:shd w:val="clear" w:color="auto" w:fill="auto"/>
            <w:noWrap/>
            <w:vAlign w:val="bottom"/>
            <w:hideMark/>
          </w:tcPr>
          <w:p w14:paraId="68FB93F6"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4AC3240A" w14:textId="77777777" w:rsidTr="00394C64">
        <w:tc>
          <w:tcPr>
            <w:tcW w:w="1384" w:type="dxa"/>
            <w:tcBorders>
              <w:top w:val="nil"/>
            </w:tcBorders>
            <w:shd w:val="clear" w:color="auto" w:fill="auto"/>
            <w:noWrap/>
            <w:hideMark/>
          </w:tcPr>
          <w:p w14:paraId="373E3C2E"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2009/10</w:t>
            </w:r>
          </w:p>
        </w:tc>
        <w:tc>
          <w:tcPr>
            <w:tcW w:w="1256" w:type="dxa"/>
            <w:tcBorders>
              <w:top w:val="nil"/>
            </w:tcBorders>
            <w:shd w:val="clear" w:color="auto" w:fill="auto"/>
            <w:noWrap/>
            <w:vAlign w:val="bottom"/>
            <w:hideMark/>
          </w:tcPr>
          <w:p w14:paraId="699783A8" w14:textId="49F5178D"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tcBorders>
            <w:shd w:val="clear" w:color="auto" w:fill="auto"/>
            <w:noWrap/>
            <w:vAlign w:val="bottom"/>
            <w:hideMark/>
          </w:tcPr>
          <w:p w14:paraId="74A2A0CA" w14:textId="2DA63A66"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tcBorders>
            <w:shd w:val="clear" w:color="auto" w:fill="auto"/>
            <w:noWrap/>
            <w:vAlign w:val="bottom"/>
            <w:hideMark/>
          </w:tcPr>
          <w:p w14:paraId="1DFF60A4" w14:textId="78308234"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tcBorders>
            <w:shd w:val="clear" w:color="auto" w:fill="auto"/>
            <w:noWrap/>
            <w:vAlign w:val="bottom"/>
            <w:hideMark/>
          </w:tcPr>
          <w:p w14:paraId="692B45C6" w14:textId="34827373"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tcBorders>
            <w:shd w:val="clear" w:color="auto" w:fill="auto"/>
            <w:noWrap/>
            <w:vAlign w:val="bottom"/>
            <w:hideMark/>
          </w:tcPr>
          <w:p w14:paraId="3C20A0BC"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19C69B53" w14:textId="77777777" w:rsidTr="00394C64">
        <w:tc>
          <w:tcPr>
            <w:tcW w:w="1384" w:type="dxa"/>
            <w:tcBorders>
              <w:bottom w:val="nil"/>
            </w:tcBorders>
            <w:shd w:val="clear" w:color="auto" w:fill="auto"/>
            <w:noWrap/>
            <w:hideMark/>
          </w:tcPr>
          <w:p w14:paraId="3B4A6202"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2010/11</w:t>
            </w:r>
          </w:p>
        </w:tc>
        <w:tc>
          <w:tcPr>
            <w:tcW w:w="1256" w:type="dxa"/>
            <w:tcBorders>
              <w:bottom w:val="nil"/>
            </w:tcBorders>
            <w:shd w:val="clear" w:color="auto" w:fill="auto"/>
            <w:noWrap/>
            <w:vAlign w:val="bottom"/>
            <w:hideMark/>
          </w:tcPr>
          <w:p w14:paraId="2F9EC06B" w14:textId="3FB4CB67"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78488C9A" w14:textId="1A1FA7FF"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1246F7F1" w14:textId="08C9E4AC"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47A2A61A" w14:textId="3DD72997"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bottom w:val="nil"/>
            </w:tcBorders>
            <w:shd w:val="clear" w:color="auto" w:fill="auto"/>
            <w:noWrap/>
            <w:vAlign w:val="bottom"/>
            <w:hideMark/>
          </w:tcPr>
          <w:p w14:paraId="45CB0D36" w14:textId="77777777" w:rsidR="00803069" w:rsidRPr="000D5B62" w:rsidRDefault="00803069" w:rsidP="00394C64">
            <w:pPr>
              <w:spacing w:before="40" w:after="40" w:line="300" w:lineRule="exact"/>
              <w:jc w:val="left"/>
              <w:rPr>
                <w:rFonts w:eastAsiaTheme="minorEastAsia"/>
                <w:bCs/>
                <w:iCs/>
                <w:szCs w:val="20"/>
                <w:rtl/>
              </w:rPr>
            </w:pPr>
          </w:p>
        </w:tc>
      </w:tr>
      <w:tr w:rsidR="00803069" w:rsidRPr="000D5B62" w14:paraId="66257CD6" w14:textId="77777777" w:rsidTr="00394C64">
        <w:tc>
          <w:tcPr>
            <w:tcW w:w="1384" w:type="dxa"/>
            <w:tcBorders>
              <w:top w:val="nil"/>
              <w:bottom w:val="nil"/>
            </w:tcBorders>
            <w:shd w:val="clear" w:color="auto" w:fill="auto"/>
            <w:noWrap/>
            <w:hideMark/>
          </w:tcPr>
          <w:p w14:paraId="7341764C"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2011/12</w:t>
            </w:r>
          </w:p>
        </w:tc>
        <w:tc>
          <w:tcPr>
            <w:tcW w:w="1256" w:type="dxa"/>
            <w:tcBorders>
              <w:top w:val="nil"/>
              <w:bottom w:val="nil"/>
            </w:tcBorders>
            <w:shd w:val="clear" w:color="auto" w:fill="auto"/>
            <w:noWrap/>
            <w:vAlign w:val="bottom"/>
            <w:hideMark/>
          </w:tcPr>
          <w:p w14:paraId="316435D3" w14:textId="3AF32EF9"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6C71AF00" w14:textId="10EBBDE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60537A8D" w14:textId="31C85DF1"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7D914E42" w14:textId="2733265F"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bottom w:val="nil"/>
            </w:tcBorders>
            <w:shd w:val="clear" w:color="auto" w:fill="auto"/>
            <w:noWrap/>
            <w:vAlign w:val="bottom"/>
            <w:hideMark/>
          </w:tcPr>
          <w:p w14:paraId="4A742E6A"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435E96F1" w14:textId="77777777" w:rsidTr="0035195D">
        <w:tc>
          <w:tcPr>
            <w:tcW w:w="1384" w:type="dxa"/>
            <w:tcBorders>
              <w:top w:val="nil"/>
              <w:bottom w:val="nil"/>
            </w:tcBorders>
            <w:shd w:val="clear" w:color="auto" w:fill="auto"/>
            <w:noWrap/>
            <w:hideMark/>
          </w:tcPr>
          <w:p w14:paraId="4732FFE6"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2012/13</w:t>
            </w:r>
          </w:p>
        </w:tc>
        <w:tc>
          <w:tcPr>
            <w:tcW w:w="1256" w:type="dxa"/>
            <w:tcBorders>
              <w:top w:val="nil"/>
              <w:bottom w:val="nil"/>
            </w:tcBorders>
            <w:shd w:val="clear" w:color="auto" w:fill="auto"/>
            <w:noWrap/>
            <w:vAlign w:val="bottom"/>
            <w:hideMark/>
          </w:tcPr>
          <w:p w14:paraId="0A8FF273" w14:textId="5B6C7963"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4F54DBBA" w14:textId="35553D44"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057E4005" w14:textId="2ECFAEB9"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576AC44D" w14:textId="60FC12E1"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bottom w:val="nil"/>
            </w:tcBorders>
            <w:shd w:val="clear" w:color="auto" w:fill="auto"/>
            <w:noWrap/>
            <w:vAlign w:val="bottom"/>
            <w:hideMark/>
          </w:tcPr>
          <w:p w14:paraId="35F99890"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630E9815" w14:textId="77777777" w:rsidTr="0035195D">
        <w:tc>
          <w:tcPr>
            <w:tcW w:w="1384" w:type="dxa"/>
            <w:tcBorders>
              <w:top w:val="nil"/>
              <w:bottom w:val="nil"/>
            </w:tcBorders>
            <w:shd w:val="clear" w:color="auto" w:fill="auto"/>
            <w:noWrap/>
            <w:hideMark/>
          </w:tcPr>
          <w:p w14:paraId="1ED17218"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2013/14</w:t>
            </w:r>
            <w:r w:rsidRPr="000D5B62">
              <w:rPr>
                <w:rFonts w:eastAsiaTheme="minorEastAsia"/>
                <w:szCs w:val="20"/>
                <w:rtl/>
              </w:rPr>
              <w:t xml:space="preserve"> </w:t>
            </w:r>
          </w:p>
        </w:tc>
        <w:tc>
          <w:tcPr>
            <w:tcW w:w="1256" w:type="dxa"/>
            <w:tcBorders>
              <w:top w:val="nil"/>
              <w:bottom w:val="nil"/>
            </w:tcBorders>
            <w:shd w:val="clear" w:color="auto" w:fill="auto"/>
            <w:noWrap/>
            <w:vAlign w:val="bottom"/>
            <w:hideMark/>
          </w:tcPr>
          <w:p w14:paraId="6412D4B0" w14:textId="16009DD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41765933" w14:textId="5DEC31BB"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7448DDA1" w14:textId="386971D8"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bottom w:val="nil"/>
            </w:tcBorders>
            <w:shd w:val="clear" w:color="auto" w:fill="auto"/>
            <w:noWrap/>
            <w:vAlign w:val="bottom"/>
            <w:hideMark/>
          </w:tcPr>
          <w:p w14:paraId="2A6B5D1B" w14:textId="206C17A3"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bottom w:val="nil"/>
            </w:tcBorders>
            <w:shd w:val="clear" w:color="auto" w:fill="auto"/>
            <w:noWrap/>
            <w:vAlign w:val="bottom"/>
            <w:hideMark/>
          </w:tcPr>
          <w:p w14:paraId="73DF92C5"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69F53E7D" w14:textId="77777777" w:rsidTr="0035195D">
        <w:tc>
          <w:tcPr>
            <w:tcW w:w="1384" w:type="dxa"/>
            <w:tcBorders>
              <w:top w:val="nil"/>
            </w:tcBorders>
            <w:shd w:val="clear" w:color="auto" w:fill="auto"/>
            <w:noWrap/>
            <w:hideMark/>
          </w:tcPr>
          <w:p w14:paraId="41ED5C08"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2014/15</w:t>
            </w:r>
            <w:r w:rsidRPr="000D5B62">
              <w:rPr>
                <w:rFonts w:eastAsiaTheme="minorEastAsia"/>
                <w:szCs w:val="20"/>
                <w:rtl/>
              </w:rPr>
              <w:t xml:space="preserve"> </w:t>
            </w:r>
          </w:p>
        </w:tc>
        <w:tc>
          <w:tcPr>
            <w:tcW w:w="1256" w:type="dxa"/>
            <w:tcBorders>
              <w:top w:val="nil"/>
            </w:tcBorders>
            <w:shd w:val="clear" w:color="auto" w:fill="auto"/>
            <w:noWrap/>
            <w:vAlign w:val="bottom"/>
            <w:hideMark/>
          </w:tcPr>
          <w:p w14:paraId="49F08927" w14:textId="65F4FEB2"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tcBorders>
            <w:shd w:val="clear" w:color="auto" w:fill="auto"/>
            <w:noWrap/>
            <w:vAlign w:val="bottom"/>
            <w:hideMark/>
          </w:tcPr>
          <w:p w14:paraId="2BCA8CBD" w14:textId="45EDBAC7"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tcBorders>
            <w:shd w:val="clear" w:color="auto" w:fill="auto"/>
            <w:noWrap/>
            <w:vAlign w:val="bottom"/>
            <w:hideMark/>
          </w:tcPr>
          <w:p w14:paraId="1485F3E6" w14:textId="7C72E549"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40,0 </w:t>
            </w:r>
            <w:r w:rsidR="008B0906" w:rsidRPr="000D5B62">
              <w:rPr>
                <w:rFonts w:eastAsiaTheme="minorEastAsia"/>
                <w:szCs w:val="20"/>
                <w:rtl/>
              </w:rPr>
              <w:t>٪</w:t>
            </w:r>
          </w:p>
        </w:tc>
        <w:tc>
          <w:tcPr>
            <w:tcW w:w="1256" w:type="dxa"/>
            <w:tcBorders>
              <w:top w:val="nil"/>
            </w:tcBorders>
            <w:shd w:val="clear" w:color="auto" w:fill="auto"/>
            <w:noWrap/>
            <w:vAlign w:val="bottom"/>
            <w:hideMark/>
          </w:tcPr>
          <w:p w14:paraId="71EA6BBC" w14:textId="641DAF66"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top w:val="nil"/>
            </w:tcBorders>
            <w:shd w:val="clear" w:color="auto" w:fill="auto"/>
            <w:noWrap/>
            <w:vAlign w:val="bottom"/>
            <w:hideMark/>
          </w:tcPr>
          <w:p w14:paraId="4933F971"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790A5090" w14:textId="77777777" w:rsidTr="00394C64">
        <w:tc>
          <w:tcPr>
            <w:tcW w:w="1384" w:type="dxa"/>
            <w:shd w:val="clear" w:color="auto" w:fill="auto"/>
            <w:noWrap/>
            <w:hideMark/>
          </w:tcPr>
          <w:p w14:paraId="006B2478"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2015/16</w:t>
            </w:r>
            <w:r w:rsidRPr="000D5B62">
              <w:rPr>
                <w:rFonts w:eastAsiaTheme="minorEastAsia"/>
                <w:szCs w:val="20"/>
                <w:rtl/>
              </w:rPr>
              <w:t xml:space="preserve"> </w:t>
            </w:r>
          </w:p>
        </w:tc>
        <w:tc>
          <w:tcPr>
            <w:tcW w:w="1256" w:type="dxa"/>
            <w:shd w:val="clear" w:color="auto" w:fill="auto"/>
            <w:noWrap/>
            <w:vAlign w:val="bottom"/>
            <w:hideMark/>
          </w:tcPr>
          <w:p w14:paraId="2962C804" w14:textId="3AAF647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shd w:val="clear" w:color="auto" w:fill="auto"/>
            <w:noWrap/>
            <w:vAlign w:val="bottom"/>
            <w:hideMark/>
          </w:tcPr>
          <w:p w14:paraId="4DA012AD" w14:textId="06D0D259"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shd w:val="clear" w:color="auto" w:fill="auto"/>
            <w:noWrap/>
            <w:vAlign w:val="bottom"/>
            <w:hideMark/>
          </w:tcPr>
          <w:p w14:paraId="10F9584C" w14:textId="05D8E826" w:rsidR="00803069" w:rsidRPr="000D5B62" w:rsidRDefault="00803069" w:rsidP="00394C64">
            <w:pPr>
              <w:spacing w:before="40" w:after="40" w:line="300" w:lineRule="exact"/>
              <w:jc w:val="left"/>
              <w:textDirection w:val="tbRlV"/>
              <w:rPr>
                <w:rFonts w:eastAsiaTheme="minorEastAsia"/>
                <w:bCs/>
                <w:iCs/>
                <w:szCs w:val="20"/>
                <w:rtl/>
                <w:lang w:val="ar-SA" w:eastAsia="zh-TW"/>
              </w:rPr>
            </w:pPr>
            <w:r w:rsidRPr="000D5B62">
              <w:rPr>
                <w:rFonts w:eastAsiaTheme="minorEastAsia"/>
                <w:szCs w:val="20"/>
                <w:rtl/>
              </w:rPr>
              <w:t>41,0 </w:t>
            </w:r>
            <w:r w:rsidR="008B0906" w:rsidRPr="000D5B62">
              <w:rPr>
                <w:rFonts w:eastAsiaTheme="minorEastAsia"/>
                <w:szCs w:val="20"/>
                <w:rtl/>
              </w:rPr>
              <w:t>٪</w:t>
            </w:r>
          </w:p>
        </w:tc>
        <w:tc>
          <w:tcPr>
            <w:tcW w:w="1256" w:type="dxa"/>
            <w:shd w:val="clear" w:color="auto" w:fill="auto"/>
            <w:noWrap/>
            <w:vAlign w:val="bottom"/>
            <w:hideMark/>
          </w:tcPr>
          <w:p w14:paraId="48BD0485" w14:textId="7E0438B4"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shd w:val="clear" w:color="auto" w:fill="auto"/>
            <w:noWrap/>
            <w:vAlign w:val="bottom"/>
            <w:hideMark/>
          </w:tcPr>
          <w:p w14:paraId="166342E7"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62377EFE" w14:textId="77777777" w:rsidTr="00394C64">
        <w:tc>
          <w:tcPr>
            <w:tcW w:w="1384" w:type="dxa"/>
            <w:shd w:val="clear" w:color="auto" w:fill="auto"/>
            <w:noWrap/>
            <w:hideMark/>
          </w:tcPr>
          <w:p w14:paraId="1BC18A71"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2016/17</w:t>
            </w:r>
          </w:p>
        </w:tc>
        <w:tc>
          <w:tcPr>
            <w:tcW w:w="1256" w:type="dxa"/>
            <w:shd w:val="clear" w:color="auto" w:fill="auto"/>
            <w:noWrap/>
            <w:vAlign w:val="bottom"/>
            <w:hideMark/>
          </w:tcPr>
          <w:p w14:paraId="6AE8DAB4" w14:textId="3F7D780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shd w:val="clear" w:color="auto" w:fill="auto"/>
            <w:noWrap/>
            <w:vAlign w:val="bottom"/>
            <w:hideMark/>
          </w:tcPr>
          <w:p w14:paraId="021B1A70" w14:textId="57ADEA5C"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shd w:val="clear" w:color="auto" w:fill="auto"/>
            <w:noWrap/>
            <w:vAlign w:val="bottom"/>
            <w:hideMark/>
          </w:tcPr>
          <w:p w14:paraId="64D1F5A7" w14:textId="3E192C6C"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41,0 </w:t>
            </w:r>
            <w:r w:rsidR="008B0906" w:rsidRPr="000D5B62">
              <w:rPr>
                <w:rFonts w:eastAsiaTheme="minorEastAsia"/>
                <w:szCs w:val="20"/>
                <w:rtl/>
              </w:rPr>
              <w:t>٪</w:t>
            </w:r>
          </w:p>
        </w:tc>
        <w:tc>
          <w:tcPr>
            <w:tcW w:w="1256" w:type="dxa"/>
            <w:shd w:val="clear" w:color="auto" w:fill="auto"/>
            <w:noWrap/>
            <w:vAlign w:val="bottom"/>
            <w:hideMark/>
          </w:tcPr>
          <w:p w14:paraId="65CA05FF" w14:textId="6EB8C101"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shd w:val="clear" w:color="auto" w:fill="auto"/>
            <w:noWrap/>
            <w:vAlign w:val="bottom"/>
            <w:hideMark/>
          </w:tcPr>
          <w:p w14:paraId="125501EC"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723630AF" w14:textId="77777777" w:rsidTr="00394C64">
        <w:tc>
          <w:tcPr>
            <w:tcW w:w="1384" w:type="dxa"/>
            <w:tcBorders>
              <w:bottom w:val="nil"/>
            </w:tcBorders>
            <w:shd w:val="clear" w:color="auto" w:fill="auto"/>
            <w:noWrap/>
            <w:hideMark/>
          </w:tcPr>
          <w:p w14:paraId="060FC253"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2017/18</w:t>
            </w:r>
          </w:p>
        </w:tc>
        <w:tc>
          <w:tcPr>
            <w:tcW w:w="1256" w:type="dxa"/>
            <w:tcBorders>
              <w:bottom w:val="nil"/>
            </w:tcBorders>
            <w:shd w:val="clear" w:color="auto" w:fill="auto"/>
            <w:noWrap/>
            <w:vAlign w:val="bottom"/>
            <w:hideMark/>
          </w:tcPr>
          <w:p w14:paraId="259E9AC8" w14:textId="343A0488"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50A4C013" w14:textId="35860B6A"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5B697570" w14:textId="6AA1ED9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45,0 </w:t>
            </w:r>
            <w:r w:rsidR="008B0906" w:rsidRPr="000D5B62">
              <w:rPr>
                <w:rFonts w:eastAsiaTheme="minorEastAsia"/>
                <w:szCs w:val="20"/>
                <w:rtl/>
              </w:rPr>
              <w:t>٪</w:t>
            </w:r>
          </w:p>
        </w:tc>
        <w:tc>
          <w:tcPr>
            <w:tcW w:w="1256" w:type="dxa"/>
            <w:tcBorders>
              <w:bottom w:val="nil"/>
            </w:tcBorders>
            <w:shd w:val="clear" w:color="auto" w:fill="auto"/>
            <w:noWrap/>
            <w:vAlign w:val="bottom"/>
            <w:hideMark/>
          </w:tcPr>
          <w:p w14:paraId="77CB3009" w14:textId="2BDF2B03"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14,0 </w:t>
            </w:r>
            <w:r w:rsidR="008B0906" w:rsidRPr="000D5B62">
              <w:rPr>
                <w:rFonts w:eastAsiaTheme="minorEastAsia"/>
                <w:szCs w:val="20"/>
                <w:rtl/>
              </w:rPr>
              <w:t>٪</w:t>
            </w:r>
          </w:p>
        </w:tc>
        <w:tc>
          <w:tcPr>
            <w:tcW w:w="2096" w:type="dxa"/>
            <w:tcBorders>
              <w:bottom w:val="nil"/>
            </w:tcBorders>
            <w:shd w:val="clear" w:color="auto" w:fill="auto"/>
            <w:noWrap/>
            <w:vAlign w:val="bottom"/>
            <w:hideMark/>
          </w:tcPr>
          <w:p w14:paraId="48FECE1E"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r w:rsidR="00803069" w:rsidRPr="000D5B62" w14:paraId="33E5E5FD" w14:textId="77777777" w:rsidTr="00394C64">
        <w:tc>
          <w:tcPr>
            <w:tcW w:w="1384" w:type="dxa"/>
            <w:tcBorders>
              <w:top w:val="nil"/>
              <w:bottom w:val="single" w:sz="12" w:space="0" w:color="auto"/>
            </w:tcBorders>
            <w:shd w:val="clear" w:color="auto" w:fill="auto"/>
            <w:noWrap/>
            <w:hideMark/>
          </w:tcPr>
          <w:p w14:paraId="23F696F9" w14:textId="77777777" w:rsidR="00803069" w:rsidRPr="000D5B62" w:rsidRDefault="00803069" w:rsidP="00394C64">
            <w:pPr>
              <w:spacing w:before="40" w:after="40" w:line="300" w:lineRule="exact"/>
              <w:jc w:val="left"/>
              <w:textDirection w:val="tbRlV"/>
              <w:rPr>
                <w:rFonts w:eastAsiaTheme="minorEastAsia"/>
                <w:bCs/>
                <w:i/>
                <w:iCs/>
                <w:szCs w:val="20"/>
                <w:lang w:val="ar-SA" w:eastAsia="zh-TW" w:bidi="en-GB"/>
              </w:rPr>
            </w:pPr>
            <w:r w:rsidRPr="000D5B62">
              <w:rPr>
                <w:rFonts w:eastAsiaTheme="minorEastAsia"/>
                <w:i/>
                <w:iCs/>
                <w:szCs w:val="20"/>
                <w:rtl/>
              </w:rPr>
              <w:t>2018/19*</w:t>
            </w:r>
          </w:p>
        </w:tc>
        <w:tc>
          <w:tcPr>
            <w:tcW w:w="1256" w:type="dxa"/>
            <w:tcBorders>
              <w:top w:val="nil"/>
              <w:bottom w:val="single" w:sz="12" w:space="0" w:color="auto"/>
            </w:tcBorders>
            <w:shd w:val="clear" w:color="auto" w:fill="auto"/>
            <w:noWrap/>
            <w:vAlign w:val="bottom"/>
            <w:hideMark/>
          </w:tcPr>
          <w:p w14:paraId="460A896D" w14:textId="314226C6"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28,0 </w:t>
            </w:r>
            <w:r w:rsidR="008B0906" w:rsidRPr="000D5B62">
              <w:rPr>
                <w:rFonts w:eastAsiaTheme="minorEastAsia"/>
                <w:szCs w:val="20"/>
                <w:rtl/>
              </w:rPr>
              <w:t>٪</w:t>
            </w:r>
          </w:p>
        </w:tc>
        <w:tc>
          <w:tcPr>
            <w:tcW w:w="1256" w:type="dxa"/>
            <w:tcBorders>
              <w:top w:val="nil"/>
              <w:bottom w:val="single" w:sz="12" w:space="0" w:color="auto"/>
            </w:tcBorders>
            <w:shd w:val="clear" w:color="auto" w:fill="auto"/>
            <w:noWrap/>
            <w:vAlign w:val="bottom"/>
            <w:hideMark/>
          </w:tcPr>
          <w:p w14:paraId="1D46F291" w14:textId="245E9500"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18,0 </w:t>
            </w:r>
            <w:r w:rsidR="008B0906" w:rsidRPr="000D5B62">
              <w:rPr>
                <w:rFonts w:eastAsiaTheme="minorEastAsia"/>
                <w:szCs w:val="20"/>
                <w:rtl/>
              </w:rPr>
              <w:t>٪</w:t>
            </w:r>
          </w:p>
        </w:tc>
        <w:tc>
          <w:tcPr>
            <w:tcW w:w="1256" w:type="dxa"/>
            <w:tcBorders>
              <w:top w:val="nil"/>
              <w:bottom w:val="single" w:sz="12" w:space="0" w:color="auto"/>
            </w:tcBorders>
            <w:shd w:val="clear" w:color="auto" w:fill="auto"/>
            <w:noWrap/>
            <w:vAlign w:val="bottom"/>
            <w:hideMark/>
          </w:tcPr>
          <w:p w14:paraId="45D46198" w14:textId="63B6A2C2"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45,0 </w:t>
            </w:r>
            <w:r w:rsidR="008B0906" w:rsidRPr="000D5B62">
              <w:rPr>
                <w:rFonts w:eastAsiaTheme="minorEastAsia"/>
                <w:szCs w:val="20"/>
                <w:rtl/>
              </w:rPr>
              <w:t>٪</w:t>
            </w:r>
          </w:p>
        </w:tc>
        <w:tc>
          <w:tcPr>
            <w:tcW w:w="1256" w:type="dxa"/>
            <w:tcBorders>
              <w:top w:val="nil"/>
              <w:bottom w:val="single" w:sz="12" w:space="0" w:color="auto"/>
            </w:tcBorders>
            <w:shd w:val="clear" w:color="auto" w:fill="auto"/>
            <w:noWrap/>
            <w:vAlign w:val="bottom"/>
            <w:hideMark/>
          </w:tcPr>
          <w:p w14:paraId="7FB0D18B" w14:textId="34E42EDA" w:rsidR="00803069" w:rsidRPr="000D5B62" w:rsidRDefault="00803069" w:rsidP="00394C64">
            <w:pPr>
              <w:spacing w:before="40" w:after="40" w:line="300" w:lineRule="exact"/>
              <w:jc w:val="left"/>
              <w:textDirection w:val="tbRlV"/>
              <w:rPr>
                <w:rFonts w:eastAsiaTheme="minorEastAsia"/>
                <w:bCs/>
                <w:iCs/>
                <w:szCs w:val="20"/>
                <w:rtl/>
                <w:lang w:val="ar-SA" w:eastAsia="zh-TW" w:bidi="en-GB"/>
              </w:rPr>
            </w:pPr>
            <w:r w:rsidRPr="000D5B62">
              <w:rPr>
                <w:rFonts w:eastAsiaTheme="minorEastAsia"/>
                <w:szCs w:val="20"/>
                <w:rtl/>
              </w:rPr>
              <w:t>15,0 </w:t>
            </w:r>
            <w:r w:rsidR="008B0906" w:rsidRPr="000D5B62">
              <w:rPr>
                <w:rFonts w:eastAsiaTheme="minorEastAsia"/>
                <w:szCs w:val="20"/>
                <w:rtl/>
              </w:rPr>
              <w:t>٪</w:t>
            </w:r>
          </w:p>
        </w:tc>
        <w:tc>
          <w:tcPr>
            <w:tcW w:w="2096" w:type="dxa"/>
            <w:tcBorders>
              <w:top w:val="nil"/>
              <w:bottom w:val="single" w:sz="12" w:space="0" w:color="auto"/>
            </w:tcBorders>
            <w:shd w:val="clear" w:color="auto" w:fill="auto"/>
            <w:noWrap/>
            <w:vAlign w:val="bottom"/>
            <w:hideMark/>
          </w:tcPr>
          <w:p w14:paraId="3D63ACB8" w14:textId="77777777" w:rsidR="00803069" w:rsidRPr="000D5B62" w:rsidRDefault="00803069" w:rsidP="00394C64">
            <w:pPr>
              <w:spacing w:before="40" w:after="40" w:line="300" w:lineRule="exact"/>
              <w:jc w:val="left"/>
              <w:rPr>
                <w:rFonts w:eastAsiaTheme="minorEastAsia"/>
                <w:bCs/>
                <w:iCs/>
                <w:szCs w:val="20"/>
                <w:rtl/>
              </w:rPr>
            </w:pPr>
            <w:r w:rsidRPr="000D5B62">
              <w:rPr>
                <w:rFonts w:eastAsiaTheme="minorEastAsia"/>
                <w:bCs/>
                <w:iCs/>
                <w:szCs w:val="20"/>
                <w:rtl/>
              </w:rPr>
              <w:t xml:space="preserve"> </w:t>
            </w:r>
          </w:p>
        </w:tc>
      </w:tr>
    </w:tbl>
    <w:p w14:paraId="15B4D7E8" w14:textId="7DD657F3" w:rsidR="00803069" w:rsidRPr="000D5B62" w:rsidRDefault="00803069" w:rsidP="00FC4405">
      <w:pPr>
        <w:tabs>
          <w:tab w:val="left" w:pos="1559"/>
        </w:tabs>
        <w:spacing w:before="120" w:after="240"/>
        <w:ind w:left="1134" w:right="1134" w:firstLine="170"/>
        <w:textDirection w:val="tbRlV"/>
        <w:rPr>
          <w:rFonts w:eastAsiaTheme="minorEastAsia"/>
          <w:sz w:val="18"/>
          <w:szCs w:val="18"/>
          <w:lang w:val="ar-SA" w:eastAsia="zh-TW" w:bidi="en-GB"/>
        </w:rPr>
      </w:pPr>
      <w:r w:rsidRPr="000D5B62">
        <w:rPr>
          <w:rFonts w:eastAsiaTheme="minorEastAsia"/>
          <w:sz w:val="18"/>
          <w:szCs w:val="18"/>
          <w:rtl/>
        </w:rPr>
        <w:t>*</w:t>
      </w:r>
      <w:r w:rsidR="00FC4405" w:rsidRPr="000D5B62">
        <w:rPr>
          <w:rFonts w:eastAsiaTheme="minorEastAsia"/>
          <w:sz w:val="18"/>
          <w:szCs w:val="18"/>
          <w:rtl/>
        </w:rPr>
        <w:tab/>
      </w:r>
      <w:r w:rsidRPr="000D5B62">
        <w:rPr>
          <w:rFonts w:eastAsiaTheme="minorEastAsia"/>
          <w:sz w:val="18"/>
          <w:szCs w:val="18"/>
          <w:rtl/>
        </w:rPr>
        <w:t>الضرائب المقترحة في ميزانية عام 2018، والتقديرات المنشورة في استعراض الميزانية لعام 2018.</w:t>
      </w:r>
    </w:p>
    <w:p w14:paraId="55CB8D36" w14:textId="77777777" w:rsidR="00803069" w:rsidRPr="000D5B62" w:rsidRDefault="00803069" w:rsidP="00706D34">
      <w:pPr>
        <w:pStyle w:val="SingleTxtGA"/>
        <w:rPr>
          <w:lang w:val="ar-SA" w:eastAsia="zh-TW" w:bidi="en-GB"/>
        </w:rPr>
      </w:pPr>
      <w:r w:rsidRPr="000D5B62">
        <w:rPr>
          <w:rtl/>
        </w:rPr>
        <w:t>23-</w:t>
      </w:r>
      <w:r w:rsidRPr="000D5B62">
        <w:rPr>
          <w:rtl/>
        </w:rPr>
        <w:tab/>
        <w:t>وترد في الجدول أدناه النفقات العامة كنسبة مئوية من الناتج المحلي الإجمالي، وفي حدود مجموع النفقات العامة، الحصة من الميزانية العامة المخصصة للأولويات الاجتماعية (التعليم والغذاء والصحة والمياه والصرف الصحي والإسكان):</w:t>
      </w:r>
    </w:p>
    <w:p w14:paraId="66676548" w14:textId="752ABBEF" w:rsidR="00803069" w:rsidRPr="000D5B62" w:rsidRDefault="00803069" w:rsidP="00394C64">
      <w:pPr>
        <w:pStyle w:val="SingleTxtGA"/>
        <w:rPr>
          <w:b/>
          <w:bCs/>
          <w:lang w:val="ar-SA" w:eastAsia="zh-TW" w:bidi="en-GB"/>
        </w:rPr>
      </w:pPr>
      <w:r w:rsidRPr="000D5B62">
        <w:rPr>
          <w:rtl/>
        </w:rPr>
        <w:t xml:space="preserve">الجدول 11 </w:t>
      </w:r>
      <w:r w:rsidR="00394C64" w:rsidRPr="000D5B62">
        <w:rPr>
          <w:rtl/>
        </w:rPr>
        <w:tab/>
      </w:r>
      <w:r w:rsidR="00394C64" w:rsidRPr="000D5B62">
        <w:rPr>
          <w:rtl/>
        </w:rPr>
        <w:br/>
      </w:r>
      <w:r w:rsidRPr="000D5B62">
        <w:rPr>
          <w:b/>
          <w:bCs/>
          <w:rtl/>
        </w:rPr>
        <w:t>النفقات العامة كنسبة مئوية من الناتج المحلي الإجمالي (2007-2018)</w:t>
      </w:r>
    </w:p>
    <w:tbl>
      <w:tblPr>
        <w:bidiVisual/>
        <w:tblW w:w="7370" w:type="dxa"/>
        <w:tblInd w:w="1134" w:type="dxa"/>
        <w:tblLayout w:type="fixed"/>
        <w:tblLook w:val="04A0" w:firstRow="1" w:lastRow="0" w:firstColumn="1" w:lastColumn="0" w:noHBand="0" w:noVBand="1"/>
      </w:tblPr>
      <w:tblGrid>
        <w:gridCol w:w="3401"/>
        <w:gridCol w:w="2219"/>
        <w:gridCol w:w="1750"/>
      </w:tblGrid>
      <w:tr w:rsidR="00803069" w:rsidRPr="000D5B62" w14:paraId="3A08C1F7" w14:textId="77777777" w:rsidTr="00394C64">
        <w:trPr>
          <w:tblHeader/>
        </w:trPr>
        <w:tc>
          <w:tcPr>
            <w:tcW w:w="3401" w:type="dxa"/>
            <w:tcBorders>
              <w:top w:val="single" w:sz="4" w:space="0" w:color="auto"/>
              <w:bottom w:val="single" w:sz="12" w:space="0" w:color="auto"/>
            </w:tcBorders>
            <w:shd w:val="clear" w:color="auto" w:fill="auto"/>
            <w:vAlign w:val="bottom"/>
            <w:hideMark/>
          </w:tcPr>
          <w:p w14:paraId="27A57A76" w14:textId="77777777" w:rsidR="00803069" w:rsidRPr="000D5B62" w:rsidRDefault="00803069" w:rsidP="0035195D">
            <w:pPr>
              <w:spacing w:before="40" w:after="40" w:line="320" w:lineRule="exact"/>
              <w:jc w:val="left"/>
              <w:textDirection w:val="tbRlV"/>
              <w:rPr>
                <w:rFonts w:eastAsiaTheme="minorEastAsia"/>
                <w:bCs/>
                <w:i/>
                <w:iCs/>
                <w:sz w:val="22"/>
                <w:lang w:val="ar-SA" w:eastAsia="zh-TW" w:bidi="en-GB"/>
              </w:rPr>
            </w:pPr>
            <w:r w:rsidRPr="000D5B62">
              <w:rPr>
                <w:rFonts w:eastAsiaTheme="minorEastAsia"/>
                <w:i/>
                <w:iCs/>
                <w:sz w:val="22"/>
                <w:rtl/>
              </w:rPr>
              <w:t>الأولويات الاجتماعية (الحماية الاجتماعية والتعليم والصحة والسكن والمرافق المجتمعية)</w:t>
            </w:r>
          </w:p>
        </w:tc>
        <w:tc>
          <w:tcPr>
            <w:tcW w:w="2219" w:type="dxa"/>
            <w:tcBorders>
              <w:top w:val="single" w:sz="4" w:space="0" w:color="auto"/>
              <w:bottom w:val="single" w:sz="12" w:space="0" w:color="auto"/>
            </w:tcBorders>
            <w:shd w:val="clear" w:color="auto" w:fill="auto"/>
            <w:vAlign w:val="bottom"/>
            <w:hideMark/>
          </w:tcPr>
          <w:p w14:paraId="1257CBA6" w14:textId="03FF3886" w:rsidR="00803069" w:rsidRPr="000D5B62" w:rsidRDefault="00803069" w:rsidP="0035195D">
            <w:pPr>
              <w:spacing w:before="40" w:after="40" w:line="320" w:lineRule="exact"/>
              <w:jc w:val="left"/>
              <w:textDirection w:val="tbRlV"/>
              <w:rPr>
                <w:rFonts w:eastAsiaTheme="minorEastAsia"/>
                <w:bCs/>
                <w:i/>
                <w:iCs/>
                <w:sz w:val="22"/>
                <w:lang w:eastAsia="zh-TW" w:bidi="en-GB"/>
              </w:rPr>
            </w:pPr>
            <w:r w:rsidRPr="000D5B62">
              <w:rPr>
                <w:rFonts w:eastAsiaTheme="minorEastAsia"/>
                <w:i/>
                <w:iCs/>
                <w:sz w:val="22"/>
                <w:rtl/>
              </w:rPr>
              <w:t>مجموع النفقات الحكومية الموحدة كنسبة مئوية من الناتج المحلي الإجمالي</w:t>
            </w:r>
          </w:p>
        </w:tc>
        <w:tc>
          <w:tcPr>
            <w:tcW w:w="1750" w:type="dxa"/>
            <w:tcBorders>
              <w:top w:val="single" w:sz="4" w:space="0" w:color="auto"/>
              <w:bottom w:val="single" w:sz="12" w:space="0" w:color="auto"/>
            </w:tcBorders>
            <w:shd w:val="clear" w:color="auto" w:fill="auto"/>
            <w:vAlign w:val="bottom"/>
            <w:hideMark/>
          </w:tcPr>
          <w:p w14:paraId="4D2C5D6B" w14:textId="5D4ABFA6" w:rsidR="00803069" w:rsidRPr="000D5B62" w:rsidRDefault="00803069" w:rsidP="0035195D">
            <w:pPr>
              <w:spacing w:before="40" w:after="40" w:line="320" w:lineRule="exact"/>
              <w:jc w:val="left"/>
              <w:textDirection w:val="tbRlV"/>
              <w:rPr>
                <w:rFonts w:eastAsiaTheme="minorEastAsia"/>
                <w:bCs/>
                <w:i/>
                <w:iCs/>
                <w:sz w:val="22"/>
                <w:lang w:val="ar-SA" w:eastAsia="zh-TW" w:bidi="en-GB"/>
              </w:rPr>
            </w:pPr>
            <w:r w:rsidRPr="000D5B62">
              <w:rPr>
                <w:rFonts w:eastAsiaTheme="minorEastAsia"/>
                <w:i/>
                <w:iCs/>
                <w:sz w:val="22"/>
                <w:rtl/>
              </w:rPr>
              <w:t>الأولويات الاجتماعية كنسبة مئوية من الناتج المحلي الإجمالي</w:t>
            </w:r>
          </w:p>
        </w:tc>
      </w:tr>
      <w:tr w:rsidR="00803069" w:rsidRPr="000D5B62" w14:paraId="10DE549F" w14:textId="77777777" w:rsidTr="00394C64">
        <w:tc>
          <w:tcPr>
            <w:tcW w:w="3401" w:type="dxa"/>
            <w:tcBorders>
              <w:top w:val="single" w:sz="12" w:space="0" w:color="auto"/>
            </w:tcBorders>
            <w:shd w:val="clear" w:color="auto" w:fill="auto"/>
            <w:noWrap/>
            <w:hideMark/>
          </w:tcPr>
          <w:p w14:paraId="7D05F060" w14:textId="77777777" w:rsidR="00803069" w:rsidRPr="000D5B62" w:rsidRDefault="00803069" w:rsidP="0035195D">
            <w:pPr>
              <w:spacing w:before="40" w:after="40" w:line="320" w:lineRule="exact"/>
              <w:jc w:val="left"/>
              <w:textDirection w:val="tbRlV"/>
              <w:rPr>
                <w:rFonts w:eastAsiaTheme="minorEastAsia"/>
                <w:bCs/>
                <w:iCs/>
                <w:sz w:val="22"/>
                <w:lang w:eastAsia="zh-TW" w:bidi="en-GB"/>
              </w:rPr>
            </w:pPr>
            <w:r w:rsidRPr="000D5B62">
              <w:rPr>
                <w:rFonts w:eastAsiaTheme="minorEastAsia"/>
                <w:sz w:val="22"/>
                <w:rtl/>
              </w:rPr>
              <w:t>2007/08</w:t>
            </w:r>
          </w:p>
        </w:tc>
        <w:tc>
          <w:tcPr>
            <w:tcW w:w="2219" w:type="dxa"/>
            <w:tcBorders>
              <w:top w:val="single" w:sz="12" w:space="0" w:color="auto"/>
            </w:tcBorders>
            <w:shd w:val="clear" w:color="auto" w:fill="auto"/>
            <w:noWrap/>
            <w:vAlign w:val="bottom"/>
            <w:hideMark/>
          </w:tcPr>
          <w:p w14:paraId="67E3964C" w14:textId="091DB4D8"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27,2 </w:t>
            </w:r>
            <w:r w:rsidR="008B0906" w:rsidRPr="000D5B62">
              <w:rPr>
                <w:rFonts w:eastAsiaTheme="minorEastAsia"/>
                <w:sz w:val="22"/>
                <w:rtl/>
              </w:rPr>
              <w:t>٪</w:t>
            </w:r>
          </w:p>
        </w:tc>
        <w:tc>
          <w:tcPr>
            <w:tcW w:w="1750" w:type="dxa"/>
            <w:tcBorders>
              <w:top w:val="single" w:sz="12" w:space="0" w:color="auto"/>
            </w:tcBorders>
            <w:shd w:val="clear" w:color="auto" w:fill="auto"/>
            <w:noWrap/>
            <w:vAlign w:val="bottom"/>
            <w:hideMark/>
          </w:tcPr>
          <w:p w14:paraId="2109D287" w14:textId="0F35409B"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14,9 </w:t>
            </w:r>
            <w:r w:rsidR="008B0906" w:rsidRPr="000D5B62">
              <w:rPr>
                <w:rFonts w:eastAsiaTheme="minorEastAsia"/>
                <w:sz w:val="22"/>
                <w:rtl/>
              </w:rPr>
              <w:t>٪</w:t>
            </w:r>
          </w:p>
        </w:tc>
      </w:tr>
      <w:tr w:rsidR="00803069" w:rsidRPr="000D5B62" w14:paraId="4F3971BA" w14:textId="77777777" w:rsidTr="00394C64">
        <w:tc>
          <w:tcPr>
            <w:tcW w:w="3401" w:type="dxa"/>
            <w:shd w:val="clear" w:color="auto" w:fill="auto"/>
            <w:noWrap/>
            <w:hideMark/>
          </w:tcPr>
          <w:p w14:paraId="3C61077E"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2008/09</w:t>
            </w:r>
          </w:p>
        </w:tc>
        <w:tc>
          <w:tcPr>
            <w:tcW w:w="2219" w:type="dxa"/>
            <w:shd w:val="clear" w:color="auto" w:fill="auto"/>
            <w:noWrap/>
            <w:vAlign w:val="bottom"/>
            <w:hideMark/>
          </w:tcPr>
          <w:p w14:paraId="71693B4C" w14:textId="4BE2DBCC"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29,4 </w:t>
            </w:r>
            <w:r w:rsidR="008B0906" w:rsidRPr="000D5B62">
              <w:rPr>
                <w:rFonts w:eastAsiaTheme="minorEastAsia"/>
                <w:sz w:val="22"/>
                <w:rtl/>
              </w:rPr>
              <w:t>٪</w:t>
            </w:r>
          </w:p>
        </w:tc>
        <w:tc>
          <w:tcPr>
            <w:tcW w:w="1750" w:type="dxa"/>
            <w:shd w:val="clear" w:color="auto" w:fill="auto"/>
            <w:noWrap/>
            <w:vAlign w:val="bottom"/>
            <w:hideMark/>
          </w:tcPr>
          <w:p w14:paraId="6D14BA3C" w14:textId="61CE4C23"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16,1 </w:t>
            </w:r>
            <w:r w:rsidR="008B0906" w:rsidRPr="000D5B62">
              <w:rPr>
                <w:rFonts w:eastAsiaTheme="minorEastAsia"/>
                <w:sz w:val="22"/>
                <w:rtl/>
              </w:rPr>
              <w:t>٪</w:t>
            </w:r>
          </w:p>
        </w:tc>
      </w:tr>
      <w:tr w:rsidR="00803069" w:rsidRPr="000D5B62" w14:paraId="04BB4DE8" w14:textId="77777777" w:rsidTr="00394C64">
        <w:tc>
          <w:tcPr>
            <w:tcW w:w="3401" w:type="dxa"/>
            <w:shd w:val="clear" w:color="auto" w:fill="auto"/>
            <w:noWrap/>
            <w:hideMark/>
          </w:tcPr>
          <w:p w14:paraId="69CCD5FE"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2009/10</w:t>
            </w:r>
          </w:p>
        </w:tc>
        <w:tc>
          <w:tcPr>
            <w:tcW w:w="2219" w:type="dxa"/>
            <w:shd w:val="clear" w:color="auto" w:fill="auto"/>
            <w:noWrap/>
            <w:vAlign w:val="bottom"/>
            <w:hideMark/>
          </w:tcPr>
          <w:p w14:paraId="723A60EA" w14:textId="70235D2F"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32,3 </w:t>
            </w:r>
            <w:r w:rsidR="008B0906" w:rsidRPr="000D5B62">
              <w:rPr>
                <w:rFonts w:eastAsiaTheme="minorEastAsia"/>
                <w:sz w:val="22"/>
                <w:rtl/>
              </w:rPr>
              <w:t>٪</w:t>
            </w:r>
          </w:p>
        </w:tc>
        <w:tc>
          <w:tcPr>
            <w:tcW w:w="1750" w:type="dxa"/>
            <w:shd w:val="clear" w:color="auto" w:fill="auto"/>
            <w:noWrap/>
            <w:vAlign w:val="bottom"/>
            <w:hideMark/>
          </w:tcPr>
          <w:p w14:paraId="44A4E393" w14:textId="71AE64BB"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17,5 </w:t>
            </w:r>
            <w:r w:rsidR="008B0906" w:rsidRPr="000D5B62">
              <w:rPr>
                <w:rFonts w:eastAsiaTheme="minorEastAsia"/>
                <w:sz w:val="22"/>
                <w:rtl/>
              </w:rPr>
              <w:t>٪</w:t>
            </w:r>
          </w:p>
        </w:tc>
      </w:tr>
      <w:tr w:rsidR="00803069" w:rsidRPr="000D5B62" w14:paraId="41D4328B" w14:textId="77777777" w:rsidTr="00394C64">
        <w:tc>
          <w:tcPr>
            <w:tcW w:w="3401" w:type="dxa"/>
            <w:shd w:val="clear" w:color="auto" w:fill="auto"/>
            <w:noWrap/>
            <w:hideMark/>
          </w:tcPr>
          <w:p w14:paraId="20A8660B"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2010/11</w:t>
            </w:r>
          </w:p>
        </w:tc>
        <w:tc>
          <w:tcPr>
            <w:tcW w:w="2219" w:type="dxa"/>
            <w:shd w:val="clear" w:color="auto" w:fill="auto"/>
            <w:noWrap/>
            <w:vAlign w:val="bottom"/>
            <w:hideMark/>
          </w:tcPr>
          <w:p w14:paraId="775F86A4" w14:textId="2DE59F28"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31,1 </w:t>
            </w:r>
            <w:r w:rsidR="008B0906" w:rsidRPr="000D5B62">
              <w:rPr>
                <w:rFonts w:eastAsiaTheme="minorEastAsia"/>
                <w:sz w:val="22"/>
                <w:rtl/>
              </w:rPr>
              <w:t>٪</w:t>
            </w:r>
          </w:p>
        </w:tc>
        <w:tc>
          <w:tcPr>
            <w:tcW w:w="1750" w:type="dxa"/>
            <w:shd w:val="clear" w:color="auto" w:fill="auto"/>
            <w:noWrap/>
            <w:vAlign w:val="bottom"/>
            <w:hideMark/>
          </w:tcPr>
          <w:p w14:paraId="26BD28D5" w14:textId="69AE2B5A"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17,7 </w:t>
            </w:r>
            <w:r w:rsidR="008B0906" w:rsidRPr="000D5B62">
              <w:rPr>
                <w:rFonts w:eastAsiaTheme="minorEastAsia"/>
                <w:sz w:val="22"/>
                <w:rtl/>
              </w:rPr>
              <w:t>٪</w:t>
            </w:r>
          </w:p>
        </w:tc>
      </w:tr>
      <w:tr w:rsidR="00803069" w:rsidRPr="000D5B62" w14:paraId="150D620F" w14:textId="77777777" w:rsidTr="00394C64">
        <w:tc>
          <w:tcPr>
            <w:tcW w:w="3401" w:type="dxa"/>
            <w:shd w:val="clear" w:color="auto" w:fill="auto"/>
            <w:noWrap/>
            <w:hideMark/>
          </w:tcPr>
          <w:p w14:paraId="04A3DD0F"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2011/12</w:t>
            </w:r>
          </w:p>
        </w:tc>
        <w:tc>
          <w:tcPr>
            <w:tcW w:w="2219" w:type="dxa"/>
            <w:shd w:val="clear" w:color="auto" w:fill="auto"/>
            <w:noWrap/>
            <w:vAlign w:val="bottom"/>
            <w:hideMark/>
          </w:tcPr>
          <w:p w14:paraId="1D6444C5" w14:textId="02E6A412"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30,9 </w:t>
            </w:r>
            <w:r w:rsidR="008B0906" w:rsidRPr="000D5B62">
              <w:rPr>
                <w:rFonts w:eastAsiaTheme="minorEastAsia"/>
                <w:sz w:val="22"/>
                <w:rtl/>
              </w:rPr>
              <w:t>٪</w:t>
            </w:r>
          </w:p>
        </w:tc>
        <w:tc>
          <w:tcPr>
            <w:tcW w:w="1750" w:type="dxa"/>
            <w:shd w:val="clear" w:color="auto" w:fill="auto"/>
            <w:noWrap/>
            <w:vAlign w:val="bottom"/>
            <w:hideMark/>
          </w:tcPr>
          <w:p w14:paraId="2AAEF583" w14:textId="2547425C"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18,1 </w:t>
            </w:r>
            <w:r w:rsidR="008B0906" w:rsidRPr="000D5B62">
              <w:rPr>
                <w:rFonts w:eastAsiaTheme="minorEastAsia"/>
                <w:sz w:val="22"/>
                <w:rtl/>
              </w:rPr>
              <w:t>٪</w:t>
            </w:r>
          </w:p>
        </w:tc>
      </w:tr>
      <w:tr w:rsidR="00803069" w:rsidRPr="000D5B62" w14:paraId="34FF049E" w14:textId="77777777" w:rsidTr="00394C64">
        <w:tc>
          <w:tcPr>
            <w:tcW w:w="3401" w:type="dxa"/>
            <w:shd w:val="clear" w:color="auto" w:fill="auto"/>
            <w:noWrap/>
            <w:hideMark/>
          </w:tcPr>
          <w:p w14:paraId="3D778728"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2012/13</w:t>
            </w:r>
          </w:p>
        </w:tc>
        <w:tc>
          <w:tcPr>
            <w:tcW w:w="2219" w:type="dxa"/>
            <w:shd w:val="clear" w:color="auto" w:fill="auto"/>
            <w:noWrap/>
            <w:vAlign w:val="bottom"/>
            <w:hideMark/>
          </w:tcPr>
          <w:p w14:paraId="2D88DBBB" w14:textId="02E88FF4"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31,4 </w:t>
            </w:r>
            <w:r w:rsidR="008B0906" w:rsidRPr="000D5B62">
              <w:rPr>
                <w:rFonts w:eastAsiaTheme="minorEastAsia"/>
                <w:sz w:val="22"/>
                <w:rtl/>
              </w:rPr>
              <w:t>٪</w:t>
            </w:r>
          </w:p>
        </w:tc>
        <w:tc>
          <w:tcPr>
            <w:tcW w:w="1750" w:type="dxa"/>
            <w:shd w:val="clear" w:color="auto" w:fill="auto"/>
            <w:noWrap/>
            <w:vAlign w:val="bottom"/>
            <w:hideMark/>
          </w:tcPr>
          <w:p w14:paraId="7662525F" w14:textId="753AA297"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18,3 </w:t>
            </w:r>
            <w:r w:rsidR="008B0906" w:rsidRPr="000D5B62">
              <w:rPr>
                <w:rFonts w:eastAsiaTheme="minorEastAsia"/>
                <w:sz w:val="22"/>
                <w:rtl/>
              </w:rPr>
              <w:t>٪</w:t>
            </w:r>
          </w:p>
        </w:tc>
      </w:tr>
      <w:tr w:rsidR="00803069" w:rsidRPr="000D5B62" w14:paraId="24512CF9" w14:textId="77777777" w:rsidTr="00394C64">
        <w:tc>
          <w:tcPr>
            <w:tcW w:w="3401" w:type="dxa"/>
            <w:shd w:val="clear" w:color="auto" w:fill="auto"/>
            <w:noWrap/>
            <w:hideMark/>
          </w:tcPr>
          <w:p w14:paraId="3660EFD9"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2013/14</w:t>
            </w:r>
          </w:p>
        </w:tc>
        <w:tc>
          <w:tcPr>
            <w:tcW w:w="2219" w:type="dxa"/>
            <w:shd w:val="clear" w:color="auto" w:fill="auto"/>
            <w:noWrap/>
            <w:vAlign w:val="bottom"/>
            <w:hideMark/>
          </w:tcPr>
          <w:p w14:paraId="3FDE387D" w14:textId="71DD738A"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31,6 </w:t>
            </w:r>
            <w:r w:rsidR="008B0906" w:rsidRPr="000D5B62">
              <w:rPr>
                <w:rFonts w:eastAsiaTheme="minorEastAsia"/>
                <w:sz w:val="22"/>
                <w:rtl/>
              </w:rPr>
              <w:t>٪</w:t>
            </w:r>
          </w:p>
        </w:tc>
        <w:tc>
          <w:tcPr>
            <w:tcW w:w="1750" w:type="dxa"/>
            <w:shd w:val="clear" w:color="auto" w:fill="auto"/>
            <w:noWrap/>
            <w:vAlign w:val="bottom"/>
            <w:hideMark/>
          </w:tcPr>
          <w:p w14:paraId="4B29F963" w14:textId="243E809D"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18,4 </w:t>
            </w:r>
            <w:r w:rsidR="008B0906" w:rsidRPr="000D5B62">
              <w:rPr>
                <w:rFonts w:eastAsiaTheme="minorEastAsia"/>
                <w:sz w:val="22"/>
                <w:rtl/>
              </w:rPr>
              <w:t>٪</w:t>
            </w:r>
          </w:p>
        </w:tc>
      </w:tr>
      <w:tr w:rsidR="00803069" w:rsidRPr="000D5B62" w14:paraId="0F9DF01A" w14:textId="77777777" w:rsidTr="00394C64">
        <w:tc>
          <w:tcPr>
            <w:tcW w:w="3401" w:type="dxa"/>
            <w:shd w:val="clear" w:color="auto" w:fill="auto"/>
            <w:noWrap/>
            <w:hideMark/>
          </w:tcPr>
          <w:p w14:paraId="59371669"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2014/15</w:t>
            </w:r>
          </w:p>
        </w:tc>
        <w:tc>
          <w:tcPr>
            <w:tcW w:w="2219" w:type="dxa"/>
            <w:shd w:val="clear" w:color="auto" w:fill="auto"/>
            <w:noWrap/>
            <w:vAlign w:val="bottom"/>
            <w:hideMark/>
          </w:tcPr>
          <w:p w14:paraId="31639EB3" w14:textId="75747759"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31,9 </w:t>
            </w:r>
            <w:r w:rsidR="008B0906" w:rsidRPr="000D5B62">
              <w:rPr>
                <w:rFonts w:eastAsiaTheme="minorEastAsia"/>
                <w:sz w:val="22"/>
                <w:rtl/>
              </w:rPr>
              <w:t>٪</w:t>
            </w:r>
          </w:p>
        </w:tc>
        <w:tc>
          <w:tcPr>
            <w:tcW w:w="1750" w:type="dxa"/>
            <w:shd w:val="clear" w:color="auto" w:fill="auto"/>
            <w:noWrap/>
            <w:vAlign w:val="bottom"/>
            <w:hideMark/>
          </w:tcPr>
          <w:p w14:paraId="55CC09B9" w14:textId="58EB7024"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18,2 </w:t>
            </w:r>
            <w:r w:rsidR="008B0906" w:rsidRPr="000D5B62">
              <w:rPr>
                <w:rFonts w:eastAsiaTheme="minorEastAsia"/>
                <w:sz w:val="22"/>
                <w:rtl/>
              </w:rPr>
              <w:t>٪</w:t>
            </w:r>
          </w:p>
        </w:tc>
      </w:tr>
      <w:tr w:rsidR="00803069" w:rsidRPr="000D5B62" w14:paraId="594C91F1" w14:textId="77777777" w:rsidTr="00394C64">
        <w:tc>
          <w:tcPr>
            <w:tcW w:w="3401" w:type="dxa"/>
            <w:shd w:val="clear" w:color="auto" w:fill="auto"/>
            <w:noWrap/>
            <w:hideMark/>
          </w:tcPr>
          <w:p w14:paraId="3910CC85"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2015/16</w:t>
            </w:r>
          </w:p>
        </w:tc>
        <w:tc>
          <w:tcPr>
            <w:tcW w:w="2219" w:type="dxa"/>
            <w:shd w:val="clear" w:color="auto" w:fill="auto"/>
            <w:noWrap/>
            <w:vAlign w:val="bottom"/>
            <w:hideMark/>
          </w:tcPr>
          <w:p w14:paraId="5482D133" w14:textId="58D19C11"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33,1 </w:t>
            </w:r>
            <w:r w:rsidR="008B0906" w:rsidRPr="000D5B62">
              <w:rPr>
                <w:rFonts w:eastAsiaTheme="minorEastAsia"/>
                <w:sz w:val="22"/>
                <w:rtl/>
              </w:rPr>
              <w:t>٪</w:t>
            </w:r>
          </w:p>
        </w:tc>
        <w:tc>
          <w:tcPr>
            <w:tcW w:w="1750" w:type="dxa"/>
            <w:shd w:val="clear" w:color="auto" w:fill="auto"/>
            <w:noWrap/>
            <w:vAlign w:val="bottom"/>
            <w:hideMark/>
          </w:tcPr>
          <w:p w14:paraId="39A064EC" w14:textId="1C82B2DB"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18,7 </w:t>
            </w:r>
            <w:r w:rsidR="008B0906" w:rsidRPr="000D5B62">
              <w:rPr>
                <w:rFonts w:eastAsiaTheme="minorEastAsia"/>
                <w:sz w:val="22"/>
                <w:rtl/>
              </w:rPr>
              <w:t>٪</w:t>
            </w:r>
          </w:p>
        </w:tc>
      </w:tr>
      <w:tr w:rsidR="00803069" w:rsidRPr="000D5B62" w14:paraId="0B41E914" w14:textId="77777777" w:rsidTr="00394C64">
        <w:tc>
          <w:tcPr>
            <w:tcW w:w="3401" w:type="dxa"/>
            <w:shd w:val="clear" w:color="auto" w:fill="auto"/>
            <w:noWrap/>
            <w:hideMark/>
          </w:tcPr>
          <w:p w14:paraId="6987AD14"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2016/17</w:t>
            </w:r>
          </w:p>
        </w:tc>
        <w:tc>
          <w:tcPr>
            <w:tcW w:w="2219" w:type="dxa"/>
            <w:shd w:val="clear" w:color="auto" w:fill="auto"/>
            <w:noWrap/>
            <w:vAlign w:val="bottom"/>
            <w:hideMark/>
          </w:tcPr>
          <w:p w14:paraId="1507D300" w14:textId="6D5F9B48"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32,7 </w:t>
            </w:r>
            <w:r w:rsidR="008B0906" w:rsidRPr="000D5B62">
              <w:rPr>
                <w:rFonts w:eastAsiaTheme="minorEastAsia"/>
                <w:sz w:val="22"/>
                <w:rtl/>
              </w:rPr>
              <w:t>٪</w:t>
            </w:r>
          </w:p>
        </w:tc>
        <w:tc>
          <w:tcPr>
            <w:tcW w:w="1750" w:type="dxa"/>
            <w:shd w:val="clear" w:color="auto" w:fill="auto"/>
            <w:noWrap/>
            <w:vAlign w:val="bottom"/>
            <w:hideMark/>
          </w:tcPr>
          <w:p w14:paraId="68366EB4" w14:textId="10A02532"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18,8 </w:t>
            </w:r>
            <w:r w:rsidR="008B0906" w:rsidRPr="000D5B62">
              <w:rPr>
                <w:rFonts w:eastAsiaTheme="minorEastAsia"/>
                <w:sz w:val="22"/>
                <w:rtl/>
              </w:rPr>
              <w:t>٪</w:t>
            </w:r>
          </w:p>
        </w:tc>
      </w:tr>
      <w:tr w:rsidR="00803069" w:rsidRPr="000D5B62" w14:paraId="16EBA06F" w14:textId="77777777" w:rsidTr="00394C64">
        <w:tc>
          <w:tcPr>
            <w:tcW w:w="3401" w:type="dxa"/>
            <w:tcBorders>
              <w:bottom w:val="single" w:sz="12" w:space="0" w:color="auto"/>
            </w:tcBorders>
            <w:shd w:val="clear" w:color="auto" w:fill="auto"/>
            <w:noWrap/>
            <w:hideMark/>
          </w:tcPr>
          <w:p w14:paraId="7A975724"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2017/18*</w:t>
            </w:r>
          </w:p>
        </w:tc>
        <w:tc>
          <w:tcPr>
            <w:tcW w:w="2219" w:type="dxa"/>
            <w:tcBorders>
              <w:bottom w:val="single" w:sz="12" w:space="0" w:color="auto"/>
            </w:tcBorders>
            <w:shd w:val="clear" w:color="auto" w:fill="auto"/>
            <w:noWrap/>
            <w:vAlign w:val="bottom"/>
            <w:hideMark/>
          </w:tcPr>
          <w:p w14:paraId="1AF6E6BC" w14:textId="56089127"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33,2 </w:t>
            </w:r>
            <w:r w:rsidR="008B0906" w:rsidRPr="000D5B62">
              <w:rPr>
                <w:rFonts w:eastAsiaTheme="minorEastAsia"/>
                <w:sz w:val="22"/>
                <w:rtl/>
              </w:rPr>
              <w:t>٪</w:t>
            </w:r>
          </w:p>
        </w:tc>
        <w:tc>
          <w:tcPr>
            <w:tcW w:w="1750" w:type="dxa"/>
            <w:tcBorders>
              <w:bottom w:val="single" w:sz="12" w:space="0" w:color="auto"/>
            </w:tcBorders>
            <w:shd w:val="clear" w:color="auto" w:fill="auto"/>
            <w:noWrap/>
            <w:vAlign w:val="bottom"/>
            <w:hideMark/>
          </w:tcPr>
          <w:p w14:paraId="0CFE6815" w14:textId="47A5AEE8" w:rsidR="00803069" w:rsidRPr="000D5B62" w:rsidRDefault="00803069" w:rsidP="0035195D">
            <w:pPr>
              <w:spacing w:before="40" w:after="40" w:line="320" w:lineRule="exact"/>
              <w:jc w:val="left"/>
              <w:textDirection w:val="tbRlV"/>
              <w:rPr>
                <w:rFonts w:eastAsiaTheme="minorEastAsia"/>
                <w:bCs/>
                <w:iCs/>
                <w:sz w:val="22"/>
                <w:rtl/>
                <w:lang w:val="ar-SA" w:eastAsia="zh-TW" w:bidi="en-GB"/>
              </w:rPr>
            </w:pPr>
            <w:r w:rsidRPr="000D5B62">
              <w:rPr>
                <w:rFonts w:eastAsiaTheme="minorEastAsia"/>
                <w:sz w:val="22"/>
                <w:rtl/>
              </w:rPr>
              <w:t>19,2 </w:t>
            </w:r>
            <w:r w:rsidR="008B0906" w:rsidRPr="000D5B62">
              <w:rPr>
                <w:rFonts w:eastAsiaTheme="minorEastAsia"/>
                <w:sz w:val="22"/>
                <w:rtl/>
              </w:rPr>
              <w:t>٪</w:t>
            </w:r>
          </w:p>
        </w:tc>
      </w:tr>
    </w:tbl>
    <w:p w14:paraId="68767BA4" w14:textId="77777777" w:rsidR="00803069" w:rsidRPr="000D5B62" w:rsidRDefault="00803069" w:rsidP="0035195D">
      <w:pPr>
        <w:pStyle w:val="SingleTxtGA"/>
        <w:spacing w:before="240"/>
        <w:rPr>
          <w:lang w:val="ar-SA" w:eastAsia="zh-TW" w:bidi="en-GB"/>
        </w:rPr>
      </w:pPr>
      <w:r w:rsidRPr="000D5B62">
        <w:rPr>
          <w:rtl/>
        </w:rPr>
        <w:t>24-</w:t>
      </w:r>
      <w:r w:rsidRPr="000D5B62">
        <w:rPr>
          <w:rtl/>
        </w:rPr>
        <w:tab/>
        <w:t>وترد في الجدول أدناه مستويات الإنفاق المطلقة على تلك الأولويات الاجتماعية، معدلة حسب التضخم:</w:t>
      </w:r>
    </w:p>
    <w:p w14:paraId="4E36A74D" w14:textId="32951D58" w:rsidR="00803069" w:rsidRPr="000D5B62" w:rsidRDefault="00803069" w:rsidP="0035195D">
      <w:pPr>
        <w:pStyle w:val="SingleTxtGA"/>
        <w:pageBreakBefore/>
        <w:rPr>
          <w:b/>
          <w:bCs/>
          <w:spacing w:val="-4"/>
          <w:lang w:val="ar-SA" w:eastAsia="zh-TW" w:bidi="en-GB"/>
        </w:rPr>
      </w:pPr>
      <w:r w:rsidRPr="000D5B62">
        <w:rPr>
          <w:spacing w:val="-4"/>
          <w:rtl/>
        </w:rPr>
        <w:t xml:space="preserve">الجدول 12 </w:t>
      </w:r>
      <w:r w:rsidR="00394C64" w:rsidRPr="000D5B62">
        <w:rPr>
          <w:spacing w:val="-4"/>
          <w:rtl/>
        </w:rPr>
        <w:tab/>
      </w:r>
      <w:r w:rsidR="00394C64" w:rsidRPr="000D5B62">
        <w:rPr>
          <w:spacing w:val="-4"/>
          <w:rtl/>
        </w:rPr>
        <w:br/>
      </w:r>
      <w:r w:rsidRPr="000D5B62">
        <w:rPr>
          <w:b/>
          <w:bCs/>
          <w:spacing w:val="-4"/>
          <w:rtl/>
        </w:rPr>
        <w:t>المستويات المطلقة للإنفاق على تلك الأولويات الاجتماعية، معدلة حسب نسبة التضخم (2007-2018)</w:t>
      </w:r>
    </w:p>
    <w:tbl>
      <w:tblPr>
        <w:bidiVisual/>
        <w:tblW w:w="7370" w:type="dxa"/>
        <w:tblInd w:w="1134" w:type="dxa"/>
        <w:tblLayout w:type="fixed"/>
        <w:tblLook w:val="04A0" w:firstRow="1" w:lastRow="0" w:firstColumn="1" w:lastColumn="0" w:noHBand="0" w:noVBand="1"/>
      </w:tblPr>
      <w:tblGrid>
        <w:gridCol w:w="3156"/>
        <w:gridCol w:w="1890"/>
        <w:gridCol w:w="2324"/>
      </w:tblGrid>
      <w:tr w:rsidR="00803069" w:rsidRPr="000D5B62" w14:paraId="2EEEA550" w14:textId="77777777" w:rsidTr="00136F05">
        <w:trPr>
          <w:tblHeader/>
        </w:trPr>
        <w:tc>
          <w:tcPr>
            <w:tcW w:w="3156" w:type="dxa"/>
            <w:tcBorders>
              <w:top w:val="single" w:sz="4" w:space="0" w:color="auto"/>
              <w:bottom w:val="single" w:sz="12" w:space="0" w:color="auto"/>
            </w:tcBorders>
            <w:shd w:val="clear" w:color="auto" w:fill="auto"/>
            <w:vAlign w:val="bottom"/>
            <w:hideMark/>
          </w:tcPr>
          <w:p w14:paraId="21BD206C" w14:textId="77777777" w:rsidR="00803069" w:rsidRPr="000D5B62" w:rsidRDefault="00803069" w:rsidP="0035195D">
            <w:pPr>
              <w:spacing w:before="40" w:after="40" w:line="320" w:lineRule="exact"/>
              <w:jc w:val="left"/>
              <w:textDirection w:val="tbRlV"/>
              <w:rPr>
                <w:rFonts w:eastAsiaTheme="minorEastAsia"/>
                <w:bCs/>
                <w:i/>
                <w:iCs/>
                <w:sz w:val="22"/>
                <w:lang w:val="ar-SA" w:eastAsia="zh-TW" w:bidi="en-GB"/>
              </w:rPr>
            </w:pPr>
            <w:r w:rsidRPr="000D5B62">
              <w:rPr>
                <w:rFonts w:eastAsiaTheme="minorEastAsia"/>
                <w:i/>
                <w:iCs/>
                <w:sz w:val="22"/>
                <w:rtl/>
              </w:rPr>
              <w:t xml:space="preserve">الأولويات الاجتماعية (الحماية الاجتماعية </w:t>
            </w:r>
            <w:r w:rsidRPr="000D5B62">
              <w:rPr>
                <w:rFonts w:ascii="Times New Roman Italic" w:eastAsiaTheme="minorEastAsia" w:hAnsi="Times New Roman Italic"/>
                <w:i/>
                <w:iCs/>
                <w:spacing w:val="-2"/>
                <w:sz w:val="22"/>
                <w:rtl/>
              </w:rPr>
              <w:t>والتعليم والصحة والسكن والمرافق المجتمعية)</w:t>
            </w:r>
          </w:p>
        </w:tc>
        <w:tc>
          <w:tcPr>
            <w:tcW w:w="1890" w:type="dxa"/>
            <w:tcBorders>
              <w:top w:val="single" w:sz="4" w:space="0" w:color="auto"/>
              <w:bottom w:val="single" w:sz="12" w:space="0" w:color="auto"/>
            </w:tcBorders>
            <w:shd w:val="clear" w:color="auto" w:fill="auto"/>
            <w:vAlign w:val="bottom"/>
            <w:hideMark/>
          </w:tcPr>
          <w:p w14:paraId="6F9194D7" w14:textId="77777777" w:rsidR="00803069" w:rsidRPr="000D5B62" w:rsidRDefault="00803069" w:rsidP="0035195D">
            <w:pPr>
              <w:spacing w:before="40" w:after="40" w:line="320" w:lineRule="exact"/>
              <w:jc w:val="left"/>
              <w:textDirection w:val="tbRlV"/>
              <w:rPr>
                <w:rFonts w:eastAsiaTheme="minorEastAsia"/>
                <w:bCs/>
                <w:i/>
                <w:iCs/>
                <w:sz w:val="22"/>
                <w:lang w:val="ar-SA" w:eastAsia="zh-TW" w:bidi="en-GB"/>
              </w:rPr>
            </w:pPr>
            <w:r w:rsidRPr="000D5B62">
              <w:rPr>
                <w:rFonts w:eastAsiaTheme="minorEastAsia"/>
                <w:i/>
                <w:iCs/>
                <w:sz w:val="22"/>
                <w:rtl/>
              </w:rPr>
              <w:t>مجموع النفقات الموحدة (بالقيمة الحقيقية)</w:t>
            </w:r>
          </w:p>
        </w:tc>
        <w:tc>
          <w:tcPr>
            <w:tcW w:w="2324" w:type="dxa"/>
            <w:tcBorders>
              <w:top w:val="single" w:sz="4" w:space="0" w:color="auto"/>
              <w:bottom w:val="single" w:sz="12" w:space="0" w:color="auto"/>
            </w:tcBorders>
            <w:shd w:val="clear" w:color="auto" w:fill="auto"/>
            <w:vAlign w:val="bottom"/>
            <w:hideMark/>
          </w:tcPr>
          <w:p w14:paraId="3F07F27E" w14:textId="77777777" w:rsidR="00803069" w:rsidRPr="000D5B62" w:rsidRDefault="00803069" w:rsidP="0035195D">
            <w:pPr>
              <w:spacing w:before="40" w:after="40" w:line="320" w:lineRule="exact"/>
              <w:jc w:val="left"/>
              <w:textDirection w:val="tbRlV"/>
              <w:rPr>
                <w:rFonts w:eastAsiaTheme="minorEastAsia"/>
                <w:bCs/>
                <w:i/>
                <w:iCs/>
                <w:sz w:val="22"/>
                <w:lang w:val="ar-SA" w:eastAsia="zh-TW" w:bidi="en-GB"/>
              </w:rPr>
            </w:pPr>
            <w:r w:rsidRPr="000D5B62">
              <w:rPr>
                <w:rFonts w:eastAsiaTheme="minorEastAsia"/>
                <w:i/>
                <w:iCs/>
                <w:sz w:val="22"/>
                <w:rtl/>
              </w:rPr>
              <w:t>مجموع الإنفاق على الأولويات الاجتماعية (بالقيمة الحقيقية)</w:t>
            </w:r>
          </w:p>
        </w:tc>
      </w:tr>
      <w:tr w:rsidR="00803069" w:rsidRPr="000D5B62" w14:paraId="15685167" w14:textId="77777777" w:rsidTr="00136F05">
        <w:tc>
          <w:tcPr>
            <w:tcW w:w="3156" w:type="dxa"/>
            <w:tcBorders>
              <w:top w:val="single" w:sz="12" w:space="0" w:color="auto"/>
            </w:tcBorders>
            <w:shd w:val="clear" w:color="auto" w:fill="auto"/>
            <w:noWrap/>
            <w:hideMark/>
          </w:tcPr>
          <w:p w14:paraId="1448CA3A"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2007/08</w:t>
            </w:r>
          </w:p>
        </w:tc>
        <w:tc>
          <w:tcPr>
            <w:tcW w:w="1890" w:type="dxa"/>
            <w:tcBorders>
              <w:top w:val="single" w:sz="12" w:space="0" w:color="auto"/>
            </w:tcBorders>
            <w:shd w:val="clear" w:color="auto" w:fill="auto"/>
            <w:noWrap/>
            <w:vAlign w:val="bottom"/>
            <w:hideMark/>
          </w:tcPr>
          <w:p w14:paraId="4782D695"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360 006 1</w:t>
            </w:r>
          </w:p>
        </w:tc>
        <w:tc>
          <w:tcPr>
            <w:tcW w:w="2324" w:type="dxa"/>
            <w:tcBorders>
              <w:top w:val="single" w:sz="12" w:space="0" w:color="auto"/>
            </w:tcBorders>
            <w:shd w:val="clear" w:color="auto" w:fill="auto"/>
            <w:noWrap/>
            <w:vAlign w:val="bottom"/>
            <w:hideMark/>
          </w:tcPr>
          <w:p w14:paraId="016EDED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858 551</w:t>
            </w:r>
          </w:p>
        </w:tc>
      </w:tr>
      <w:tr w:rsidR="00803069" w:rsidRPr="000D5B62" w14:paraId="2238BB20" w14:textId="77777777" w:rsidTr="00136F05">
        <w:tc>
          <w:tcPr>
            <w:tcW w:w="3156" w:type="dxa"/>
            <w:shd w:val="clear" w:color="auto" w:fill="auto"/>
            <w:noWrap/>
            <w:hideMark/>
          </w:tcPr>
          <w:p w14:paraId="5E0787BA"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2008/09</w:t>
            </w:r>
          </w:p>
        </w:tc>
        <w:tc>
          <w:tcPr>
            <w:tcW w:w="1890" w:type="dxa"/>
            <w:shd w:val="clear" w:color="auto" w:fill="auto"/>
            <w:noWrap/>
            <w:vAlign w:val="bottom"/>
            <w:hideMark/>
          </w:tcPr>
          <w:p w14:paraId="61EECF76"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015 097 1</w:t>
            </w:r>
          </w:p>
        </w:tc>
        <w:tc>
          <w:tcPr>
            <w:tcW w:w="2324" w:type="dxa"/>
            <w:shd w:val="clear" w:color="auto" w:fill="auto"/>
            <w:noWrap/>
            <w:vAlign w:val="bottom"/>
            <w:hideMark/>
          </w:tcPr>
          <w:p w14:paraId="2199BEC8"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165 599</w:t>
            </w:r>
          </w:p>
        </w:tc>
      </w:tr>
      <w:tr w:rsidR="00803069" w:rsidRPr="000D5B62" w14:paraId="00F13E9C" w14:textId="77777777" w:rsidTr="00136F05">
        <w:tc>
          <w:tcPr>
            <w:tcW w:w="3156" w:type="dxa"/>
            <w:shd w:val="clear" w:color="auto" w:fill="auto"/>
            <w:noWrap/>
            <w:hideMark/>
          </w:tcPr>
          <w:p w14:paraId="756F8480"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2009/10</w:t>
            </w:r>
          </w:p>
        </w:tc>
        <w:tc>
          <w:tcPr>
            <w:tcW w:w="1890" w:type="dxa"/>
            <w:shd w:val="clear" w:color="auto" w:fill="auto"/>
            <w:noWrap/>
            <w:vAlign w:val="bottom"/>
            <w:hideMark/>
          </w:tcPr>
          <w:p w14:paraId="523B2673"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630 198 1</w:t>
            </w:r>
          </w:p>
        </w:tc>
        <w:tc>
          <w:tcPr>
            <w:tcW w:w="2324" w:type="dxa"/>
            <w:shd w:val="clear" w:color="auto" w:fill="auto"/>
            <w:noWrap/>
            <w:vAlign w:val="bottom"/>
            <w:hideMark/>
          </w:tcPr>
          <w:p w14:paraId="423EDEA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060 648</w:t>
            </w:r>
          </w:p>
        </w:tc>
      </w:tr>
      <w:tr w:rsidR="00803069" w:rsidRPr="000D5B62" w14:paraId="0B7B42D2" w14:textId="77777777" w:rsidTr="00136F05">
        <w:tc>
          <w:tcPr>
            <w:tcW w:w="3156" w:type="dxa"/>
            <w:shd w:val="clear" w:color="auto" w:fill="auto"/>
            <w:noWrap/>
            <w:hideMark/>
          </w:tcPr>
          <w:p w14:paraId="41FB9D25"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2010/11</w:t>
            </w:r>
          </w:p>
        </w:tc>
        <w:tc>
          <w:tcPr>
            <w:tcW w:w="1890" w:type="dxa"/>
            <w:shd w:val="clear" w:color="auto" w:fill="auto"/>
            <w:noWrap/>
            <w:vAlign w:val="bottom"/>
            <w:hideMark/>
          </w:tcPr>
          <w:p w14:paraId="6CC8704D"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851 232 1</w:t>
            </w:r>
          </w:p>
        </w:tc>
        <w:tc>
          <w:tcPr>
            <w:tcW w:w="2324" w:type="dxa"/>
            <w:shd w:val="clear" w:color="auto" w:fill="auto"/>
            <w:noWrap/>
            <w:vAlign w:val="bottom"/>
            <w:hideMark/>
          </w:tcPr>
          <w:p w14:paraId="608939C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112 701</w:t>
            </w:r>
          </w:p>
        </w:tc>
      </w:tr>
      <w:tr w:rsidR="00803069" w:rsidRPr="000D5B62" w14:paraId="1DF83CDF" w14:textId="77777777" w:rsidTr="00136F05">
        <w:tc>
          <w:tcPr>
            <w:tcW w:w="3156" w:type="dxa"/>
            <w:shd w:val="clear" w:color="auto" w:fill="auto"/>
            <w:noWrap/>
            <w:hideMark/>
          </w:tcPr>
          <w:p w14:paraId="12BF217F"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2011/12</w:t>
            </w:r>
          </w:p>
        </w:tc>
        <w:tc>
          <w:tcPr>
            <w:tcW w:w="1890" w:type="dxa"/>
            <w:shd w:val="clear" w:color="auto" w:fill="auto"/>
            <w:noWrap/>
            <w:vAlign w:val="bottom"/>
            <w:hideMark/>
          </w:tcPr>
          <w:p w14:paraId="4974C93F"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127 264 1</w:t>
            </w:r>
          </w:p>
        </w:tc>
        <w:tc>
          <w:tcPr>
            <w:tcW w:w="2324" w:type="dxa"/>
            <w:shd w:val="clear" w:color="auto" w:fill="auto"/>
            <w:noWrap/>
            <w:vAlign w:val="bottom"/>
            <w:hideMark/>
          </w:tcPr>
          <w:p w14:paraId="20595400"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361 739</w:t>
            </w:r>
          </w:p>
        </w:tc>
      </w:tr>
      <w:tr w:rsidR="00803069" w:rsidRPr="000D5B62" w14:paraId="6FC841DD" w14:textId="77777777" w:rsidTr="00136F05">
        <w:tc>
          <w:tcPr>
            <w:tcW w:w="3156" w:type="dxa"/>
            <w:shd w:val="clear" w:color="auto" w:fill="auto"/>
            <w:noWrap/>
            <w:hideMark/>
          </w:tcPr>
          <w:p w14:paraId="57440BAE"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2012/13</w:t>
            </w:r>
          </w:p>
        </w:tc>
        <w:tc>
          <w:tcPr>
            <w:tcW w:w="1890" w:type="dxa"/>
            <w:shd w:val="clear" w:color="auto" w:fill="auto"/>
            <w:noWrap/>
            <w:vAlign w:val="bottom"/>
            <w:hideMark/>
          </w:tcPr>
          <w:p w14:paraId="6880F5CA"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357 312 1</w:t>
            </w:r>
          </w:p>
        </w:tc>
        <w:tc>
          <w:tcPr>
            <w:tcW w:w="2324" w:type="dxa"/>
            <w:shd w:val="clear" w:color="auto" w:fill="auto"/>
            <w:noWrap/>
            <w:vAlign w:val="bottom"/>
            <w:hideMark/>
          </w:tcPr>
          <w:p w14:paraId="36622F95"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349 764</w:t>
            </w:r>
          </w:p>
        </w:tc>
      </w:tr>
      <w:tr w:rsidR="00803069" w:rsidRPr="000D5B62" w14:paraId="7C0EED51" w14:textId="77777777" w:rsidTr="00136F05">
        <w:tc>
          <w:tcPr>
            <w:tcW w:w="3156" w:type="dxa"/>
            <w:shd w:val="clear" w:color="auto" w:fill="auto"/>
            <w:noWrap/>
            <w:hideMark/>
          </w:tcPr>
          <w:p w14:paraId="7093BA36"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2013/14</w:t>
            </w:r>
          </w:p>
        </w:tc>
        <w:tc>
          <w:tcPr>
            <w:tcW w:w="1890" w:type="dxa"/>
            <w:shd w:val="clear" w:color="auto" w:fill="auto"/>
            <w:noWrap/>
            <w:vAlign w:val="bottom"/>
            <w:hideMark/>
          </w:tcPr>
          <w:p w14:paraId="6E5B9E6E"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059 359 1</w:t>
            </w:r>
          </w:p>
        </w:tc>
        <w:tc>
          <w:tcPr>
            <w:tcW w:w="2324" w:type="dxa"/>
            <w:shd w:val="clear" w:color="auto" w:fill="auto"/>
            <w:noWrap/>
            <w:vAlign w:val="bottom"/>
            <w:hideMark/>
          </w:tcPr>
          <w:p w14:paraId="4BD9C2B1"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628 788</w:t>
            </w:r>
          </w:p>
        </w:tc>
      </w:tr>
      <w:tr w:rsidR="00803069" w:rsidRPr="000D5B62" w14:paraId="161D147C" w14:textId="77777777" w:rsidTr="00136F05">
        <w:tc>
          <w:tcPr>
            <w:tcW w:w="3156" w:type="dxa"/>
            <w:shd w:val="clear" w:color="auto" w:fill="auto"/>
            <w:noWrap/>
            <w:hideMark/>
          </w:tcPr>
          <w:p w14:paraId="63B347A4"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2014/15</w:t>
            </w:r>
          </w:p>
        </w:tc>
        <w:tc>
          <w:tcPr>
            <w:tcW w:w="1890" w:type="dxa"/>
            <w:shd w:val="clear" w:color="auto" w:fill="auto"/>
            <w:noWrap/>
            <w:vAlign w:val="bottom"/>
            <w:hideMark/>
          </w:tcPr>
          <w:p w14:paraId="6FD04B4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707 389 1</w:t>
            </w:r>
          </w:p>
        </w:tc>
        <w:tc>
          <w:tcPr>
            <w:tcW w:w="2324" w:type="dxa"/>
            <w:shd w:val="clear" w:color="auto" w:fill="auto"/>
            <w:noWrap/>
            <w:vAlign w:val="bottom"/>
            <w:hideMark/>
          </w:tcPr>
          <w:p w14:paraId="24E591F4"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592 792</w:t>
            </w:r>
          </w:p>
        </w:tc>
      </w:tr>
      <w:tr w:rsidR="00803069" w:rsidRPr="000D5B62" w14:paraId="0E48303B" w14:textId="77777777" w:rsidTr="00136F05">
        <w:tc>
          <w:tcPr>
            <w:tcW w:w="3156" w:type="dxa"/>
            <w:shd w:val="clear" w:color="auto" w:fill="auto"/>
            <w:noWrap/>
            <w:hideMark/>
          </w:tcPr>
          <w:p w14:paraId="74A7A087"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2015/16</w:t>
            </w:r>
          </w:p>
        </w:tc>
        <w:tc>
          <w:tcPr>
            <w:tcW w:w="1890" w:type="dxa"/>
            <w:shd w:val="clear" w:color="auto" w:fill="auto"/>
            <w:noWrap/>
            <w:vAlign w:val="bottom"/>
            <w:hideMark/>
          </w:tcPr>
          <w:p w14:paraId="5DC63FD2"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881 461 1</w:t>
            </w:r>
          </w:p>
        </w:tc>
        <w:tc>
          <w:tcPr>
            <w:tcW w:w="2324" w:type="dxa"/>
            <w:shd w:val="clear" w:color="auto" w:fill="auto"/>
            <w:noWrap/>
            <w:vAlign w:val="bottom"/>
            <w:hideMark/>
          </w:tcPr>
          <w:p w14:paraId="198B40F8"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057 827</w:t>
            </w:r>
          </w:p>
        </w:tc>
      </w:tr>
      <w:tr w:rsidR="00803069" w:rsidRPr="000D5B62" w14:paraId="6ACBC2C6" w14:textId="77777777" w:rsidTr="00136F05">
        <w:tc>
          <w:tcPr>
            <w:tcW w:w="3156" w:type="dxa"/>
            <w:shd w:val="clear" w:color="auto" w:fill="auto"/>
            <w:noWrap/>
            <w:hideMark/>
          </w:tcPr>
          <w:p w14:paraId="026EFB83"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2016/17</w:t>
            </w:r>
          </w:p>
        </w:tc>
        <w:tc>
          <w:tcPr>
            <w:tcW w:w="1890" w:type="dxa"/>
            <w:shd w:val="clear" w:color="auto" w:fill="auto"/>
            <w:noWrap/>
            <w:vAlign w:val="bottom"/>
            <w:hideMark/>
          </w:tcPr>
          <w:p w14:paraId="76B38D47"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332 451 1</w:t>
            </w:r>
          </w:p>
        </w:tc>
        <w:tc>
          <w:tcPr>
            <w:tcW w:w="2324" w:type="dxa"/>
            <w:shd w:val="clear" w:color="auto" w:fill="auto"/>
            <w:noWrap/>
            <w:vAlign w:val="bottom"/>
            <w:hideMark/>
          </w:tcPr>
          <w:p w14:paraId="613FE1F1"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410 835</w:t>
            </w:r>
          </w:p>
        </w:tc>
      </w:tr>
      <w:tr w:rsidR="00803069" w:rsidRPr="000D5B62" w14:paraId="39E52AF8" w14:textId="77777777" w:rsidTr="00136F05">
        <w:tc>
          <w:tcPr>
            <w:tcW w:w="3156" w:type="dxa"/>
            <w:tcBorders>
              <w:bottom w:val="single" w:sz="12" w:space="0" w:color="auto"/>
            </w:tcBorders>
            <w:shd w:val="clear" w:color="auto" w:fill="auto"/>
            <w:noWrap/>
            <w:hideMark/>
          </w:tcPr>
          <w:p w14:paraId="25FC192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2017/18*</w:t>
            </w:r>
          </w:p>
        </w:tc>
        <w:tc>
          <w:tcPr>
            <w:tcW w:w="1890" w:type="dxa"/>
            <w:tcBorders>
              <w:bottom w:val="single" w:sz="12" w:space="0" w:color="auto"/>
            </w:tcBorders>
            <w:shd w:val="clear" w:color="auto" w:fill="auto"/>
            <w:noWrap/>
            <w:vAlign w:val="bottom"/>
            <w:hideMark/>
          </w:tcPr>
          <w:p w14:paraId="535E6E8C"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201 495 1</w:t>
            </w:r>
          </w:p>
        </w:tc>
        <w:tc>
          <w:tcPr>
            <w:tcW w:w="2324" w:type="dxa"/>
            <w:tcBorders>
              <w:bottom w:val="single" w:sz="12" w:space="0" w:color="auto"/>
            </w:tcBorders>
            <w:shd w:val="clear" w:color="auto" w:fill="auto"/>
            <w:noWrap/>
            <w:vAlign w:val="bottom"/>
            <w:hideMark/>
          </w:tcPr>
          <w:p w14:paraId="68C3C839" w14:textId="77777777" w:rsidR="00803069" w:rsidRPr="000D5B62" w:rsidRDefault="00803069" w:rsidP="0035195D">
            <w:pPr>
              <w:spacing w:before="40" w:after="40" w:line="320" w:lineRule="exact"/>
              <w:jc w:val="left"/>
              <w:textDirection w:val="tbRlV"/>
              <w:rPr>
                <w:rFonts w:eastAsiaTheme="minorEastAsia"/>
                <w:bCs/>
                <w:iCs/>
                <w:sz w:val="22"/>
                <w:lang w:val="ar-SA" w:eastAsia="zh-TW" w:bidi="en-GB"/>
              </w:rPr>
            </w:pPr>
            <w:r w:rsidRPr="000D5B62">
              <w:rPr>
                <w:rFonts w:eastAsiaTheme="minorEastAsia"/>
                <w:sz w:val="22"/>
                <w:rtl/>
              </w:rPr>
              <w:t>845 864</w:t>
            </w:r>
          </w:p>
        </w:tc>
      </w:tr>
    </w:tbl>
    <w:p w14:paraId="27AE3407" w14:textId="15926A90" w:rsidR="00803069" w:rsidRPr="000D5B62" w:rsidRDefault="00803069" w:rsidP="0035195D">
      <w:pPr>
        <w:pStyle w:val="SingleTxtGA"/>
        <w:spacing w:before="240"/>
        <w:rPr>
          <w:lang w:val="ar-SA" w:eastAsia="zh-TW" w:bidi="en-GB"/>
        </w:rPr>
      </w:pPr>
      <w:r w:rsidRPr="000D5B62">
        <w:rPr>
          <w:rtl/>
        </w:rPr>
        <w:t>25-</w:t>
      </w:r>
      <w:r w:rsidRPr="000D5B62">
        <w:rPr>
          <w:rtl/>
        </w:rPr>
        <w:tab/>
        <w:t>ومن المتوقع أن ينخفض عجز الموازنة من 4</w:t>
      </w:r>
      <w:r w:rsidR="00CB6827" w:rsidRPr="000D5B62">
        <w:rPr>
          <w:rFonts w:hint="cs"/>
          <w:rtl/>
        </w:rPr>
        <w:t>,</w:t>
      </w:r>
      <w:r w:rsidRPr="000D5B62">
        <w:rPr>
          <w:rtl/>
        </w:rPr>
        <w:t>3 في المائة من الناتج المحلي الإجمالي في الفترة</w:t>
      </w:r>
      <w:r w:rsidR="00136F05" w:rsidRPr="000D5B62">
        <w:rPr>
          <w:rFonts w:hint="cs"/>
          <w:rtl/>
        </w:rPr>
        <w:t> </w:t>
      </w:r>
      <w:r w:rsidRPr="000D5B62">
        <w:rPr>
          <w:rtl/>
        </w:rPr>
        <w:t>2017/2018 إلى 3</w:t>
      </w:r>
      <w:r w:rsidR="00136F05" w:rsidRPr="000D5B62">
        <w:rPr>
          <w:rFonts w:ascii="Simplified Arabic" w:hAnsi="Simplified Arabic"/>
          <w:rtl/>
        </w:rPr>
        <w:t>,</w:t>
      </w:r>
      <w:r w:rsidRPr="000D5B62">
        <w:rPr>
          <w:rtl/>
        </w:rPr>
        <w:t>5 في المائة في الفترة 2020/2021. ومن المتوقع كذلك أن تظل النفقات الرئيسية غير المتعلقة بالفوائد في الميزانية مستقرة عند 26</w:t>
      </w:r>
      <w:r w:rsidR="00CB6827" w:rsidRPr="000D5B62">
        <w:rPr>
          <w:rFonts w:hint="cs"/>
          <w:rtl/>
        </w:rPr>
        <w:t>,</w:t>
      </w:r>
      <w:r w:rsidRPr="000D5B62">
        <w:rPr>
          <w:rtl/>
        </w:rPr>
        <w:t>6 في المائة من الناتج المحلي الإجمالي بين فترتي السنتين 2017/2018 و2020/2021. ومن المتوقع أن يستقر صافي الدين عند 53</w:t>
      </w:r>
      <w:r w:rsidR="00136F05" w:rsidRPr="000D5B62">
        <w:rPr>
          <w:rFonts w:ascii="Simplified Arabic" w:hAnsi="Simplified Arabic"/>
          <w:rtl/>
        </w:rPr>
        <w:t>,</w:t>
      </w:r>
      <w:r w:rsidRPr="000D5B62">
        <w:rPr>
          <w:rtl/>
        </w:rPr>
        <w:t>2 في المائة من الناتج المحلي الإجمالي في 2023/2024. وستجمع التدابير الضريبية المقترحة مبلغا</w:t>
      </w:r>
      <w:r w:rsidR="00CB6827" w:rsidRPr="000D5B62">
        <w:rPr>
          <w:rFonts w:hint="cs"/>
          <w:rtl/>
        </w:rPr>
        <w:t>ً</w:t>
      </w:r>
      <w:r w:rsidRPr="000D5B62">
        <w:rPr>
          <w:rtl/>
        </w:rPr>
        <w:t xml:space="preserve"> إضافيا</w:t>
      </w:r>
      <w:r w:rsidR="00CB6827" w:rsidRPr="000D5B62">
        <w:rPr>
          <w:rFonts w:hint="cs"/>
          <w:rtl/>
        </w:rPr>
        <w:t>ً</w:t>
      </w:r>
      <w:r w:rsidRPr="000D5B62">
        <w:rPr>
          <w:rtl/>
        </w:rPr>
        <w:t xml:space="preserve"> قدره</w:t>
      </w:r>
      <w:r w:rsidR="00136F05" w:rsidRPr="000D5B62">
        <w:rPr>
          <w:rFonts w:hint="cs"/>
          <w:rtl/>
        </w:rPr>
        <w:t> </w:t>
      </w:r>
      <w:r w:rsidRPr="000D5B62">
        <w:rPr>
          <w:rtl/>
        </w:rPr>
        <w:t>36 مليار راند في 2018/2019. ويتجلى في الإطار المالي تغييران رئيسيان هما: تخفيض النفقات في الأجل المتوسط حسبما حددته لجنة فرعية تابعة لمجلس الوزراء بمبلغ قدره 85 مليار راند ورصد اعتماد إضافي قدره 57 مليار راند للتعليم العالي والتدريب دون رسوم. وتم تعديل احتياطيات الطوارئ بزيادتها إلى 26 مليار راند على مدى السنوات الثلاث القادمة. وسيبلغ متوسط الزيادة الحقيقية في النفقات خلاف مدفوعات الفوائد 1,8 في المائة على مدى السنوات الثلاث القادمة. وتشهد فئة التعليم والتدريب بعد مرحلة التعليم المدرسي أسرع معدلات زيادة الإنفاق.</w:t>
      </w:r>
    </w:p>
    <w:p w14:paraId="610EB267" w14:textId="77777777" w:rsidR="00803069" w:rsidRPr="000D5B62" w:rsidRDefault="00803069" w:rsidP="00706D34">
      <w:pPr>
        <w:pStyle w:val="SingleTxtGA"/>
        <w:rPr>
          <w:lang w:val="ar-SA" w:eastAsia="zh-TW" w:bidi="en-GB"/>
        </w:rPr>
      </w:pPr>
      <w:r w:rsidRPr="000D5B62">
        <w:rPr>
          <w:rtl/>
        </w:rPr>
        <w:t>26-</w:t>
      </w:r>
      <w:r w:rsidRPr="000D5B62">
        <w:rPr>
          <w:rtl/>
        </w:rPr>
        <w:tab/>
        <w:t>ويرد في الجدول أدناه بيان النفقات الحكومية الموحدة حسب كل وظيفة:</w:t>
      </w:r>
    </w:p>
    <w:p w14:paraId="06F570D0" w14:textId="67C2239F" w:rsidR="00803069" w:rsidRPr="000D5B62" w:rsidRDefault="00803069" w:rsidP="0035195D">
      <w:pPr>
        <w:pStyle w:val="SingleTxtGA"/>
        <w:pageBreakBefore/>
        <w:rPr>
          <w:rFonts w:eastAsiaTheme="minorEastAsia"/>
          <w:lang w:val="ar-SA" w:eastAsia="zh-TW" w:bidi="en-GB"/>
        </w:rPr>
      </w:pPr>
      <w:r w:rsidRPr="000D5B62">
        <w:rPr>
          <w:rtl/>
        </w:rPr>
        <w:t xml:space="preserve">الجدول 13 </w:t>
      </w:r>
      <w:r w:rsidR="00394C64" w:rsidRPr="000D5B62">
        <w:rPr>
          <w:rtl/>
        </w:rPr>
        <w:tab/>
      </w:r>
      <w:r w:rsidR="00394C64" w:rsidRPr="000D5B62">
        <w:rPr>
          <w:rtl/>
        </w:rPr>
        <w:br/>
      </w:r>
      <w:r w:rsidRPr="000D5B62">
        <w:rPr>
          <w:rFonts w:eastAsiaTheme="minorEastAsia"/>
          <w:bCs/>
          <w:rtl/>
        </w:rPr>
        <w:t>الإنفاق الحكومي الموحد حسب الوظيفة (2017-2020)</w:t>
      </w:r>
    </w:p>
    <w:p w14:paraId="10F57EA2" w14:textId="77777777" w:rsidR="00803069" w:rsidRPr="000D5B62" w:rsidRDefault="00803069" w:rsidP="00803069">
      <w:pPr>
        <w:spacing w:line="360" w:lineRule="auto"/>
        <w:jc w:val="right"/>
        <w:rPr>
          <w:rFonts w:eastAsiaTheme="minorEastAsia"/>
          <w:bCs/>
          <w:sz w:val="22"/>
        </w:rPr>
      </w:pPr>
      <w:r w:rsidRPr="000D5B62">
        <w:rPr>
          <w:rFonts w:eastAsiaTheme="minorEastAsia"/>
          <w:bCs/>
          <w:noProof/>
          <w:sz w:val="22"/>
          <w:lang w:eastAsia="en-GB"/>
        </w:rPr>
        <w:drawing>
          <wp:inline distT="0" distB="0" distL="0" distR="0" wp14:anchorId="21BFC86D" wp14:editId="5578D4BD">
            <wp:extent cx="5372100" cy="473423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843" cy="4744584"/>
                    </a:xfrm>
                    <a:prstGeom prst="rect">
                      <a:avLst/>
                    </a:prstGeom>
                    <a:noFill/>
                    <a:ln>
                      <a:noFill/>
                    </a:ln>
                  </pic:spPr>
                </pic:pic>
              </a:graphicData>
            </a:graphic>
          </wp:inline>
        </w:drawing>
      </w:r>
    </w:p>
    <w:p w14:paraId="3507C0A1" w14:textId="77777777" w:rsidR="00803069" w:rsidRPr="000D5B62" w:rsidRDefault="00803069" w:rsidP="00706D34">
      <w:pPr>
        <w:pStyle w:val="SingleTxtGA"/>
        <w:rPr>
          <w:lang w:val="ar-SA" w:eastAsia="zh-TW" w:bidi="en-GB"/>
        </w:rPr>
      </w:pPr>
      <w:r w:rsidRPr="000D5B62">
        <w:rPr>
          <w:rtl/>
        </w:rPr>
        <w:t>27-</w:t>
      </w:r>
      <w:r w:rsidRPr="000D5B62">
        <w:rPr>
          <w:rtl/>
        </w:rPr>
        <w:tab/>
        <w:t>وستنفق الحكومة، على امتداد السنوات الثلاث القادمة، ما يلي:</w:t>
      </w:r>
    </w:p>
    <w:p w14:paraId="0575A7AD" w14:textId="77777777" w:rsidR="00803069" w:rsidRPr="000D5B62" w:rsidRDefault="00803069" w:rsidP="0035195D">
      <w:pPr>
        <w:pStyle w:val="Bullet1GA"/>
        <w:spacing w:line="340" w:lineRule="exact"/>
        <w:ind w:left="2494" w:hanging="544"/>
        <w:rPr>
          <w:lang w:val="ar-SA" w:bidi="en-GB"/>
        </w:rPr>
      </w:pPr>
      <w:r w:rsidRPr="000D5B62">
        <w:rPr>
          <w:rtl/>
        </w:rPr>
        <w:t>528,4 مليار راند على المنح الاجتماعية؛</w:t>
      </w:r>
    </w:p>
    <w:p w14:paraId="0DAE3A65" w14:textId="2D0EE4C4" w:rsidR="00803069" w:rsidRPr="000D5B62" w:rsidRDefault="00803069" w:rsidP="0035195D">
      <w:pPr>
        <w:pStyle w:val="Bullet1GA"/>
        <w:spacing w:line="340" w:lineRule="exact"/>
        <w:ind w:left="2494" w:hanging="544"/>
        <w:rPr>
          <w:lang w:val="ar-SA" w:bidi="en-GB"/>
        </w:rPr>
      </w:pPr>
      <w:r w:rsidRPr="000D5B62">
        <w:rPr>
          <w:rtl/>
        </w:rPr>
        <w:t>إجمالا</w:t>
      </w:r>
      <w:r w:rsidR="00CB6827" w:rsidRPr="000D5B62">
        <w:rPr>
          <w:rFonts w:hint="cs"/>
          <w:rtl/>
        </w:rPr>
        <w:t>ً</w:t>
      </w:r>
      <w:r w:rsidRPr="000D5B62">
        <w:rPr>
          <w:rtl/>
        </w:rPr>
        <w:t>، يقدَّم مبلغ 324 مليار راند للتعليم العالي والتدريب، ومن ضمنه مبلغ 57 مليار راند من المخصصات الجديدة للتعليم العالي والتدريب بدون رسوم؛</w:t>
      </w:r>
    </w:p>
    <w:p w14:paraId="7002DE0D" w14:textId="33BDB924" w:rsidR="00803069" w:rsidRPr="000D5B62" w:rsidRDefault="00803069" w:rsidP="0035195D">
      <w:pPr>
        <w:pStyle w:val="Bullet1GA"/>
        <w:spacing w:line="340" w:lineRule="exact"/>
        <w:ind w:left="2494" w:hanging="544"/>
        <w:rPr>
          <w:lang w:val="ar-SA" w:bidi="en-GB"/>
        </w:rPr>
      </w:pPr>
      <w:r w:rsidRPr="000D5B62">
        <w:rPr>
          <w:rtl/>
        </w:rPr>
        <w:t>مبلغ 792 مليار راند على التعليم الأساسي، ومن ضمنه مبلغ 35 مليار راند للهياكل الأساسية، و15</w:t>
      </w:r>
      <w:r w:rsidR="00136F05" w:rsidRPr="000D5B62">
        <w:rPr>
          <w:rFonts w:ascii="Simplified Arabic" w:hAnsi="Simplified Arabic"/>
          <w:rtl/>
        </w:rPr>
        <w:t>,</w:t>
      </w:r>
      <w:r w:rsidRPr="000D5B62">
        <w:rPr>
          <w:rtl/>
        </w:rPr>
        <w:t>3 مليار راند لمواد دعم المتعلمين والمعلمين، بما في ذلك تكنولوجيا المعلومات والاتصالات؛</w:t>
      </w:r>
    </w:p>
    <w:p w14:paraId="390D7CC1" w14:textId="36FEEAE3" w:rsidR="00803069" w:rsidRPr="000D5B62" w:rsidRDefault="00803069" w:rsidP="0035195D">
      <w:pPr>
        <w:pStyle w:val="Bullet1GA"/>
        <w:spacing w:line="340" w:lineRule="exact"/>
        <w:ind w:left="2494" w:hanging="544"/>
        <w:rPr>
          <w:lang w:val="ar-SA" w:bidi="en-GB"/>
        </w:rPr>
      </w:pPr>
      <w:r w:rsidRPr="000D5B62">
        <w:rPr>
          <w:rtl/>
        </w:rPr>
        <w:t>مبلغ 667</w:t>
      </w:r>
      <w:r w:rsidR="00136F05" w:rsidRPr="000D5B62">
        <w:rPr>
          <w:rFonts w:ascii="Simplified Arabic" w:hAnsi="Simplified Arabic"/>
          <w:rtl/>
        </w:rPr>
        <w:t>,</w:t>
      </w:r>
      <w:r w:rsidRPr="000D5B62">
        <w:rPr>
          <w:rtl/>
        </w:rPr>
        <w:t>8 مليار راند على الصحة، مع تخصيص مبلغ 66</w:t>
      </w:r>
      <w:r w:rsidR="00136F05" w:rsidRPr="000D5B62">
        <w:rPr>
          <w:rFonts w:ascii="Simplified Arabic" w:hAnsi="Simplified Arabic"/>
          <w:rtl/>
        </w:rPr>
        <w:t>,</w:t>
      </w:r>
      <w:r w:rsidRPr="000D5B62">
        <w:rPr>
          <w:rtl/>
        </w:rPr>
        <w:t>4 مليار راند للمنحة المشروطة المتعلقة بفيروس نقص المناعة البشرية المكتسب والإيدز والسل؛</w:t>
      </w:r>
    </w:p>
    <w:p w14:paraId="5577BE78" w14:textId="77777777" w:rsidR="00803069" w:rsidRPr="000D5B62" w:rsidRDefault="00803069" w:rsidP="0035195D">
      <w:pPr>
        <w:pStyle w:val="Bullet1GA"/>
        <w:spacing w:line="340" w:lineRule="exact"/>
        <w:ind w:left="2494" w:hanging="544"/>
        <w:rPr>
          <w:lang w:val="ar-SA" w:bidi="en-GB"/>
        </w:rPr>
      </w:pPr>
      <w:r w:rsidRPr="000D5B62">
        <w:rPr>
          <w:rtl/>
        </w:rPr>
        <w:t>مبلغ 123,3 مليار راند على السكن الحكومي المدعَّم؛</w:t>
      </w:r>
    </w:p>
    <w:p w14:paraId="6DD2F0EF" w14:textId="77777777" w:rsidR="00803069" w:rsidRPr="000D5B62" w:rsidRDefault="00803069" w:rsidP="0035195D">
      <w:pPr>
        <w:pStyle w:val="Bullet1GA"/>
        <w:spacing w:line="340" w:lineRule="exact"/>
        <w:ind w:left="2494" w:hanging="544"/>
        <w:rPr>
          <w:lang w:val="ar-SA" w:bidi="en-GB"/>
        </w:rPr>
      </w:pPr>
      <w:r w:rsidRPr="000D5B62">
        <w:rPr>
          <w:rtl/>
        </w:rPr>
        <w:t>مبلغ 125,8 مليار راند على الهياكل الأساسية وخدمات الإمداد بالمياه؛</w:t>
      </w:r>
    </w:p>
    <w:p w14:paraId="5071FDE1" w14:textId="77777777" w:rsidR="00803069" w:rsidRPr="000D5B62" w:rsidRDefault="00803069" w:rsidP="0035195D">
      <w:pPr>
        <w:pStyle w:val="Bullet1GA"/>
        <w:spacing w:line="340" w:lineRule="exact"/>
        <w:ind w:left="2494" w:hanging="544"/>
        <w:rPr>
          <w:lang w:val="ar-SA" w:bidi="en-GB"/>
        </w:rPr>
      </w:pPr>
      <w:r w:rsidRPr="000D5B62">
        <w:rPr>
          <w:rtl/>
        </w:rPr>
        <w:t>مبلغ 207,4 مليارات راند على التحويلات التي تكفُل لأجهزة الحكم المحلي حصة منصفة من الإيرادات لكي توفر الخدمات الأساسية للأسر المعيشية الفقيرة؛</w:t>
      </w:r>
    </w:p>
    <w:p w14:paraId="402580B9" w14:textId="77777777" w:rsidR="00803069" w:rsidRPr="000D5B62" w:rsidRDefault="00803069" w:rsidP="0035195D">
      <w:pPr>
        <w:pStyle w:val="Bullet1GA"/>
        <w:spacing w:line="340" w:lineRule="exact"/>
        <w:ind w:left="2494" w:hanging="544"/>
        <w:rPr>
          <w:lang w:val="ar-SA" w:bidi="en-GB"/>
        </w:rPr>
      </w:pPr>
      <w:r w:rsidRPr="000D5B62">
        <w:rPr>
          <w:rtl/>
        </w:rPr>
        <w:t>مبلغ 129,2 مليار راند على دعم توفير خدمات النقل العام بكلفة يسيرة.</w:t>
      </w:r>
    </w:p>
    <w:p w14:paraId="79C806D4" w14:textId="2720D567" w:rsidR="00803069" w:rsidRPr="000D5B62" w:rsidRDefault="00803069" w:rsidP="00706D34">
      <w:pPr>
        <w:pStyle w:val="SingleTxtGA"/>
        <w:rPr>
          <w:lang w:val="ar-SA" w:eastAsia="zh-TW" w:bidi="en-GB"/>
        </w:rPr>
      </w:pPr>
      <w:r w:rsidRPr="000D5B62">
        <w:rPr>
          <w:rtl/>
        </w:rPr>
        <w:t>28-</w:t>
      </w:r>
      <w:r w:rsidRPr="000D5B62">
        <w:rPr>
          <w:rtl/>
        </w:rPr>
        <w:tab/>
        <w:t>وفيما يتعلق بالخصائص الاقتصادية والاجتماعية، ما زالت جنوب أفريقيا تحمل آثار ما يزيد على ثلاثة عقود من الاستعمار والفصل العنصري. ورغم إلغاء العديد من قوانين الفصل العنصري من كتب التشريعات، ما زالت التداعيات الاجتماعية والاقتصادية لتلك القوانين والسياسات ترسم ملامح المشهد العام في جنوب أفريقيا. وما برحت أوجه عدم المساواة على أساس عنصري في المجالين الاقتصادي والاجتماعي من سمات الحياة في جنوب أفريقيا. فقد رسّخت تركة الفصل العنصري التفاوت الاقتصادي الهائل داخل البلد وجعلت من جنوب أفريقيا واحدا</w:t>
      </w:r>
      <w:r w:rsidR="006F382D" w:rsidRPr="000D5B62">
        <w:rPr>
          <w:rFonts w:hint="cs"/>
          <w:rtl/>
        </w:rPr>
        <w:t>ً</w:t>
      </w:r>
      <w:r w:rsidRPr="000D5B62">
        <w:rPr>
          <w:rtl/>
        </w:rPr>
        <w:t xml:space="preserve"> من أكثر البلدان تفاوتا</w:t>
      </w:r>
      <w:r w:rsidR="006F382D" w:rsidRPr="000D5B62">
        <w:rPr>
          <w:rFonts w:hint="cs"/>
          <w:rtl/>
        </w:rPr>
        <w:t>ً</w:t>
      </w:r>
      <w:r w:rsidRPr="000D5B62">
        <w:rPr>
          <w:rtl/>
        </w:rPr>
        <w:t xml:space="preserve"> في العالم</w:t>
      </w:r>
      <w:r w:rsidR="00394C64" w:rsidRPr="000D5B62">
        <w:rPr>
          <w:rStyle w:val="FootnoteReference"/>
          <w:szCs w:val="22"/>
          <w:rtl/>
        </w:rPr>
        <w:t>(</w:t>
      </w:r>
      <w:r w:rsidR="00394C64" w:rsidRPr="000D5B62">
        <w:rPr>
          <w:rStyle w:val="FootnoteReference"/>
          <w:szCs w:val="22"/>
          <w:rtl/>
        </w:rPr>
        <w:footnoteReference w:id="22"/>
      </w:r>
      <w:r w:rsidR="00394C64" w:rsidRPr="000D5B62">
        <w:rPr>
          <w:rStyle w:val="FootnoteReference"/>
          <w:szCs w:val="22"/>
          <w:rtl/>
        </w:rPr>
        <w:t>)</w:t>
      </w:r>
      <w:r w:rsidRPr="000D5B62">
        <w:rPr>
          <w:rtl/>
        </w:rPr>
        <w:t xml:space="preserve">. ومن ثم، تهدف خطة التنمية الوطنية إلى خفض معدل انعدام المساواة الذي يقاس بمعامل جيني استناداً إلى دخل الفرد (بما يشمل المرتبات والأجور والمنح الاجتماعية) من 0,7 في عام 2010 إلى 0,6 بحلول عام 2030. </w:t>
      </w:r>
    </w:p>
    <w:p w14:paraId="09BAFA1D" w14:textId="64D2FAD6" w:rsidR="00803069" w:rsidRPr="000D5B62" w:rsidRDefault="00803069" w:rsidP="00706D34">
      <w:pPr>
        <w:pStyle w:val="SingleTxtGA"/>
        <w:rPr>
          <w:lang w:val="ar-SA" w:eastAsia="zh-TW" w:bidi="en-GB"/>
        </w:rPr>
      </w:pPr>
      <w:r w:rsidRPr="000D5B62">
        <w:rPr>
          <w:rtl/>
        </w:rPr>
        <w:t>29-</w:t>
      </w:r>
      <w:r w:rsidRPr="000D5B62">
        <w:rPr>
          <w:rtl/>
        </w:rPr>
        <w:tab/>
        <w:t xml:space="preserve">وانخفضت نسبة السكان الذين يعيشون في الفقر من 66,6 في المائة (31,6 مليون نسمة) في عام 2006 إلى 53,2 في المائة (27,3 مليون نسمة) في عام 2011، غير أنها زادت إلى 55,5 في المائة (30,4 مليون نسمة) في عام 2015. وزاد عدد الأشخاص الذين يعيشون في فقر مدقع في جنوب أفريقيا (أي الأشخاص الذين يعيشون تحت خط الفقر الغذائي في عام 2015 البالغ مستواه 441 رانداً للفرد في الشهر) </w:t>
      </w:r>
      <w:r w:rsidR="00136F05" w:rsidRPr="000D5B62">
        <w:rPr>
          <w:rFonts w:ascii="Simplified Arabic" w:hAnsi="Simplified Arabic"/>
          <w:rtl/>
        </w:rPr>
        <w:t>ﺒ</w:t>
      </w:r>
      <w:r w:rsidRPr="000D5B62">
        <w:rPr>
          <w:rtl/>
        </w:rPr>
        <w:t xml:space="preserve"> 2,8 مليون شخص، أي من 11 مليون شخص في عام 2011 إلى 13,8 مليون شخص في عام 2015. بيد أن هذا العدد أقل من العدد المسجل في عام 2009 عندما كان 16,7 مليون شخص يعيشون في فقر مدقع</w:t>
      </w:r>
      <w:r w:rsidRPr="000D5B62">
        <w:rPr>
          <w:rStyle w:val="FootnoteReference"/>
          <w:szCs w:val="22"/>
          <w:rtl/>
        </w:rPr>
        <w:t>(</w:t>
      </w:r>
      <w:r w:rsidRPr="000D5B62">
        <w:rPr>
          <w:rStyle w:val="FootnoteReference"/>
          <w:szCs w:val="22"/>
          <w:rtl/>
        </w:rPr>
        <w:footnoteReference w:id="23"/>
      </w:r>
      <w:r w:rsidRPr="000D5B62">
        <w:rPr>
          <w:rStyle w:val="FootnoteReference"/>
          <w:szCs w:val="22"/>
          <w:rtl/>
        </w:rPr>
        <w:t>)</w:t>
      </w:r>
      <w:r w:rsidRPr="000D5B62">
        <w:rPr>
          <w:rtl/>
        </w:rPr>
        <w:t>. أما أقل أفراد المجتمع منعة في مواجهة الفقر فهم الأطفال (17 عاماً فأقل) والإناث والأفريقيون السود وسكان الأرياف والمقيمون في إقليمي الكيب الشرقي وليمبوبو والأشخاص الذين لم ينالوا قسطاً يُذكر من التعليم أو لم يتلقوا أي تعليم على الإطلاق.</w:t>
      </w:r>
    </w:p>
    <w:p w14:paraId="6519F131" w14:textId="1F82DB7C" w:rsidR="00803069" w:rsidRPr="000D5B62" w:rsidRDefault="00803069" w:rsidP="00706D34">
      <w:pPr>
        <w:pStyle w:val="SingleTxtGA"/>
        <w:rPr>
          <w:lang w:val="ar-SA" w:eastAsia="zh-TW" w:bidi="en-GB"/>
        </w:rPr>
      </w:pPr>
      <w:r w:rsidRPr="000D5B62">
        <w:rPr>
          <w:rtl/>
        </w:rPr>
        <w:t>30-</w:t>
      </w:r>
      <w:r w:rsidRPr="000D5B62">
        <w:rPr>
          <w:rtl/>
        </w:rPr>
        <w:tab/>
        <w:t>وانخفض معامل جيني لدخل الفرد (التفاوت في الدخل) من 0,72 في المائة في عام 2006 إلى</w:t>
      </w:r>
      <w:r w:rsidR="0035195D" w:rsidRPr="000D5B62">
        <w:rPr>
          <w:rFonts w:hint="cs"/>
          <w:rtl/>
        </w:rPr>
        <w:t> </w:t>
      </w:r>
      <w:r w:rsidRPr="000D5B62">
        <w:rPr>
          <w:rtl/>
        </w:rPr>
        <w:t>0,68 في المائة في عام 2015؛ بيد أن هناك اختلافات ملحوظة بين مختلف المجموعات السكانية. وسُجل أعلى تفاوت في الدخل في صفوف الأفريقيين السود حيث بلغ معامل جيني 0,65 في عام 2015، بعد أن كان 0,64 في عام 2006. وانخفض التفاوت في الدخل بين البيض من 0,56 في عام 2006 إلى 0,51 في عام 2015. وتراجع معامل جيني في فئة السكان الملونين من 0,60 في عام 2006 إلى</w:t>
      </w:r>
      <w:r w:rsidR="0035195D" w:rsidRPr="000D5B62">
        <w:rPr>
          <w:rFonts w:hint="cs"/>
          <w:rtl/>
        </w:rPr>
        <w:t> </w:t>
      </w:r>
      <w:r w:rsidRPr="000D5B62">
        <w:rPr>
          <w:rtl/>
        </w:rPr>
        <w:t>0,58 في عام 2015. أما عن فئة السكان الهنود/الآسيويين، فرغم ما شهدته هذه الفئة من انخفاض معدل عدم المساواة في الدخل في عامي 2009 (0,53) و2011 (0,50)، بلغ معامل جيني بالنسبة لها</w:t>
      </w:r>
      <w:r w:rsidR="006F382D" w:rsidRPr="000D5B62">
        <w:rPr>
          <w:rFonts w:hint="cs"/>
          <w:rtl/>
        </w:rPr>
        <w:t> </w:t>
      </w:r>
      <w:r w:rsidRPr="000D5B62">
        <w:rPr>
          <w:rtl/>
        </w:rPr>
        <w:t>0,56 في عامي 2006 و2015.</w:t>
      </w:r>
    </w:p>
    <w:p w14:paraId="2F46C9A8" w14:textId="77777777" w:rsidR="00803069" w:rsidRPr="000D5B62" w:rsidRDefault="00803069" w:rsidP="00706D34">
      <w:pPr>
        <w:pStyle w:val="SingleTxtGA"/>
        <w:rPr>
          <w:lang w:val="ar-SA" w:eastAsia="zh-TW" w:bidi="en-GB"/>
        </w:rPr>
      </w:pPr>
      <w:r w:rsidRPr="000D5B62">
        <w:rPr>
          <w:rtl/>
        </w:rPr>
        <w:t>31-</w:t>
      </w:r>
      <w:r w:rsidRPr="000D5B62">
        <w:rPr>
          <w:rtl/>
        </w:rPr>
        <w:tab/>
        <w:t>وما زالت البطالة من أكبر التحديات التي تواجه جنوب أفريقيا ومن ثم يشكل التصدي لها جزءاً لا يتجزأ من خطة التنمية الوطنية. وترد في الجدول أدناه مقارنة بين الاستقصاءات التي أجريناها بشأن القوى العاملة:</w:t>
      </w:r>
    </w:p>
    <w:p w14:paraId="71EA1D90" w14:textId="6192A097" w:rsidR="00803069" w:rsidRPr="000D5B62" w:rsidRDefault="00803069" w:rsidP="0035195D">
      <w:pPr>
        <w:pStyle w:val="SingleTxtGA"/>
        <w:pageBreakBefore/>
        <w:rPr>
          <w:rStyle w:val="FootnoteReference"/>
          <w:rFonts w:eastAsiaTheme="minorEastAsia"/>
          <w:szCs w:val="22"/>
          <w:lang w:val="ar-SA" w:eastAsia="zh-TW" w:bidi="en-GB"/>
        </w:rPr>
      </w:pPr>
      <w:r w:rsidRPr="000D5B62">
        <w:rPr>
          <w:rtl/>
        </w:rPr>
        <w:t xml:space="preserve">الجدول 14 </w:t>
      </w:r>
      <w:r w:rsidR="00394C64" w:rsidRPr="000D5B62">
        <w:rPr>
          <w:rtl/>
        </w:rPr>
        <w:tab/>
      </w:r>
      <w:r w:rsidR="00394C64" w:rsidRPr="000D5B62">
        <w:rPr>
          <w:rtl/>
        </w:rPr>
        <w:br/>
      </w:r>
      <w:r w:rsidRPr="000D5B62">
        <w:rPr>
          <w:b/>
          <w:bCs/>
          <w:rtl/>
        </w:rPr>
        <w:t>مقارنات الاستقصاءات الفصلية للقوى العاملة (2013-2017)</w:t>
      </w:r>
      <w:r w:rsidRPr="000D5B62">
        <w:rPr>
          <w:rStyle w:val="FootnoteReference"/>
          <w:b/>
          <w:szCs w:val="22"/>
          <w:rtl/>
        </w:rPr>
        <w:t>(</w:t>
      </w:r>
      <w:r w:rsidRPr="000D5B62">
        <w:rPr>
          <w:rStyle w:val="FootnoteReference"/>
          <w:b/>
          <w:szCs w:val="22"/>
          <w:rtl/>
        </w:rPr>
        <w:footnoteReference w:id="24"/>
      </w:r>
      <w:r w:rsidRPr="000D5B62">
        <w:rPr>
          <w:rStyle w:val="FootnoteReference"/>
          <w:b/>
          <w:szCs w:val="22"/>
          <w:rtl/>
        </w:rPr>
        <w:t>)</w:t>
      </w:r>
    </w:p>
    <w:tbl>
      <w:tblPr>
        <w:bidiVisual/>
        <w:tblW w:w="7370" w:type="dxa"/>
        <w:tblInd w:w="1134" w:type="dxa"/>
        <w:tblLayout w:type="fixed"/>
        <w:tblLook w:val="04A0" w:firstRow="1" w:lastRow="0" w:firstColumn="1" w:lastColumn="0" w:noHBand="0" w:noVBand="1"/>
      </w:tblPr>
      <w:tblGrid>
        <w:gridCol w:w="2856"/>
        <w:gridCol w:w="901"/>
        <w:gridCol w:w="907"/>
        <w:gridCol w:w="902"/>
        <w:gridCol w:w="902"/>
        <w:gridCol w:w="902"/>
      </w:tblGrid>
      <w:tr w:rsidR="00803069" w:rsidRPr="000D5B62" w14:paraId="5483778B" w14:textId="77777777" w:rsidTr="00394C64">
        <w:trPr>
          <w:tblHeader/>
        </w:trPr>
        <w:tc>
          <w:tcPr>
            <w:tcW w:w="3532" w:type="dxa"/>
            <w:tcBorders>
              <w:top w:val="single" w:sz="4" w:space="0" w:color="auto"/>
              <w:bottom w:val="single" w:sz="12" w:space="0" w:color="auto"/>
            </w:tcBorders>
            <w:shd w:val="clear" w:color="auto" w:fill="auto"/>
            <w:noWrap/>
            <w:vAlign w:val="bottom"/>
            <w:hideMark/>
          </w:tcPr>
          <w:p w14:paraId="3D7D229C" w14:textId="77777777" w:rsidR="00803069" w:rsidRPr="000D5B62" w:rsidRDefault="00803069" w:rsidP="0035195D">
            <w:pPr>
              <w:spacing w:before="40" w:after="40" w:line="280" w:lineRule="exact"/>
              <w:textDirection w:val="tbRlV"/>
              <w:rPr>
                <w:rFonts w:eastAsiaTheme="minorEastAsia"/>
                <w:bCs/>
                <w:i/>
                <w:szCs w:val="20"/>
                <w:lang w:val="ar-SA" w:eastAsia="zh-TW" w:bidi="en-GB"/>
              </w:rPr>
            </w:pPr>
            <w:r w:rsidRPr="000D5B62">
              <w:rPr>
                <w:rFonts w:eastAsiaTheme="minorEastAsia"/>
                <w:i/>
                <w:iCs/>
                <w:szCs w:val="20"/>
                <w:rtl/>
              </w:rPr>
              <w:t>كلا الجنسين</w:t>
            </w:r>
          </w:p>
        </w:tc>
        <w:tc>
          <w:tcPr>
            <w:tcW w:w="1073" w:type="dxa"/>
            <w:tcBorders>
              <w:top w:val="single" w:sz="4" w:space="0" w:color="auto"/>
              <w:bottom w:val="single" w:sz="12" w:space="0" w:color="auto"/>
            </w:tcBorders>
            <w:shd w:val="clear" w:color="auto" w:fill="auto"/>
            <w:vAlign w:val="bottom"/>
            <w:hideMark/>
          </w:tcPr>
          <w:p w14:paraId="04A599E9" w14:textId="77777777" w:rsidR="00803069" w:rsidRPr="000D5B62" w:rsidRDefault="00803069" w:rsidP="0035195D">
            <w:pPr>
              <w:spacing w:before="40" w:after="40" w:line="280" w:lineRule="exact"/>
              <w:jc w:val="left"/>
              <w:textDirection w:val="tbRlV"/>
              <w:rPr>
                <w:rFonts w:eastAsiaTheme="minorEastAsia"/>
                <w:bCs/>
                <w:i/>
                <w:szCs w:val="20"/>
                <w:lang w:val="ar-SA" w:eastAsia="zh-TW" w:bidi="en-GB"/>
              </w:rPr>
            </w:pPr>
            <w:r w:rsidRPr="000D5B62">
              <w:rPr>
                <w:rFonts w:eastAsiaTheme="minorEastAsia"/>
                <w:i/>
                <w:iCs/>
                <w:szCs w:val="20"/>
                <w:rtl/>
              </w:rPr>
              <w:t>استقصاء عام 2013 بالآلاف</w:t>
            </w:r>
          </w:p>
        </w:tc>
        <w:tc>
          <w:tcPr>
            <w:tcW w:w="1080" w:type="dxa"/>
            <w:tcBorders>
              <w:top w:val="single" w:sz="4" w:space="0" w:color="auto"/>
              <w:bottom w:val="single" w:sz="12" w:space="0" w:color="auto"/>
            </w:tcBorders>
            <w:shd w:val="clear" w:color="auto" w:fill="auto"/>
            <w:vAlign w:val="bottom"/>
            <w:hideMark/>
          </w:tcPr>
          <w:p w14:paraId="600E2DF3" w14:textId="77777777" w:rsidR="00803069" w:rsidRPr="000D5B62" w:rsidRDefault="00803069" w:rsidP="0035195D">
            <w:pPr>
              <w:spacing w:before="40" w:after="40" w:line="280" w:lineRule="exact"/>
              <w:jc w:val="left"/>
              <w:textDirection w:val="tbRlV"/>
              <w:rPr>
                <w:rFonts w:eastAsiaTheme="minorEastAsia"/>
                <w:bCs/>
                <w:i/>
                <w:szCs w:val="20"/>
                <w:lang w:val="ar-SA" w:eastAsia="zh-TW" w:bidi="en-GB"/>
              </w:rPr>
            </w:pPr>
            <w:r w:rsidRPr="000D5B62">
              <w:rPr>
                <w:rFonts w:eastAsiaTheme="minorEastAsia"/>
                <w:i/>
                <w:iCs/>
                <w:szCs w:val="20"/>
                <w:rtl/>
              </w:rPr>
              <w:t>استقصاء عام 2014 بالآلاف</w:t>
            </w:r>
          </w:p>
        </w:tc>
        <w:tc>
          <w:tcPr>
            <w:tcW w:w="1073" w:type="dxa"/>
            <w:tcBorders>
              <w:top w:val="single" w:sz="4" w:space="0" w:color="auto"/>
              <w:bottom w:val="single" w:sz="12" w:space="0" w:color="auto"/>
            </w:tcBorders>
            <w:shd w:val="clear" w:color="auto" w:fill="auto"/>
            <w:vAlign w:val="bottom"/>
            <w:hideMark/>
          </w:tcPr>
          <w:p w14:paraId="1B05A6DC" w14:textId="77777777" w:rsidR="00803069" w:rsidRPr="000D5B62" w:rsidRDefault="00803069" w:rsidP="0035195D">
            <w:pPr>
              <w:spacing w:before="40" w:after="40" w:line="280" w:lineRule="exact"/>
              <w:jc w:val="left"/>
              <w:textDirection w:val="tbRlV"/>
              <w:rPr>
                <w:rFonts w:eastAsiaTheme="minorEastAsia"/>
                <w:bCs/>
                <w:i/>
                <w:szCs w:val="20"/>
                <w:lang w:val="ar-SA" w:eastAsia="zh-TW" w:bidi="en-GB"/>
              </w:rPr>
            </w:pPr>
            <w:r w:rsidRPr="000D5B62">
              <w:rPr>
                <w:rFonts w:eastAsiaTheme="minorEastAsia"/>
                <w:i/>
                <w:iCs/>
                <w:szCs w:val="20"/>
                <w:rtl/>
              </w:rPr>
              <w:t>استقصاء عام 2015 بالآلاف</w:t>
            </w:r>
          </w:p>
        </w:tc>
        <w:tc>
          <w:tcPr>
            <w:tcW w:w="1073" w:type="dxa"/>
            <w:tcBorders>
              <w:top w:val="single" w:sz="4" w:space="0" w:color="auto"/>
              <w:bottom w:val="single" w:sz="12" w:space="0" w:color="auto"/>
            </w:tcBorders>
            <w:shd w:val="clear" w:color="auto" w:fill="auto"/>
            <w:vAlign w:val="bottom"/>
            <w:hideMark/>
          </w:tcPr>
          <w:p w14:paraId="42DF08C2" w14:textId="77777777" w:rsidR="00803069" w:rsidRPr="000D5B62" w:rsidRDefault="00803069" w:rsidP="0035195D">
            <w:pPr>
              <w:spacing w:before="40" w:after="40" w:line="280" w:lineRule="exact"/>
              <w:jc w:val="left"/>
              <w:textDirection w:val="tbRlV"/>
              <w:rPr>
                <w:rFonts w:eastAsiaTheme="minorEastAsia"/>
                <w:bCs/>
                <w:i/>
                <w:szCs w:val="20"/>
                <w:lang w:val="ar-SA" w:eastAsia="zh-TW" w:bidi="en-GB"/>
              </w:rPr>
            </w:pPr>
            <w:r w:rsidRPr="000D5B62">
              <w:rPr>
                <w:rFonts w:eastAsiaTheme="minorEastAsia"/>
                <w:i/>
                <w:iCs/>
                <w:szCs w:val="20"/>
                <w:rtl/>
              </w:rPr>
              <w:t>استقصاء عام 2016 بالآلاف</w:t>
            </w:r>
          </w:p>
        </w:tc>
        <w:tc>
          <w:tcPr>
            <w:tcW w:w="1073" w:type="dxa"/>
            <w:tcBorders>
              <w:top w:val="single" w:sz="4" w:space="0" w:color="auto"/>
              <w:bottom w:val="single" w:sz="12" w:space="0" w:color="auto"/>
            </w:tcBorders>
            <w:shd w:val="clear" w:color="auto" w:fill="auto"/>
            <w:vAlign w:val="bottom"/>
            <w:hideMark/>
          </w:tcPr>
          <w:p w14:paraId="015FD538" w14:textId="77777777" w:rsidR="00803069" w:rsidRPr="000D5B62" w:rsidRDefault="00803069" w:rsidP="0035195D">
            <w:pPr>
              <w:spacing w:before="40" w:after="40" w:line="280" w:lineRule="exact"/>
              <w:jc w:val="left"/>
              <w:textDirection w:val="tbRlV"/>
              <w:rPr>
                <w:rFonts w:eastAsiaTheme="minorEastAsia"/>
                <w:bCs/>
                <w:i/>
                <w:szCs w:val="20"/>
                <w:lang w:val="ar-SA" w:eastAsia="zh-TW" w:bidi="en-GB"/>
              </w:rPr>
            </w:pPr>
            <w:r w:rsidRPr="000D5B62">
              <w:rPr>
                <w:rFonts w:eastAsiaTheme="minorEastAsia"/>
                <w:i/>
                <w:iCs/>
                <w:szCs w:val="20"/>
                <w:rtl/>
              </w:rPr>
              <w:t>استقصاء عام 2017 بالآلاف</w:t>
            </w:r>
          </w:p>
        </w:tc>
      </w:tr>
      <w:tr w:rsidR="00803069" w:rsidRPr="000D5B62" w14:paraId="2F1565A0" w14:textId="77777777" w:rsidTr="00D8475F">
        <w:tc>
          <w:tcPr>
            <w:tcW w:w="3532" w:type="dxa"/>
            <w:tcBorders>
              <w:top w:val="single" w:sz="12" w:space="0" w:color="auto"/>
            </w:tcBorders>
            <w:shd w:val="clear" w:color="auto" w:fill="auto"/>
            <w:noWrap/>
            <w:hideMark/>
          </w:tcPr>
          <w:p w14:paraId="528E0429" w14:textId="77777777" w:rsidR="00803069" w:rsidRPr="000D5B62" w:rsidRDefault="00803069" w:rsidP="00136F05">
            <w:pPr>
              <w:spacing w:before="40" w:after="40" w:line="300" w:lineRule="exact"/>
              <w:ind w:right="113"/>
              <w:textDirection w:val="tbRlV"/>
              <w:rPr>
                <w:rFonts w:eastAsiaTheme="minorEastAsia"/>
                <w:b/>
                <w:bCs/>
                <w:szCs w:val="20"/>
                <w:lang w:val="ar-SA" w:eastAsia="zh-TW" w:bidi="en-GB"/>
              </w:rPr>
            </w:pPr>
            <w:r w:rsidRPr="000D5B62">
              <w:rPr>
                <w:rFonts w:eastAsiaTheme="minorEastAsia"/>
                <w:b/>
                <w:bCs/>
                <w:szCs w:val="20"/>
                <w:rtl/>
              </w:rPr>
              <w:t>السكان ما بين 15 و64 عاماً من العمر</w:t>
            </w:r>
          </w:p>
        </w:tc>
        <w:tc>
          <w:tcPr>
            <w:tcW w:w="1073" w:type="dxa"/>
            <w:tcBorders>
              <w:top w:val="single" w:sz="12" w:space="0" w:color="auto"/>
            </w:tcBorders>
            <w:shd w:val="clear" w:color="auto" w:fill="auto"/>
            <w:noWrap/>
            <w:hideMark/>
          </w:tcPr>
          <w:p w14:paraId="2D427715"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790 34</w:t>
            </w:r>
          </w:p>
        </w:tc>
        <w:tc>
          <w:tcPr>
            <w:tcW w:w="1080" w:type="dxa"/>
            <w:tcBorders>
              <w:top w:val="single" w:sz="12" w:space="0" w:color="auto"/>
            </w:tcBorders>
            <w:shd w:val="clear" w:color="auto" w:fill="auto"/>
            <w:noWrap/>
            <w:hideMark/>
          </w:tcPr>
          <w:p w14:paraId="69DF2077"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410 35</w:t>
            </w:r>
          </w:p>
        </w:tc>
        <w:tc>
          <w:tcPr>
            <w:tcW w:w="1073" w:type="dxa"/>
            <w:tcBorders>
              <w:top w:val="single" w:sz="12" w:space="0" w:color="auto"/>
            </w:tcBorders>
            <w:shd w:val="clear" w:color="auto" w:fill="auto"/>
            <w:noWrap/>
            <w:hideMark/>
          </w:tcPr>
          <w:p w14:paraId="2FED6C25"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035 36</w:t>
            </w:r>
          </w:p>
        </w:tc>
        <w:tc>
          <w:tcPr>
            <w:tcW w:w="1073" w:type="dxa"/>
            <w:tcBorders>
              <w:top w:val="single" w:sz="12" w:space="0" w:color="auto"/>
            </w:tcBorders>
            <w:shd w:val="clear" w:color="auto" w:fill="auto"/>
            <w:noWrap/>
            <w:hideMark/>
          </w:tcPr>
          <w:p w14:paraId="425A8508"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669 36</w:t>
            </w:r>
          </w:p>
        </w:tc>
        <w:tc>
          <w:tcPr>
            <w:tcW w:w="1073" w:type="dxa"/>
            <w:tcBorders>
              <w:top w:val="single" w:sz="12" w:space="0" w:color="auto"/>
            </w:tcBorders>
            <w:shd w:val="clear" w:color="auto" w:fill="auto"/>
            <w:noWrap/>
            <w:hideMark/>
          </w:tcPr>
          <w:p w14:paraId="25AE6996"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294 37</w:t>
            </w:r>
          </w:p>
        </w:tc>
      </w:tr>
      <w:tr w:rsidR="00803069" w:rsidRPr="000D5B62" w14:paraId="0189B59B" w14:textId="77777777" w:rsidTr="00D8475F">
        <w:tc>
          <w:tcPr>
            <w:tcW w:w="3532" w:type="dxa"/>
            <w:shd w:val="clear" w:color="auto" w:fill="auto"/>
            <w:noWrap/>
            <w:hideMark/>
          </w:tcPr>
          <w:p w14:paraId="62E88590" w14:textId="77777777" w:rsidR="00803069" w:rsidRPr="000D5B62" w:rsidRDefault="00803069" w:rsidP="00136F05">
            <w:pPr>
              <w:spacing w:before="40" w:after="40" w:line="300" w:lineRule="exact"/>
              <w:ind w:right="113"/>
              <w:textDirection w:val="tbRlV"/>
              <w:rPr>
                <w:rFonts w:eastAsiaTheme="minorEastAsia"/>
                <w:b/>
                <w:szCs w:val="20"/>
                <w:lang w:val="ar-SA" w:eastAsia="zh-TW" w:bidi="en-GB"/>
              </w:rPr>
            </w:pPr>
            <w:r w:rsidRPr="000D5B62">
              <w:rPr>
                <w:rFonts w:eastAsiaTheme="minorEastAsia"/>
                <w:b/>
                <w:bCs/>
                <w:szCs w:val="20"/>
                <w:rtl/>
              </w:rPr>
              <w:t>القوى العاملة</w:t>
            </w:r>
          </w:p>
        </w:tc>
        <w:tc>
          <w:tcPr>
            <w:tcW w:w="1073" w:type="dxa"/>
            <w:shd w:val="clear" w:color="auto" w:fill="auto"/>
            <w:noWrap/>
            <w:hideMark/>
          </w:tcPr>
          <w:p w14:paraId="0D58C85F"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752 19</w:t>
            </w:r>
          </w:p>
        </w:tc>
        <w:tc>
          <w:tcPr>
            <w:tcW w:w="1080" w:type="dxa"/>
            <w:shd w:val="clear" w:color="auto" w:fill="auto"/>
            <w:noWrap/>
            <w:hideMark/>
          </w:tcPr>
          <w:p w14:paraId="220B9CEF"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216 20</w:t>
            </w:r>
          </w:p>
        </w:tc>
        <w:tc>
          <w:tcPr>
            <w:tcW w:w="1073" w:type="dxa"/>
            <w:shd w:val="clear" w:color="auto" w:fill="auto"/>
            <w:noWrap/>
            <w:hideMark/>
          </w:tcPr>
          <w:p w14:paraId="32904E0C"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085 21</w:t>
            </w:r>
          </w:p>
        </w:tc>
        <w:tc>
          <w:tcPr>
            <w:tcW w:w="1073" w:type="dxa"/>
            <w:shd w:val="clear" w:color="auto" w:fill="auto"/>
            <w:noWrap/>
            <w:hideMark/>
          </w:tcPr>
          <w:p w14:paraId="650EF84D"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533 21</w:t>
            </w:r>
          </w:p>
        </w:tc>
        <w:tc>
          <w:tcPr>
            <w:tcW w:w="1073" w:type="dxa"/>
            <w:shd w:val="clear" w:color="auto" w:fill="auto"/>
            <w:noWrap/>
            <w:hideMark/>
          </w:tcPr>
          <w:p w14:paraId="0A5888ED" w14:textId="77777777" w:rsidR="00803069" w:rsidRPr="000D5B62" w:rsidRDefault="00803069" w:rsidP="00136F05">
            <w:pPr>
              <w:spacing w:before="40" w:after="40" w:line="300" w:lineRule="exact"/>
              <w:jc w:val="left"/>
              <w:textDirection w:val="tbRlV"/>
              <w:rPr>
                <w:rFonts w:eastAsiaTheme="minorEastAsia"/>
                <w:b/>
                <w:bCs/>
                <w:szCs w:val="20"/>
                <w:lang w:val="ar-SA" w:eastAsia="zh-TW" w:bidi="en-GB"/>
              </w:rPr>
            </w:pPr>
            <w:r w:rsidRPr="000D5B62">
              <w:rPr>
                <w:rFonts w:eastAsiaTheme="minorEastAsia"/>
                <w:b/>
                <w:bCs/>
                <w:szCs w:val="20"/>
                <w:rtl/>
              </w:rPr>
              <w:t>289 22</w:t>
            </w:r>
          </w:p>
        </w:tc>
      </w:tr>
      <w:tr w:rsidR="00803069" w:rsidRPr="000D5B62" w14:paraId="32C433E6" w14:textId="77777777" w:rsidTr="00D8475F">
        <w:tc>
          <w:tcPr>
            <w:tcW w:w="3532" w:type="dxa"/>
            <w:shd w:val="clear" w:color="auto" w:fill="auto"/>
            <w:noWrap/>
            <w:hideMark/>
          </w:tcPr>
          <w:p w14:paraId="1B08B60E" w14:textId="77777777" w:rsidR="00803069" w:rsidRPr="000D5B62" w:rsidRDefault="00803069" w:rsidP="00136F05">
            <w:pPr>
              <w:spacing w:before="40" w:after="40" w:line="300" w:lineRule="exact"/>
              <w:ind w:right="113"/>
              <w:textDirection w:val="tbRlV"/>
              <w:rPr>
                <w:rFonts w:eastAsiaTheme="minorEastAsia"/>
                <w:szCs w:val="20"/>
                <w:lang w:eastAsia="zh-TW" w:bidi="en-GB"/>
              </w:rPr>
            </w:pPr>
            <w:r w:rsidRPr="000D5B62">
              <w:rPr>
                <w:rFonts w:eastAsiaTheme="minorEastAsia"/>
                <w:szCs w:val="20"/>
                <w:rtl/>
              </w:rPr>
              <w:t>المستخدَمون</w:t>
            </w:r>
          </w:p>
        </w:tc>
        <w:tc>
          <w:tcPr>
            <w:tcW w:w="1073" w:type="dxa"/>
            <w:shd w:val="clear" w:color="auto" w:fill="auto"/>
            <w:noWrap/>
            <w:hideMark/>
          </w:tcPr>
          <w:p w14:paraId="383CFA26"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866 14</w:t>
            </w:r>
          </w:p>
        </w:tc>
        <w:tc>
          <w:tcPr>
            <w:tcW w:w="1080" w:type="dxa"/>
            <w:shd w:val="clear" w:color="auto" w:fill="auto"/>
            <w:noWrap/>
            <w:hideMark/>
          </w:tcPr>
          <w:p w14:paraId="1655589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146 15</w:t>
            </w:r>
          </w:p>
        </w:tc>
        <w:tc>
          <w:tcPr>
            <w:tcW w:w="1073" w:type="dxa"/>
            <w:shd w:val="clear" w:color="auto" w:fill="auto"/>
            <w:noWrap/>
            <w:hideMark/>
          </w:tcPr>
          <w:p w14:paraId="63344D4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741 15</w:t>
            </w:r>
          </w:p>
        </w:tc>
        <w:tc>
          <w:tcPr>
            <w:tcW w:w="1073" w:type="dxa"/>
            <w:shd w:val="clear" w:color="auto" w:fill="auto"/>
            <w:noWrap/>
            <w:hideMark/>
          </w:tcPr>
          <w:p w14:paraId="688688D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780 15</w:t>
            </w:r>
          </w:p>
        </w:tc>
        <w:tc>
          <w:tcPr>
            <w:tcW w:w="1073" w:type="dxa"/>
            <w:shd w:val="clear" w:color="auto" w:fill="auto"/>
            <w:noWrap/>
            <w:hideMark/>
          </w:tcPr>
          <w:p w14:paraId="0C3D9D32"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169 16</w:t>
            </w:r>
          </w:p>
        </w:tc>
      </w:tr>
      <w:tr w:rsidR="00803069" w:rsidRPr="000D5B62" w14:paraId="32E537AC" w14:textId="77777777" w:rsidTr="00D8475F">
        <w:tc>
          <w:tcPr>
            <w:tcW w:w="3532" w:type="dxa"/>
            <w:shd w:val="clear" w:color="auto" w:fill="auto"/>
            <w:noWrap/>
            <w:hideMark/>
          </w:tcPr>
          <w:p w14:paraId="2C07C2E4"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القطاع النظامي (غير الزراعي)</w:t>
            </w:r>
          </w:p>
        </w:tc>
        <w:tc>
          <w:tcPr>
            <w:tcW w:w="1073" w:type="dxa"/>
            <w:shd w:val="clear" w:color="auto" w:fill="auto"/>
            <w:noWrap/>
            <w:hideMark/>
          </w:tcPr>
          <w:p w14:paraId="40CC717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524 10</w:t>
            </w:r>
          </w:p>
        </w:tc>
        <w:tc>
          <w:tcPr>
            <w:tcW w:w="1080" w:type="dxa"/>
            <w:shd w:val="clear" w:color="auto" w:fill="auto"/>
            <w:noWrap/>
            <w:hideMark/>
          </w:tcPr>
          <w:p w14:paraId="7E2A4E8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822 10</w:t>
            </w:r>
          </w:p>
        </w:tc>
        <w:tc>
          <w:tcPr>
            <w:tcW w:w="1073" w:type="dxa"/>
            <w:shd w:val="clear" w:color="auto" w:fill="auto"/>
            <w:noWrap/>
            <w:hideMark/>
          </w:tcPr>
          <w:p w14:paraId="38147361"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935 10</w:t>
            </w:r>
          </w:p>
        </w:tc>
        <w:tc>
          <w:tcPr>
            <w:tcW w:w="1073" w:type="dxa"/>
            <w:shd w:val="clear" w:color="auto" w:fill="auto"/>
            <w:noWrap/>
            <w:hideMark/>
          </w:tcPr>
          <w:p w14:paraId="039B295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021 11</w:t>
            </w:r>
          </w:p>
        </w:tc>
        <w:tc>
          <w:tcPr>
            <w:tcW w:w="1073" w:type="dxa"/>
            <w:shd w:val="clear" w:color="auto" w:fill="auto"/>
            <w:noWrap/>
            <w:hideMark/>
          </w:tcPr>
          <w:p w14:paraId="728D543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288 11</w:t>
            </w:r>
          </w:p>
        </w:tc>
      </w:tr>
      <w:tr w:rsidR="00803069" w:rsidRPr="000D5B62" w14:paraId="783883D7" w14:textId="77777777" w:rsidTr="00D8475F">
        <w:tc>
          <w:tcPr>
            <w:tcW w:w="3532" w:type="dxa"/>
            <w:shd w:val="clear" w:color="auto" w:fill="auto"/>
            <w:noWrap/>
            <w:hideMark/>
          </w:tcPr>
          <w:p w14:paraId="1E958C0A"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القطاع غير النظامي (غير الزراعي)</w:t>
            </w:r>
          </w:p>
        </w:tc>
        <w:tc>
          <w:tcPr>
            <w:tcW w:w="1073" w:type="dxa"/>
            <w:shd w:val="clear" w:color="auto" w:fill="auto"/>
            <w:noWrap/>
            <w:hideMark/>
          </w:tcPr>
          <w:p w14:paraId="6A2A2B34"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366 2</w:t>
            </w:r>
          </w:p>
        </w:tc>
        <w:tc>
          <w:tcPr>
            <w:tcW w:w="1080" w:type="dxa"/>
            <w:shd w:val="clear" w:color="auto" w:fill="auto"/>
            <w:noWrap/>
            <w:hideMark/>
          </w:tcPr>
          <w:p w14:paraId="6EC86658"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393 2</w:t>
            </w:r>
          </w:p>
        </w:tc>
        <w:tc>
          <w:tcPr>
            <w:tcW w:w="1073" w:type="dxa"/>
            <w:shd w:val="clear" w:color="auto" w:fill="auto"/>
            <w:noWrap/>
            <w:hideMark/>
          </w:tcPr>
          <w:p w14:paraId="190B32D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637 2</w:t>
            </w:r>
          </w:p>
        </w:tc>
        <w:tc>
          <w:tcPr>
            <w:tcW w:w="1073" w:type="dxa"/>
            <w:shd w:val="clear" w:color="auto" w:fill="auto"/>
            <w:noWrap/>
            <w:hideMark/>
          </w:tcPr>
          <w:p w14:paraId="5DAAE32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602 2</w:t>
            </w:r>
          </w:p>
        </w:tc>
        <w:tc>
          <w:tcPr>
            <w:tcW w:w="1073" w:type="dxa"/>
            <w:shd w:val="clear" w:color="auto" w:fill="auto"/>
            <w:noWrap/>
            <w:hideMark/>
          </w:tcPr>
          <w:p w14:paraId="7FDA63E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735 2</w:t>
            </w:r>
          </w:p>
        </w:tc>
      </w:tr>
      <w:tr w:rsidR="00803069" w:rsidRPr="000D5B62" w14:paraId="3EDB7BE8" w14:textId="77777777" w:rsidTr="00D8475F">
        <w:tc>
          <w:tcPr>
            <w:tcW w:w="3532" w:type="dxa"/>
            <w:shd w:val="clear" w:color="auto" w:fill="auto"/>
            <w:noWrap/>
            <w:hideMark/>
          </w:tcPr>
          <w:p w14:paraId="2B26BBFA" w14:textId="77777777" w:rsidR="00803069" w:rsidRPr="000D5B62" w:rsidRDefault="00803069" w:rsidP="00136F05">
            <w:pPr>
              <w:spacing w:before="40" w:after="40" w:line="300" w:lineRule="exact"/>
              <w:ind w:right="113"/>
              <w:textDirection w:val="tbRlV"/>
              <w:rPr>
                <w:rFonts w:eastAsiaTheme="minorEastAsia"/>
                <w:szCs w:val="20"/>
                <w:lang w:eastAsia="zh-TW" w:bidi="en-GB"/>
              </w:rPr>
            </w:pPr>
            <w:r w:rsidRPr="000D5B62">
              <w:rPr>
                <w:rFonts w:eastAsiaTheme="minorEastAsia"/>
                <w:szCs w:val="20"/>
                <w:rtl/>
              </w:rPr>
              <w:t>الزراعة</w:t>
            </w:r>
          </w:p>
        </w:tc>
        <w:tc>
          <w:tcPr>
            <w:tcW w:w="1073" w:type="dxa"/>
            <w:shd w:val="clear" w:color="auto" w:fill="auto"/>
            <w:noWrap/>
            <w:hideMark/>
          </w:tcPr>
          <w:p w14:paraId="08063CD1"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740</w:t>
            </w:r>
          </w:p>
        </w:tc>
        <w:tc>
          <w:tcPr>
            <w:tcW w:w="1080" w:type="dxa"/>
            <w:shd w:val="clear" w:color="auto" w:fill="auto"/>
            <w:noWrap/>
            <w:hideMark/>
          </w:tcPr>
          <w:p w14:paraId="7257CCF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702</w:t>
            </w:r>
          </w:p>
        </w:tc>
        <w:tc>
          <w:tcPr>
            <w:tcW w:w="1073" w:type="dxa"/>
            <w:shd w:val="clear" w:color="auto" w:fill="auto"/>
            <w:noWrap/>
            <w:hideMark/>
          </w:tcPr>
          <w:p w14:paraId="2D5F95B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880</w:t>
            </w:r>
          </w:p>
        </w:tc>
        <w:tc>
          <w:tcPr>
            <w:tcW w:w="1073" w:type="dxa"/>
            <w:shd w:val="clear" w:color="auto" w:fill="auto"/>
            <w:noWrap/>
            <w:hideMark/>
          </w:tcPr>
          <w:p w14:paraId="46FF9A4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874</w:t>
            </w:r>
          </w:p>
        </w:tc>
        <w:tc>
          <w:tcPr>
            <w:tcW w:w="1073" w:type="dxa"/>
            <w:shd w:val="clear" w:color="auto" w:fill="auto"/>
            <w:noWrap/>
            <w:hideMark/>
          </w:tcPr>
          <w:p w14:paraId="56CE2E8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843</w:t>
            </w:r>
          </w:p>
        </w:tc>
      </w:tr>
      <w:tr w:rsidR="00803069" w:rsidRPr="000D5B62" w14:paraId="717C134A" w14:textId="77777777" w:rsidTr="00D8475F">
        <w:tc>
          <w:tcPr>
            <w:tcW w:w="3532" w:type="dxa"/>
            <w:shd w:val="clear" w:color="auto" w:fill="auto"/>
            <w:noWrap/>
            <w:hideMark/>
          </w:tcPr>
          <w:p w14:paraId="052D5A16"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الأسر المعيشية الخاصة</w:t>
            </w:r>
          </w:p>
        </w:tc>
        <w:tc>
          <w:tcPr>
            <w:tcW w:w="1073" w:type="dxa"/>
            <w:shd w:val="clear" w:color="auto" w:fill="auto"/>
            <w:noWrap/>
            <w:hideMark/>
          </w:tcPr>
          <w:p w14:paraId="37E5B99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236 1</w:t>
            </w:r>
          </w:p>
        </w:tc>
        <w:tc>
          <w:tcPr>
            <w:tcW w:w="1080" w:type="dxa"/>
            <w:shd w:val="clear" w:color="auto" w:fill="auto"/>
            <w:noWrap/>
            <w:hideMark/>
          </w:tcPr>
          <w:p w14:paraId="030C8C4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230 1</w:t>
            </w:r>
          </w:p>
        </w:tc>
        <w:tc>
          <w:tcPr>
            <w:tcW w:w="1073" w:type="dxa"/>
            <w:shd w:val="clear" w:color="auto" w:fill="auto"/>
            <w:noWrap/>
            <w:hideMark/>
          </w:tcPr>
          <w:p w14:paraId="136F284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288 1</w:t>
            </w:r>
          </w:p>
        </w:tc>
        <w:tc>
          <w:tcPr>
            <w:tcW w:w="1073" w:type="dxa"/>
            <w:shd w:val="clear" w:color="auto" w:fill="auto"/>
            <w:noWrap/>
            <w:hideMark/>
          </w:tcPr>
          <w:p w14:paraId="2A6948D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283 1</w:t>
            </w:r>
          </w:p>
        </w:tc>
        <w:tc>
          <w:tcPr>
            <w:tcW w:w="1073" w:type="dxa"/>
            <w:shd w:val="clear" w:color="auto" w:fill="auto"/>
            <w:noWrap/>
            <w:hideMark/>
          </w:tcPr>
          <w:p w14:paraId="241C6C86"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303 1</w:t>
            </w:r>
          </w:p>
        </w:tc>
      </w:tr>
      <w:tr w:rsidR="00803069" w:rsidRPr="000D5B62" w14:paraId="24C34F28" w14:textId="77777777" w:rsidTr="00D8475F">
        <w:tc>
          <w:tcPr>
            <w:tcW w:w="3532" w:type="dxa"/>
            <w:shd w:val="clear" w:color="auto" w:fill="auto"/>
            <w:noWrap/>
            <w:hideMark/>
          </w:tcPr>
          <w:p w14:paraId="3FFCEA14"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العاطلون</w:t>
            </w:r>
          </w:p>
        </w:tc>
        <w:tc>
          <w:tcPr>
            <w:tcW w:w="1073" w:type="dxa"/>
            <w:shd w:val="clear" w:color="auto" w:fill="auto"/>
            <w:noWrap/>
            <w:hideMark/>
          </w:tcPr>
          <w:p w14:paraId="64ACE631"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886 4</w:t>
            </w:r>
          </w:p>
        </w:tc>
        <w:tc>
          <w:tcPr>
            <w:tcW w:w="1080" w:type="dxa"/>
            <w:shd w:val="clear" w:color="auto" w:fill="auto"/>
            <w:noWrap/>
            <w:hideMark/>
          </w:tcPr>
          <w:p w14:paraId="5807D95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070 5</w:t>
            </w:r>
          </w:p>
        </w:tc>
        <w:tc>
          <w:tcPr>
            <w:tcW w:w="1073" w:type="dxa"/>
            <w:shd w:val="clear" w:color="auto" w:fill="auto"/>
            <w:noWrap/>
            <w:hideMark/>
          </w:tcPr>
          <w:p w14:paraId="4029BBE4"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344 5</w:t>
            </w:r>
          </w:p>
        </w:tc>
        <w:tc>
          <w:tcPr>
            <w:tcW w:w="1073" w:type="dxa"/>
            <w:shd w:val="clear" w:color="auto" w:fill="auto"/>
            <w:noWrap/>
            <w:hideMark/>
          </w:tcPr>
          <w:p w14:paraId="1C19F924"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753 5</w:t>
            </w:r>
          </w:p>
        </w:tc>
        <w:tc>
          <w:tcPr>
            <w:tcW w:w="1073" w:type="dxa"/>
            <w:shd w:val="clear" w:color="auto" w:fill="auto"/>
            <w:noWrap/>
            <w:hideMark/>
          </w:tcPr>
          <w:p w14:paraId="2B778F5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120 6</w:t>
            </w:r>
          </w:p>
        </w:tc>
      </w:tr>
      <w:tr w:rsidR="00803069" w:rsidRPr="000D5B62" w14:paraId="54C105BF" w14:textId="77777777" w:rsidTr="00D8475F">
        <w:tc>
          <w:tcPr>
            <w:tcW w:w="3532" w:type="dxa"/>
            <w:shd w:val="clear" w:color="auto" w:fill="auto"/>
            <w:noWrap/>
            <w:hideMark/>
          </w:tcPr>
          <w:p w14:paraId="73C074BD"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غير الناشطين اقتصادياً</w:t>
            </w:r>
          </w:p>
        </w:tc>
        <w:tc>
          <w:tcPr>
            <w:tcW w:w="1073" w:type="dxa"/>
            <w:shd w:val="clear" w:color="auto" w:fill="auto"/>
            <w:noWrap/>
            <w:hideMark/>
          </w:tcPr>
          <w:p w14:paraId="394B743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038 15</w:t>
            </w:r>
          </w:p>
        </w:tc>
        <w:tc>
          <w:tcPr>
            <w:tcW w:w="1080" w:type="dxa"/>
            <w:shd w:val="clear" w:color="auto" w:fill="auto"/>
            <w:noWrap/>
            <w:hideMark/>
          </w:tcPr>
          <w:p w14:paraId="1EB7327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194 15</w:t>
            </w:r>
          </w:p>
        </w:tc>
        <w:tc>
          <w:tcPr>
            <w:tcW w:w="1073" w:type="dxa"/>
            <w:shd w:val="clear" w:color="auto" w:fill="auto"/>
            <w:noWrap/>
            <w:hideMark/>
          </w:tcPr>
          <w:p w14:paraId="75188F38"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950 14</w:t>
            </w:r>
          </w:p>
        </w:tc>
        <w:tc>
          <w:tcPr>
            <w:tcW w:w="1073" w:type="dxa"/>
            <w:shd w:val="clear" w:color="auto" w:fill="auto"/>
            <w:noWrap/>
            <w:hideMark/>
          </w:tcPr>
          <w:p w14:paraId="4A3B3ED2"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136 15</w:t>
            </w:r>
          </w:p>
        </w:tc>
        <w:tc>
          <w:tcPr>
            <w:tcW w:w="1073" w:type="dxa"/>
            <w:shd w:val="clear" w:color="auto" w:fill="auto"/>
            <w:noWrap/>
            <w:hideMark/>
          </w:tcPr>
          <w:p w14:paraId="5DE5D248"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005 15</w:t>
            </w:r>
          </w:p>
        </w:tc>
      </w:tr>
      <w:tr w:rsidR="00803069" w:rsidRPr="000D5B62" w14:paraId="201E84F3" w14:textId="77777777" w:rsidTr="00D8475F">
        <w:tc>
          <w:tcPr>
            <w:tcW w:w="3532" w:type="dxa"/>
            <w:shd w:val="clear" w:color="auto" w:fill="auto"/>
            <w:noWrap/>
            <w:hideMark/>
          </w:tcPr>
          <w:p w14:paraId="0C065851"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الباحثون عن عمل المحبطون</w:t>
            </w:r>
          </w:p>
        </w:tc>
        <w:tc>
          <w:tcPr>
            <w:tcW w:w="1073" w:type="dxa"/>
            <w:shd w:val="clear" w:color="auto" w:fill="auto"/>
            <w:noWrap/>
            <w:hideMark/>
          </w:tcPr>
          <w:p w14:paraId="6A76CC6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331 2</w:t>
            </w:r>
          </w:p>
        </w:tc>
        <w:tc>
          <w:tcPr>
            <w:tcW w:w="1080" w:type="dxa"/>
            <w:shd w:val="clear" w:color="auto" w:fill="auto"/>
            <w:noWrap/>
            <w:hideMark/>
          </w:tcPr>
          <w:p w14:paraId="6A8D69D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422 2</w:t>
            </w:r>
          </w:p>
        </w:tc>
        <w:tc>
          <w:tcPr>
            <w:tcW w:w="1073" w:type="dxa"/>
            <w:shd w:val="clear" w:color="auto" w:fill="auto"/>
            <w:noWrap/>
            <w:hideMark/>
          </w:tcPr>
          <w:p w14:paraId="4E22E4D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334 2</w:t>
            </w:r>
          </w:p>
        </w:tc>
        <w:tc>
          <w:tcPr>
            <w:tcW w:w="1073" w:type="dxa"/>
            <w:shd w:val="clear" w:color="auto" w:fill="auto"/>
            <w:noWrap/>
            <w:hideMark/>
          </w:tcPr>
          <w:p w14:paraId="2BB2676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386 2</w:t>
            </w:r>
          </w:p>
        </w:tc>
        <w:tc>
          <w:tcPr>
            <w:tcW w:w="1073" w:type="dxa"/>
            <w:shd w:val="clear" w:color="auto" w:fill="auto"/>
            <w:noWrap/>
            <w:hideMark/>
          </w:tcPr>
          <w:p w14:paraId="7636671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403 2</w:t>
            </w:r>
          </w:p>
        </w:tc>
      </w:tr>
      <w:tr w:rsidR="00803069" w:rsidRPr="000D5B62" w14:paraId="64224180" w14:textId="77777777" w:rsidTr="00D8475F">
        <w:tc>
          <w:tcPr>
            <w:tcW w:w="3532" w:type="dxa"/>
            <w:shd w:val="clear" w:color="auto" w:fill="auto"/>
            <w:noWrap/>
            <w:hideMark/>
          </w:tcPr>
          <w:p w14:paraId="4DDF27C8" w14:textId="7A2AF1F8"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فئات أخرى (غير ناشطين اقتصاديا</w:t>
            </w:r>
            <w:r w:rsidR="006F382D" w:rsidRPr="000D5B62">
              <w:rPr>
                <w:rFonts w:eastAsiaTheme="minorEastAsia" w:hint="cs"/>
                <w:szCs w:val="20"/>
                <w:rtl/>
              </w:rPr>
              <w:t>ً</w:t>
            </w:r>
            <w:r w:rsidRPr="000D5B62">
              <w:rPr>
                <w:rFonts w:eastAsiaTheme="minorEastAsia"/>
                <w:szCs w:val="20"/>
                <w:rtl/>
              </w:rPr>
              <w:t>)</w:t>
            </w:r>
          </w:p>
        </w:tc>
        <w:tc>
          <w:tcPr>
            <w:tcW w:w="1073" w:type="dxa"/>
            <w:shd w:val="clear" w:color="auto" w:fill="auto"/>
            <w:noWrap/>
            <w:hideMark/>
          </w:tcPr>
          <w:p w14:paraId="050604C4"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708 12</w:t>
            </w:r>
          </w:p>
        </w:tc>
        <w:tc>
          <w:tcPr>
            <w:tcW w:w="1080" w:type="dxa"/>
            <w:shd w:val="clear" w:color="auto" w:fill="auto"/>
            <w:noWrap/>
            <w:hideMark/>
          </w:tcPr>
          <w:p w14:paraId="52F1964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771 12</w:t>
            </w:r>
          </w:p>
        </w:tc>
        <w:tc>
          <w:tcPr>
            <w:tcW w:w="1073" w:type="dxa"/>
            <w:shd w:val="clear" w:color="auto" w:fill="auto"/>
            <w:noWrap/>
            <w:hideMark/>
          </w:tcPr>
          <w:p w14:paraId="191E77F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616 12</w:t>
            </w:r>
          </w:p>
        </w:tc>
        <w:tc>
          <w:tcPr>
            <w:tcW w:w="1073" w:type="dxa"/>
            <w:shd w:val="clear" w:color="auto" w:fill="auto"/>
            <w:noWrap/>
            <w:hideMark/>
          </w:tcPr>
          <w:p w14:paraId="40EDCAC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750 12</w:t>
            </w:r>
          </w:p>
        </w:tc>
        <w:tc>
          <w:tcPr>
            <w:tcW w:w="1073" w:type="dxa"/>
            <w:shd w:val="clear" w:color="auto" w:fill="auto"/>
            <w:noWrap/>
            <w:hideMark/>
          </w:tcPr>
          <w:p w14:paraId="7D87F72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602 12</w:t>
            </w:r>
          </w:p>
        </w:tc>
      </w:tr>
      <w:tr w:rsidR="00803069" w:rsidRPr="000D5B62" w14:paraId="390E26A5" w14:textId="77777777" w:rsidTr="00D8475F">
        <w:tc>
          <w:tcPr>
            <w:tcW w:w="3532" w:type="dxa"/>
            <w:shd w:val="clear" w:color="auto" w:fill="auto"/>
            <w:noWrap/>
            <w:hideMark/>
          </w:tcPr>
          <w:p w14:paraId="1137C8B5" w14:textId="3371025B" w:rsidR="00803069" w:rsidRPr="000D5B62" w:rsidRDefault="00803069" w:rsidP="00136F05">
            <w:pPr>
              <w:spacing w:before="40" w:after="40" w:line="300" w:lineRule="exact"/>
              <w:ind w:right="113"/>
              <w:textDirection w:val="tbRlV"/>
              <w:rPr>
                <w:rFonts w:eastAsiaTheme="minorEastAsia"/>
                <w:b/>
                <w:bCs/>
                <w:szCs w:val="20"/>
                <w:lang w:val="ar-SA" w:eastAsia="zh-TW" w:bidi="en-GB"/>
              </w:rPr>
            </w:pPr>
            <w:r w:rsidRPr="000D5B62">
              <w:rPr>
                <w:rFonts w:eastAsiaTheme="minorEastAsia"/>
                <w:b/>
                <w:bCs/>
                <w:szCs w:val="20"/>
                <w:rtl/>
              </w:rPr>
              <w:t xml:space="preserve">المعدلات </w:t>
            </w:r>
            <w:r w:rsidR="008B0906" w:rsidRPr="000D5B62">
              <w:rPr>
                <w:rFonts w:eastAsiaTheme="minorEastAsia" w:hint="cs"/>
                <w:b/>
                <w:bCs/>
                <w:szCs w:val="20"/>
                <w:rtl/>
              </w:rPr>
              <w:t>(</w:t>
            </w:r>
            <w:r w:rsidR="008B0906" w:rsidRPr="000D5B62">
              <w:rPr>
                <w:rFonts w:eastAsiaTheme="minorEastAsia"/>
                <w:b/>
                <w:bCs/>
                <w:szCs w:val="20"/>
                <w:rtl/>
              </w:rPr>
              <w:t>٪</w:t>
            </w:r>
            <w:r w:rsidR="008B0906" w:rsidRPr="000D5B62">
              <w:rPr>
                <w:rFonts w:eastAsiaTheme="minorEastAsia" w:hint="cs"/>
                <w:b/>
                <w:bCs/>
                <w:szCs w:val="20"/>
                <w:rtl/>
              </w:rPr>
              <w:t>)</w:t>
            </w:r>
          </w:p>
        </w:tc>
        <w:tc>
          <w:tcPr>
            <w:tcW w:w="1073" w:type="dxa"/>
            <w:shd w:val="clear" w:color="auto" w:fill="auto"/>
            <w:noWrap/>
            <w:hideMark/>
          </w:tcPr>
          <w:p w14:paraId="241B8F3D"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80" w:type="dxa"/>
            <w:shd w:val="clear" w:color="auto" w:fill="auto"/>
            <w:noWrap/>
            <w:hideMark/>
          </w:tcPr>
          <w:p w14:paraId="5052D593"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14D84E02"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493561E4"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1FF94664"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r>
      <w:tr w:rsidR="00803069" w:rsidRPr="000D5B62" w14:paraId="6825BD99" w14:textId="77777777" w:rsidTr="00D8475F">
        <w:tc>
          <w:tcPr>
            <w:tcW w:w="3532" w:type="dxa"/>
            <w:shd w:val="clear" w:color="auto" w:fill="auto"/>
            <w:noWrap/>
            <w:hideMark/>
          </w:tcPr>
          <w:p w14:paraId="6EED6A3F"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معدل البطالة</w:t>
            </w:r>
          </w:p>
        </w:tc>
        <w:tc>
          <w:tcPr>
            <w:tcW w:w="1073" w:type="dxa"/>
            <w:shd w:val="clear" w:color="auto" w:fill="auto"/>
            <w:noWrap/>
            <w:hideMark/>
          </w:tcPr>
          <w:p w14:paraId="2511D8B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24,7</w:t>
            </w:r>
          </w:p>
        </w:tc>
        <w:tc>
          <w:tcPr>
            <w:tcW w:w="1080" w:type="dxa"/>
            <w:shd w:val="clear" w:color="auto" w:fill="auto"/>
            <w:noWrap/>
            <w:hideMark/>
          </w:tcPr>
          <w:p w14:paraId="38B3B8A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25,1</w:t>
            </w:r>
          </w:p>
        </w:tc>
        <w:tc>
          <w:tcPr>
            <w:tcW w:w="1073" w:type="dxa"/>
            <w:shd w:val="clear" w:color="auto" w:fill="auto"/>
            <w:noWrap/>
            <w:hideMark/>
          </w:tcPr>
          <w:p w14:paraId="61BEAB4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25,3</w:t>
            </w:r>
          </w:p>
        </w:tc>
        <w:tc>
          <w:tcPr>
            <w:tcW w:w="1073" w:type="dxa"/>
            <w:shd w:val="clear" w:color="auto" w:fill="auto"/>
            <w:noWrap/>
            <w:hideMark/>
          </w:tcPr>
          <w:p w14:paraId="6ABE159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26,7</w:t>
            </w:r>
          </w:p>
        </w:tc>
        <w:tc>
          <w:tcPr>
            <w:tcW w:w="1073" w:type="dxa"/>
            <w:shd w:val="clear" w:color="auto" w:fill="auto"/>
            <w:noWrap/>
            <w:hideMark/>
          </w:tcPr>
          <w:p w14:paraId="194E33C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27,5</w:t>
            </w:r>
          </w:p>
        </w:tc>
      </w:tr>
      <w:tr w:rsidR="00803069" w:rsidRPr="000D5B62" w14:paraId="2A3390FB" w14:textId="77777777" w:rsidTr="00D8475F">
        <w:tc>
          <w:tcPr>
            <w:tcW w:w="3532" w:type="dxa"/>
            <w:shd w:val="clear" w:color="auto" w:fill="auto"/>
            <w:noWrap/>
            <w:hideMark/>
          </w:tcPr>
          <w:p w14:paraId="0AE78208" w14:textId="77777777" w:rsidR="00803069" w:rsidRPr="000D5B62" w:rsidRDefault="00803069" w:rsidP="00136F05">
            <w:pPr>
              <w:spacing w:before="40" w:after="40" w:line="300" w:lineRule="exact"/>
              <w:ind w:right="113"/>
              <w:textDirection w:val="tbRlV"/>
              <w:rPr>
                <w:rFonts w:eastAsiaTheme="minorEastAsia"/>
                <w:spacing w:val="-4"/>
                <w:szCs w:val="20"/>
                <w:lang w:val="ar-SA" w:eastAsia="zh-TW" w:bidi="en-GB"/>
              </w:rPr>
            </w:pPr>
            <w:r w:rsidRPr="000D5B62">
              <w:rPr>
                <w:rFonts w:eastAsiaTheme="minorEastAsia"/>
                <w:spacing w:val="-4"/>
                <w:szCs w:val="20"/>
                <w:rtl/>
              </w:rPr>
              <w:t>نسبة المستخدَمين إلى السكان (الاستيعاب)</w:t>
            </w:r>
          </w:p>
        </w:tc>
        <w:tc>
          <w:tcPr>
            <w:tcW w:w="1073" w:type="dxa"/>
            <w:shd w:val="clear" w:color="auto" w:fill="auto"/>
            <w:noWrap/>
            <w:hideMark/>
          </w:tcPr>
          <w:p w14:paraId="6E74328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42,7</w:t>
            </w:r>
          </w:p>
        </w:tc>
        <w:tc>
          <w:tcPr>
            <w:tcW w:w="1080" w:type="dxa"/>
            <w:shd w:val="clear" w:color="auto" w:fill="auto"/>
            <w:noWrap/>
            <w:hideMark/>
          </w:tcPr>
          <w:p w14:paraId="7AC2C1F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42,8</w:t>
            </w:r>
          </w:p>
        </w:tc>
        <w:tc>
          <w:tcPr>
            <w:tcW w:w="1073" w:type="dxa"/>
            <w:shd w:val="clear" w:color="auto" w:fill="auto"/>
            <w:noWrap/>
            <w:hideMark/>
          </w:tcPr>
          <w:p w14:paraId="1C986D5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43,7</w:t>
            </w:r>
          </w:p>
        </w:tc>
        <w:tc>
          <w:tcPr>
            <w:tcW w:w="1073" w:type="dxa"/>
            <w:shd w:val="clear" w:color="auto" w:fill="auto"/>
            <w:noWrap/>
            <w:hideMark/>
          </w:tcPr>
          <w:p w14:paraId="1EA83EA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43,0</w:t>
            </w:r>
          </w:p>
        </w:tc>
        <w:tc>
          <w:tcPr>
            <w:tcW w:w="1073" w:type="dxa"/>
            <w:shd w:val="clear" w:color="auto" w:fill="auto"/>
            <w:noWrap/>
            <w:hideMark/>
          </w:tcPr>
          <w:p w14:paraId="3778A3E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43,4</w:t>
            </w:r>
          </w:p>
        </w:tc>
      </w:tr>
      <w:tr w:rsidR="00803069" w:rsidRPr="000D5B62" w14:paraId="39A6189B" w14:textId="77777777" w:rsidTr="00D8475F">
        <w:tc>
          <w:tcPr>
            <w:tcW w:w="3532" w:type="dxa"/>
            <w:shd w:val="clear" w:color="auto" w:fill="auto"/>
            <w:noWrap/>
            <w:hideMark/>
          </w:tcPr>
          <w:p w14:paraId="174DC766"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معدل المشاركة في القوى العاملة</w:t>
            </w:r>
          </w:p>
        </w:tc>
        <w:tc>
          <w:tcPr>
            <w:tcW w:w="1073" w:type="dxa"/>
            <w:shd w:val="clear" w:color="auto" w:fill="auto"/>
            <w:noWrap/>
            <w:hideMark/>
          </w:tcPr>
          <w:p w14:paraId="1DE7623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56,8</w:t>
            </w:r>
          </w:p>
        </w:tc>
        <w:tc>
          <w:tcPr>
            <w:tcW w:w="1080" w:type="dxa"/>
            <w:shd w:val="clear" w:color="auto" w:fill="auto"/>
            <w:noWrap/>
            <w:hideMark/>
          </w:tcPr>
          <w:p w14:paraId="50AF500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57,1</w:t>
            </w:r>
          </w:p>
        </w:tc>
        <w:tc>
          <w:tcPr>
            <w:tcW w:w="1073" w:type="dxa"/>
            <w:shd w:val="clear" w:color="auto" w:fill="auto"/>
            <w:noWrap/>
            <w:hideMark/>
          </w:tcPr>
          <w:p w14:paraId="709E5FB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58,5</w:t>
            </w:r>
          </w:p>
        </w:tc>
        <w:tc>
          <w:tcPr>
            <w:tcW w:w="1073" w:type="dxa"/>
            <w:shd w:val="clear" w:color="auto" w:fill="auto"/>
            <w:noWrap/>
            <w:hideMark/>
          </w:tcPr>
          <w:p w14:paraId="06CB6972"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58,7</w:t>
            </w:r>
          </w:p>
        </w:tc>
        <w:tc>
          <w:tcPr>
            <w:tcW w:w="1073" w:type="dxa"/>
            <w:shd w:val="clear" w:color="auto" w:fill="auto"/>
            <w:noWrap/>
            <w:hideMark/>
          </w:tcPr>
          <w:p w14:paraId="4498EC1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59,8</w:t>
            </w:r>
          </w:p>
        </w:tc>
      </w:tr>
      <w:tr w:rsidR="00803069" w:rsidRPr="000D5B62" w14:paraId="2282158A" w14:textId="77777777" w:rsidTr="00D8475F">
        <w:tc>
          <w:tcPr>
            <w:tcW w:w="3532" w:type="dxa"/>
            <w:shd w:val="clear" w:color="auto" w:fill="auto"/>
            <w:noWrap/>
            <w:hideMark/>
          </w:tcPr>
          <w:p w14:paraId="340ABB84" w14:textId="77777777" w:rsidR="00803069" w:rsidRPr="000D5B62" w:rsidRDefault="00803069" w:rsidP="00136F05">
            <w:pPr>
              <w:spacing w:before="40" w:after="40" w:line="300" w:lineRule="exact"/>
              <w:ind w:right="113"/>
              <w:textDirection w:val="tbRlV"/>
              <w:rPr>
                <w:rFonts w:eastAsiaTheme="minorEastAsia"/>
                <w:b/>
                <w:bCs/>
                <w:szCs w:val="20"/>
                <w:lang w:val="ar-SA" w:eastAsia="zh-TW" w:bidi="en-GB"/>
              </w:rPr>
            </w:pPr>
            <w:r w:rsidRPr="000D5B62">
              <w:rPr>
                <w:rFonts w:eastAsiaTheme="minorEastAsia"/>
                <w:b/>
                <w:bCs/>
                <w:szCs w:val="20"/>
                <w:rtl/>
              </w:rPr>
              <w:t>النساء</w:t>
            </w:r>
          </w:p>
        </w:tc>
        <w:tc>
          <w:tcPr>
            <w:tcW w:w="1073" w:type="dxa"/>
            <w:shd w:val="clear" w:color="auto" w:fill="auto"/>
            <w:noWrap/>
            <w:hideMark/>
          </w:tcPr>
          <w:p w14:paraId="1AC87C31" w14:textId="77777777" w:rsidR="00803069" w:rsidRPr="000D5B62" w:rsidRDefault="00803069" w:rsidP="00136F05">
            <w:pPr>
              <w:spacing w:before="40" w:after="40" w:line="300" w:lineRule="exact"/>
              <w:jc w:val="left"/>
              <w:rPr>
                <w:rFonts w:eastAsiaTheme="minorEastAsia"/>
                <w:b/>
                <w:bCs/>
                <w:szCs w:val="20"/>
              </w:rPr>
            </w:pPr>
            <w:r w:rsidRPr="000D5B62">
              <w:rPr>
                <w:rFonts w:eastAsiaTheme="minorEastAsia"/>
                <w:b/>
                <w:bCs/>
                <w:szCs w:val="20"/>
              </w:rPr>
              <w:t xml:space="preserve"> </w:t>
            </w:r>
          </w:p>
        </w:tc>
        <w:tc>
          <w:tcPr>
            <w:tcW w:w="1080" w:type="dxa"/>
            <w:shd w:val="clear" w:color="auto" w:fill="auto"/>
            <w:noWrap/>
            <w:hideMark/>
          </w:tcPr>
          <w:p w14:paraId="185110FC" w14:textId="77777777" w:rsidR="00803069" w:rsidRPr="000D5B62" w:rsidRDefault="00803069" w:rsidP="00136F05">
            <w:pPr>
              <w:spacing w:before="40" w:after="40" w:line="300" w:lineRule="exact"/>
              <w:jc w:val="left"/>
              <w:rPr>
                <w:rFonts w:eastAsiaTheme="minorEastAsia"/>
                <w:b/>
                <w:bCs/>
                <w:szCs w:val="20"/>
              </w:rPr>
            </w:pPr>
            <w:r w:rsidRPr="000D5B62">
              <w:rPr>
                <w:rFonts w:eastAsiaTheme="minorEastAsia"/>
                <w:b/>
                <w:bCs/>
                <w:szCs w:val="20"/>
              </w:rPr>
              <w:t xml:space="preserve"> </w:t>
            </w:r>
          </w:p>
        </w:tc>
        <w:tc>
          <w:tcPr>
            <w:tcW w:w="1073" w:type="dxa"/>
            <w:shd w:val="clear" w:color="auto" w:fill="auto"/>
            <w:noWrap/>
            <w:hideMark/>
          </w:tcPr>
          <w:p w14:paraId="79055B53" w14:textId="77777777" w:rsidR="00803069" w:rsidRPr="000D5B62" w:rsidRDefault="00803069" w:rsidP="00136F05">
            <w:pPr>
              <w:spacing w:before="40" w:after="40" w:line="300" w:lineRule="exact"/>
              <w:jc w:val="left"/>
              <w:rPr>
                <w:rFonts w:eastAsiaTheme="minorEastAsia"/>
                <w:b/>
                <w:bCs/>
                <w:szCs w:val="20"/>
              </w:rPr>
            </w:pPr>
            <w:r w:rsidRPr="000D5B62">
              <w:rPr>
                <w:rFonts w:eastAsiaTheme="minorEastAsia"/>
                <w:b/>
                <w:bCs/>
                <w:szCs w:val="20"/>
              </w:rPr>
              <w:t xml:space="preserve"> </w:t>
            </w:r>
          </w:p>
        </w:tc>
        <w:tc>
          <w:tcPr>
            <w:tcW w:w="1073" w:type="dxa"/>
            <w:shd w:val="clear" w:color="auto" w:fill="auto"/>
            <w:noWrap/>
            <w:hideMark/>
          </w:tcPr>
          <w:p w14:paraId="5D8D7FCE" w14:textId="77777777" w:rsidR="00803069" w:rsidRPr="000D5B62" w:rsidRDefault="00803069" w:rsidP="00136F05">
            <w:pPr>
              <w:spacing w:before="40" w:after="40" w:line="300" w:lineRule="exact"/>
              <w:jc w:val="left"/>
              <w:rPr>
                <w:rFonts w:eastAsiaTheme="minorEastAsia"/>
                <w:b/>
                <w:bCs/>
                <w:szCs w:val="20"/>
              </w:rPr>
            </w:pPr>
            <w:r w:rsidRPr="000D5B62">
              <w:rPr>
                <w:rFonts w:eastAsiaTheme="minorEastAsia"/>
                <w:b/>
                <w:bCs/>
                <w:szCs w:val="20"/>
              </w:rPr>
              <w:t xml:space="preserve"> </w:t>
            </w:r>
          </w:p>
        </w:tc>
        <w:tc>
          <w:tcPr>
            <w:tcW w:w="1073" w:type="dxa"/>
            <w:shd w:val="clear" w:color="auto" w:fill="auto"/>
            <w:noWrap/>
            <w:hideMark/>
          </w:tcPr>
          <w:p w14:paraId="186CD708" w14:textId="77777777" w:rsidR="00803069" w:rsidRPr="000D5B62" w:rsidRDefault="00803069" w:rsidP="00136F05">
            <w:pPr>
              <w:spacing w:before="40" w:after="40" w:line="300" w:lineRule="exact"/>
              <w:jc w:val="left"/>
              <w:rPr>
                <w:rFonts w:eastAsiaTheme="minorEastAsia"/>
                <w:b/>
                <w:bCs/>
                <w:szCs w:val="20"/>
              </w:rPr>
            </w:pPr>
            <w:r w:rsidRPr="000D5B62">
              <w:rPr>
                <w:rFonts w:eastAsiaTheme="minorEastAsia"/>
                <w:b/>
                <w:bCs/>
                <w:szCs w:val="20"/>
              </w:rPr>
              <w:t xml:space="preserve"> </w:t>
            </w:r>
          </w:p>
        </w:tc>
      </w:tr>
      <w:tr w:rsidR="00803069" w:rsidRPr="000D5B62" w14:paraId="1CC1EB80" w14:textId="77777777" w:rsidTr="00D8475F">
        <w:tc>
          <w:tcPr>
            <w:tcW w:w="3532" w:type="dxa"/>
            <w:shd w:val="clear" w:color="auto" w:fill="auto"/>
            <w:noWrap/>
            <w:hideMark/>
          </w:tcPr>
          <w:p w14:paraId="73811B7B" w14:textId="77777777" w:rsidR="00803069" w:rsidRPr="000D5B62" w:rsidRDefault="00803069" w:rsidP="00136F05">
            <w:pPr>
              <w:spacing w:before="40" w:after="40" w:line="300" w:lineRule="exact"/>
              <w:ind w:right="113"/>
              <w:textDirection w:val="tbRlV"/>
              <w:rPr>
                <w:rFonts w:eastAsiaTheme="minorEastAsia"/>
                <w:bCs/>
                <w:szCs w:val="20"/>
                <w:lang w:val="ar-SA" w:eastAsia="zh-TW" w:bidi="en-GB"/>
              </w:rPr>
            </w:pPr>
            <w:r w:rsidRPr="000D5B62">
              <w:rPr>
                <w:rFonts w:eastAsiaTheme="minorEastAsia"/>
                <w:szCs w:val="20"/>
                <w:rtl/>
              </w:rPr>
              <w:t>ما بين 15 و64 عاماً من العمر</w:t>
            </w:r>
          </w:p>
        </w:tc>
        <w:tc>
          <w:tcPr>
            <w:tcW w:w="1073" w:type="dxa"/>
            <w:shd w:val="clear" w:color="auto" w:fill="auto"/>
            <w:noWrap/>
            <w:hideMark/>
          </w:tcPr>
          <w:p w14:paraId="3B084168"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702 17</w:t>
            </w:r>
          </w:p>
        </w:tc>
        <w:tc>
          <w:tcPr>
            <w:tcW w:w="1080" w:type="dxa"/>
            <w:shd w:val="clear" w:color="auto" w:fill="auto"/>
            <w:noWrap/>
            <w:hideMark/>
          </w:tcPr>
          <w:p w14:paraId="46C21935"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986 17</w:t>
            </w:r>
          </w:p>
        </w:tc>
        <w:tc>
          <w:tcPr>
            <w:tcW w:w="1073" w:type="dxa"/>
            <w:shd w:val="clear" w:color="auto" w:fill="auto"/>
            <w:noWrap/>
            <w:hideMark/>
          </w:tcPr>
          <w:p w14:paraId="1F4DEBB6"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273 18</w:t>
            </w:r>
          </w:p>
        </w:tc>
        <w:tc>
          <w:tcPr>
            <w:tcW w:w="1073" w:type="dxa"/>
            <w:shd w:val="clear" w:color="auto" w:fill="auto"/>
            <w:noWrap/>
            <w:hideMark/>
          </w:tcPr>
          <w:p w14:paraId="0B585659"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567 18</w:t>
            </w:r>
          </w:p>
        </w:tc>
        <w:tc>
          <w:tcPr>
            <w:tcW w:w="1073" w:type="dxa"/>
            <w:shd w:val="clear" w:color="auto" w:fill="auto"/>
            <w:noWrap/>
            <w:hideMark/>
          </w:tcPr>
          <w:p w14:paraId="56F554C5"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865 18</w:t>
            </w:r>
          </w:p>
        </w:tc>
      </w:tr>
      <w:tr w:rsidR="00803069" w:rsidRPr="000D5B62" w14:paraId="11A1E0A3" w14:textId="77777777" w:rsidTr="00D8475F">
        <w:tc>
          <w:tcPr>
            <w:tcW w:w="3532" w:type="dxa"/>
            <w:shd w:val="clear" w:color="auto" w:fill="auto"/>
            <w:noWrap/>
            <w:hideMark/>
          </w:tcPr>
          <w:p w14:paraId="5674507C" w14:textId="77777777" w:rsidR="00803069" w:rsidRPr="000D5B62" w:rsidRDefault="00803069" w:rsidP="00136F05">
            <w:pPr>
              <w:spacing w:before="40" w:after="40" w:line="300" w:lineRule="exact"/>
              <w:ind w:right="113"/>
              <w:textDirection w:val="tbRlV"/>
              <w:rPr>
                <w:rFonts w:eastAsiaTheme="minorEastAsia"/>
                <w:bCs/>
                <w:szCs w:val="20"/>
                <w:lang w:eastAsia="zh-TW" w:bidi="en-GB"/>
              </w:rPr>
            </w:pPr>
            <w:r w:rsidRPr="000D5B62">
              <w:rPr>
                <w:rFonts w:eastAsiaTheme="minorEastAsia"/>
                <w:szCs w:val="20"/>
                <w:rtl/>
              </w:rPr>
              <w:t>القوى العاملة</w:t>
            </w:r>
          </w:p>
        </w:tc>
        <w:tc>
          <w:tcPr>
            <w:tcW w:w="1073" w:type="dxa"/>
            <w:shd w:val="clear" w:color="auto" w:fill="auto"/>
            <w:noWrap/>
            <w:hideMark/>
          </w:tcPr>
          <w:p w14:paraId="47408DB9"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920 8</w:t>
            </w:r>
          </w:p>
        </w:tc>
        <w:tc>
          <w:tcPr>
            <w:tcW w:w="1080" w:type="dxa"/>
            <w:shd w:val="clear" w:color="auto" w:fill="auto"/>
            <w:noWrap/>
            <w:hideMark/>
          </w:tcPr>
          <w:p w14:paraId="1289C289"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115 9</w:t>
            </w:r>
          </w:p>
        </w:tc>
        <w:tc>
          <w:tcPr>
            <w:tcW w:w="1073" w:type="dxa"/>
            <w:shd w:val="clear" w:color="auto" w:fill="auto"/>
            <w:noWrap/>
            <w:hideMark/>
          </w:tcPr>
          <w:p w14:paraId="49F8AA75"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522 9</w:t>
            </w:r>
          </w:p>
        </w:tc>
        <w:tc>
          <w:tcPr>
            <w:tcW w:w="1073" w:type="dxa"/>
            <w:shd w:val="clear" w:color="auto" w:fill="auto"/>
            <w:noWrap/>
            <w:hideMark/>
          </w:tcPr>
          <w:p w14:paraId="63B0162E"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701 9</w:t>
            </w:r>
          </w:p>
        </w:tc>
        <w:tc>
          <w:tcPr>
            <w:tcW w:w="1073" w:type="dxa"/>
            <w:shd w:val="clear" w:color="auto" w:fill="auto"/>
            <w:noWrap/>
            <w:hideMark/>
          </w:tcPr>
          <w:p w14:paraId="754FCE15" w14:textId="77777777" w:rsidR="00803069" w:rsidRPr="000D5B62" w:rsidRDefault="00803069" w:rsidP="00136F05">
            <w:pPr>
              <w:spacing w:before="40" w:after="40" w:line="300" w:lineRule="exact"/>
              <w:jc w:val="left"/>
              <w:textDirection w:val="tbRlV"/>
              <w:rPr>
                <w:rFonts w:eastAsiaTheme="minorEastAsia"/>
                <w:bCs/>
                <w:szCs w:val="20"/>
                <w:lang w:val="ar-SA" w:eastAsia="zh-TW" w:bidi="en-GB"/>
              </w:rPr>
            </w:pPr>
            <w:r w:rsidRPr="000D5B62">
              <w:rPr>
                <w:rFonts w:eastAsiaTheme="minorEastAsia"/>
                <w:szCs w:val="20"/>
                <w:rtl/>
              </w:rPr>
              <w:t>104 10</w:t>
            </w:r>
          </w:p>
        </w:tc>
      </w:tr>
      <w:tr w:rsidR="00803069" w:rsidRPr="000D5B62" w14:paraId="6482ADFE" w14:textId="77777777" w:rsidTr="00D8475F">
        <w:tc>
          <w:tcPr>
            <w:tcW w:w="3532" w:type="dxa"/>
            <w:shd w:val="clear" w:color="auto" w:fill="auto"/>
            <w:noWrap/>
            <w:hideMark/>
          </w:tcPr>
          <w:p w14:paraId="0A337B00" w14:textId="77777777" w:rsidR="00803069" w:rsidRPr="000D5B62" w:rsidRDefault="00803069" w:rsidP="00136F05">
            <w:pPr>
              <w:spacing w:before="40" w:after="40" w:line="300" w:lineRule="exact"/>
              <w:ind w:right="113"/>
              <w:textDirection w:val="tbRlV"/>
              <w:rPr>
                <w:rFonts w:eastAsiaTheme="minorEastAsia"/>
                <w:szCs w:val="20"/>
                <w:lang w:eastAsia="zh-TW" w:bidi="en-GB"/>
              </w:rPr>
            </w:pPr>
            <w:r w:rsidRPr="000D5B62">
              <w:rPr>
                <w:rFonts w:eastAsiaTheme="minorEastAsia"/>
                <w:szCs w:val="20"/>
                <w:rtl/>
              </w:rPr>
              <w:t>المستخدَمون</w:t>
            </w:r>
          </w:p>
        </w:tc>
        <w:tc>
          <w:tcPr>
            <w:tcW w:w="1073" w:type="dxa"/>
            <w:shd w:val="clear" w:color="auto" w:fill="auto"/>
            <w:noWrap/>
            <w:hideMark/>
          </w:tcPr>
          <w:p w14:paraId="740261C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539 6</w:t>
            </w:r>
          </w:p>
        </w:tc>
        <w:tc>
          <w:tcPr>
            <w:tcW w:w="1080" w:type="dxa"/>
            <w:shd w:val="clear" w:color="auto" w:fill="auto"/>
            <w:noWrap/>
            <w:hideMark/>
          </w:tcPr>
          <w:p w14:paraId="1A6ED52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634 6</w:t>
            </w:r>
          </w:p>
        </w:tc>
        <w:tc>
          <w:tcPr>
            <w:tcW w:w="1073" w:type="dxa"/>
            <w:shd w:val="clear" w:color="auto" w:fill="auto"/>
            <w:noWrap/>
            <w:hideMark/>
          </w:tcPr>
          <w:p w14:paraId="28F437B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882 6</w:t>
            </w:r>
          </w:p>
        </w:tc>
        <w:tc>
          <w:tcPr>
            <w:tcW w:w="1073" w:type="dxa"/>
            <w:shd w:val="clear" w:color="auto" w:fill="auto"/>
            <w:noWrap/>
            <w:hideMark/>
          </w:tcPr>
          <w:p w14:paraId="3C0A860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874 6</w:t>
            </w:r>
          </w:p>
        </w:tc>
        <w:tc>
          <w:tcPr>
            <w:tcW w:w="1073" w:type="dxa"/>
            <w:shd w:val="clear" w:color="auto" w:fill="auto"/>
            <w:noWrap/>
            <w:hideMark/>
          </w:tcPr>
          <w:p w14:paraId="7AC4A1D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114 7</w:t>
            </w:r>
          </w:p>
        </w:tc>
      </w:tr>
      <w:tr w:rsidR="00803069" w:rsidRPr="000D5B62" w14:paraId="0C6BD9FB" w14:textId="77777777" w:rsidTr="00D8475F">
        <w:tc>
          <w:tcPr>
            <w:tcW w:w="3532" w:type="dxa"/>
            <w:shd w:val="clear" w:color="auto" w:fill="auto"/>
            <w:noWrap/>
            <w:hideMark/>
          </w:tcPr>
          <w:p w14:paraId="0459DC4B"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القطاع النظامي (غير الزراعي)</w:t>
            </w:r>
          </w:p>
        </w:tc>
        <w:tc>
          <w:tcPr>
            <w:tcW w:w="1073" w:type="dxa"/>
            <w:shd w:val="clear" w:color="auto" w:fill="auto"/>
            <w:noWrap/>
            <w:hideMark/>
          </w:tcPr>
          <w:p w14:paraId="0664D5C2"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369 4</w:t>
            </w:r>
          </w:p>
        </w:tc>
        <w:tc>
          <w:tcPr>
            <w:tcW w:w="1080" w:type="dxa"/>
            <w:shd w:val="clear" w:color="auto" w:fill="auto"/>
            <w:noWrap/>
            <w:hideMark/>
          </w:tcPr>
          <w:p w14:paraId="656922E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514 4</w:t>
            </w:r>
          </w:p>
        </w:tc>
        <w:tc>
          <w:tcPr>
            <w:tcW w:w="1073" w:type="dxa"/>
            <w:shd w:val="clear" w:color="auto" w:fill="auto"/>
            <w:noWrap/>
            <w:hideMark/>
          </w:tcPr>
          <w:p w14:paraId="0D6CF74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577 4</w:t>
            </w:r>
          </w:p>
        </w:tc>
        <w:tc>
          <w:tcPr>
            <w:tcW w:w="1073" w:type="dxa"/>
            <w:shd w:val="clear" w:color="auto" w:fill="auto"/>
            <w:noWrap/>
            <w:hideMark/>
          </w:tcPr>
          <w:p w14:paraId="2857F05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657 4</w:t>
            </w:r>
          </w:p>
        </w:tc>
        <w:tc>
          <w:tcPr>
            <w:tcW w:w="1073" w:type="dxa"/>
            <w:shd w:val="clear" w:color="auto" w:fill="auto"/>
            <w:noWrap/>
            <w:hideMark/>
          </w:tcPr>
          <w:p w14:paraId="50ACB36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797 4</w:t>
            </w:r>
          </w:p>
        </w:tc>
      </w:tr>
      <w:tr w:rsidR="00803069" w:rsidRPr="000D5B62" w14:paraId="1A0DA97D" w14:textId="77777777" w:rsidTr="00D8475F">
        <w:tc>
          <w:tcPr>
            <w:tcW w:w="3532" w:type="dxa"/>
            <w:shd w:val="clear" w:color="auto" w:fill="auto"/>
            <w:noWrap/>
            <w:hideMark/>
          </w:tcPr>
          <w:p w14:paraId="209617F3"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القطاع غير النظامي (غير الزراعي)</w:t>
            </w:r>
          </w:p>
        </w:tc>
        <w:tc>
          <w:tcPr>
            <w:tcW w:w="1073" w:type="dxa"/>
            <w:shd w:val="clear" w:color="auto" w:fill="auto"/>
            <w:noWrap/>
            <w:hideMark/>
          </w:tcPr>
          <w:p w14:paraId="39218DB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954</w:t>
            </w:r>
          </w:p>
        </w:tc>
        <w:tc>
          <w:tcPr>
            <w:tcW w:w="1080" w:type="dxa"/>
            <w:shd w:val="clear" w:color="auto" w:fill="auto"/>
            <w:noWrap/>
            <w:hideMark/>
          </w:tcPr>
          <w:p w14:paraId="5747319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937</w:t>
            </w:r>
          </w:p>
        </w:tc>
        <w:tc>
          <w:tcPr>
            <w:tcW w:w="1073" w:type="dxa"/>
            <w:shd w:val="clear" w:color="auto" w:fill="auto"/>
            <w:noWrap/>
            <w:hideMark/>
          </w:tcPr>
          <w:p w14:paraId="6145AAC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007 1</w:t>
            </w:r>
          </w:p>
        </w:tc>
        <w:tc>
          <w:tcPr>
            <w:tcW w:w="1073" w:type="dxa"/>
            <w:shd w:val="clear" w:color="auto" w:fill="auto"/>
            <w:noWrap/>
            <w:hideMark/>
          </w:tcPr>
          <w:p w14:paraId="48B6182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968</w:t>
            </w:r>
          </w:p>
        </w:tc>
        <w:tc>
          <w:tcPr>
            <w:tcW w:w="1073" w:type="dxa"/>
            <w:shd w:val="clear" w:color="auto" w:fill="auto"/>
            <w:noWrap/>
            <w:hideMark/>
          </w:tcPr>
          <w:p w14:paraId="0CC91A96"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047 1</w:t>
            </w:r>
          </w:p>
        </w:tc>
      </w:tr>
      <w:tr w:rsidR="00803069" w:rsidRPr="000D5B62" w14:paraId="22329DFC" w14:textId="77777777" w:rsidTr="00D8475F">
        <w:tc>
          <w:tcPr>
            <w:tcW w:w="3532" w:type="dxa"/>
            <w:shd w:val="clear" w:color="auto" w:fill="auto"/>
            <w:noWrap/>
            <w:hideMark/>
          </w:tcPr>
          <w:p w14:paraId="192BCE58" w14:textId="77777777" w:rsidR="00803069" w:rsidRPr="000D5B62" w:rsidRDefault="00803069" w:rsidP="00136F05">
            <w:pPr>
              <w:spacing w:before="40" w:after="40" w:line="300" w:lineRule="exact"/>
              <w:ind w:right="113"/>
              <w:textDirection w:val="tbRlV"/>
              <w:rPr>
                <w:rFonts w:eastAsiaTheme="minorEastAsia"/>
                <w:szCs w:val="20"/>
                <w:lang w:eastAsia="zh-TW" w:bidi="en-GB"/>
              </w:rPr>
            </w:pPr>
            <w:r w:rsidRPr="000D5B62">
              <w:rPr>
                <w:rFonts w:eastAsiaTheme="minorEastAsia"/>
                <w:szCs w:val="20"/>
                <w:rtl/>
              </w:rPr>
              <w:t>الزراعة</w:t>
            </w:r>
          </w:p>
        </w:tc>
        <w:tc>
          <w:tcPr>
            <w:tcW w:w="1073" w:type="dxa"/>
            <w:shd w:val="clear" w:color="auto" w:fill="auto"/>
            <w:noWrap/>
            <w:hideMark/>
          </w:tcPr>
          <w:p w14:paraId="4097C6B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230</w:t>
            </w:r>
          </w:p>
        </w:tc>
        <w:tc>
          <w:tcPr>
            <w:tcW w:w="1080" w:type="dxa"/>
            <w:shd w:val="clear" w:color="auto" w:fill="auto"/>
            <w:noWrap/>
            <w:hideMark/>
          </w:tcPr>
          <w:p w14:paraId="19AEE53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213</w:t>
            </w:r>
          </w:p>
        </w:tc>
        <w:tc>
          <w:tcPr>
            <w:tcW w:w="1073" w:type="dxa"/>
            <w:shd w:val="clear" w:color="auto" w:fill="auto"/>
            <w:noWrap/>
            <w:hideMark/>
          </w:tcPr>
          <w:p w14:paraId="659B880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293</w:t>
            </w:r>
          </w:p>
        </w:tc>
        <w:tc>
          <w:tcPr>
            <w:tcW w:w="1073" w:type="dxa"/>
            <w:shd w:val="clear" w:color="auto" w:fill="auto"/>
            <w:noWrap/>
            <w:hideMark/>
          </w:tcPr>
          <w:p w14:paraId="1ABE5EB8"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267</w:t>
            </w:r>
          </w:p>
        </w:tc>
        <w:tc>
          <w:tcPr>
            <w:tcW w:w="1073" w:type="dxa"/>
            <w:shd w:val="clear" w:color="auto" w:fill="auto"/>
            <w:noWrap/>
            <w:hideMark/>
          </w:tcPr>
          <w:p w14:paraId="14447B1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265</w:t>
            </w:r>
          </w:p>
        </w:tc>
      </w:tr>
      <w:tr w:rsidR="00803069" w:rsidRPr="000D5B62" w14:paraId="3E76EA2B" w14:textId="77777777" w:rsidTr="00D8475F">
        <w:tc>
          <w:tcPr>
            <w:tcW w:w="3532" w:type="dxa"/>
            <w:shd w:val="clear" w:color="auto" w:fill="auto"/>
            <w:noWrap/>
            <w:hideMark/>
          </w:tcPr>
          <w:p w14:paraId="0AE39FB9"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الأسر المعيشية الخاصة</w:t>
            </w:r>
          </w:p>
        </w:tc>
        <w:tc>
          <w:tcPr>
            <w:tcW w:w="1073" w:type="dxa"/>
            <w:shd w:val="clear" w:color="auto" w:fill="auto"/>
            <w:noWrap/>
            <w:hideMark/>
          </w:tcPr>
          <w:p w14:paraId="5973212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987</w:t>
            </w:r>
          </w:p>
        </w:tc>
        <w:tc>
          <w:tcPr>
            <w:tcW w:w="1080" w:type="dxa"/>
            <w:shd w:val="clear" w:color="auto" w:fill="auto"/>
            <w:noWrap/>
            <w:hideMark/>
          </w:tcPr>
          <w:p w14:paraId="30CB7756"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969</w:t>
            </w:r>
          </w:p>
        </w:tc>
        <w:tc>
          <w:tcPr>
            <w:tcW w:w="1073" w:type="dxa"/>
            <w:shd w:val="clear" w:color="auto" w:fill="auto"/>
            <w:noWrap/>
            <w:hideMark/>
          </w:tcPr>
          <w:p w14:paraId="08ADF17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006 1</w:t>
            </w:r>
          </w:p>
        </w:tc>
        <w:tc>
          <w:tcPr>
            <w:tcW w:w="1073" w:type="dxa"/>
            <w:shd w:val="clear" w:color="auto" w:fill="auto"/>
            <w:noWrap/>
            <w:hideMark/>
          </w:tcPr>
          <w:p w14:paraId="14161AA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982</w:t>
            </w:r>
          </w:p>
        </w:tc>
        <w:tc>
          <w:tcPr>
            <w:tcW w:w="1073" w:type="dxa"/>
            <w:shd w:val="clear" w:color="auto" w:fill="auto"/>
            <w:noWrap/>
            <w:hideMark/>
          </w:tcPr>
          <w:p w14:paraId="2F0A6FF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004 1</w:t>
            </w:r>
          </w:p>
        </w:tc>
      </w:tr>
      <w:tr w:rsidR="00803069" w:rsidRPr="000D5B62" w14:paraId="718D10A5" w14:textId="77777777" w:rsidTr="00D8475F">
        <w:tc>
          <w:tcPr>
            <w:tcW w:w="3532" w:type="dxa"/>
            <w:shd w:val="clear" w:color="auto" w:fill="auto"/>
            <w:noWrap/>
            <w:hideMark/>
          </w:tcPr>
          <w:p w14:paraId="7302425E"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العاطلون</w:t>
            </w:r>
          </w:p>
        </w:tc>
        <w:tc>
          <w:tcPr>
            <w:tcW w:w="1073" w:type="dxa"/>
            <w:shd w:val="clear" w:color="auto" w:fill="auto"/>
            <w:noWrap/>
            <w:hideMark/>
          </w:tcPr>
          <w:p w14:paraId="38B90CA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381 2</w:t>
            </w:r>
          </w:p>
        </w:tc>
        <w:tc>
          <w:tcPr>
            <w:tcW w:w="1080" w:type="dxa"/>
            <w:shd w:val="clear" w:color="auto" w:fill="auto"/>
            <w:noWrap/>
            <w:hideMark/>
          </w:tcPr>
          <w:p w14:paraId="2E2844D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482 2</w:t>
            </w:r>
          </w:p>
        </w:tc>
        <w:tc>
          <w:tcPr>
            <w:tcW w:w="1073" w:type="dxa"/>
            <w:shd w:val="clear" w:color="auto" w:fill="auto"/>
            <w:noWrap/>
            <w:hideMark/>
          </w:tcPr>
          <w:p w14:paraId="59E650A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640 2</w:t>
            </w:r>
          </w:p>
        </w:tc>
        <w:tc>
          <w:tcPr>
            <w:tcW w:w="1073" w:type="dxa"/>
            <w:shd w:val="clear" w:color="auto" w:fill="auto"/>
            <w:noWrap/>
            <w:hideMark/>
          </w:tcPr>
          <w:p w14:paraId="73B0573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827 2</w:t>
            </w:r>
          </w:p>
        </w:tc>
        <w:tc>
          <w:tcPr>
            <w:tcW w:w="1073" w:type="dxa"/>
            <w:shd w:val="clear" w:color="auto" w:fill="auto"/>
            <w:noWrap/>
            <w:hideMark/>
          </w:tcPr>
          <w:p w14:paraId="4F0E458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990 2</w:t>
            </w:r>
          </w:p>
        </w:tc>
      </w:tr>
      <w:tr w:rsidR="00803069" w:rsidRPr="000D5B62" w14:paraId="5D874546" w14:textId="77777777" w:rsidTr="00D8475F">
        <w:tc>
          <w:tcPr>
            <w:tcW w:w="3532" w:type="dxa"/>
            <w:shd w:val="clear" w:color="auto" w:fill="auto"/>
            <w:noWrap/>
            <w:hideMark/>
          </w:tcPr>
          <w:p w14:paraId="4BC47F47"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غير الناشطين اقتصادياً</w:t>
            </w:r>
          </w:p>
        </w:tc>
        <w:tc>
          <w:tcPr>
            <w:tcW w:w="1073" w:type="dxa"/>
            <w:shd w:val="clear" w:color="auto" w:fill="auto"/>
            <w:noWrap/>
            <w:hideMark/>
          </w:tcPr>
          <w:p w14:paraId="4C53B204"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782 8</w:t>
            </w:r>
          </w:p>
        </w:tc>
        <w:tc>
          <w:tcPr>
            <w:tcW w:w="1080" w:type="dxa"/>
            <w:shd w:val="clear" w:color="auto" w:fill="auto"/>
            <w:noWrap/>
            <w:hideMark/>
          </w:tcPr>
          <w:p w14:paraId="41E11A8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871 8</w:t>
            </w:r>
          </w:p>
        </w:tc>
        <w:tc>
          <w:tcPr>
            <w:tcW w:w="1073" w:type="dxa"/>
            <w:shd w:val="clear" w:color="auto" w:fill="auto"/>
            <w:noWrap/>
            <w:hideMark/>
          </w:tcPr>
          <w:p w14:paraId="73C33CB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751 8</w:t>
            </w:r>
          </w:p>
        </w:tc>
        <w:tc>
          <w:tcPr>
            <w:tcW w:w="1073" w:type="dxa"/>
            <w:shd w:val="clear" w:color="auto" w:fill="auto"/>
            <w:noWrap/>
            <w:hideMark/>
          </w:tcPr>
          <w:p w14:paraId="23FC9DC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866 8</w:t>
            </w:r>
          </w:p>
        </w:tc>
        <w:tc>
          <w:tcPr>
            <w:tcW w:w="1073" w:type="dxa"/>
            <w:shd w:val="clear" w:color="auto" w:fill="auto"/>
            <w:noWrap/>
            <w:hideMark/>
          </w:tcPr>
          <w:p w14:paraId="2D3ECE90"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761 8</w:t>
            </w:r>
          </w:p>
        </w:tc>
      </w:tr>
      <w:tr w:rsidR="00803069" w:rsidRPr="000D5B62" w14:paraId="7C7BEF73" w14:textId="77777777" w:rsidTr="00D8475F">
        <w:tc>
          <w:tcPr>
            <w:tcW w:w="3532" w:type="dxa"/>
            <w:shd w:val="clear" w:color="auto" w:fill="auto"/>
            <w:noWrap/>
            <w:hideMark/>
          </w:tcPr>
          <w:p w14:paraId="29797BE7"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الباحثون عن عمل المحبَطون</w:t>
            </w:r>
          </w:p>
        </w:tc>
        <w:tc>
          <w:tcPr>
            <w:tcW w:w="1073" w:type="dxa"/>
            <w:shd w:val="clear" w:color="auto" w:fill="auto"/>
            <w:noWrap/>
            <w:hideMark/>
          </w:tcPr>
          <w:p w14:paraId="34930ED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270 1</w:t>
            </w:r>
          </w:p>
        </w:tc>
        <w:tc>
          <w:tcPr>
            <w:tcW w:w="1080" w:type="dxa"/>
            <w:shd w:val="clear" w:color="auto" w:fill="auto"/>
            <w:noWrap/>
            <w:hideMark/>
          </w:tcPr>
          <w:p w14:paraId="08ADBB68"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285 1</w:t>
            </w:r>
          </w:p>
        </w:tc>
        <w:tc>
          <w:tcPr>
            <w:tcW w:w="1073" w:type="dxa"/>
            <w:shd w:val="clear" w:color="auto" w:fill="auto"/>
            <w:noWrap/>
            <w:hideMark/>
          </w:tcPr>
          <w:p w14:paraId="0BFB421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309 1</w:t>
            </w:r>
          </w:p>
        </w:tc>
        <w:tc>
          <w:tcPr>
            <w:tcW w:w="1073" w:type="dxa"/>
            <w:shd w:val="clear" w:color="auto" w:fill="auto"/>
            <w:noWrap/>
            <w:hideMark/>
          </w:tcPr>
          <w:p w14:paraId="41229CB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316 1</w:t>
            </w:r>
          </w:p>
        </w:tc>
        <w:tc>
          <w:tcPr>
            <w:tcW w:w="1073" w:type="dxa"/>
            <w:shd w:val="clear" w:color="auto" w:fill="auto"/>
            <w:noWrap/>
            <w:hideMark/>
          </w:tcPr>
          <w:p w14:paraId="67E2A25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323 1</w:t>
            </w:r>
          </w:p>
        </w:tc>
      </w:tr>
      <w:tr w:rsidR="00803069" w:rsidRPr="000D5B62" w14:paraId="78EFB600" w14:textId="77777777" w:rsidTr="00D8475F">
        <w:tc>
          <w:tcPr>
            <w:tcW w:w="3532" w:type="dxa"/>
            <w:shd w:val="clear" w:color="auto" w:fill="auto"/>
            <w:noWrap/>
            <w:hideMark/>
          </w:tcPr>
          <w:p w14:paraId="399DFFEB"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فئات أخرى (غير ناشطين اقتصاديا)</w:t>
            </w:r>
          </w:p>
        </w:tc>
        <w:tc>
          <w:tcPr>
            <w:tcW w:w="1073" w:type="dxa"/>
            <w:shd w:val="clear" w:color="auto" w:fill="auto"/>
            <w:noWrap/>
            <w:hideMark/>
          </w:tcPr>
          <w:p w14:paraId="7D6FBEF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512 7</w:t>
            </w:r>
          </w:p>
        </w:tc>
        <w:tc>
          <w:tcPr>
            <w:tcW w:w="1080" w:type="dxa"/>
            <w:shd w:val="clear" w:color="auto" w:fill="auto"/>
            <w:noWrap/>
            <w:hideMark/>
          </w:tcPr>
          <w:p w14:paraId="42FF3AA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586 7</w:t>
            </w:r>
          </w:p>
        </w:tc>
        <w:tc>
          <w:tcPr>
            <w:tcW w:w="1073" w:type="dxa"/>
            <w:shd w:val="clear" w:color="auto" w:fill="auto"/>
            <w:noWrap/>
            <w:hideMark/>
          </w:tcPr>
          <w:p w14:paraId="547A79A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443 7</w:t>
            </w:r>
          </w:p>
        </w:tc>
        <w:tc>
          <w:tcPr>
            <w:tcW w:w="1073" w:type="dxa"/>
            <w:shd w:val="clear" w:color="auto" w:fill="auto"/>
            <w:noWrap/>
            <w:hideMark/>
          </w:tcPr>
          <w:p w14:paraId="799ACD97"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550 7</w:t>
            </w:r>
          </w:p>
        </w:tc>
        <w:tc>
          <w:tcPr>
            <w:tcW w:w="1073" w:type="dxa"/>
            <w:shd w:val="clear" w:color="auto" w:fill="auto"/>
            <w:noWrap/>
            <w:hideMark/>
          </w:tcPr>
          <w:p w14:paraId="42CE21B3"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438 7</w:t>
            </w:r>
          </w:p>
        </w:tc>
      </w:tr>
      <w:tr w:rsidR="00803069" w:rsidRPr="000D5B62" w14:paraId="263955FF" w14:textId="77777777" w:rsidTr="00D8475F">
        <w:tc>
          <w:tcPr>
            <w:tcW w:w="3532" w:type="dxa"/>
            <w:shd w:val="clear" w:color="auto" w:fill="auto"/>
            <w:noWrap/>
            <w:hideMark/>
          </w:tcPr>
          <w:p w14:paraId="1F26265F" w14:textId="436D38D4" w:rsidR="00803069" w:rsidRPr="000D5B62" w:rsidRDefault="00803069" w:rsidP="00136F05">
            <w:pPr>
              <w:spacing w:before="40" w:after="40" w:line="300" w:lineRule="exact"/>
              <w:ind w:right="113"/>
              <w:textDirection w:val="tbRlV"/>
              <w:rPr>
                <w:rFonts w:eastAsiaTheme="minorEastAsia"/>
                <w:b/>
                <w:bCs/>
                <w:szCs w:val="20"/>
                <w:lang w:val="ar-SA" w:eastAsia="zh-TW" w:bidi="en-GB"/>
              </w:rPr>
            </w:pPr>
            <w:r w:rsidRPr="000D5B62">
              <w:rPr>
                <w:rFonts w:eastAsiaTheme="minorEastAsia"/>
                <w:b/>
                <w:bCs/>
                <w:szCs w:val="20"/>
                <w:rtl/>
              </w:rPr>
              <w:t xml:space="preserve">المعدلات </w:t>
            </w:r>
            <w:r w:rsidR="008B0906" w:rsidRPr="000D5B62">
              <w:rPr>
                <w:rFonts w:eastAsiaTheme="minorEastAsia" w:hint="cs"/>
                <w:b/>
                <w:bCs/>
                <w:szCs w:val="20"/>
                <w:rtl/>
              </w:rPr>
              <w:t>(</w:t>
            </w:r>
            <w:r w:rsidR="008B0906" w:rsidRPr="000D5B62">
              <w:rPr>
                <w:rFonts w:eastAsiaTheme="minorEastAsia"/>
                <w:b/>
                <w:bCs/>
                <w:szCs w:val="20"/>
                <w:rtl/>
              </w:rPr>
              <w:t>٪</w:t>
            </w:r>
            <w:r w:rsidR="008B0906" w:rsidRPr="000D5B62">
              <w:rPr>
                <w:rFonts w:eastAsiaTheme="minorEastAsia" w:hint="cs"/>
                <w:b/>
                <w:bCs/>
                <w:szCs w:val="20"/>
                <w:rtl/>
              </w:rPr>
              <w:t>)</w:t>
            </w:r>
          </w:p>
        </w:tc>
        <w:tc>
          <w:tcPr>
            <w:tcW w:w="1073" w:type="dxa"/>
            <w:shd w:val="clear" w:color="auto" w:fill="auto"/>
            <w:noWrap/>
            <w:hideMark/>
          </w:tcPr>
          <w:p w14:paraId="159AD478"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80" w:type="dxa"/>
            <w:shd w:val="clear" w:color="auto" w:fill="auto"/>
            <w:noWrap/>
            <w:hideMark/>
          </w:tcPr>
          <w:p w14:paraId="6FD5BDC8"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75DE98B7"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77959671"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40B977E5" w14:textId="77777777" w:rsidR="00803069" w:rsidRPr="000D5B62" w:rsidRDefault="00803069" w:rsidP="00136F05">
            <w:pPr>
              <w:spacing w:before="40" w:after="40" w:line="300" w:lineRule="exact"/>
              <w:jc w:val="left"/>
              <w:rPr>
                <w:rFonts w:eastAsiaTheme="minorEastAsia"/>
                <w:szCs w:val="20"/>
              </w:rPr>
            </w:pPr>
            <w:r w:rsidRPr="000D5B62">
              <w:rPr>
                <w:rFonts w:eastAsiaTheme="minorEastAsia"/>
                <w:szCs w:val="20"/>
              </w:rPr>
              <w:t xml:space="preserve"> </w:t>
            </w:r>
          </w:p>
        </w:tc>
      </w:tr>
      <w:tr w:rsidR="00803069" w:rsidRPr="000D5B62" w14:paraId="38A3658B" w14:textId="77777777" w:rsidTr="00D8475F">
        <w:tc>
          <w:tcPr>
            <w:tcW w:w="3532" w:type="dxa"/>
            <w:shd w:val="clear" w:color="auto" w:fill="auto"/>
            <w:noWrap/>
            <w:hideMark/>
          </w:tcPr>
          <w:p w14:paraId="00A4EE42"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معدل البطالة</w:t>
            </w:r>
          </w:p>
        </w:tc>
        <w:tc>
          <w:tcPr>
            <w:tcW w:w="1073" w:type="dxa"/>
            <w:shd w:val="clear" w:color="auto" w:fill="auto"/>
            <w:noWrap/>
            <w:hideMark/>
          </w:tcPr>
          <w:p w14:paraId="52550C8D"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26,7</w:t>
            </w:r>
          </w:p>
        </w:tc>
        <w:tc>
          <w:tcPr>
            <w:tcW w:w="1080" w:type="dxa"/>
            <w:shd w:val="clear" w:color="auto" w:fill="auto"/>
            <w:noWrap/>
            <w:hideMark/>
          </w:tcPr>
          <w:p w14:paraId="23CF6E5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27,2</w:t>
            </w:r>
          </w:p>
        </w:tc>
        <w:tc>
          <w:tcPr>
            <w:tcW w:w="1073" w:type="dxa"/>
            <w:shd w:val="clear" w:color="auto" w:fill="auto"/>
            <w:noWrap/>
            <w:hideMark/>
          </w:tcPr>
          <w:p w14:paraId="67C9D5B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27,7</w:t>
            </w:r>
          </w:p>
        </w:tc>
        <w:tc>
          <w:tcPr>
            <w:tcW w:w="1073" w:type="dxa"/>
            <w:shd w:val="clear" w:color="auto" w:fill="auto"/>
            <w:noWrap/>
            <w:hideMark/>
          </w:tcPr>
          <w:p w14:paraId="451928A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29,1</w:t>
            </w:r>
          </w:p>
        </w:tc>
        <w:tc>
          <w:tcPr>
            <w:tcW w:w="1073" w:type="dxa"/>
            <w:shd w:val="clear" w:color="auto" w:fill="auto"/>
            <w:noWrap/>
            <w:hideMark/>
          </w:tcPr>
          <w:p w14:paraId="7139273E"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29,6</w:t>
            </w:r>
          </w:p>
        </w:tc>
      </w:tr>
      <w:tr w:rsidR="00803069" w:rsidRPr="000D5B62" w14:paraId="4AC9C32A" w14:textId="77777777" w:rsidTr="00D8475F">
        <w:tc>
          <w:tcPr>
            <w:tcW w:w="3532" w:type="dxa"/>
            <w:shd w:val="clear" w:color="auto" w:fill="auto"/>
            <w:noWrap/>
            <w:hideMark/>
          </w:tcPr>
          <w:p w14:paraId="6F7B4E40" w14:textId="77777777" w:rsidR="00803069" w:rsidRPr="000D5B62" w:rsidRDefault="00803069" w:rsidP="00136F05">
            <w:pPr>
              <w:spacing w:before="40" w:after="40" w:line="300" w:lineRule="exact"/>
              <w:ind w:right="113"/>
              <w:textDirection w:val="tbRlV"/>
              <w:rPr>
                <w:rFonts w:eastAsiaTheme="minorEastAsia"/>
                <w:spacing w:val="-4"/>
                <w:szCs w:val="20"/>
                <w:lang w:val="ar-SA" w:eastAsia="zh-TW" w:bidi="en-GB"/>
              </w:rPr>
            </w:pPr>
            <w:r w:rsidRPr="000D5B62">
              <w:rPr>
                <w:rFonts w:eastAsiaTheme="minorEastAsia"/>
                <w:spacing w:val="-4"/>
                <w:szCs w:val="20"/>
                <w:rtl/>
              </w:rPr>
              <w:t>نسبة المستخدَمين إلى السكان (الاستيعاب)</w:t>
            </w:r>
          </w:p>
        </w:tc>
        <w:tc>
          <w:tcPr>
            <w:tcW w:w="1073" w:type="dxa"/>
            <w:shd w:val="clear" w:color="auto" w:fill="auto"/>
            <w:noWrap/>
            <w:hideMark/>
          </w:tcPr>
          <w:p w14:paraId="6875D566"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36,9</w:t>
            </w:r>
          </w:p>
        </w:tc>
        <w:tc>
          <w:tcPr>
            <w:tcW w:w="1080" w:type="dxa"/>
            <w:shd w:val="clear" w:color="auto" w:fill="auto"/>
            <w:noWrap/>
            <w:hideMark/>
          </w:tcPr>
          <w:p w14:paraId="0B88967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36,9</w:t>
            </w:r>
          </w:p>
        </w:tc>
        <w:tc>
          <w:tcPr>
            <w:tcW w:w="1073" w:type="dxa"/>
            <w:shd w:val="clear" w:color="auto" w:fill="auto"/>
            <w:noWrap/>
            <w:hideMark/>
          </w:tcPr>
          <w:p w14:paraId="120199CB"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37,7</w:t>
            </w:r>
          </w:p>
        </w:tc>
        <w:tc>
          <w:tcPr>
            <w:tcW w:w="1073" w:type="dxa"/>
            <w:shd w:val="clear" w:color="auto" w:fill="auto"/>
            <w:noWrap/>
            <w:hideMark/>
          </w:tcPr>
          <w:p w14:paraId="6275C18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37,0</w:t>
            </w:r>
          </w:p>
        </w:tc>
        <w:tc>
          <w:tcPr>
            <w:tcW w:w="1073" w:type="dxa"/>
            <w:shd w:val="clear" w:color="auto" w:fill="auto"/>
            <w:noWrap/>
            <w:hideMark/>
          </w:tcPr>
          <w:p w14:paraId="5A8F695C"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37,7</w:t>
            </w:r>
          </w:p>
        </w:tc>
      </w:tr>
      <w:tr w:rsidR="00803069" w:rsidRPr="000D5B62" w14:paraId="2DA05922" w14:textId="77777777" w:rsidTr="00D8475F">
        <w:tc>
          <w:tcPr>
            <w:tcW w:w="3532" w:type="dxa"/>
            <w:shd w:val="clear" w:color="auto" w:fill="auto"/>
            <w:noWrap/>
            <w:hideMark/>
          </w:tcPr>
          <w:p w14:paraId="39510CCE" w14:textId="77777777" w:rsidR="00803069" w:rsidRPr="000D5B62" w:rsidRDefault="00803069" w:rsidP="00136F05">
            <w:pPr>
              <w:spacing w:before="40" w:after="40" w:line="300" w:lineRule="exact"/>
              <w:ind w:right="113"/>
              <w:textDirection w:val="tbRlV"/>
              <w:rPr>
                <w:rFonts w:eastAsiaTheme="minorEastAsia"/>
                <w:szCs w:val="20"/>
                <w:lang w:val="ar-SA" w:eastAsia="zh-TW" w:bidi="en-GB"/>
              </w:rPr>
            </w:pPr>
            <w:r w:rsidRPr="000D5B62">
              <w:rPr>
                <w:rFonts w:eastAsiaTheme="minorEastAsia"/>
                <w:szCs w:val="20"/>
                <w:rtl/>
              </w:rPr>
              <w:t>معدل المشاركة في القوى العاملة</w:t>
            </w:r>
          </w:p>
        </w:tc>
        <w:tc>
          <w:tcPr>
            <w:tcW w:w="1073" w:type="dxa"/>
            <w:shd w:val="clear" w:color="auto" w:fill="auto"/>
            <w:noWrap/>
            <w:hideMark/>
          </w:tcPr>
          <w:p w14:paraId="75651FE9"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50,4</w:t>
            </w:r>
          </w:p>
        </w:tc>
        <w:tc>
          <w:tcPr>
            <w:tcW w:w="1080" w:type="dxa"/>
            <w:shd w:val="clear" w:color="auto" w:fill="auto"/>
            <w:noWrap/>
            <w:hideMark/>
          </w:tcPr>
          <w:p w14:paraId="43862F1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50,7</w:t>
            </w:r>
          </w:p>
        </w:tc>
        <w:tc>
          <w:tcPr>
            <w:tcW w:w="1073" w:type="dxa"/>
            <w:shd w:val="clear" w:color="auto" w:fill="auto"/>
            <w:noWrap/>
            <w:hideMark/>
          </w:tcPr>
          <w:p w14:paraId="0DCA8D4F"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52,1</w:t>
            </w:r>
          </w:p>
        </w:tc>
        <w:tc>
          <w:tcPr>
            <w:tcW w:w="1073" w:type="dxa"/>
            <w:shd w:val="clear" w:color="auto" w:fill="auto"/>
            <w:noWrap/>
            <w:hideMark/>
          </w:tcPr>
          <w:p w14:paraId="2E9BC965"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52,3</w:t>
            </w:r>
          </w:p>
        </w:tc>
        <w:tc>
          <w:tcPr>
            <w:tcW w:w="1073" w:type="dxa"/>
            <w:shd w:val="clear" w:color="auto" w:fill="auto"/>
            <w:noWrap/>
            <w:hideMark/>
          </w:tcPr>
          <w:p w14:paraId="2989FC4A" w14:textId="77777777" w:rsidR="00803069" w:rsidRPr="000D5B62" w:rsidRDefault="00803069" w:rsidP="00136F05">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53,6</w:t>
            </w:r>
          </w:p>
        </w:tc>
      </w:tr>
      <w:tr w:rsidR="00803069" w:rsidRPr="000D5B62" w14:paraId="3FD3077F" w14:textId="77777777" w:rsidTr="00D8475F">
        <w:tc>
          <w:tcPr>
            <w:tcW w:w="3532" w:type="dxa"/>
            <w:shd w:val="clear" w:color="auto" w:fill="auto"/>
            <w:noWrap/>
            <w:hideMark/>
          </w:tcPr>
          <w:p w14:paraId="7B88344E" w14:textId="77777777" w:rsidR="00803069" w:rsidRPr="000D5B62" w:rsidRDefault="00803069" w:rsidP="0035195D">
            <w:pPr>
              <w:spacing w:before="40" w:after="40" w:line="280" w:lineRule="exact"/>
              <w:ind w:right="113"/>
              <w:textDirection w:val="tbRlV"/>
              <w:rPr>
                <w:rFonts w:eastAsiaTheme="minorEastAsia"/>
                <w:b/>
                <w:szCs w:val="20"/>
                <w:lang w:eastAsia="zh-TW" w:bidi="en-GB"/>
              </w:rPr>
            </w:pPr>
            <w:r w:rsidRPr="000D5B62">
              <w:rPr>
                <w:rFonts w:eastAsiaTheme="minorEastAsia"/>
                <w:b/>
                <w:bCs/>
                <w:szCs w:val="20"/>
                <w:rtl/>
              </w:rPr>
              <w:t>الرجال</w:t>
            </w:r>
          </w:p>
        </w:tc>
        <w:tc>
          <w:tcPr>
            <w:tcW w:w="1073" w:type="dxa"/>
            <w:shd w:val="clear" w:color="auto" w:fill="auto"/>
            <w:noWrap/>
            <w:hideMark/>
          </w:tcPr>
          <w:p w14:paraId="334B9510"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80" w:type="dxa"/>
            <w:shd w:val="clear" w:color="auto" w:fill="auto"/>
            <w:noWrap/>
            <w:hideMark/>
          </w:tcPr>
          <w:p w14:paraId="75A2630C"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71BEB433"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3C13F7A6"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65105D2A"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r>
      <w:tr w:rsidR="00803069" w:rsidRPr="000D5B62" w14:paraId="20F96964" w14:textId="77777777" w:rsidTr="00D8475F">
        <w:tc>
          <w:tcPr>
            <w:tcW w:w="3532" w:type="dxa"/>
            <w:shd w:val="clear" w:color="auto" w:fill="auto"/>
            <w:noWrap/>
            <w:hideMark/>
          </w:tcPr>
          <w:p w14:paraId="1DD37AEA"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السكان ما بين 15 و64 عاماً من العمر</w:t>
            </w:r>
          </w:p>
        </w:tc>
        <w:tc>
          <w:tcPr>
            <w:tcW w:w="1073" w:type="dxa"/>
            <w:shd w:val="clear" w:color="auto" w:fill="auto"/>
            <w:noWrap/>
            <w:hideMark/>
          </w:tcPr>
          <w:p w14:paraId="551F2C7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088 17</w:t>
            </w:r>
          </w:p>
        </w:tc>
        <w:tc>
          <w:tcPr>
            <w:tcW w:w="1080" w:type="dxa"/>
            <w:shd w:val="clear" w:color="auto" w:fill="auto"/>
            <w:noWrap/>
            <w:hideMark/>
          </w:tcPr>
          <w:p w14:paraId="27F89ED4"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424 17</w:t>
            </w:r>
          </w:p>
        </w:tc>
        <w:tc>
          <w:tcPr>
            <w:tcW w:w="1073" w:type="dxa"/>
            <w:shd w:val="clear" w:color="auto" w:fill="auto"/>
            <w:noWrap/>
            <w:hideMark/>
          </w:tcPr>
          <w:p w14:paraId="07F1F234"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762 17</w:t>
            </w:r>
          </w:p>
        </w:tc>
        <w:tc>
          <w:tcPr>
            <w:tcW w:w="1073" w:type="dxa"/>
            <w:shd w:val="clear" w:color="auto" w:fill="auto"/>
            <w:noWrap/>
            <w:hideMark/>
          </w:tcPr>
          <w:p w14:paraId="67E5576E"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102 18</w:t>
            </w:r>
          </w:p>
        </w:tc>
        <w:tc>
          <w:tcPr>
            <w:tcW w:w="1073" w:type="dxa"/>
            <w:shd w:val="clear" w:color="auto" w:fill="auto"/>
            <w:noWrap/>
            <w:hideMark/>
          </w:tcPr>
          <w:p w14:paraId="64580D0C"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429 18</w:t>
            </w:r>
          </w:p>
        </w:tc>
      </w:tr>
      <w:tr w:rsidR="00803069" w:rsidRPr="000D5B62" w14:paraId="27999722" w14:textId="77777777" w:rsidTr="00D8475F">
        <w:tc>
          <w:tcPr>
            <w:tcW w:w="3532" w:type="dxa"/>
            <w:shd w:val="clear" w:color="auto" w:fill="auto"/>
            <w:noWrap/>
            <w:hideMark/>
          </w:tcPr>
          <w:p w14:paraId="1B4CE79D"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القوى العاملة</w:t>
            </w:r>
          </w:p>
        </w:tc>
        <w:tc>
          <w:tcPr>
            <w:tcW w:w="1073" w:type="dxa"/>
            <w:shd w:val="clear" w:color="auto" w:fill="auto"/>
            <w:noWrap/>
            <w:hideMark/>
          </w:tcPr>
          <w:p w14:paraId="705E340B"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832 10</w:t>
            </w:r>
          </w:p>
        </w:tc>
        <w:tc>
          <w:tcPr>
            <w:tcW w:w="1080" w:type="dxa"/>
            <w:shd w:val="clear" w:color="auto" w:fill="auto"/>
            <w:noWrap/>
            <w:hideMark/>
          </w:tcPr>
          <w:p w14:paraId="68FF8B2C"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101 11</w:t>
            </w:r>
          </w:p>
        </w:tc>
        <w:tc>
          <w:tcPr>
            <w:tcW w:w="1073" w:type="dxa"/>
            <w:shd w:val="clear" w:color="auto" w:fill="auto"/>
            <w:noWrap/>
            <w:hideMark/>
          </w:tcPr>
          <w:p w14:paraId="2E8AF68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563 11</w:t>
            </w:r>
          </w:p>
        </w:tc>
        <w:tc>
          <w:tcPr>
            <w:tcW w:w="1073" w:type="dxa"/>
            <w:shd w:val="clear" w:color="auto" w:fill="auto"/>
            <w:noWrap/>
            <w:hideMark/>
          </w:tcPr>
          <w:p w14:paraId="2420167F"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832 11</w:t>
            </w:r>
          </w:p>
        </w:tc>
        <w:tc>
          <w:tcPr>
            <w:tcW w:w="1073" w:type="dxa"/>
            <w:shd w:val="clear" w:color="auto" w:fill="auto"/>
            <w:noWrap/>
            <w:hideMark/>
          </w:tcPr>
          <w:p w14:paraId="7E0BD93B"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185 12</w:t>
            </w:r>
          </w:p>
        </w:tc>
      </w:tr>
      <w:tr w:rsidR="00803069" w:rsidRPr="000D5B62" w14:paraId="4BBEC6FF" w14:textId="77777777" w:rsidTr="00D8475F">
        <w:tc>
          <w:tcPr>
            <w:tcW w:w="3532" w:type="dxa"/>
            <w:shd w:val="clear" w:color="auto" w:fill="auto"/>
            <w:noWrap/>
            <w:hideMark/>
          </w:tcPr>
          <w:p w14:paraId="4A47C001"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المستخدَمون</w:t>
            </w:r>
          </w:p>
        </w:tc>
        <w:tc>
          <w:tcPr>
            <w:tcW w:w="1073" w:type="dxa"/>
            <w:shd w:val="clear" w:color="auto" w:fill="auto"/>
            <w:noWrap/>
            <w:hideMark/>
          </w:tcPr>
          <w:p w14:paraId="3D9DB93C"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327 8</w:t>
            </w:r>
          </w:p>
        </w:tc>
        <w:tc>
          <w:tcPr>
            <w:tcW w:w="1080" w:type="dxa"/>
            <w:shd w:val="clear" w:color="auto" w:fill="auto"/>
            <w:noWrap/>
            <w:hideMark/>
          </w:tcPr>
          <w:p w14:paraId="66D80896"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513 8</w:t>
            </w:r>
          </w:p>
        </w:tc>
        <w:tc>
          <w:tcPr>
            <w:tcW w:w="1073" w:type="dxa"/>
            <w:shd w:val="clear" w:color="auto" w:fill="auto"/>
            <w:noWrap/>
            <w:hideMark/>
          </w:tcPr>
          <w:p w14:paraId="08CE61E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859 8</w:t>
            </w:r>
          </w:p>
        </w:tc>
        <w:tc>
          <w:tcPr>
            <w:tcW w:w="1073" w:type="dxa"/>
            <w:shd w:val="clear" w:color="auto" w:fill="auto"/>
            <w:noWrap/>
            <w:hideMark/>
          </w:tcPr>
          <w:p w14:paraId="708D79C1"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906 8</w:t>
            </w:r>
          </w:p>
        </w:tc>
        <w:tc>
          <w:tcPr>
            <w:tcW w:w="1073" w:type="dxa"/>
            <w:shd w:val="clear" w:color="auto" w:fill="auto"/>
            <w:noWrap/>
            <w:hideMark/>
          </w:tcPr>
          <w:p w14:paraId="7E84E7D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055 9</w:t>
            </w:r>
          </w:p>
        </w:tc>
      </w:tr>
      <w:tr w:rsidR="00803069" w:rsidRPr="000D5B62" w14:paraId="29A73D79" w14:textId="77777777" w:rsidTr="00D8475F">
        <w:tc>
          <w:tcPr>
            <w:tcW w:w="3532" w:type="dxa"/>
            <w:shd w:val="clear" w:color="auto" w:fill="auto"/>
            <w:noWrap/>
            <w:hideMark/>
          </w:tcPr>
          <w:p w14:paraId="70E4FEC6"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القطاع غير النظامي (غير الزراعي)</w:t>
            </w:r>
          </w:p>
        </w:tc>
        <w:tc>
          <w:tcPr>
            <w:tcW w:w="1073" w:type="dxa"/>
            <w:shd w:val="clear" w:color="auto" w:fill="auto"/>
            <w:noWrap/>
            <w:hideMark/>
          </w:tcPr>
          <w:p w14:paraId="1C0EDF7A"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412 1</w:t>
            </w:r>
          </w:p>
        </w:tc>
        <w:tc>
          <w:tcPr>
            <w:tcW w:w="1080" w:type="dxa"/>
            <w:shd w:val="clear" w:color="auto" w:fill="auto"/>
            <w:noWrap/>
            <w:hideMark/>
          </w:tcPr>
          <w:p w14:paraId="01A01461"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455 1</w:t>
            </w:r>
          </w:p>
        </w:tc>
        <w:tc>
          <w:tcPr>
            <w:tcW w:w="1073" w:type="dxa"/>
            <w:shd w:val="clear" w:color="auto" w:fill="auto"/>
            <w:noWrap/>
            <w:hideMark/>
          </w:tcPr>
          <w:p w14:paraId="753A8488"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630 1</w:t>
            </w:r>
          </w:p>
        </w:tc>
        <w:tc>
          <w:tcPr>
            <w:tcW w:w="1073" w:type="dxa"/>
            <w:shd w:val="clear" w:color="auto" w:fill="auto"/>
            <w:noWrap/>
            <w:hideMark/>
          </w:tcPr>
          <w:p w14:paraId="60FB578E"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634 1</w:t>
            </w:r>
          </w:p>
        </w:tc>
        <w:tc>
          <w:tcPr>
            <w:tcW w:w="1073" w:type="dxa"/>
            <w:shd w:val="clear" w:color="auto" w:fill="auto"/>
            <w:noWrap/>
            <w:hideMark/>
          </w:tcPr>
          <w:p w14:paraId="255ADB99"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688 1</w:t>
            </w:r>
          </w:p>
        </w:tc>
      </w:tr>
      <w:tr w:rsidR="00803069" w:rsidRPr="000D5B62" w14:paraId="46F488BE" w14:textId="77777777" w:rsidTr="00D8475F">
        <w:tc>
          <w:tcPr>
            <w:tcW w:w="3532" w:type="dxa"/>
            <w:shd w:val="clear" w:color="auto" w:fill="auto"/>
            <w:noWrap/>
            <w:hideMark/>
          </w:tcPr>
          <w:p w14:paraId="0FEE09FA" w14:textId="77777777" w:rsidR="00803069" w:rsidRPr="000D5B62" w:rsidRDefault="00803069" w:rsidP="0035195D">
            <w:pPr>
              <w:spacing w:before="40" w:after="40" w:line="280" w:lineRule="exact"/>
              <w:ind w:right="113"/>
              <w:textDirection w:val="tbRlV"/>
              <w:rPr>
                <w:rFonts w:eastAsiaTheme="minorEastAsia"/>
                <w:szCs w:val="20"/>
                <w:lang w:eastAsia="zh-TW" w:bidi="en-GB"/>
              </w:rPr>
            </w:pPr>
            <w:r w:rsidRPr="000D5B62">
              <w:rPr>
                <w:rFonts w:eastAsiaTheme="minorEastAsia"/>
                <w:szCs w:val="20"/>
                <w:rtl/>
              </w:rPr>
              <w:t>الزراعة</w:t>
            </w:r>
          </w:p>
        </w:tc>
        <w:tc>
          <w:tcPr>
            <w:tcW w:w="1073" w:type="dxa"/>
            <w:shd w:val="clear" w:color="auto" w:fill="auto"/>
            <w:noWrap/>
            <w:hideMark/>
          </w:tcPr>
          <w:p w14:paraId="3A01661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510</w:t>
            </w:r>
          </w:p>
        </w:tc>
        <w:tc>
          <w:tcPr>
            <w:tcW w:w="1080" w:type="dxa"/>
            <w:shd w:val="clear" w:color="auto" w:fill="auto"/>
            <w:noWrap/>
            <w:hideMark/>
          </w:tcPr>
          <w:p w14:paraId="62B5F83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488</w:t>
            </w:r>
          </w:p>
        </w:tc>
        <w:tc>
          <w:tcPr>
            <w:tcW w:w="1073" w:type="dxa"/>
            <w:shd w:val="clear" w:color="auto" w:fill="auto"/>
            <w:noWrap/>
            <w:hideMark/>
          </w:tcPr>
          <w:p w14:paraId="79FF2AFE"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587</w:t>
            </w:r>
          </w:p>
        </w:tc>
        <w:tc>
          <w:tcPr>
            <w:tcW w:w="1073" w:type="dxa"/>
            <w:shd w:val="clear" w:color="auto" w:fill="auto"/>
            <w:noWrap/>
            <w:hideMark/>
          </w:tcPr>
          <w:p w14:paraId="4D213F2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607</w:t>
            </w:r>
          </w:p>
        </w:tc>
        <w:tc>
          <w:tcPr>
            <w:tcW w:w="1073" w:type="dxa"/>
            <w:shd w:val="clear" w:color="auto" w:fill="auto"/>
            <w:noWrap/>
            <w:hideMark/>
          </w:tcPr>
          <w:p w14:paraId="0F80457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577</w:t>
            </w:r>
          </w:p>
        </w:tc>
      </w:tr>
      <w:tr w:rsidR="00803069" w:rsidRPr="000D5B62" w14:paraId="25F2DD64" w14:textId="77777777" w:rsidTr="00D8475F">
        <w:tc>
          <w:tcPr>
            <w:tcW w:w="3532" w:type="dxa"/>
            <w:shd w:val="clear" w:color="auto" w:fill="auto"/>
            <w:noWrap/>
            <w:hideMark/>
          </w:tcPr>
          <w:p w14:paraId="2E2EBD90"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الأسر المعيشية الخاصة</w:t>
            </w:r>
          </w:p>
        </w:tc>
        <w:tc>
          <w:tcPr>
            <w:tcW w:w="1073" w:type="dxa"/>
            <w:shd w:val="clear" w:color="auto" w:fill="auto"/>
            <w:noWrap/>
            <w:hideMark/>
          </w:tcPr>
          <w:p w14:paraId="522AFD4D"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249</w:t>
            </w:r>
          </w:p>
        </w:tc>
        <w:tc>
          <w:tcPr>
            <w:tcW w:w="1080" w:type="dxa"/>
            <w:shd w:val="clear" w:color="auto" w:fill="auto"/>
            <w:noWrap/>
            <w:hideMark/>
          </w:tcPr>
          <w:p w14:paraId="5644517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261</w:t>
            </w:r>
          </w:p>
        </w:tc>
        <w:tc>
          <w:tcPr>
            <w:tcW w:w="1073" w:type="dxa"/>
            <w:shd w:val="clear" w:color="auto" w:fill="auto"/>
            <w:noWrap/>
            <w:hideMark/>
          </w:tcPr>
          <w:p w14:paraId="15F5D138"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283</w:t>
            </w:r>
          </w:p>
        </w:tc>
        <w:tc>
          <w:tcPr>
            <w:tcW w:w="1073" w:type="dxa"/>
            <w:shd w:val="clear" w:color="auto" w:fill="auto"/>
            <w:noWrap/>
            <w:hideMark/>
          </w:tcPr>
          <w:p w14:paraId="12681169"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301</w:t>
            </w:r>
          </w:p>
        </w:tc>
        <w:tc>
          <w:tcPr>
            <w:tcW w:w="1073" w:type="dxa"/>
            <w:shd w:val="clear" w:color="auto" w:fill="auto"/>
            <w:noWrap/>
            <w:hideMark/>
          </w:tcPr>
          <w:p w14:paraId="3D70A83C"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299</w:t>
            </w:r>
          </w:p>
        </w:tc>
      </w:tr>
      <w:tr w:rsidR="00803069" w:rsidRPr="000D5B62" w14:paraId="112A6675" w14:textId="77777777" w:rsidTr="00D8475F">
        <w:tc>
          <w:tcPr>
            <w:tcW w:w="3532" w:type="dxa"/>
            <w:shd w:val="clear" w:color="auto" w:fill="auto"/>
            <w:noWrap/>
            <w:hideMark/>
          </w:tcPr>
          <w:p w14:paraId="712405C4"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العاطلون</w:t>
            </w:r>
          </w:p>
        </w:tc>
        <w:tc>
          <w:tcPr>
            <w:tcW w:w="1073" w:type="dxa"/>
            <w:shd w:val="clear" w:color="auto" w:fill="auto"/>
            <w:noWrap/>
            <w:hideMark/>
          </w:tcPr>
          <w:p w14:paraId="0DFE1223"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505 2</w:t>
            </w:r>
          </w:p>
        </w:tc>
        <w:tc>
          <w:tcPr>
            <w:tcW w:w="1080" w:type="dxa"/>
            <w:shd w:val="clear" w:color="auto" w:fill="auto"/>
            <w:noWrap/>
            <w:hideMark/>
          </w:tcPr>
          <w:p w14:paraId="670A8BC6"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589 2</w:t>
            </w:r>
          </w:p>
        </w:tc>
        <w:tc>
          <w:tcPr>
            <w:tcW w:w="1073" w:type="dxa"/>
            <w:shd w:val="clear" w:color="auto" w:fill="auto"/>
            <w:noWrap/>
            <w:hideMark/>
          </w:tcPr>
          <w:p w14:paraId="1AA11A93"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704 2</w:t>
            </w:r>
          </w:p>
        </w:tc>
        <w:tc>
          <w:tcPr>
            <w:tcW w:w="1073" w:type="dxa"/>
            <w:shd w:val="clear" w:color="auto" w:fill="auto"/>
            <w:noWrap/>
            <w:hideMark/>
          </w:tcPr>
          <w:p w14:paraId="3185459B"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926 2</w:t>
            </w:r>
          </w:p>
        </w:tc>
        <w:tc>
          <w:tcPr>
            <w:tcW w:w="1073" w:type="dxa"/>
            <w:shd w:val="clear" w:color="auto" w:fill="auto"/>
            <w:noWrap/>
            <w:hideMark/>
          </w:tcPr>
          <w:p w14:paraId="60CC1ABB"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130 3</w:t>
            </w:r>
          </w:p>
        </w:tc>
      </w:tr>
      <w:tr w:rsidR="00803069" w:rsidRPr="000D5B62" w14:paraId="45D4B530" w14:textId="77777777" w:rsidTr="00D8475F">
        <w:tc>
          <w:tcPr>
            <w:tcW w:w="3532" w:type="dxa"/>
            <w:shd w:val="clear" w:color="auto" w:fill="auto"/>
            <w:noWrap/>
            <w:hideMark/>
          </w:tcPr>
          <w:p w14:paraId="22A946E9"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غير الناشطين اقتصادياً</w:t>
            </w:r>
          </w:p>
        </w:tc>
        <w:tc>
          <w:tcPr>
            <w:tcW w:w="1073" w:type="dxa"/>
            <w:shd w:val="clear" w:color="auto" w:fill="auto"/>
            <w:noWrap/>
            <w:hideMark/>
          </w:tcPr>
          <w:p w14:paraId="53121928"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256 6</w:t>
            </w:r>
          </w:p>
        </w:tc>
        <w:tc>
          <w:tcPr>
            <w:tcW w:w="1080" w:type="dxa"/>
            <w:shd w:val="clear" w:color="auto" w:fill="auto"/>
            <w:noWrap/>
            <w:hideMark/>
          </w:tcPr>
          <w:p w14:paraId="785BFC6E"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323 6</w:t>
            </w:r>
          </w:p>
        </w:tc>
        <w:tc>
          <w:tcPr>
            <w:tcW w:w="1073" w:type="dxa"/>
            <w:shd w:val="clear" w:color="auto" w:fill="auto"/>
            <w:noWrap/>
            <w:hideMark/>
          </w:tcPr>
          <w:p w14:paraId="7BEFED3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199 6</w:t>
            </w:r>
          </w:p>
        </w:tc>
        <w:tc>
          <w:tcPr>
            <w:tcW w:w="1073" w:type="dxa"/>
            <w:shd w:val="clear" w:color="auto" w:fill="auto"/>
            <w:noWrap/>
            <w:hideMark/>
          </w:tcPr>
          <w:p w14:paraId="3E6B339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270 6</w:t>
            </w:r>
          </w:p>
        </w:tc>
        <w:tc>
          <w:tcPr>
            <w:tcW w:w="1073" w:type="dxa"/>
            <w:shd w:val="clear" w:color="auto" w:fill="auto"/>
            <w:noWrap/>
            <w:hideMark/>
          </w:tcPr>
          <w:p w14:paraId="31A5EF29"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245 6</w:t>
            </w:r>
          </w:p>
        </w:tc>
      </w:tr>
      <w:tr w:rsidR="00803069" w:rsidRPr="000D5B62" w14:paraId="04CA0A21" w14:textId="77777777" w:rsidTr="00D8475F">
        <w:tc>
          <w:tcPr>
            <w:tcW w:w="3532" w:type="dxa"/>
            <w:shd w:val="clear" w:color="auto" w:fill="auto"/>
            <w:noWrap/>
            <w:hideMark/>
          </w:tcPr>
          <w:p w14:paraId="0C37BC3F"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الباحثون عن عمل المحبطون</w:t>
            </w:r>
          </w:p>
        </w:tc>
        <w:tc>
          <w:tcPr>
            <w:tcW w:w="1073" w:type="dxa"/>
            <w:shd w:val="clear" w:color="auto" w:fill="auto"/>
            <w:noWrap/>
            <w:hideMark/>
          </w:tcPr>
          <w:p w14:paraId="513D6D24"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061 1</w:t>
            </w:r>
          </w:p>
        </w:tc>
        <w:tc>
          <w:tcPr>
            <w:tcW w:w="1080" w:type="dxa"/>
            <w:shd w:val="clear" w:color="auto" w:fill="auto"/>
            <w:noWrap/>
            <w:hideMark/>
          </w:tcPr>
          <w:p w14:paraId="3C90D705"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137 1</w:t>
            </w:r>
          </w:p>
        </w:tc>
        <w:tc>
          <w:tcPr>
            <w:tcW w:w="1073" w:type="dxa"/>
            <w:shd w:val="clear" w:color="auto" w:fill="auto"/>
            <w:noWrap/>
            <w:hideMark/>
          </w:tcPr>
          <w:p w14:paraId="1B95A599"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025 1</w:t>
            </w:r>
          </w:p>
        </w:tc>
        <w:tc>
          <w:tcPr>
            <w:tcW w:w="1073" w:type="dxa"/>
            <w:shd w:val="clear" w:color="auto" w:fill="auto"/>
            <w:noWrap/>
            <w:hideMark/>
          </w:tcPr>
          <w:p w14:paraId="56FE9CB2"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069 1</w:t>
            </w:r>
          </w:p>
        </w:tc>
        <w:tc>
          <w:tcPr>
            <w:tcW w:w="1073" w:type="dxa"/>
            <w:shd w:val="clear" w:color="auto" w:fill="auto"/>
            <w:noWrap/>
            <w:hideMark/>
          </w:tcPr>
          <w:p w14:paraId="00CE48C3"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080 1</w:t>
            </w:r>
          </w:p>
        </w:tc>
      </w:tr>
      <w:tr w:rsidR="00803069" w:rsidRPr="000D5B62" w14:paraId="696A972C" w14:textId="77777777" w:rsidTr="00D8475F">
        <w:tc>
          <w:tcPr>
            <w:tcW w:w="3532" w:type="dxa"/>
            <w:shd w:val="clear" w:color="auto" w:fill="auto"/>
            <w:noWrap/>
            <w:hideMark/>
          </w:tcPr>
          <w:p w14:paraId="55F34AB0" w14:textId="5C91B3B3"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فئات أخرى (غير ناشطين اقتصاديا</w:t>
            </w:r>
            <w:r w:rsidR="006F382D" w:rsidRPr="000D5B62">
              <w:rPr>
                <w:rFonts w:eastAsiaTheme="minorEastAsia" w:hint="cs"/>
                <w:szCs w:val="20"/>
                <w:rtl/>
              </w:rPr>
              <w:t>ً</w:t>
            </w:r>
            <w:r w:rsidRPr="000D5B62">
              <w:rPr>
                <w:rFonts w:eastAsiaTheme="minorEastAsia"/>
                <w:szCs w:val="20"/>
                <w:rtl/>
              </w:rPr>
              <w:t>)</w:t>
            </w:r>
          </w:p>
        </w:tc>
        <w:tc>
          <w:tcPr>
            <w:tcW w:w="1073" w:type="dxa"/>
            <w:shd w:val="clear" w:color="auto" w:fill="auto"/>
            <w:noWrap/>
            <w:hideMark/>
          </w:tcPr>
          <w:p w14:paraId="718517D6"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195 5</w:t>
            </w:r>
          </w:p>
        </w:tc>
        <w:tc>
          <w:tcPr>
            <w:tcW w:w="1080" w:type="dxa"/>
            <w:shd w:val="clear" w:color="auto" w:fill="auto"/>
            <w:noWrap/>
            <w:hideMark/>
          </w:tcPr>
          <w:p w14:paraId="19F05BCA"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186 5</w:t>
            </w:r>
          </w:p>
        </w:tc>
        <w:tc>
          <w:tcPr>
            <w:tcW w:w="1073" w:type="dxa"/>
            <w:shd w:val="clear" w:color="auto" w:fill="auto"/>
            <w:noWrap/>
            <w:hideMark/>
          </w:tcPr>
          <w:p w14:paraId="34FE0F5A"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174 5</w:t>
            </w:r>
          </w:p>
        </w:tc>
        <w:tc>
          <w:tcPr>
            <w:tcW w:w="1073" w:type="dxa"/>
            <w:shd w:val="clear" w:color="auto" w:fill="auto"/>
            <w:noWrap/>
            <w:hideMark/>
          </w:tcPr>
          <w:p w14:paraId="119FC7AA"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201 5</w:t>
            </w:r>
          </w:p>
        </w:tc>
        <w:tc>
          <w:tcPr>
            <w:tcW w:w="1073" w:type="dxa"/>
            <w:shd w:val="clear" w:color="auto" w:fill="auto"/>
            <w:noWrap/>
            <w:hideMark/>
          </w:tcPr>
          <w:p w14:paraId="39BB81AD"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165 5</w:t>
            </w:r>
          </w:p>
        </w:tc>
      </w:tr>
      <w:tr w:rsidR="00803069" w:rsidRPr="000D5B62" w14:paraId="7C456CF6" w14:textId="77777777" w:rsidTr="00D8475F">
        <w:tc>
          <w:tcPr>
            <w:tcW w:w="3532" w:type="dxa"/>
            <w:shd w:val="clear" w:color="auto" w:fill="auto"/>
            <w:noWrap/>
            <w:hideMark/>
          </w:tcPr>
          <w:p w14:paraId="39365E35" w14:textId="325739C9" w:rsidR="00803069" w:rsidRPr="000D5B62" w:rsidRDefault="00803069" w:rsidP="0035195D">
            <w:pPr>
              <w:spacing w:before="40" w:after="40" w:line="280" w:lineRule="exact"/>
              <w:ind w:right="113"/>
              <w:textDirection w:val="tbRlV"/>
              <w:rPr>
                <w:rFonts w:eastAsiaTheme="minorEastAsia"/>
                <w:b/>
                <w:szCs w:val="20"/>
                <w:lang w:eastAsia="zh-TW" w:bidi="en-GB"/>
              </w:rPr>
            </w:pPr>
            <w:r w:rsidRPr="000D5B62">
              <w:rPr>
                <w:rFonts w:eastAsiaTheme="minorEastAsia"/>
                <w:b/>
                <w:bCs/>
                <w:szCs w:val="20"/>
                <w:rtl/>
              </w:rPr>
              <w:t>المعدلات</w:t>
            </w:r>
            <w:r w:rsidR="008B0906" w:rsidRPr="000D5B62">
              <w:rPr>
                <w:rFonts w:eastAsiaTheme="minorEastAsia" w:hint="cs"/>
                <w:b/>
                <w:bCs/>
                <w:szCs w:val="20"/>
                <w:rtl/>
              </w:rPr>
              <w:t xml:space="preserve"> (</w:t>
            </w:r>
            <w:r w:rsidR="008B0906" w:rsidRPr="000D5B62">
              <w:rPr>
                <w:rFonts w:eastAsiaTheme="minorEastAsia"/>
                <w:szCs w:val="20"/>
                <w:rtl/>
              </w:rPr>
              <w:t>٪</w:t>
            </w:r>
            <w:r w:rsidR="008B0906" w:rsidRPr="000D5B62">
              <w:rPr>
                <w:rFonts w:eastAsiaTheme="minorEastAsia" w:hint="cs"/>
                <w:b/>
                <w:bCs/>
                <w:szCs w:val="20"/>
                <w:rtl/>
              </w:rPr>
              <w:t>)</w:t>
            </w:r>
          </w:p>
        </w:tc>
        <w:tc>
          <w:tcPr>
            <w:tcW w:w="1073" w:type="dxa"/>
            <w:shd w:val="clear" w:color="auto" w:fill="auto"/>
            <w:noWrap/>
            <w:hideMark/>
          </w:tcPr>
          <w:p w14:paraId="75C8EE51"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80" w:type="dxa"/>
            <w:shd w:val="clear" w:color="auto" w:fill="auto"/>
            <w:noWrap/>
            <w:hideMark/>
          </w:tcPr>
          <w:p w14:paraId="386B9C2D"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135342D7"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7C37F96F"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c>
          <w:tcPr>
            <w:tcW w:w="1073" w:type="dxa"/>
            <w:shd w:val="clear" w:color="auto" w:fill="auto"/>
            <w:noWrap/>
            <w:hideMark/>
          </w:tcPr>
          <w:p w14:paraId="0A691488" w14:textId="77777777" w:rsidR="00803069" w:rsidRPr="000D5B62" w:rsidRDefault="00803069" w:rsidP="0035195D">
            <w:pPr>
              <w:spacing w:before="40" w:after="40" w:line="280" w:lineRule="exact"/>
              <w:jc w:val="left"/>
              <w:rPr>
                <w:rFonts w:eastAsiaTheme="minorEastAsia"/>
                <w:szCs w:val="20"/>
              </w:rPr>
            </w:pPr>
            <w:r w:rsidRPr="000D5B62">
              <w:rPr>
                <w:rFonts w:eastAsiaTheme="minorEastAsia"/>
                <w:szCs w:val="20"/>
              </w:rPr>
              <w:t xml:space="preserve"> </w:t>
            </w:r>
          </w:p>
        </w:tc>
      </w:tr>
      <w:tr w:rsidR="00803069" w:rsidRPr="000D5B62" w14:paraId="3A43C33A" w14:textId="77777777" w:rsidTr="00D8475F">
        <w:tc>
          <w:tcPr>
            <w:tcW w:w="3532" w:type="dxa"/>
            <w:shd w:val="clear" w:color="auto" w:fill="auto"/>
            <w:noWrap/>
            <w:hideMark/>
          </w:tcPr>
          <w:p w14:paraId="0E72051E"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معدل البطالة</w:t>
            </w:r>
          </w:p>
        </w:tc>
        <w:tc>
          <w:tcPr>
            <w:tcW w:w="1073" w:type="dxa"/>
            <w:shd w:val="clear" w:color="auto" w:fill="auto"/>
            <w:noWrap/>
            <w:hideMark/>
          </w:tcPr>
          <w:p w14:paraId="473B0B2B"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23,1</w:t>
            </w:r>
          </w:p>
        </w:tc>
        <w:tc>
          <w:tcPr>
            <w:tcW w:w="1080" w:type="dxa"/>
            <w:shd w:val="clear" w:color="auto" w:fill="auto"/>
            <w:noWrap/>
            <w:hideMark/>
          </w:tcPr>
          <w:p w14:paraId="3F283E19"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23,3</w:t>
            </w:r>
          </w:p>
        </w:tc>
        <w:tc>
          <w:tcPr>
            <w:tcW w:w="1073" w:type="dxa"/>
            <w:shd w:val="clear" w:color="auto" w:fill="auto"/>
            <w:noWrap/>
            <w:hideMark/>
          </w:tcPr>
          <w:p w14:paraId="05E317E2"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23,4</w:t>
            </w:r>
          </w:p>
        </w:tc>
        <w:tc>
          <w:tcPr>
            <w:tcW w:w="1073" w:type="dxa"/>
            <w:shd w:val="clear" w:color="auto" w:fill="auto"/>
            <w:noWrap/>
            <w:hideMark/>
          </w:tcPr>
          <w:p w14:paraId="7417E18F"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24,7</w:t>
            </w:r>
          </w:p>
        </w:tc>
        <w:tc>
          <w:tcPr>
            <w:tcW w:w="1073" w:type="dxa"/>
            <w:shd w:val="clear" w:color="auto" w:fill="auto"/>
            <w:noWrap/>
            <w:hideMark/>
          </w:tcPr>
          <w:p w14:paraId="53352E73"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25,7</w:t>
            </w:r>
          </w:p>
        </w:tc>
      </w:tr>
      <w:tr w:rsidR="00803069" w:rsidRPr="000D5B62" w14:paraId="5379FC0E" w14:textId="77777777" w:rsidTr="00D8475F">
        <w:tc>
          <w:tcPr>
            <w:tcW w:w="3532" w:type="dxa"/>
            <w:shd w:val="clear" w:color="auto" w:fill="auto"/>
            <w:noWrap/>
            <w:hideMark/>
          </w:tcPr>
          <w:p w14:paraId="54A54C8E" w14:textId="77777777" w:rsidR="00803069" w:rsidRPr="000D5B62" w:rsidRDefault="00803069" w:rsidP="0035195D">
            <w:pPr>
              <w:spacing w:before="40" w:after="40" w:line="280" w:lineRule="exact"/>
              <w:ind w:right="113"/>
              <w:textDirection w:val="tbRlV"/>
              <w:rPr>
                <w:rFonts w:eastAsiaTheme="minorEastAsia"/>
                <w:spacing w:val="-4"/>
                <w:szCs w:val="20"/>
                <w:lang w:val="ar-SA" w:eastAsia="zh-TW" w:bidi="en-GB"/>
              </w:rPr>
            </w:pPr>
            <w:r w:rsidRPr="000D5B62">
              <w:rPr>
                <w:rFonts w:eastAsiaTheme="minorEastAsia"/>
                <w:spacing w:val="-4"/>
                <w:szCs w:val="20"/>
                <w:rtl/>
              </w:rPr>
              <w:t>نسبة المستخدَمين إلى السكان (الاستيعاب)</w:t>
            </w:r>
          </w:p>
        </w:tc>
        <w:tc>
          <w:tcPr>
            <w:tcW w:w="1073" w:type="dxa"/>
            <w:shd w:val="clear" w:color="auto" w:fill="auto"/>
            <w:noWrap/>
            <w:hideMark/>
          </w:tcPr>
          <w:p w14:paraId="6476BE2C"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48,7</w:t>
            </w:r>
          </w:p>
        </w:tc>
        <w:tc>
          <w:tcPr>
            <w:tcW w:w="1080" w:type="dxa"/>
            <w:shd w:val="clear" w:color="auto" w:fill="auto"/>
            <w:noWrap/>
            <w:hideMark/>
          </w:tcPr>
          <w:p w14:paraId="3A6A8EFA"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48,9</w:t>
            </w:r>
          </w:p>
        </w:tc>
        <w:tc>
          <w:tcPr>
            <w:tcW w:w="1073" w:type="dxa"/>
            <w:shd w:val="clear" w:color="auto" w:fill="auto"/>
            <w:noWrap/>
            <w:hideMark/>
          </w:tcPr>
          <w:p w14:paraId="24FBE35D"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49,9</w:t>
            </w:r>
          </w:p>
        </w:tc>
        <w:tc>
          <w:tcPr>
            <w:tcW w:w="1073" w:type="dxa"/>
            <w:shd w:val="clear" w:color="auto" w:fill="auto"/>
            <w:noWrap/>
            <w:hideMark/>
          </w:tcPr>
          <w:p w14:paraId="6E4E38C1"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49,2</w:t>
            </w:r>
          </w:p>
        </w:tc>
        <w:tc>
          <w:tcPr>
            <w:tcW w:w="1073" w:type="dxa"/>
            <w:shd w:val="clear" w:color="auto" w:fill="auto"/>
            <w:noWrap/>
            <w:hideMark/>
          </w:tcPr>
          <w:p w14:paraId="49E43960"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49,1</w:t>
            </w:r>
          </w:p>
        </w:tc>
      </w:tr>
      <w:tr w:rsidR="00803069" w:rsidRPr="000D5B62" w14:paraId="757BB1E1" w14:textId="77777777" w:rsidTr="00D8475F">
        <w:tc>
          <w:tcPr>
            <w:tcW w:w="3532" w:type="dxa"/>
            <w:tcBorders>
              <w:bottom w:val="single" w:sz="12" w:space="0" w:color="auto"/>
            </w:tcBorders>
            <w:shd w:val="clear" w:color="auto" w:fill="auto"/>
            <w:noWrap/>
            <w:hideMark/>
          </w:tcPr>
          <w:p w14:paraId="09C7794F" w14:textId="77777777" w:rsidR="00803069" w:rsidRPr="000D5B62" w:rsidRDefault="00803069" w:rsidP="0035195D">
            <w:pPr>
              <w:spacing w:before="40" w:after="40" w:line="280" w:lineRule="exact"/>
              <w:ind w:right="113"/>
              <w:textDirection w:val="tbRlV"/>
              <w:rPr>
                <w:rFonts w:eastAsiaTheme="minorEastAsia"/>
                <w:szCs w:val="20"/>
                <w:lang w:val="ar-SA" w:eastAsia="zh-TW" w:bidi="en-GB"/>
              </w:rPr>
            </w:pPr>
            <w:r w:rsidRPr="000D5B62">
              <w:rPr>
                <w:rFonts w:eastAsiaTheme="minorEastAsia"/>
                <w:szCs w:val="20"/>
                <w:rtl/>
              </w:rPr>
              <w:t>معدل المشاركة في القوى العاملة</w:t>
            </w:r>
          </w:p>
        </w:tc>
        <w:tc>
          <w:tcPr>
            <w:tcW w:w="1073" w:type="dxa"/>
            <w:tcBorders>
              <w:bottom w:val="single" w:sz="12" w:space="0" w:color="auto"/>
            </w:tcBorders>
            <w:shd w:val="clear" w:color="auto" w:fill="auto"/>
            <w:noWrap/>
            <w:hideMark/>
          </w:tcPr>
          <w:p w14:paraId="44858578"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63,4</w:t>
            </w:r>
          </w:p>
        </w:tc>
        <w:tc>
          <w:tcPr>
            <w:tcW w:w="1080" w:type="dxa"/>
            <w:tcBorders>
              <w:bottom w:val="single" w:sz="12" w:space="0" w:color="auto"/>
            </w:tcBorders>
            <w:shd w:val="clear" w:color="auto" w:fill="auto"/>
            <w:noWrap/>
            <w:hideMark/>
          </w:tcPr>
          <w:p w14:paraId="515E2828" w14:textId="77777777" w:rsidR="00803069" w:rsidRPr="000D5B62" w:rsidRDefault="00803069" w:rsidP="0035195D">
            <w:pPr>
              <w:spacing w:before="40" w:after="40" w:line="280" w:lineRule="exact"/>
              <w:jc w:val="left"/>
              <w:textDirection w:val="tbRlV"/>
              <w:rPr>
                <w:rFonts w:eastAsiaTheme="minorEastAsia"/>
                <w:szCs w:val="20"/>
                <w:rtl/>
                <w:lang w:val="ar-SA" w:eastAsia="zh-TW"/>
              </w:rPr>
            </w:pPr>
            <w:r w:rsidRPr="000D5B62">
              <w:rPr>
                <w:rFonts w:eastAsiaTheme="minorEastAsia"/>
                <w:szCs w:val="20"/>
                <w:rtl/>
              </w:rPr>
              <w:t>63,7</w:t>
            </w:r>
          </w:p>
        </w:tc>
        <w:tc>
          <w:tcPr>
            <w:tcW w:w="1073" w:type="dxa"/>
            <w:tcBorders>
              <w:bottom w:val="single" w:sz="12" w:space="0" w:color="auto"/>
            </w:tcBorders>
            <w:shd w:val="clear" w:color="auto" w:fill="auto"/>
            <w:noWrap/>
            <w:hideMark/>
          </w:tcPr>
          <w:p w14:paraId="24375F06"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65,1</w:t>
            </w:r>
          </w:p>
        </w:tc>
        <w:tc>
          <w:tcPr>
            <w:tcW w:w="1073" w:type="dxa"/>
            <w:tcBorders>
              <w:bottom w:val="single" w:sz="12" w:space="0" w:color="auto"/>
            </w:tcBorders>
            <w:shd w:val="clear" w:color="auto" w:fill="auto"/>
            <w:noWrap/>
            <w:hideMark/>
          </w:tcPr>
          <w:p w14:paraId="7B453082"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65,4</w:t>
            </w:r>
          </w:p>
        </w:tc>
        <w:tc>
          <w:tcPr>
            <w:tcW w:w="1073" w:type="dxa"/>
            <w:tcBorders>
              <w:bottom w:val="single" w:sz="12" w:space="0" w:color="auto"/>
            </w:tcBorders>
            <w:shd w:val="clear" w:color="auto" w:fill="auto"/>
            <w:noWrap/>
            <w:hideMark/>
          </w:tcPr>
          <w:p w14:paraId="2862E86F" w14:textId="77777777" w:rsidR="00803069" w:rsidRPr="000D5B62" w:rsidRDefault="00803069" w:rsidP="0035195D">
            <w:pPr>
              <w:spacing w:before="40" w:after="40" w:line="280" w:lineRule="exact"/>
              <w:jc w:val="left"/>
              <w:textDirection w:val="tbRlV"/>
              <w:rPr>
                <w:rFonts w:eastAsiaTheme="minorEastAsia"/>
                <w:szCs w:val="20"/>
                <w:lang w:val="ar-SA" w:eastAsia="zh-TW" w:bidi="en-GB"/>
              </w:rPr>
            </w:pPr>
            <w:r w:rsidRPr="000D5B62">
              <w:rPr>
                <w:rFonts w:eastAsiaTheme="minorEastAsia"/>
                <w:szCs w:val="20"/>
                <w:rtl/>
              </w:rPr>
              <w:t>66,1</w:t>
            </w:r>
          </w:p>
        </w:tc>
      </w:tr>
    </w:tbl>
    <w:p w14:paraId="2563F07D" w14:textId="70FEEDF6" w:rsidR="00803069" w:rsidRPr="000D5B62" w:rsidRDefault="00803069" w:rsidP="0035195D">
      <w:pPr>
        <w:pStyle w:val="SingleTxtGA"/>
        <w:spacing w:before="240"/>
        <w:rPr>
          <w:lang w:val="ar-SA" w:eastAsia="zh-TW" w:bidi="en-GB"/>
        </w:rPr>
      </w:pPr>
      <w:r w:rsidRPr="000D5B62">
        <w:rPr>
          <w:rtl/>
        </w:rPr>
        <w:t>32-</w:t>
      </w:r>
      <w:r w:rsidRPr="000D5B62">
        <w:rPr>
          <w:rtl/>
        </w:rPr>
        <w:tab/>
        <w:t>وما برحت الأسر المعيشية في جنوب أفريقيا تعتمد في معظمها على الأجور كمصدر دخل. فعلى الصعيد الوطني، تلقت النسب الأعلى من الأسر المعيشية أجوراً (65,4) ومنحا</w:t>
      </w:r>
      <w:r w:rsidR="005E13DB" w:rsidRPr="000D5B62">
        <w:rPr>
          <w:rFonts w:hint="cs"/>
          <w:rtl/>
        </w:rPr>
        <w:t>ً</w:t>
      </w:r>
      <w:r w:rsidRPr="000D5B62">
        <w:rPr>
          <w:rtl/>
        </w:rPr>
        <w:t xml:space="preserve"> (44,6 في المائة). وعلى صعيد الأقاليم، سُجلت أعلى نسبة من الأسر المعيشية التي حصلت على أجور في إقليمي الكيب الغربي (79 في المائة) وغاوتنغ (73,3 في المائة). في حين شكلت المنح مصدر دخل أكثر شيوعاً من الأجور في إقليمي الكيب الشرقي (59,3 في المائة) وليمبوبو (57,4 في المائة).</w:t>
      </w:r>
    </w:p>
    <w:p w14:paraId="060DA6AF" w14:textId="15D0E926" w:rsidR="00803069" w:rsidRPr="000D5B62" w:rsidRDefault="00803069" w:rsidP="00706D34">
      <w:pPr>
        <w:pStyle w:val="SingleTxtGA"/>
        <w:rPr>
          <w:spacing w:val="-4"/>
          <w:lang w:val="ar-SA" w:eastAsia="zh-TW" w:bidi="en-GB"/>
        </w:rPr>
      </w:pPr>
      <w:r w:rsidRPr="000D5B62">
        <w:rPr>
          <w:rtl/>
        </w:rPr>
        <w:t>33-</w:t>
      </w:r>
      <w:r w:rsidRPr="000D5B62">
        <w:rPr>
          <w:rtl/>
        </w:rPr>
        <w:tab/>
        <w:t>وتكفل المادة 27 من الدستور للجميع الحق في الضمان الاجتماعي وتكفل، لمن لا يستطيع إعالة نفسه وأفراد أسرته، مساعدة اجتماعية مناسبة. ومن واجب الدولة اتخاذ تدابير معقولة في حدود الموارد المتاحة لها لأجل إعمال هذا الحق تدريجيا</w:t>
      </w:r>
      <w:r w:rsidR="00136F05" w:rsidRPr="000D5B62">
        <w:rPr>
          <w:rFonts w:hint="cs"/>
          <w:rtl/>
        </w:rPr>
        <w:t>ً</w:t>
      </w:r>
      <w:r w:rsidRPr="000D5B62">
        <w:rPr>
          <w:rtl/>
        </w:rPr>
        <w:t>. ويوفر قانون المساعدة الاجتماعية لعام 2004 إطارا</w:t>
      </w:r>
      <w:r w:rsidR="00136F05" w:rsidRPr="000D5B62">
        <w:rPr>
          <w:rFonts w:hint="cs"/>
          <w:rtl/>
        </w:rPr>
        <w:t>ً</w:t>
      </w:r>
      <w:r w:rsidRPr="000D5B62">
        <w:rPr>
          <w:rtl/>
        </w:rPr>
        <w:t xml:space="preserve"> تشريعيا</w:t>
      </w:r>
      <w:r w:rsidR="00136F05" w:rsidRPr="000D5B62">
        <w:rPr>
          <w:rFonts w:hint="cs"/>
          <w:rtl/>
        </w:rPr>
        <w:t>ً</w:t>
      </w:r>
      <w:r w:rsidRPr="000D5B62">
        <w:rPr>
          <w:rtl/>
        </w:rPr>
        <w:t xml:space="preserve"> وطنيا</w:t>
      </w:r>
      <w:r w:rsidR="00136F05" w:rsidRPr="000D5B62">
        <w:rPr>
          <w:rFonts w:hint="cs"/>
          <w:rtl/>
        </w:rPr>
        <w:t>ً</w:t>
      </w:r>
      <w:r w:rsidRPr="000D5B62">
        <w:rPr>
          <w:rtl/>
        </w:rPr>
        <w:t xml:space="preserve"> لتقديم أنواع مختلفة من المنح الاجتماعية ومساعدة اجتماعية لتفريج الكرب، وتقديم منح المساعدة الاجتماعية من قبل وكالة وطنية، وإنشاء هيئة تفتيش خاصة بالمساعدة الاجتماعية</w:t>
      </w:r>
      <w:r w:rsidRPr="000D5B62">
        <w:rPr>
          <w:rStyle w:val="FootnoteReference"/>
          <w:szCs w:val="22"/>
          <w:rtl/>
        </w:rPr>
        <w:t>(</w:t>
      </w:r>
      <w:r w:rsidRPr="000D5B62">
        <w:rPr>
          <w:rStyle w:val="FootnoteReference"/>
          <w:szCs w:val="22"/>
          <w:rtl/>
        </w:rPr>
        <w:footnoteReference w:id="25"/>
      </w:r>
      <w:r w:rsidRPr="000D5B62">
        <w:rPr>
          <w:rStyle w:val="FootnoteReference"/>
          <w:szCs w:val="22"/>
          <w:rtl/>
        </w:rPr>
        <w:t>)</w:t>
      </w:r>
      <w:r w:rsidRPr="000D5B62">
        <w:rPr>
          <w:rtl/>
        </w:rPr>
        <w:t>. وينص قانون وكالة الضمان الاجتماعي بجنوب أفريقيا لعام 2004</w:t>
      </w:r>
      <w:r w:rsidR="00394C64" w:rsidRPr="000D5B62">
        <w:rPr>
          <w:rStyle w:val="FootnoteReference"/>
          <w:szCs w:val="22"/>
          <w:rtl/>
        </w:rPr>
        <w:t>(</w:t>
      </w:r>
      <w:r w:rsidR="00394C64" w:rsidRPr="000D5B62">
        <w:rPr>
          <w:rStyle w:val="FootnoteReference"/>
          <w:szCs w:val="22"/>
          <w:rtl/>
        </w:rPr>
        <w:footnoteReference w:id="26"/>
      </w:r>
      <w:r w:rsidR="00394C64" w:rsidRPr="000D5B62">
        <w:rPr>
          <w:rStyle w:val="FootnoteReference"/>
          <w:szCs w:val="22"/>
          <w:rtl/>
        </w:rPr>
        <w:t>)</w:t>
      </w:r>
      <w:r w:rsidRPr="000D5B62">
        <w:rPr>
          <w:rtl/>
        </w:rPr>
        <w:t xml:space="preserve"> على إنشاء الكيان الحكومي</w:t>
      </w:r>
      <w:r w:rsidRPr="000D5B62">
        <w:rPr>
          <w:rStyle w:val="FootnoteReference"/>
          <w:szCs w:val="22"/>
          <w:rtl/>
        </w:rPr>
        <w:t>(</w:t>
      </w:r>
      <w:r w:rsidRPr="000D5B62">
        <w:rPr>
          <w:rStyle w:val="FootnoteReference"/>
          <w:szCs w:val="22"/>
          <w:rtl/>
        </w:rPr>
        <w:footnoteReference w:id="27"/>
      </w:r>
      <w:r w:rsidRPr="000D5B62">
        <w:rPr>
          <w:rStyle w:val="FootnoteReference"/>
          <w:szCs w:val="22"/>
          <w:rtl/>
        </w:rPr>
        <w:t>)</w:t>
      </w:r>
      <w:r w:rsidR="00394C64" w:rsidRPr="000D5B62">
        <w:rPr>
          <w:rFonts w:hint="cs"/>
          <w:rtl/>
        </w:rPr>
        <w:t xml:space="preserve">. </w:t>
      </w:r>
      <w:r w:rsidRPr="000D5B62">
        <w:rPr>
          <w:rtl/>
        </w:rPr>
        <w:t xml:space="preserve">ويجري عموماً صرف المنح بعد التحقق من القدرة المادية ودون التمييز على أساس الأصل العرقي أو نوع الجنس. إلا أن الحال لم تكن كذلك دائماً فيما يخص المنح التي تُصرف لكبار السن حيث لم يكن يحق </w:t>
      </w:r>
      <w:r w:rsidRPr="000D5B62">
        <w:rPr>
          <w:spacing w:val="-4"/>
          <w:rtl/>
        </w:rPr>
        <w:t>للرجال في السابق الحصول على تلك المنح إلا بعد بلوغ 65 عاماً، وليس 60 عاماً. ومن بين الأنواع المختلفة من المنح الاجتماعية الإعانات ومنحة إعالة أطفال ومنحة كفالة طفل ومنحة رعاية مريض عاجز ومنحة قدامى المحاربين ومنحة ذوي الإعاقة ومنحة كبار السن. وزاد معدل تغطية برنامج الضمان الاجتماعي في شكل استحقاقات غير قائمة على الاشتراكات (مساعدات اجتماعية) زيادة هائلة بمرور السنين، بحيث أصبح ذلك البرنامج الحكومي إحدى آليات تخفيف حدة الفقر الأكثر فعالية. فالبرنامج يوفر للفئات الضعيفة استحقاقات غير قائمة على الاشتراكات تتمثل في منحة كبار السن ومنحة ذوي الإعاقة ومنحة إعالة أطفال ومنحة كفالة طفل ومنحة رعاية مريض عاجز ومنحة المحاربين القدامى وإعانات مالية ومساعدة اجتماعية لتفريج الكرب. ويجري سنوياً تعديل مبالغ الاستحقاقات مراعاةً للتغيرات الاقتصادية، ففي السنة المالية الحالية (2018/2019)، روعي ارتفاع معدل التضخم وضريبة القيمة المضافة. ويرد في الجدول أدناه بيان معدل تغطية مختلف المخصصات المذكورة ومعدل الاستفادة منها حتى آذار/مارس 2018.</w:t>
      </w:r>
    </w:p>
    <w:p w14:paraId="54C02EB0" w14:textId="013DC04B" w:rsidR="00803069" w:rsidRPr="000D5B62" w:rsidRDefault="00803069" w:rsidP="00394C64">
      <w:pPr>
        <w:pStyle w:val="SingleTxtGA"/>
        <w:rPr>
          <w:rStyle w:val="FootnoteReference"/>
          <w:rFonts w:eastAsiaTheme="minorEastAsia"/>
          <w:szCs w:val="22"/>
          <w:lang w:val="ar-SA" w:eastAsia="zh-TW" w:bidi="en-GB"/>
        </w:rPr>
      </w:pPr>
      <w:r w:rsidRPr="000D5B62">
        <w:rPr>
          <w:rtl/>
        </w:rPr>
        <w:t>الجدول 15</w:t>
      </w:r>
      <w:r w:rsidR="00394C64" w:rsidRPr="000D5B62">
        <w:rPr>
          <w:rtl/>
        </w:rPr>
        <w:tab/>
      </w:r>
      <w:r w:rsidR="00394C64" w:rsidRPr="000D5B62">
        <w:rPr>
          <w:rtl/>
        </w:rPr>
        <w:br/>
      </w:r>
      <w:r w:rsidRPr="000D5B62">
        <w:rPr>
          <w:b/>
          <w:bCs/>
          <w:rtl/>
        </w:rPr>
        <w:t>معدلات الأهلية والاستفادة، الضمان الاجتماعي (</w:t>
      </w:r>
      <w:r w:rsidR="00394C64" w:rsidRPr="000D5B62">
        <w:rPr>
          <w:rFonts w:hint="cs"/>
          <w:b/>
          <w:bCs/>
          <w:rtl/>
        </w:rPr>
        <w:t>آذار/مارس</w:t>
      </w:r>
      <w:r w:rsidRPr="000D5B62">
        <w:rPr>
          <w:b/>
          <w:bCs/>
          <w:rtl/>
        </w:rPr>
        <w:t xml:space="preserve"> 2018)</w:t>
      </w:r>
      <w:r w:rsidRPr="000D5B62">
        <w:rPr>
          <w:rStyle w:val="FootnoteReference"/>
          <w:b/>
          <w:szCs w:val="22"/>
          <w:rtl/>
        </w:rPr>
        <w:t>(</w:t>
      </w:r>
      <w:r w:rsidRPr="000D5B62">
        <w:rPr>
          <w:rStyle w:val="FootnoteReference"/>
          <w:b/>
          <w:szCs w:val="22"/>
          <w:rtl/>
        </w:rPr>
        <w:footnoteReference w:id="28"/>
      </w:r>
      <w:r w:rsidRPr="000D5B62">
        <w:rPr>
          <w:rStyle w:val="FootnoteReference"/>
          <w:b/>
          <w:szCs w:val="22"/>
          <w:rtl/>
        </w:rPr>
        <w:t>)</w:t>
      </w:r>
    </w:p>
    <w:tbl>
      <w:tblPr>
        <w:bidiVisual/>
        <w:tblW w:w="7370" w:type="dxa"/>
        <w:tblInd w:w="1134" w:type="dxa"/>
        <w:tblLayout w:type="fixed"/>
        <w:tblLook w:val="04A0" w:firstRow="1" w:lastRow="0" w:firstColumn="1" w:lastColumn="0" w:noHBand="0" w:noVBand="1"/>
      </w:tblPr>
      <w:tblGrid>
        <w:gridCol w:w="6082"/>
        <w:gridCol w:w="1288"/>
      </w:tblGrid>
      <w:tr w:rsidR="00803069" w:rsidRPr="000D5B62" w14:paraId="5397D966" w14:textId="77777777" w:rsidTr="00394C64">
        <w:tc>
          <w:tcPr>
            <w:tcW w:w="6082" w:type="dxa"/>
            <w:tcBorders>
              <w:top w:val="single" w:sz="4" w:space="0" w:color="auto"/>
            </w:tcBorders>
            <w:shd w:val="clear" w:color="auto" w:fill="auto"/>
          </w:tcPr>
          <w:p w14:paraId="6BCBE8BB" w14:textId="77777777" w:rsidR="00803069" w:rsidRPr="000D5B62" w:rsidRDefault="00803069" w:rsidP="0035195D">
            <w:pPr>
              <w:spacing w:before="40" w:after="40" w:line="320" w:lineRule="exact"/>
              <w:jc w:val="left"/>
              <w:textDirection w:val="tbRlV"/>
              <w:rPr>
                <w:rFonts w:eastAsiaTheme="minorEastAsia"/>
                <w:bCs/>
                <w:sz w:val="22"/>
                <w:lang w:eastAsia="zh-TW" w:bidi="en-GB"/>
              </w:rPr>
            </w:pPr>
            <w:r w:rsidRPr="000D5B62">
              <w:rPr>
                <w:rFonts w:eastAsiaTheme="minorEastAsia"/>
                <w:sz w:val="22"/>
                <w:rtl/>
              </w:rPr>
              <w:t>منحة كبار السن</w:t>
            </w:r>
          </w:p>
        </w:tc>
        <w:tc>
          <w:tcPr>
            <w:tcW w:w="1288" w:type="dxa"/>
            <w:tcBorders>
              <w:top w:val="single" w:sz="4" w:space="0" w:color="auto"/>
            </w:tcBorders>
            <w:shd w:val="clear" w:color="auto" w:fill="auto"/>
            <w:vAlign w:val="bottom"/>
          </w:tcPr>
          <w:p w14:paraId="08AC4320"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337 423 3</w:t>
            </w:r>
          </w:p>
        </w:tc>
      </w:tr>
      <w:tr w:rsidR="00803069" w:rsidRPr="000D5B62" w14:paraId="57F48307" w14:textId="77777777" w:rsidTr="00394C64">
        <w:tc>
          <w:tcPr>
            <w:tcW w:w="6082" w:type="dxa"/>
            <w:shd w:val="clear" w:color="auto" w:fill="auto"/>
          </w:tcPr>
          <w:p w14:paraId="037BEF6E"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منحة قدامى المحاربين</w:t>
            </w:r>
          </w:p>
        </w:tc>
        <w:tc>
          <w:tcPr>
            <w:tcW w:w="1288" w:type="dxa"/>
            <w:shd w:val="clear" w:color="auto" w:fill="auto"/>
            <w:vAlign w:val="bottom"/>
          </w:tcPr>
          <w:p w14:paraId="449D0C7A"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134</w:t>
            </w:r>
          </w:p>
        </w:tc>
      </w:tr>
      <w:tr w:rsidR="00803069" w:rsidRPr="000D5B62" w14:paraId="4EAF1795" w14:textId="77777777" w:rsidTr="00394C64">
        <w:tc>
          <w:tcPr>
            <w:tcW w:w="6082" w:type="dxa"/>
            <w:shd w:val="clear" w:color="auto" w:fill="auto"/>
          </w:tcPr>
          <w:p w14:paraId="5A539429"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منحة ذوي الإعاقة</w:t>
            </w:r>
          </w:p>
        </w:tc>
        <w:tc>
          <w:tcPr>
            <w:tcW w:w="1288" w:type="dxa"/>
            <w:shd w:val="clear" w:color="auto" w:fill="auto"/>
            <w:vAlign w:val="bottom"/>
          </w:tcPr>
          <w:p w14:paraId="5367C2F5"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866 061 1</w:t>
            </w:r>
          </w:p>
        </w:tc>
      </w:tr>
      <w:tr w:rsidR="00803069" w:rsidRPr="000D5B62" w14:paraId="60C6744A" w14:textId="77777777" w:rsidTr="00394C64">
        <w:tc>
          <w:tcPr>
            <w:tcW w:w="6082" w:type="dxa"/>
            <w:shd w:val="clear" w:color="auto" w:fill="auto"/>
          </w:tcPr>
          <w:p w14:paraId="2E287C28"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منحة إعالة أطفال</w:t>
            </w:r>
          </w:p>
        </w:tc>
        <w:tc>
          <w:tcPr>
            <w:tcW w:w="1288" w:type="dxa"/>
            <w:shd w:val="clear" w:color="auto" w:fill="auto"/>
            <w:vAlign w:val="bottom"/>
          </w:tcPr>
          <w:p w14:paraId="622FD9E1"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084 269 12</w:t>
            </w:r>
          </w:p>
        </w:tc>
      </w:tr>
      <w:tr w:rsidR="00803069" w:rsidRPr="000D5B62" w14:paraId="11BA319A" w14:textId="77777777" w:rsidTr="00394C64">
        <w:tc>
          <w:tcPr>
            <w:tcW w:w="6082" w:type="dxa"/>
            <w:shd w:val="clear" w:color="auto" w:fill="auto"/>
          </w:tcPr>
          <w:p w14:paraId="386815C6"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 xml:space="preserve">منحة كفالة طفل </w:t>
            </w:r>
          </w:p>
        </w:tc>
        <w:tc>
          <w:tcPr>
            <w:tcW w:w="1288" w:type="dxa"/>
            <w:shd w:val="clear" w:color="auto" w:fill="auto"/>
            <w:vAlign w:val="bottom"/>
          </w:tcPr>
          <w:p w14:paraId="0C180D12"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016 416</w:t>
            </w:r>
          </w:p>
        </w:tc>
      </w:tr>
      <w:tr w:rsidR="00803069" w:rsidRPr="000D5B62" w14:paraId="0944A8F8" w14:textId="77777777" w:rsidTr="00394C64">
        <w:tc>
          <w:tcPr>
            <w:tcW w:w="6082" w:type="dxa"/>
            <w:shd w:val="clear" w:color="auto" w:fill="auto"/>
          </w:tcPr>
          <w:p w14:paraId="2F0D8E0E"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منحة رعاية مريض عاجز</w:t>
            </w:r>
          </w:p>
        </w:tc>
        <w:tc>
          <w:tcPr>
            <w:tcW w:w="1288" w:type="dxa"/>
            <w:shd w:val="clear" w:color="auto" w:fill="auto"/>
            <w:vAlign w:val="bottom"/>
          </w:tcPr>
          <w:p w14:paraId="360F6FE6"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467 147</w:t>
            </w:r>
          </w:p>
        </w:tc>
      </w:tr>
      <w:tr w:rsidR="00803069" w:rsidRPr="000D5B62" w14:paraId="296175F1" w14:textId="77777777" w:rsidTr="00394C64">
        <w:tc>
          <w:tcPr>
            <w:tcW w:w="6082" w:type="dxa"/>
            <w:shd w:val="clear" w:color="auto" w:fill="auto"/>
          </w:tcPr>
          <w:p w14:paraId="2A12E07A"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الإعانة الحكومية</w:t>
            </w:r>
          </w:p>
        </w:tc>
        <w:tc>
          <w:tcPr>
            <w:tcW w:w="1288" w:type="dxa"/>
            <w:shd w:val="clear" w:color="auto" w:fill="auto"/>
            <w:vAlign w:val="bottom"/>
          </w:tcPr>
          <w:p w14:paraId="313A6C82"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091 192</w:t>
            </w:r>
          </w:p>
        </w:tc>
      </w:tr>
      <w:tr w:rsidR="00803069" w:rsidRPr="000D5B62" w14:paraId="1183EF89" w14:textId="77777777" w:rsidTr="00394C64">
        <w:tc>
          <w:tcPr>
            <w:tcW w:w="6082" w:type="dxa"/>
            <w:tcBorders>
              <w:bottom w:val="single" w:sz="12" w:space="0" w:color="auto"/>
            </w:tcBorders>
            <w:shd w:val="clear" w:color="auto" w:fill="auto"/>
          </w:tcPr>
          <w:p w14:paraId="1AF679AB"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المساعدة الاجتماعية لتفريج الكرب</w:t>
            </w:r>
          </w:p>
        </w:tc>
        <w:tc>
          <w:tcPr>
            <w:tcW w:w="1288" w:type="dxa"/>
            <w:tcBorders>
              <w:bottom w:val="single" w:sz="12" w:space="0" w:color="auto"/>
            </w:tcBorders>
            <w:shd w:val="clear" w:color="auto" w:fill="auto"/>
            <w:vAlign w:val="bottom"/>
          </w:tcPr>
          <w:p w14:paraId="7CA643CC" w14:textId="77777777" w:rsidR="00803069" w:rsidRPr="000D5B62" w:rsidRDefault="00803069" w:rsidP="0035195D">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195 573</w:t>
            </w:r>
          </w:p>
        </w:tc>
      </w:tr>
    </w:tbl>
    <w:p w14:paraId="0D890927" w14:textId="21B8EB79" w:rsidR="00803069" w:rsidRPr="000D5B62" w:rsidRDefault="00803069" w:rsidP="0035195D">
      <w:pPr>
        <w:pStyle w:val="SingleTxtGA"/>
        <w:spacing w:before="240"/>
        <w:rPr>
          <w:rStyle w:val="FootnoteReference"/>
          <w:rFonts w:eastAsiaTheme="minorEastAsia"/>
          <w:szCs w:val="22"/>
          <w:lang w:val="en-US" w:eastAsia="zh-TW" w:bidi="en-GB"/>
        </w:rPr>
      </w:pPr>
      <w:r w:rsidRPr="000D5B62">
        <w:rPr>
          <w:rtl/>
        </w:rPr>
        <w:t>34-</w:t>
      </w:r>
      <w:r w:rsidRPr="000D5B62">
        <w:rPr>
          <w:rtl/>
        </w:rPr>
        <w:tab/>
        <w:t>ويتبين من نتائج آخر استقصاء لأحوال المعيشة أجرته هيئة إحصاءات جنوب أفريقيا (2014/2015) أن مجموع الإنفاق الاستهلاكي للأسر المعيشية، خلال السنة ما بين تشرين الأول/</w:t>
      </w:r>
      <w:r w:rsidR="00136F05" w:rsidRPr="000D5B62">
        <w:rPr>
          <w:rFonts w:hint="cs"/>
          <w:rtl/>
        </w:rPr>
        <w:t xml:space="preserve"> </w:t>
      </w:r>
      <w:r w:rsidRPr="000D5B62">
        <w:rPr>
          <w:rtl/>
        </w:rPr>
        <w:t xml:space="preserve">أكتوبر 2014 وتشرين الأول/أكتوبر 2015، يُقدّر </w:t>
      </w:r>
      <w:r w:rsidR="00136F05" w:rsidRPr="000D5B62">
        <w:rPr>
          <w:rFonts w:ascii="Simplified Arabic" w:hAnsi="Simplified Arabic"/>
          <w:rtl/>
        </w:rPr>
        <w:t>ﺒ</w:t>
      </w:r>
      <w:r w:rsidRPr="000D5B62">
        <w:rPr>
          <w:rtl/>
        </w:rPr>
        <w:t xml:space="preserve"> 1,72 تريليون راند. وقد أنفقت الأسرة المعيشية العادية في جنوب أفريقيا، خلال السنة المشمولة بالاستقصاء، 293 103 رانداً تقريباً. وتمثلت أوجه الإنفاق الرئيسية في السكن والمنافع والنقل والأغذية وسلع وخدمات متنوعة. وتمثل فئات النفقات الاستهلاكية الرئيسية الأربع (أي السكن والمنافع والنقل والسلع والخدمات المتنوعة والأغذية والمشروبات غير الكحولية) مجتمعةً نحو ثلاثة أرباع (76,4 في المائة) مجموع الإنفاق الاستهلاكي في البلد. والواقع أن ثلاثة من كل أربعة راندات تنفقها الأسرة المعيشية في جنوب أفريقيا تذهب إلى أوجه الإنفاق الأربعة الرئيسية تلك، على النحو المبين في الجدول أدناه</w:t>
      </w:r>
      <w:r w:rsidRPr="000D5B62">
        <w:rPr>
          <w:rStyle w:val="FootnoteReference"/>
          <w:szCs w:val="22"/>
          <w:rtl/>
        </w:rPr>
        <w:t>(</w:t>
      </w:r>
      <w:r w:rsidRPr="000D5B62">
        <w:rPr>
          <w:rStyle w:val="FootnoteReference"/>
          <w:szCs w:val="22"/>
          <w:rtl/>
        </w:rPr>
        <w:footnoteReference w:id="29"/>
      </w:r>
      <w:r w:rsidRPr="000D5B62">
        <w:rPr>
          <w:rStyle w:val="FootnoteReference"/>
          <w:szCs w:val="22"/>
          <w:rtl/>
        </w:rPr>
        <w:t>)</w:t>
      </w:r>
      <w:r w:rsidRPr="000D5B62">
        <w:rPr>
          <w:rtl/>
        </w:rPr>
        <w:t>.</w:t>
      </w:r>
    </w:p>
    <w:p w14:paraId="37421EC6" w14:textId="6013DBAC" w:rsidR="00803069" w:rsidRPr="000D5B62" w:rsidRDefault="00803069" w:rsidP="0035195D">
      <w:pPr>
        <w:pStyle w:val="SingleTxtGA"/>
        <w:pageBreakBefore/>
        <w:rPr>
          <w:rStyle w:val="FootnoteReference"/>
          <w:rFonts w:eastAsiaTheme="minorEastAsia"/>
          <w:b/>
          <w:bCs/>
          <w:szCs w:val="22"/>
          <w:lang w:val="en-US" w:eastAsia="zh-TW" w:bidi="en-GB"/>
        </w:rPr>
      </w:pPr>
      <w:r w:rsidRPr="000D5B62">
        <w:rPr>
          <w:rtl/>
        </w:rPr>
        <w:t xml:space="preserve">الجدول 16 </w:t>
      </w:r>
      <w:r w:rsidR="00A95363" w:rsidRPr="000D5B62">
        <w:rPr>
          <w:rtl/>
        </w:rPr>
        <w:tab/>
      </w:r>
      <w:r w:rsidR="00A95363" w:rsidRPr="000D5B62">
        <w:rPr>
          <w:rtl/>
        </w:rPr>
        <w:br/>
      </w:r>
      <w:r w:rsidRPr="000D5B62">
        <w:rPr>
          <w:rFonts w:eastAsiaTheme="minorEastAsia"/>
          <w:bCs/>
          <w:rtl/>
        </w:rPr>
        <w:t>إجمالي ومتوسط إنفاق الأسر المعيشية السنوي على الاستهلاك حسب كل مجموعة إنفاق رئيسية لعام</w:t>
      </w:r>
      <w:r w:rsidR="00136F05" w:rsidRPr="000D5B62">
        <w:rPr>
          <w:rFonts w:eastAsiaTheme="minorEastAsia" w:hint="cs"/>
          <w:bCs/>
          <w:rtl/>
        </w:rPr>
        <w:t> </w:t>
      </w:r>
      <w:r w:rsidRPr="000D5B62">
        <w:rPr>
          <w:rFonts w:eastAsiaTheme="minorEastAsia"/>
          <w:bCs/>
          <w:rtl/>
        </w:rPr>
        <w:t>2015</w:t>
      </w:r>
      <w:r w:rsidRPr="000D5B62">
        <w:rPr>
          <w:rStyle w:val="FootnoteReference"/>
          <w:b/>
          <w:szCs w:val="22"/>
          <w:rtl/>
        </w:rPr>
        <w:t>(</w:t>
      </w:r>
      <w:r w:rsidRPr="000D5B62">
        <w:rPr>
          <w:rStyle w:val="FootnoteReference"/>
          <w:b/>
          <w:szCs w:val="22"/>
          <w:rtl/>
        </w:rPr>
        <w:footnoteReference w:id="30"/>
      </w:r>
      <w:r w:rsidRPr="000D5B62">
        <w:rPr>
          <w:rStyle w:val="FootnoteReference"/>
          <w:b/>
          <w:szCs w:val="22"/>
          <w:rtl/>
        </w:rPr>
        <w:t>)</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3646"/>
        <w:gridCol w:w="1554"/>
        <w:gridCol w:w="1078"/>
        <w:gridCol w:w="1092"/>
      </w:tblGrid>
      <w:tr w:rsidR="00803069" w:rsidRPr="000D5B62" w14:paraId="763044D7" w14:textId="77777777" w:rsidTr="007C4384">
        <w:trPr>
          <w:tblHeader/>
        </w:trPr>
        <w:tc>
          <w:tcPr>
            <w:tcW w:w="3646" w:type="dxa"/>
            <w:vMerge w:val="restart"/>
            <w:tcBorders>
              <w:top w:val="single" w:sz="4" w:space="0" w:color="auto"/>
            </w:tcBorders>
            <w:shd w:val="clear" w:color="auto" w:fill="auto"/>
            <w:vAlign w:val="bottom"/>
          </w:tcPr>
          <w:p w14:paraId="7EA36D0A" w14:textId="77777777" w:rsidR="00803069" w:rsidRPr="000D5B62" w:rsidRDefault="00803069" w:rsidP="007C4384">
            <w:pPr>
              <w:spacing w:before="40" w:after="40" w:line="300" w:lineRule="exact"/>
              <w:textDirection w:val="tbRlV"/>
              <w:rPr>
                <w:rFonts w:eastAsiaTheme="minorEastAsia"/>
                <w:bCs/>
                <w:i/>
                <w:spacing w:val="-4"/>
                <w:sz w:val="22"/>
                <w:lang w:val="ar-SA" w:eastAsia="zh-TW" w:bidi="en-GB"/>
              </w:rPr>
            </w:pPr>
            <w:r w:rsidRPr="000D5B62">
              <w:rPr>
                <w:rFonts w:eastAsiaTheme="minorEastAsia"/>
                <w:i/>
                <w:iCs/>
                <w:spacing w:val="-4"/>
                <w:sz w:val="22"/>
                <w:rtl/>
              </w:rPr>
              <w:t>فئة إنفاق رئيسية</w:t>
            </w:r>
          </w:p>
        </w:tc>
        <w:tc>
          <w:tcPr>
            <w:tcW w:w="2632" w:type="dxa"/>
            <w:gridSpan w:val="2"/>
            <w:tcBorders>
              <w:top w:val="single" w:sz="4" w:space="0" w:color="auto"/>
              <w:bottom w:val="single" w:sz="4" w:space="0" w:color="auto"/>
            </w:tcBorders>
            <w:shd w:val="clear" w:color="auto" w:fill="auto"/>
            <w:vAlign w:val="bottom"/>
          </w:tcPr>
          <w:p w14:paraId="5E9B140A" w14:textId="77777777" w:rsidR="00803069" w:rsidRPr="000D5B62" w:rsidRDefault="00803069" w:rsidP="007C4384">
            <w:pPr>
              <w:spacing w:before="40" w:after="40" w:line="300" w:lineRule="exact"/>
              <w:jc w:val="center"/>
              <w:textDirection w:val="tbRlV"/>
              <w:rPr>
                <w:rFonts w:eastAsiaTheme="minorEastAsia"/>
                <w:i/>
                <w:spacing w:val="-4"/>
                <w:sz w:val="22"/>
                <w:lang w:eastAsia="zh-TW" w:bidi="en-GB"/>
              </w:rPr>
            </w:pPr>
            <w:r w:rsidRPr="000D5B62">
              <w:rPr>
                <w:rFonts w:eastAsiaTheme="minorEastAsia"/>
                <w:i/>
                <w:iCs/>
                <w:spacing w:val="-4"/>
                <w:sz w:val="22"/>
                <w:rtl/>
              </w:rPr>
              <w:t>راند</w:t>
            </w:r>
          </w:p>
        </w:tc>
        <w:tc>
          <w:tcPr>
            <w:tcW w:w="1092" w:type="dxa"/>
            <w:vMerge w:val="restart"/>
            <w:tcBorders>
              <w:top w:val="single" w:sz="4" w:space="0" w:color="auto"/>
            </w:tcBorders>
            <w:shd w:val="clear" w:color="auto" w:fill="auto"/>
            <w:vAlign w:val="bottom"/>
          </w:tcPr>
          <w:p w14:paraId="7E5CA3C3" w14:textId="77777777" w:rsidR="00803069" w:rsidRPr="000D5B62" w:rsidRDefault="00803069" w:rsidP="007C4384">
            <w:pPr>
              <w:spacing w:before="40" w:after="40" w:line="300" w:lineRule="exact"/>
              <w:jc w:val="left"/>
              <w:textDirection w:val="tbRlV"/>
              <w:rPr>
                <w:rFonts w:eastAsiaTheme="minorEastAsia"/>
                <w:bCs/>
                <w:i/>
                <w:spacing w:val="-4"/>
                <w:sz w:val="22"/>
                <w:lang w:val="ar-SA" w:eastAsia="zh-TW" w:bidi="en-GB"/>
              </w:rPr>
            </w:pPr>
            <w:r w:rsidRPr="000D5B62">
              <w:rPr>
                <w:rFonts w:eastAsiaTheme="minorEastAsia"/>
                <w:i/>
                <w:iCs/>
                <w:spacing w:val="-4"/>
                <w:sz w:val="22"/>
                <w:rtl/>
              </w:rPr>
              <w:t>النسبة المئوية</w:t>
            </w:r>
          </w:p>
          <w:p w14:paraId="430371C4" w14:textId="77777777" w:rsidR="00803069" w:rsidRPr="000D5B62" w:rsidRDefault="00803069" w:rsidP="007C4384">
            <w:pPr>
              <w:spacing w:before="40" w:after="40" w:line="300" w:lineRule="exact"/>
              <w:jc w:val="left"/>
              <w:textDirection w:val="tbRlV"/>
              <w:rPr>
                <w:rFonts w:eastAsiaTheme="minorEastAsia"/>
                <w:bCs/>
                <w:i/>
                <w:spacing w:val="-4"/>
                <w:sz w:val="22"/>
                <w:lang w:val="ar-SA" w:eastAsia="zh-TW" w:bidi="en-GB"/>
              </w:rPr>
            </w:pPr>
            <w:r w:rsidRPr="000D5B62">
              <w:rPr>
                <w:rFonts w:eastAsiaTheme="minorEastAsia"/>
                <w:i/>
                <w:iCs/>
                <w:spacing w:val="-4"/>
                <w:sz w:val="22"/>
                <w:rtl/>
              </w:rPr>
              <w:t>التبرعات</w:t>
            </w:r>
          </w:p>
        </w:tc>
      </w:tr>
      <w:tr w:rsidR="00803069" w:rsidRPr="000D5B62" w14:paraId="222B5318" w14:textId="77777777" w:rsidTr="007C4384">
        <w:trPr>
          <w:tblHeader/>
        </w:trPr>
        <w:tc>
          <w:tcPr>
            <w:tcW w:w="3646" w:type="dxa"/>
            <w:vMerge/>
            <w:tcBorders>
              <w:bottom w:val="single" w:sz="12" w:space="0" w:color="auto"/>
            </w:tcBorders>
            <w:shd w:val="clear" w:color="auto" w:fill="auto"/>
            <w:vAlign w:val="bottom"/>
          </w:tcPr>
          <w:p w14:paraId="34CDE7BD" w14:textId="77777777" w:rsidR="00803069" w:rsidRPr="000D5B62" w:rsidRDefault="00803069" w:rsidP="007C4384">
            <w:pPr>
              <w:spacing w:before="40" w:after="40" w:line="300" w:lineRule="exact"/>
              <w:rPr>
                <w:rFonts w:eastAsiaTheme="minorEastAsia"/>
                <w:bCs/>
                <w:i/>
                <w:spacing w:val="-4"/>
                <w:sz w:val="22"/>
              </w:rPr>
            </w:pPr>
          </w:p>
        </w:tc>
        <w:tc>
          <w:tcPr>
            <w:tcW w:w="1554" w:type="dxa"/>
            <w:tcBorders>
              <w:top w:val="single" w:sz="4" w:space="0" w:color="auto"/>
              <w:bottom w:val="single" w:sz="12" w:space="0" w:color="auto"/>
            </w:tcBorders>
            <w:shd w:val="clear" w:color="auto" w:fill="auto"/>
            <w:vAlign w:val="bottom"/>
          </w:tcPr>
          <w:p w14:paraId="5A400C69" w14:textId="77777777" w:rsidR="00803069" w:rsidRPr="000D5B62" w:rsidRDefault="00803069" w:rsidP="007C4384">
            <w:pPr>
              <w:spacing w:before="40" w:after="40" w:line="300" w:lineRule="exact"/>
              <w:jc w:val="left"/>
              <w:textDirection w:val="tbRlV"/>
              <w:rPr>
                <w:rFonts w:eastAsiaTheme="minorEastAsia"/>
                <w:bCs/>
                <w:i/>
                <w:spacing w:val="-4"/>
                <w:sz w:val="22"/>
                <w:lang w:val="ar-SA" w:eastAsia="zh-TW" w:bidi="en-GB"/>
              </w:rPr>
            </w:pPr>
            <w:r w:rsidRPr="000D5B62">
              <w:rPr>
                <w:rFonts w:eastAsiaTheme="minorEastAsia"/>
                <w:i/>
                <w:iCs/>
                <w:spacing w:val="-4"/>
                <w:sz w:val="22"/>
                <w:rtl/>
              </w:rPr>
              <w:t>المجموع (بالملايين)</w:t>
            </w:r>
          </w:p>
        </w:tc>
        <w:tc>
          <w:tcPr>
            <w:tcW w:w="1078" w:type="dxa"/>
            <w:tcBorders>
              <w:top w:val="single" w:sz="4" w:space="0" w:color="auto"/>
              <w:bottom w:val="single" w:sz="12" w:space="0" w:color="auto"/>
            </w:tcBorders>
            <w:shd w:val="clear" w:color="auto" w:fill="auto"/>
            <w:vAlign w:val="bottom"/>
          </w:tcPr>
          <w:p w14:paraId="6628EE4F" w14:textId="77777777" w:rsidR="00803069" w:rsidRPr="000D5B62" w:rsidRDefault="00803069" w:rsidP="007C4384">
            <w:pPr>
              <w:spacing w:before="40" w:after="40" w:line="300" w:lineRule="exact"/>
              <w:jc w:val="left"/>
              <w:textDirection w:val="tbRlV"/>
              <w:rPr>
                <w:rFonts w:eastAsiaTheme="minorEastAsia"/>
                <w:bCs/>
                <w:i/>
                <w:spacing w:val="-4"/>
                <w:sz w:val="22"/>
                <w:lang w:val="ar-SA" w:eastAsia="zh-TW" w:bidi="en-GB"/>
              </w:rPr>
            </w:pPr>
            <w:r w:rsidRPr="000D5B62">
              <w:rPr>
                <w:rFonts w:eastAsiaTheme="minorEastAsia"/>
                <w:i/>
                <w:iCs/>
                <w:spacing w:val="-4"/>
                <w:sz w:val="22"/>
                <w:rtl/>
              </w:rPr>
              <w:t>المعدل</w:t>
            </w:r>
          </w:p>
        </w:tc>
        <w:tc>
          <w:tcPr>
            <w:tcW w:w="1092" w:type="dxa"/>
            <w:vMerge/>
            <w:tcBorders>
              <w:bottom w:val="single" w:sz="12" w:space="0" w:color="auto"/>
            </w:tcBorders>
            <w:shd w:val="clear" w:color="auto" w:fill="auto"/>
            <w:vAlign w:val="bottom"/>
          </w:tcPr>
          <w:p w14:paraId="4B4B488E" w14:textId="77777777" w:rsidR="00803069" w:rsidRPr="000D5B62" w:rsidRDefault="00803069" w:rsidP="007C4384">
            <w:pPr>
              <w:spacing w:before="40" w:after="40" w:line="300" w:lineRule="exact"/>
              <w:jc w:val="left"/>
              <w:rPr>
                <w:rFonts w:eastAsiaTheme="minorEastAsia"/>
                <w:bCs/>
                <w:i/>
                <w:spacing w:val="-4"/>
                <w:sz w:val="22"/>
              </w:rPr>
            </w:pPr>
          </w:p>
        </w:tc>
      </w:tr>
      <w:tr w:rsidR="00803069" w:rsidRPr="000D5B62" w14:paraId="368585A1" w14:textId="77777777" w:rsidTr="007C4384">
        <w:tc>
          <w:tcPr>
            <w:tcW w:w="3646" w:type="dxa"/>
            <w:tcBorders>
              <w:top w:val="single" w:sz="12" w:space="0" w:color="auto"/>
            </w:tcBorders>
            <w:shd w:val="clear" w:color="auto" w:fill="auto"/>
          </w:tcPr>
          <w:p w14:paraId="731F7B95"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الأغذية والمشروبات غير الكحولية</w:t>
            </w:r>
          </w:p>
        </w:tc>
        <w:tc>
          <w:tcPr>
            <w:tcW w:w="1554" w:type="dxa"/>
            <w:tcBorders>
              <w:top w:val="single" w:sz="12" w:space="0" w:color="auto"/>
            </w:tcBorders>
            <w:shd w:val="clear" w:color="auto" w:fill="auto"/>
            <w:vAlign w:val="bottom"/>
          </w:tcPr>
          <w:p w14:paraId="19D5085B"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891 220</w:t>
            </w:r>
          </w:p>
        </w:tc>
        <w:tc>
          <w:tcPr>
            <w:tcW w:w="1078" w:type="dxa"/>
            <w:tcBorders>
              <w:top w:val="single" w:sz="12" w:space="0" w:color="auto"/>
            </w:tcBorders>
            <w:shd w:val="clear" w:color="auto" w:fill="auto"/>
            <w:vAlign w:val="bottom"/>
          </w:tcPr>
          <w:p w14:paraId="1CAE3D0A"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292 13</w:t>
            </w:r>
          </w:p>
        </w:tc>
        <w:tc>
          <w:tcPr>
            <w:tcW w:w="1092" w:type="dxa"/>
            <w:tcBorders>
              <w:top w:val="single" w:sz="12" w:space="0" w:color="auto"/>
            </w:tcBorders>
            <w:shd w:val="clear" w:color="auto" w:fill="auto"/>
            <w:vAlign w:val="bottom"/>
          </w:tcPr>
          <w:p w14:paraId="6368620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12,9</w:t>
            </w:r>
          </w:p>
        </w:tc>
      </w:tr>
      <w:tr w:rsidR="00803069" w:rsidRPr="000D5B62" w14:paraId="51CE132F" w14:textId="77777777" w:rsidTr="007C4384">
        <w:tc>
          <w:tcPr>
            <w:tcW w:w="3646" w:type="dxa"/>
            <w:shd w:val="clear" w:color="auto" w:fill="auto"/>
          </w:tcPr>
          <w:p w14:paraId="3B643839"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المشروبات الكحولية والتبغ</w:t>
            </w:r>
          </w:p>
        </w:tc>
        <w:tc>
          <w:tcPr>
            <w:tcW w:w="1554" w:type="dxa"/>
            <w:shd w:val="clear" w:color="auto" w:fill="auto"/>
            <w:vAlign w:val="bottom"/>
          </w:tcPr>
          <w:p w14:paraId="0ECDA82B"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132 15</w:t>
            </w:r>
          </w:p>
        </w:tc>
        <w:tc>
          <w:tcPr>
            <w:tcW w:w="1078" w:type="dxa"/>
            <w:shd w:val="clear" w:color="auto" w:fill="auto"/>
            <w:vAlign w:val="bottom"/>
          </w:tcPr>
          <w:p w14:paraId="02B93BB6"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911</w:t>
            </w:r>
          </w:p>
        </w:tc>
        <w:tc>
          <w:tcPr>
            <w:tcW w:w="1092" w:type="dxa"/>
            <w:shd w:val="clear" w:color="auto" w:fill="auto"/>
            <w:vAlign w:val="bottom"/>
          </w:tcPr>
          <w:p w14:paraId="1734708A"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0,9</w:t>
            </w:r>
          </w:p>
        </w:tc>
      </w:tr>
      <w:tr w:rsidR="00803069" w:rsidRPr="000D5B62" w14:paraId="655E95BE" w14:textId="77777777" w:rsidTr="007C4384">
        <w:tc>
          <w:tcPr>
            <w:tcW w:w="3646" w:type="dxa"/>
            <w:shd w:val="clear" w:color="auto" w:fill="auto"/>
          </w:tcPr>
          <w:p w14:paraId="69C2D3A1"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الملابس والأحذية</w:t>
            </w:r>
          </w:p>
        </w:tc>
        <w:tc>
          <w:tcPr>
            <w:tcW w:w="1554" w:type="dxa"/>
            <w:shd w:val="clear" w:color="auto" w:fill="auto"/>
            <w:vAlign w:val="bottom"/>
          </w:tcPr>
          <w:p w14:paraId="723DB45B"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072 82</w:t>
            </w:r>
          </w:p>
        </w:tc>
        <w:tc>
          <w:tcPr>
            <w:tcW w:w="1078" w:type="dxa"/>
            <w:shd w:val="clear" w:color="auto" w:fill="auto"/>
            <w:vAlign w:val="bottom"/>
          </w:tcPr>
          <w:p w14:paraId="443D045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939 4</w:t>
            </w:r>
          </w:p>
        </w:tc>
        <w:tc>
          <w:tcPr>
            <w:tcW w:w="1092" w:type="dxa"/>
            <w:shd w:val="clear" w:color="auto" w:fill="auto"/>
            <w:vAlign w:val="bottom"/>
          </w:tcPr>
          <w:p w14:paraId="73DC4C0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4,8</w:t>
            </w:r>
          </w:p>
        </w:tc>
      </w:tr>
      <w:tr w:rsidR="00803069" w:rsidRPr="000D5B62" w14:paraId="1F1A9D6C" w14:textId="77777777" w:rsidTr="007C4384">
        <w:tc>
          <w:tcPr>
            <w:tcW w:w="3646" w:type="dxa"/>
            <w:shd w:val="clear" w:color="auto" w:fill="auto"/>
          </w:tcPr>
          <w:p w14:paraId="78A38026" w14:textId="77777777" w:rsidR="00803069" w:rsidRPr="000D5B62" w:rsidRDefault="00803069" w:rsidP="007C4384">
            <w:pPr>
              <w:spacing w:before="40" w:after="40" w:line="300" w:lineRule="exact"/>
              <w:textDirection w:val="tbRlV"/>
              <w:rPr>
                <w:rFonts w:eastAsiaTheme="minorEastAsia"/>
                <w:bCs/>
                <w:spacing w:val="-4"/>
                <w:sz w:val="22"/>
                <w:lang w:eastAsia="zh-TW" w:bidi="en-GB"/>
              </w:rPr>
            </w:pPr>
            <w:r w:rsidRPr="000D5B62">
              <w:rPr>
                <w:rFonts w:eastAsiaTheme="minorEastAsia"/>
                <w:spacing w:val="-4"/>
                <w:sz w:val="22"/>
                <w:rtl/>
              </w:rPr>
              <w:t>السكن والماء والكهرباء والغاز وأنواع الوقود الأخرى</w:t>
            </w:r>
          </w:p>
        </w:tc>
        <w:tc>
          <w:tcPr>
            <w:tcW w:w="1554" w:type="dxa"/>
            <w:shd w:val="clear" w:color="auto" w:fill="auto"/>
            <w:vAlign w:val="bottom"/>
          </w:tcPr>
          <w:p w14:paraId="337821C0"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799 558</w:t>
            </w:r>
          </w:p>
        </w:tc>
        <w:tc>
          <w:tcPr>
            <w:tcW w:w="1078" w:type="dxa"/>
            <w:shd w:val="clear" w:color="auto" w:fill="auto"/>
            <w:vAlign w:val="bottom"/>
          </w:tcPr>
          <w:p w14:paraId="22B3849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625 33</w:t>
            </w:r>
          </w:p>
        </w:tc>
        <w:tc>
          <w:tcPr>
            <w:tcW w:w="1092" w:type="dxa"/>
            <w:shd w:val="clear" w:color="auto" w:fill="auto"/>
            <w:vAlign w:val="bottom"/>
          </w:tcPr>
          <w:p w14:paraId="5BF347E9"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32,6</w:t>
            </w:r>
          </w:p>
        </w:tc>
      </w:tr>
      <w:tr w:rsidR="00803069" w:rsidRPr="000D5B62" w14:paraId="46EC3724" w14:textId="77777777" w:rsidTr="007C4384">
        <w:tc>
          <w:tcPr>
            <w:tcW w:w="3646" w:type="dxa"/>
            <w:shd w:val="clear" w:color="auto" w:fill="auto"/>
          </w:tcPr>
          <w:p w14:paraId="5B1601AA"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أثاث المسكن وصيانته الروتينية والأجهزة المنزلية</w:t>
            </w:r>
          </w:p>
        </w:tc>
        <w:tc>
          <w:tcPr>
            <w:tcW w:w="1554" w:type="dxa"/>
            <w:shd w:val="clear" w:color="auto" w:fill="auto"/>
            <w:vAlign w:val="bottom"/>
          </w:tcPr>
          <w:p w14:paraId="764AB0E5"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599 89</w:t>
            </w:r>
          </w:p>
        </w:tc>
        <w:tc>
          <w:tcPr>
            <w:tcW w:w="1078" w:type="dxa"/>
            <w:shd w:val="clear" w:color="auto" w:fill="auto"/>
            <w:vAlign w:val="bottom"/>
          </w:tcPr>
          <w:p w14:paraId="2A712EB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391 5</w:t>
            </w:r>
          </w:p>
        </w:tc>
        <w:tc>
          <w:tcPr>
            <w:tcW w:w="1092" w:type="dxa"/>
            <w:shd w:val="clear" w:color="auto" w:fill="auto"/>
            <w:vAlign w:val="bottom"/>
          </w:tcPr>
          <w:p w14:paraId="531AD1B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5,2</w:t>
            </w:r>
          </w:p>
        </w:tc>
      </w:tr>
      <w:tr w:rsidR="00803069" w:rsidRPr="000D5B62" w14:paraId="1BD30426" w14:textId="77777777" w:rsidTr="007C4384">
        <w:tc>
          <w:tcPr>
            <w:tcW w:w="3646" w:type="dxa"/>
            <w:shd w:val="clear" w:color="auto" w:fill="auto"/>
          </w:tcPr>
          <w:p w14:paraId="6F0C3BDD"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 xml:space="preserve">الصحة </w:t>
            </w:r>
          </w:p>
        </w:tc>
        <w:tc>
          <w:tcPr>
            <w:tcW w:w="1554" w:type="dxa"/>
            <w:shd w:val="clear" w:color="auto" w:fill="auto"/>
            <w:vAlign w:val="bottom"/>
          </w:tcPr>
          <w:p w14:paraId="43617AAE"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533 15</w:t>
            </w:r>
          </w:p>
        </w:tc>
        <w:tc>
          <w:tcPr>
            <w:tcW w:w="1078" w:type="dxa"/>
            <w:shd w:val="clear" w:color="auto" w:fill="auto"/>
            <w:vAlign w:val="bottom"/>
          </w:tcPr>
          <w:p w14:paraId="0DAC468C"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935</w:t>
            </w:r>
          </w:p>
        </w:tc>
        <w:tc>
          <w:tcPr>
            <w:tcW w:w="1092" w:type="dxa"/>
            <w:shd w:val="clear" w:color="auto" w:fill="auto"/>
            <w:vAlign w:val="bottom"/>
          </w:tcPr>
          <w:p w14:paraId="251B1A7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0,9</w:t>
            </w:r>
          </w:p>
        </w:tc>
      </w:tr>
      <w:tr w:rsidR="00803069" w:rsidRPr="000D5B62" w14:paraId="0E25E8DC" w14:textId="77777777" w:rsidTr="007C4384">
        <w:tc>
          <w:tcPr>
            <w:tcW w:w="3646" w:type="dxa"/>
            <w:shd w:val="clear" w:color="auto" w:fill="auto"/>
          </w:tcPr>
          <w:p w14:paraId="0952F322"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 xml:space="preserve">النقل </w:t>
            </w:r>
          </w:p>
        </w:tc>
        <w:tc>
          <w:tcPr>
            <w:tcW w:w="1554" w:type="dxa"/>
            <w:shd w:val="clear" w:color="auto" w:fill="auto"/>
            <w:vAlign w:val="bottom"/>
          </w:tcPr>
          <w:p w14:paraId="4E462436"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623 279</w:t>
            </w:r>
          </w:p>
        </w:tc>
        <w:tc>
          <w:tcPr>
            <w:tcW w:w="1078" w:type="dxa"/>
            <w:shd w:val="clear" w:color="auto" w:fill="auto"/>
            <w:vAlign w:val="bottom"/>
          </w:tcPr>
          <w:p w14:paraId="73E802AE"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826 16</w:t>
            </w:r>
          </w:p>
        </w:tc>
        <w:tc>
          <w:tcPr>
            <w:tcW w:w="1092" w:type="dxa"/>
            <w:shd w:val="clear" w:color="auto" w:fill="auto"/>
            <w:vAlign w:val="bottom"/>
          </w:tcPr>
          <w:p w14:paraId="26BBCFF6"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16,3</w:t>
            </w:r>
          </w:p>
        </w:tc>
      </w:tr>
      <w:tr w:rsidR="00803069" w:rsidRPr="000D5B62" w14:paraId="5C4FBF7F" w14:textId="77777777" w:rsidTr="007C4384">
        <w:tc>
          <w:tcPr>
            <w:tcW w:w="3646" w:type="dxa"/>
            <w:shd w:val="clear" w:color="auto" w:fill="auto"/>
          </w:tcPr>
          <w:p w14:paraId="5F630741"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 xml:space="preserve">أنشطة التواصل </w:t>
            </w:r>
          </w:p>
        </w:tc>
        <w:tc>
          <w:tcPr>
            <w:tcW w:w="1554" w:type="dxa"/>
            <w:shd w:val="clear" w:color="auto" w:fill="auto"/>
            <w:vAlign w:val="bottom"/>
          </w:tcPr>
          <w:p w14:paraId="751A1F74"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322 58</w:t>
            </w:r>
          </w:p>
        </w:tc>
        <w:tc>
          <w:tcPr>
            <w:tcW w:w="1078" w:type="dxa"/>
            <w:shd w:val="clear" w:color="auto" w:fill="auto"/>
            <w:vAlign w:val="bottom"/>
          </w:tcPr>
          <w:p w14:paraId="063592F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509 3</w:t>
            </w:r>
          </w:p>
        </w:tc>
        <w:tc>
          <w:tcPr>
            <w:tcW w:w="1092" w:type="dxa"/>
            <w:shd w:val="clear" w:color="auto" w:fill="auto"/>
            <w:vAlign w:val="bottom"/>
          </w:tcPr>
          <w:p w14:paraId="5054B27A"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3,4</w:t>
            </w:r>
          </w:p>
        </w:tc>
      </w:tr>
      <w:tr w:rsidR="00803069" w:rsidRPr="000D5B62" w14:paraId="4E85E7EC" w14:textId="77777777" w:rsidTr="007C4384">
        <w:tc>
          <w:tcPr>
            <w:tcW w:w="3646" w:type="dxa"/>
            <w:shd w:val="clear" w:color="auto" w:fill="auto"/>
          </w:tcPr>
          <w:p w14:paraId="7A72486B"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الترفيه والثقافة</w:t>
            </w:r>
          </w:p>
        </w:tc>
        <w:tc>
          <w:tcPr>
            <w:tcW w:w="1554" w:type="dxa"/>
            <w:shd w:val="clear" w:color="auto" w:fill="auto"/>
            <w:vAlign w:val="bottom"/>
          </w:tcPr>
          <w:p w14:paraId="0D51368C"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361 65</w:t>
            </w:r>
          </w:p>
        </w:tc>
        <w:tc>
          <w:tcPr>
            <w:tcW w:w="1078" w:type="dxa"/>
            <w:shd w:val="clear" w:color="auto" w:fill="auto"/>
            <w:vAlign w:val="bottom"/>
          </w:tcPr>
          <w:p w14:paraId="7FA64E21"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933 3</w:t>
            </w:r>
          </w:p>
        </w:tc>
        <w:tc>
          <w:tcPr>
            <w:tcW w:w="1092" w:type="dxa"/>
            <w:shd w:val="clear" w:color="auto" w:fill="auto"/>
            <w:vAlign w:val="bottom"/>
          </w:tcPr>
          <w:p w14:paraId="2A104DD0"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3,8</w:t>
            </w:r>
          </w:p>
        </w:tc>
      </w:tr>
      <w:tr w:rsidR="00803069" w:rsidRPr="000D5B62" w14:paraId="32D9F538" w14:textId="77777777" w:rsidTr="007C4384">
        <w:tc>
          <w:tcPr>
            <w:tcW w:w="3646" w:type="dxa"/>
            <w:shd w:val="clear" w:color="auto" w:fill="auto"/>
          </w:tcPr>
          <w:p w14:paraId="021F2DE4"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 xml:space="preserve">التثقيف </w:t>
            </w:r>
          </w:p>
        </w:tc>
        <w:tc>
          <w:tcPr>
            <w:tcW w:w="1554" w:type="dxa"/>
            <w:shd w:val="clear" w:color="auto" w:fill="auto"/>
            <w:vAlign w:val="bottom"/>
          </w:tcPr>
          <w:p w14:paraId="01303F8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070 42</w:t>
            </w:r>
          </w:p>
        </w:tc>
        <w:tc>
          <w:tcPr>
            <w:tcW w:w="1078" w:type="dxa"/>
            <w:shd w:val="clear" w:color="auto" w:fill="auto"/>
            <w:vAlign w:val="bottom"/>
          </w:tcPr>
          <w:p w14:paraId="3302AEC9"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531 2</w:t>
            </w:r>
          </w:p>
        </w:tc>
        <w:tc>
          <w:tcPr>
            <w:tcW w:w="1092" w:type="dxa"/>
            <w:shd w:val="clear" w:color="auto" w:fill="auto"/>
            <w:vAlign w:val="bottom"/>
          </w:tcPr>
          <w:p w14:paraId="08F8261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2,5</w:t>
            </w:r>
          </w:p>
        </w:tc>
      </w:tr>
      <w:tr w:rsidR="00803069" w:rsidRPr="000D5B62" w14:paraId="428027E9" w14:textId="77777777" w:rsidTr="007C4384">
        <w:tc>
          <w:tcPr>
            <w:tcW w:w="3646" w:type="dxa"/>
            <w:shd w:val="clear" w:color="auto" w:fill="auto"/>
          </w:tcPr>
          <w:p w14:paraId="6EA131A8"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المطاعم والفنادق</w:t>
            </w:r>
          </w:p>
        </w:tc>
        <w:tc>
          <w:tcPr>
            <w:tcW w:w="1554" w:type="dxa"/>
            <w:shd w:val="clear" w:color="auto" w:fill="auto"/>
            <w:vAlign w:val="bottom"/>
          </w:tcPr>
          <w:p w14:paraId="38FAE71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238 36</w:t>
            </w:r>
          </w:p>
        </w:tc>
        <w:tc>
          <w:tcPr>
            <w:tcW w:w="1078" w:type="dxa"/>
            <w:shd w:val="clear" w:color="auto" w:fill="auto"/>
            <w:vAlign w:val="bottom"/>
          </w:tcPr>
          <w:p w14:paraId="0C80328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181 2</w:t>
            </w:r>
          </w:p>
        </w:tc>
        <w:tc>
          <w:tcPr>
            <w:tcW w:w="1092" w:type="dxa"/>
            <w:shd w:val="clear" w:color="auto" w:fill="auto"/>
            <w:vAlign w:val="bottom"/>
          </w:tcPr>
          <w:p w14:paraId="2D2012DB"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2,1</w:t>
            </w:r>
          </w:p>
        </w:tc>
      </w:tr>
      <w:tr w:rsidR="00803069" w:rsidRPr="000D5B62" w14:paraId="5EB14146" w14:textId="77777777" w:rsidTr="007C4384">
        <w:tc>
          <w:tcPr>
            <w:tcW w:w="3646" w:type="dxa"/>
            <w:shd w:val="clear" w:color="auto" w:fill="auto"/>
          </w:tcPr>
          <w:p w14:paraId="4987F301"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سلع وخدمات متنوعة</w:t>
            </w:r>
          </w:p>
        </w:tc>
        <w:tc>
          <w:tcPr>
            <w:tcW w:w="1554" w:type="dxa"/>
            <w:shd w:val="clear" w:color="auto" w:fill="auto"/>
            <w:vAlign w:val="bottom"/>
          </w:tcPr>
          <w:p w14:paraId="7F8253A3"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050 252</w:t>
            </w:r>
          </w:p>
        </w:tc>
        <w:tc>
          <w:tcPr>
            <w:tcW w:w="1078" w:type="dxa"/>
            <w:shd w:val="clear" w:color="auto" w:fill="auto"/>
            <w:vAlign w:val="bottom"/>
          </w:tcPr>
          <w:p w14:paraId="45CF9218"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167 15</w:t>
            </w:r>
          </w:p>
        </w:tc>
        <w:tc>
          <w:tcPr>
            <w:tcW w:w="1092" w:type="dxa"/>
            <w:shd w:val="clear" w:color="auto" w:fill="auto"/>
            <w:vAlign w:val="bottom"/>
          </w:tcPr>
          <w:p w14:paraId="4724828D"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14,7</w:t>
            </w:r>
          </w:p>
        </w:tc>
      </w:tr>
      <w:tr w:rsidR="00803069" w:rsidRPr="000D5B62" w14:paraId="645E6E91" w14:textId="77777777" w:rsidTr="007C4384">
        <w:tc>
          <w:tcPr>
            <w:tcW w:w="3646" w:type="dxa"/>
            <w:tcBorders>
              <w:bottom w:val="single" w:sz="4" w:space="0" w:color="auto"/>
            </w:tcBorders>
            <w:shd w:val="clear" w:color="auto" w:fill="auto"/>
          </w:tcPr>
          <w:p w14:paraId="51220367" w14:textId="77777777" w:rsidR="00803069" w:rsidRPr="000D5B62" w:rsidRDefault="00803069" w:rsidP="007C4384">
            <w:pPr>
              <w:spacing w:before="40" w:after="40" w:line="300" w:lineRule="exact"/>
              <w:textDirection w:val="tbRlV"/>
              <w:rPr>
                <w:rFonts w:eastAsiaTheme="minorEastAsia"/>
                <w:bCs/>
                <w:spacing w:val="-4"/>
                <w:sz w:val="22"/>
                <w:lang w:val="ar-SA" w:eastAsia="zh-TW" w:bidi="en-GB"/>
              </w:rPr>
            </w:pPr>
            <w:r w:rsidRPr="000D5B62">
              <w:rPr>
                <w:rFonts w:eastAsiaTheme="minorEastAsia"/>
                <w:spacing w:val="-4"/>
                <w:sz w:val="22"/>
                <w:rtl/>
              </w:rPr>
              <w:t>بنود غير مصنفة</w:t>
            </w:r>
          </w:p>
        </w:tc>
        <w:tc>
          <w:tcPr>
            <w:tcW w:w="1554" w:type="dxa"/>
            <w:tcBorders>
              <w:bottom w:val="single" w:sz="4" w:space="0" w:color="auto"/>
            </w:tcBorders>
            <w:shd w:val="clear" w:color="auto" w:fill="auto"/>
            <w:vAlign w:val="bottom"/>
          </w:tcPr>
          <w:p w14:paraId="20E9729E"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906</w:t>
            </w:r>
          </w:p>
        </w:tc>
        <w:tc>
          <w:tcPr>
            <w:tcW w:w="1078" w:type="dxa"/>
            <w:tcBorders>
              <w:bottom w:val="single" w:sz="4" w:space="0" w:color="auto"/>
            </w:tcBorders>
            <w:shd w:val="clear" w:color="auto" w:fill="auto"/>
            <w:vAlign w:val="bottom"/>
          </w:tcPr>
          <w:p w14:paraId="36DED5F7"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55</w:t>
            </w:r>
          </w:p>
        </w:tc>
        <w:tc>
          <w:tcPr>
            <w:tcW w:w="1092" w:type="dxa"/>
            <w:tcBorders>
              <w:bottom w:val="single" w:sz="4" w:space="0" w:color="auto"/>
            </w:tcBorders>
            <w:shd w:val="clear" w:color="auto" w:fill="auto"/>
            <w:vAlign w:val="bottom"/>
          </w:tcPr>
          <w:p w14:paraId="1DC331E9" w14:textId="77777777" w:rsidR="00803069" w:rsidRPr="000D5B62" w:rsidRDefault="00803069" w:rsidP="007C4384">
            <w:pPr>
              <w:spacing w:before="40" w:after="40" w:line="300" w:lineRule="exact"/>
              <w:jc w:val="left"/>
              <w:textDirection w:val="tbRlV"/>
              <w:rPr>
                <w:rFonts w:eastAsiaTheme="minorEastAsia"/>
                <w:bCs/>
                <w:spacing w:val="-4"/>
                <w:sz w:val="22"/>
                <w:lang w:val="ar-SA" w:eastAsia="zh-TW" w:bidi="en-GB"/>
              </w:rPr>
            </w:pPr>
            <w:r w:rsidRPr="000D5B62">
              <w:rPr>
                <w:rFonts w:eastAsiaTheme="minorEastAsia"/>
                <w:spacing w:val="-4"/>
                <w:sz w:val="22"/>
                <w:rtl/>
              </w:rPr>
              <w:t>0,1</w:t>
            </w:r>
          </w:p>
        </w:tc>
      </w:tr>
      <w:tr w:rsidR="00803069" w:rsidRPr="000D5B62" w14:paraId="4FE1EA66" w14:textId="77777777" w:rsidTr="007C4384">
        <w:tc>
          <w:tcPr>
            <w:tcW w:w="3646" w:type="dxa"/>
            <w:tcBorders>
              <w:top w:val="single" w:sz="4" w:space="0" w:color="auto"/>
              <w:bottom w:val="single" w:sz="12" w:space="0" w:color="auto"/>
            </w:tcBorders>
            <w:shd w:val="clear" w:color="auto" w:fill="auto"/>
          </w:tcPr>
          <w:p w14:paraId="15C48FFD" w14:textId="33D0962D" w:rsidR="00803069" w:rsidRPr="000D5B62" w:rsidRDefault="00803069" w:rsidP="00136F05">
            <w:pPr>
              <w:spacing w:before="40" w:after="40" w:line="300" w:lineRule="exact"/>
              <w:ind w:left="191"/>
              <w:textDirection w:val="tbRlV"/>
              <w:rPr>
                <w:rFonts w:eastAsiaTheme="minorEastAsia"/>
                <w:b/>
                <w:spacing w:val="-4"/>
                <w:sz w:val="22"/>
                <w:rtl/>
                <w:lang w:val="ar-SA" w:eastAsia="zh-TW" w:bidi="en-GB"/>
              </w:rPr>
            </w:pPr>
            <w:r w:rsidRPr="000D5B62">
              <w:rPr>
                <w:rFonts w:eastAsiaTheme="minorEastAsia"/>
                <w:b/>
                <w:bCs/>
                <w:spacing w:val="-4"/>
                <w:sz w:val="22"/>
                <w:rtl/>
              </w:rPr>
              <w:t>المجموع</w:t>
            </w:r>
          </w:p>
        </w:tc>
        <w:tc>
          <w:tcPr>
            <w:tcW w:w="1554" w:type="dxa"/>
            <w:tcBorders>
              <w:top w:val="single" w:sz="4" w:space="0" w:color="auto"/>
              <w:bottom w:val="single" w:sz="12" w:space="0" w:color="auto"/>
            </w:tcBorders>
            <w:shd w:val="clear" w:color="auto" w:fill="auto"/>
            <w:vAlign w:val="bottom"/>
          </w:tcPr>
          <w:p w14:paraId="30D4922F" w14:textId="77777777" w:rsidR="00803069" w:rsidRPr="000D5B62" w:rsidRDefault="00803069" w:rsidP="007C4384">
            <w:pPr>
              <w:spacing w:before="40" w:after="40" w:line="300" w:lineRule="exact"/>
              <w:jc w:val="left"/>
              <w:textDirection w:val="tbRlV"/>
              <w:rPr>
                <w:rFonts w:eastAsiaTheme="minorEastAsia"/>
                <w:b/>
                <w:spacing w:val="-4"/>
                <w:sz w:val="22"/>
                <w:lang w:val="ar-SA" w:eastAsia="zh-TW" w:bidi="en-GB"/>
              </w:rPr>
            </w:pPr>
            <w:r w:rsidRPr="000D5B62">
              <w:rPr>
                <w:rFonts w:eastAsiaTheme="minorEastAsia"/>
                <w:b/>
                <w:bCs/>
                <w:spacing w:val="-4"/>
                <w:sz w:val="22"/>
                <w:rtl/>
              </w:rPr>
              <w:t>595 716 1</w:t>
            </w:r>
          </w:p>
        </w:tc>
        <w:tc>
          <w:tcPr>
            <w:tcW w:w="1078" w:type="dxa"/>
            <w:tcBorders>
              <w:top w:val="single" w:sz="4" w:space="0" w:color="auto"/>
              <w:bottom w:val="single" w:sz="12" w:space="0" w:color="auto"/>
            </w:tcBorders>
            <w:shd w:val="clear" w:color="auto" w:fill="auto"/>
            <w:vAlign w:val="bottom"/>
          </w:tcPr>
          <w:p w14:paraId="65F8F488" w14:textId="77777777" w:rsidR="00803069" w:rsidRPr="000D5B62" w:rsidRDefault="00803069" w:rsidP="007C4384">
            <w:pPr>
              <w:spacing w:before="40" w:after="40" w:line="300" w:lineRule="exact"/>
              <w:jc w:val="left"/>
              <w:textDirection w:val="tbRlV"/>
              <w:rPr>
                <w:rFonts w:eastAsiaTheme="minorEastAsia"/>
                <w:b/>
                <w:spacing w:val="-4"/>
                <w:sz w:val="22"/>
                <w:lang w:val="ar-SA" w:eastAsia="zh-TW" w:bidi="en-GB"/>
              </w:rPr>
            </w:pPr>
            <w:r w:rsidRPr="000D5B62">
              <w:rPr>
                <w:rFonts w:eastAsiaTheme="minorEastAsia"/>
                <w:b/>
                <w:bCs/>
                <w:spacing w:val="-4"/>
                <w:sz w:val="22"/>
                <w:rtl/>
              </w:rPr>
              <w:t>293 103</w:t>
            </w:r>
          </w:p>
        </w:tc>
        <w:tc>
          <w:tcPr>
            <w:tcW w:w="1092" w:type="dxa"/>
            <w:tcBorders>
              <w:top w:val="single" w:sz="4" w:space="0" w:color="auto"/>
              <w:bottom w:val="single" w:sz="12" w:space="0" w:color="auto"/>
            </w:tcBorders>
            <w:shd w:val="clear" w:color="auto" w:fill="auto"/>
            <w:vAlign w:val="bottom"/>
          </w:tcPr>
          <w:p w14:paraId="1AC9EEFC" w14:textId="77777777" w:rsidR="00803069" w:rsidRPr="000D5B62" w:rsidRDefault="00803069" w:rsidP="007C4384">
            <w:pPr>
              <w:spacing w:before="40" w:after="40" w:line="300" w:lineRule="exact"/>
              <w:jc w:val="left"/>
              <w:textDirection w:val="tbRlV"/>
              <w:rPr>
                <w:rFonts w:eastAsiaTheme="minorEastAsia"/>
                <w:b/>
                <w:spacing w:val="-4"/>
                <w:sz w:val="22"/>
                <w:lang w:val="ar-SA" w:eastAsia="zh-TW" w:bidi="en-GB"/>
              </w:rPr>
            </w:pPr>
            <w:r w:rsidRPr="000D5B62">
              <w:rPr>
                <w:rFonts w:eastAsiaTheme="minorEastAsia"/>
                <w:b/>
                <w:bCs/>
                <w:spacing w:val="-4"/>
                <w:sz w:val="22"/>
                <w:rtl/>
              </w:rPr>
              <w:t>100,0</w:t>
            </w:r>
          </w:p>
        </w:tc>
      </w:tr>
    </w:tbl>
    <w:p w14:paraId="2B4DE333" w14:textId="5148B92C" w:rsidR="00A445A1" w:rsidRPr="000D5B62" w:rsidRDefault="00803069" w:rsidP="0035195D">
      <w:pPr>
        <w:pStyle w:val="SingleTxtGA"/>
        <w:spacing w:before="240"/>
        <w:rPr>
          <w:rtl/>
        </w:rPr>
      </w:pPr>
      <w:r w:rsidRPr="000D5B62">
        <w:rPr>
          <w:rtl/>
        </w:rPr>
        <w:t>35-</w:t>
      </w:r>
      <w:r w:rsidRPr="000D5B62">
        <w:rPr>
          <w:rtl/>
        </w:rPr>
        <w:tab/>
        <w:t xml:space="preserve">وكما سبق الذِّكر، بلغ متوسط نفقات الاستهلاك للأسر المعيشية في جنوب أفريقيا </w:t>
      </w:r>
      <w:r w:rsidRPr="000D5B62">
        <w:t>103 293</w:t>
      </w:r>
      <w:r w:rsidRPr="000D5B62">
        <w:rPr>
          <w:rtl/>
        </w:rPr>
        <w:t xml:space="preserve"> رانداً في عام 2015. غير أن متوسط الإنفاق في البلد لم يتجاوز 522 42 راند في السنة؛ مما يدل على استمرار عدم المساواة ما بين الأسر المعيشية. إذ ناهزت نفقات الأسر المعيشية التي يعيلها ذكور نسبة</w:t>
      </w:r>
      <w:r w:rsidR="00136F05" w:rsidRPr="000D5B62">
        <w:rPr>
          <w:rFonts w:hint="cs"/>
          <w:rtl/>
        </w:rPr>
        <w:t> </w:t>
      </w:r>
      <w:r w:rsidRPr="000D5B62">
        <w:rPr>
          <w:rtl/>
        </w:rPr>
        <w:t>70 في المائة من نفقات الأسر المعيشية قاطبة في البلد وقد بلغ متوسط إنفاقها في عام 2015 حوالي 363 121 رانداً. أما الأسر المعيشية التي تعيلها إناث، فلم تنفق في عام 2015 سوى ثلثي ما</w:t>
      </w:r>
      <w:r w:rsidR="00136F05" w:rsidRPr="000D5B62">
        <w:rPr>
          <w:rFonts w:hint="cs"/>
          <w:rtl/>
        </w:rPr>
        <w:t> </w:t>
      </w:r>
      <w:r w:rsidRPr="000D5B62">
        <w:rPr>
          <w:rtl/>
        </w:rPr>
        <w:t>أنفقته نظيرتها التي يعيلها ذكور (</w:t>
      </w:r>
      <w:r w:rsidRPr="000D5B62">
        <w:t>77 671</w:t>
      </w:r>
      <w:r w:rsidRPr="000D5B62">
        <w:rPr>
          <w:rtl/>
        </w:rPr>
        <w:t xml:space="preserve"> رانداً تقريباً)، بنسبة تزيد قليلاً على 30 في المائة من مجموع الإنفاق الاستهلاكي في جنوب أفريقيا</w:t>
      </w:r>
      <w:r w:rsidRPr="000D5B62">
        <w:rPr>
          <w:rStyle w:val="FootnoteReference"/>
          <w:szCs w:val="22"/>
          <w:rtl/>
        </w:rPr>
        <w:t>(</w:t>
      </w:r>
      <w:r w:rsidRPr="000D5B62">
        <w:rPr>
          <w:rStyle w:val="FootnoteReference"/>
          <w:szCs w:val="22"/>
          <w:rtl/>
        </w:rPr>
        <w:footnoteReference w:id="31"/>
      </w:r>
      <w:r w:rsidRPr="000D5B62">
        <w:rPr>
          <w:rStyle w:val="FootnoteReference"/>
          <w:szCs w:val="22"/>
          <w:rtl/>
        </w:rPr>
        <w:t>)</w:t>
      </w:r>
      <w:r w:rsidRPr="000D5B62">
        <w:rPr>
          <w:rtl/>
        </w:rPr>
        <w:t>.</w:t>
      </w:r>
    </w:p>
    <w:p w14:paraId="38864C84" w14:textId="527CF70E" w:rsidR="00803069" w:rsidRPr="000D5B62" w:rsidRDefault="00803069" w:rsidP="00706D34">
      <w:pPr>
        <w:pStyle w:val="SingleTxtGA"/>
        <w:rPr>
          <w:rStyle w:val="FootnoteReference"/>
          <w:rFonts w:eastAsiaTheme="minorEastAsia"/>
          <w:szCs w:val="22"/>
          <w:lang w:val="ar-SA" w:eastAsia="zh-TW" w:bidi="en-GB"/>
        </w:rPr>
      </w:pPr>
      <w:r w:rsidRPr="000D5B62">
        <w:rPr>
          <w:rtl/>
        </w:rPr>
        <w:t>36-</w:t>
      </w:r>
      <w:r w:rsidRPr="000D5B62">
        <w:rPr>
          <w:rtl/>
        </w:rPr>
        <w:tab/>
        <w:t>وشكلت نفقات الأسر المعيشية التي يعيلها الأفريقيون السود في عام 2015 ما يربو على نصف (52,8 في المائة) نفقات الأسر المعيشية الاستهلاكية قاطبة، حيث بلغت في المتوسط خلال السنة المشمولة بالاستقصاء 828 67 رانداً. أما الأسر المعيشية التي يعيلها الملونون، فلم يتجاوز معدل إنفاقها</w:t>
      </w:r>
      <w:r w:rsidR="0035195D" w:rsidRPr="000D5B62">
        <w:rPr>
          <w:rFonts w:hint="cs"/>
          <w:rtl/>
        </w:rPr>
        <w:t> </w:t>
      </w:r>
      <w:r w:rsidRPr="000D5B62">
        <w:rPr>
          <w:rtl/>
        </w:rPr>
        <w:t>8,7 في المائة من مجموع نفقات الأسر المعيشية على الرغم من حجمها الكبير في التركيبة السكانية، في حين شكلت نفقات الأسر المعيشية التي يعيلها البيض ثاني أكبر حصة من الإنفاق الاستهلاكي وقد بلغت نسبتها 34,1 في المائة. وفي ضوء المعدل الوسيط لإنفاق الأسر المعيشية الاستهلاكي حسب الفئة السكانية، نجد أن الأسرة المعيشية التي يعيلها البيض ما برحت ميسورة الحال مما يتجسد في حجم إنفاقها البالغ 159 256 رانداً والذي لا يشكل، على خلاف الفئات الأخرى، نصف متوسط نفقات الأسر المنتمية لتلك الفئة السكانية. ويستدل من ذلك على انخفاض مستويات عدم المساواة على نطاق الأسر المعيشية التي يعيلها البيض، حيث تتقارب أرقام المعدل الوسيط لنفقاتها ومتوسط تلك النفقات بقدر أكبر. وهذا مشابه لحالة الأسر المعيشية التي يعيلها هنود/آسيوي</w:t>
      </w:r>
      <w:r w:rsidR="003C71A7" w:rsidRPr="000D5B62">
        <w:rPr>
          <w:rFonts w:hint="cs"/>
          <w:rtl/>
        </w:rPr>
        <w:t>و</w:t>
      </w:r>
      <w:r w:rsidRPr="000D5B62">
        <w:rPr>
          <w:rtl/>
        </w:rPr>
        <w:t>ن. وفيما يتعلق بالأسر المعيشية التي يعيلها الأفريقيون السود والتي يعيلها الملونون، كان المعدل الوسيط مقاربا</w:t>
      </w:r>
      <w:r w:rsidR="003C71A7" w:rsidRPr="000D5B62">
        <w:rPr>
          <w:rFonts w:hint="cs"/>
          <w:rtl/>
        </w:rPr>
        <w:t>ً</w:t>
      </w:r>
      <w:r w:rsidRPr="000D5B62">
        <w:rPr>
          <w:rtl/>
        </w:rPr>
        <w:t xml:space="preserve"> لنصف متوسط النفقات، مما يستدل منه على تفاوت المستويات بقدر كبير</w:t>
      </w:r>
      <w:r w:rsidRPr="000D5B62">
        <w:rPr>
          <w:rStyle w:val="FootnoteReference"/>
          <w:szCs w:val="22"/>
          <w:rtl/>
        </w:rPr>
        <w:t>(</w:t>
      </w:r>
      <w:r w:rsidRPr="000D5B62">
        <w:rPr>
          <w:rStyle w:val="FootnoteReference"/>
          <w:szCs w:val="22"/>
          <w:rtl/>
        </w:rPr>
        <w:footnoteReference w:id="32"/>
      </w:r>
      <w:r w:rsidRPr="000D5B62">
        <w:rPr>
          <w:rStyle w:val="FootnoteReference"/>
          <w:szCs w:val="22"/>
          <w:rtl/>
        </w:rPr>
        <w:t>)</w:t>
      </w:r>
      <w:r w:rsidR="00313F43" w:rsidRPr="000D5B62">
        <w:rPr>
          <w:rStyle w:val="FootnoteReference"/>
          <w:rFonts w:hint="cs"/>
          <w:szCs w:val="22"/>
          <w:vertAlign w:val="baseline"/>
          <w:rtl/>
        </w:rPr>
        <w:t>.</w:t>
      </w:r>
    </w:p>
    <w:p w14:paraId="13322BAA" w14:textId="1F1EAE14" w:rsidR="00803069" w:rsidRPr="000D5B62" w:rsidRDefault="00803069" w:rsidP="00706D34">
      <w:pPr>
        <w:pStyle w:val="SingleTxtGA"/>
        <w:rPr>
          <w:lang w:val="ar-SA" w:eastAsia="zh-TW" w:bidi="en-GB"/>
        </w:rPr>
      </w:pPr>
      <w:r w:rsidRPr="000D5B62">
        <w:rPr>
          <w:rtl/>
        </w:rPr>
        <w:t>37-</w:t>
      </w:r>
      <w:r w:rsidRPr="000D5B62">
        <w:rPr>
          <w:rtl/>
        </w:rPr>
        <w:tab/>
        <w:t>وفيما يتعلق بالسكن، زادت نسبة الأسر المعيشية التي تحصل على نوع من الإعانات التي تقدمها الحكومة في مجال الإسكان من 5,6 في المائة في عام 2002 إلى 13,6 في المائة في عام</w:t>
      </w:r>
      <w:r w:rsidR="00136F05" w:rsidRPr="000D5B62">
        <w:rPr>
          <w:rFonts w:hint="cs"/>
          <w:rtl/>
        </w:rPr>
        <w:t> </w:t>
      </w:r>
      <w:r w:rsidRPr="000D5B62">
        <w:rPr>
          <w:rtl/>
        </w:rPr>
        <w:t>2017. وتلقت الأسر المعيشية التي ترأسها نساء إعاناتٍ بنسبة مئوية (17</w:t>
      </w:r>
      <w:r w:rsidR="00136F05" w:rsidRPr="000D5B62">
        <w:rPr>
          <w:rFonts w:ascii="Simplified Arabic" w:hAnsi="Simplified Arabic"/>
          <w:rtl/>
        </w:rPr>
        <w:t>,</w:t>
      </w:r>
      <w:r w:rsidRPr="000D5B62">
        <w:rPr>
          <w:rtl/>
        </w:rPr>
        <w:t>3 في المائة) أعلى بقليل من الأسر المعيشية التي يرأسها ذكور (11 في المائة). ويتماشى ذلك مع السياسات الحكومية التي تعطي الأفضلية للأسر المعيشية التي يرأسها أفراد من الفئات الضعيفة، بمن فيهم الإناث، والأشخاص ذوو الإعاقة. ويرد في الجدول أدناه بيان النسبة المئوية من الأسر المعيشية التي تلقت من الحكومة إعانة في مجال الإسكان في الفترة 2002-2017 حسب نوع رب الأسرة.</w:t>
      </w:r>
    </w:p>
    <w:p w14:paraId="06C1C5B8" w14:textId="0C5319AE" w:rsidR="00803069" w:rsidRPr="000D5B62" w:rsidRDefault="00803069" w:rsidP="00313F43">
      <w:pPr>
        <w:pStyle w:val="SingleTxtGA"/>
        <w:rPr>
          <w:b/>
          <w:bCs/>
          <w:lang w:val="ar-SA" w:eastAsia="zh-TW" w:bidi="en-GB"/>
        </w:rPr>
      </w:pPr>
      <w:r w:rsidRPr="000D5B62">
        <w:rPr>
          <w:rtl/>
        </w:rPr>
        <w:t>الشكل 17</w:t>
      </w:r>
      <w:r w:rsidR="00313F43" w:rsidRPr="000D5B62">
        <w:rPr>
          <w:rtl/>
        </w:rPr>
        <w:tab/>
      </w:r>
      <w:r w:rsidR="00313F43" w:rsidRPr="000D5B62">
        <w:rPr>
          <w:rtl/>
        </w:rPr>
        <w:br/>
      </w:r>
      <w:r w:rsidRPr="000D5B62">
        <w:rPr>
          <w:b/>
          <w:bCs/>
          <w:rtl/>
        </w:rPr>
        <w:t>النسبة المئوية من الأسر المعيشية التي تلقت من الحكومة في الفترة 2002-2017 إعانة في مجال الإسكان حسب نوع رب الأسرة</w:t>
      </w:r>
    </w:p>
    <w:p w14:paraId="52CAD6B8" w14:textId="77777777" w:rsidR="00803069" w:rsidRPr="000D5B62" w:rsidRDefault="00803069" w:rsidP="00803069">
      <w:pPr>
        <w:spacing w:line="360" w:lineRule="auto"/>
        <w:ind w:left="851"/>
        <w:jc w:val="center"/>
        <w:rPr>
          <w:rFonts w:eastAsiaTheme="minorEastAsia"/>
          <w:bCs/>
          <w:sz w:val="22"/>
        </w:rPr>
      </w:pPr>
      <w:r w:rsidRPr="000D5B62">
        <w:rPr>
          <w:rFonts w:eastAsiaTheme="minorEastAsia"/>
          <w:bCs/>
          <w:noProof/>
          <w:sz w:val="22"/>
          <w:lang w:eastAsia="en-GB"/>
        </w:rPr>
        <w:drawing>
          <wp:inline distT="0" distB="0" distL="0" distR="0" wp14:anchorId="78755D84" wp14:editId="499176B5">
            <wp:extent cx="5210293" cy="1391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5500" cy="1393311"/>
                    </a:xfrm>
                    <a:prstGeom prst="rect">
                      <a:avLst/>
                    </a:prstGeom>
                    <a:noFill/>
                    <a:ln>
                      <a:noFill/>
                    </a:ln>
                  </pic:spPr>
                </pic:pic>
              </a:graphicData>
            </a:graphic>
          </wp:inline>
        </w:drawing>
      </w:r>
    </w:p>
    <w:p w14:paraId="4A9C377F" w14:textId="6B0CE4AD" w:rsidR="00803069" w:rsidRPr="000D5B62" w:rsidRDefault="00803069" w:rsidP="0035195D">
      <w:pPr>
        <w:pStyle w:val="SingleTxtGA"/>
        <w:spacing w:before="240"/>
        <w:rPr>
          <w:lang w:val="ar-SA" w:eastAsia="zh-TW" w:bidi="en-GB"/>
        </w:rPr>
      </w:pPr>
      <w:r w:rsidRPr="000D5B62">
        <w:rPr>
          <w:rtl/>
        </w:rPr>
        <w:t>38-</w:t>
      </w:r>
      <w:r w:rsidRPr="000D5B62">
        <w:rPr>
          <w:rtl/>
        </w:rPr>
        <w:tab/>
        <w:t>فيما يتعلق بالخصائص الثقافية، فإن شعار الوحدة في التنوع هو شعار الدولة وهو مقتبس من عبارة</w:t>
      </w:r>
      <w:r w:rsidR="00313F43" w:rsidRPr="000D5B62">
        <w:rPr>
          <w:rFonts w:hint="cs"/>
          <w:rtl/>
        </w:rPr>
        <w:t xml:space="preserve"> </w:t>
      </w:r>
      <w:r w:rsidRPr="000D5B62">
        <w:rPr>
          <w:i/>
          <w:iCs/>
        </w:rPr>
        <w:t>!ke e: /xarra // ke</w:t>
      </w:r>
      <w:r w:rsidRPr="000D5B62">
        <w:rPr>
          <w:rtl/>
        </w:rPr>
        <w:t xml:space="preserve"> بلغة </w:t>
      </w:r>
      <w:r w:rsidRPr="000D5B62">
        <w:t>Xam</w:t>
      </w:r>
      <w:r w:rsidRPr="000D5B62">
        <w:rPr>
          <w:rtl/>
        </w:rPr>
        <w:t xml:space="preserve"> وتعني حرفياً </w:t>
      </w:r>
      <w:r w:rsidRPr="000D5B62">
        <w:rPr>
          <w:i/>
          <w:iCs/>
          <w:rtl/>
        </w:rPr>
        <w:t>الشعب المتنوع يتحد</w:t>
      </w:r>
      <w:r w:rsidRPr="000D5B62">
        <w:rPr>
          <w:rtl/>
        </w:rPr>
        <w:t xml:space="preserve">. فهي دعوة إلى جميع المواطنين إلى التوحد في ظل الشعور بالانتماء والعزة. وبقدر ما هي دعوة مباشرة موجهة بلغة قديمة من لغات جنوب أفريقيا وبقدر ما هي تعبر عن ثقافة منسوجة من خيوط لغات وثقافات شعوب أصلية عديدة فهي تسلط الضوء على ترابط الشعوب واللغات والثقافات والمراحل التاريخية وتحتفي به. </w:t>
      </w:r>
    </w:p>
    <w:p w14:paraId="6609D721" w14:textId="1491ACEF" w:rsidR="00803069" w:rsidRPr="000D5B62" w:rsidRDefault="00803069" w:rsidP="00706D34">
      <w:pPr>
        <w:pStyle w:val="SingleTxtGA"/>
        <w:rPr>
          <w:rStyle w:val="FootnoteReference"/>
          <w:rFonts w:eastAsiaTheme="minorEastAsia"/>
          <w:spacing w:val="-4"/>
          <w:szCs w:val="22"/>
          <w:lang w:val="ar-SA" w:eastAsia="zh-TW" w:bidi="en-GB"/>
        </w:rPr>
      </w:pPr>
      <w:r w:rsidRPr="000D5B62">
        <w:rPr>
          <w:rtl/>
        </w:rPr>
        <w:t>39-</w:t>
      </w:r>
      <w:r w:rsidRPr="000D5B62">
        <w:rPr>
          <w:rtl/>
        </w:rPr>
        <w:tab/>
        <w:t>وعلى الصعيد الوطني، يتكلم ما يقرب من ربع (24,7 في المائة) الأسر المعيشية اللغة الزولوية في المنزل، في حين تتكلم نسبة قدرها 15,6 في المائة من الأسر المعيشية اللغة الكوسية ويتكلم 12,1 في المائة اللغة الأفريقانية. ويتكلم 8,4 في المائة من الأفراد اللغة الإنكليزية في المنزل، مما يضعها في المركز السادس بين اللغات الأكثر استخداماً في المنزل في جنوب أفريقيا. بيد أن اللغة الإنكليزية هي ثاني أكثر اللغات شيوعاً خارج الأسرة المعيشية (17,6 في المائة) بعد اللغة الزولوية (24,7 في المائة) وقبل اللغة الكوسية (13 في المائة). ومن الملاحظ أن استخدام معظم اللغات خارج إطار الأسرة المعيشية قد تقلص، باستثناء اللغتين الزولوية والستسوانية. وتجدر الإشارة إلى أن فئة السكان الهنود/الآسيويين هي أكثر الفئات استخداماً للغة واحدة حيث يتكلم 91,5 في المائة من أفرادها الإنكليزية في المنزل. ويتكلم ما</w:t>
      </w:r>
      <w:r w:rsidR="00136F05" w:rsidRPr="000D5B62">
        <w:rPr>
          <w:rFonts w:hint="cs"/>
          <w:rtl/>
        </w:rPr>
        <w:t> </w:t>
      </w:r>
      <w:r w:rsidRPr="000D5B62">
        <w:rPr>
          <w:rtl/>
        </w:rPr>
        <w:t xml:space="preserve">يربو على ثلاثة أرباع (76,3 في المائة) الملونين اللغة الأفريقانية في المنزل ويتكلم 21,8 في المائة منهم الإنكليزية، في حين يتكلم 57,9 في المائة من البيض الأفريقانية ويتكلم 39,2 في المائة منهم الإنكليزية. وبالمقارنة، يفوق الأفريقيون السود بقدر كبير الفئات الأخرى من حيث تعدد اللغات. فعلى الرغم </w:t>
      </w:r>
      <w:r w:rsidRPr="000D5B62">
        <w:rPr>
          <w:spacing w:val="-4"/>
          <w:rtl/>
        </w:rPr>
        <w:t>من أن</w:t>
      </w:r>
      <w:r w:rsidR="0035195D" w:rsidRPr="000D5B62">
        <w:rPr>
          <w:rFonts w:hint="cs"/>
          <w:spacing w:val="-4"/>
          <w:rtl/>
        </w:rPr>
        <w:t> </w:t>
      </w:r>
      <w:r w:rsidRPr="000D5B62">
        <w:rPr>
          <w:spacing w:val="-4"/>
          <w:rtl/>
        </w:rPr>
        <w:t>30,5 في المائة من الأفراد يتكلمون الزولوية وأن 19,2 في المائة يتكلمون الكوسية، يتكلم حوالي 10 في المائة أو أكثر من أفراد تلك الفئة خمس لغات مختلفة</w:t>
      </w:r>
      <w:r w:rsidRPr="000D5B62">
        <w:rPr>
          <w:rStyle w:val="FootnoteReference"/>
          <w:spacing w:val="-4"/>
          <w:szCs w:val="22"/>
          <w:rtl/>
        </w:rPr>
        <w:t>(</w:t>
      </w:r>
      <w:r w:rsidRPr="000D5B62">
        <w:rPr>
          <w:rStyle w:val="FootnoteReference"/>
          <w:spacing w:val="-4"/>
          <w:szCs w:val="22"/>
          <w:rtl/>
        </w:rPr>
        <w:footnoteReference w:id="33"/>
      </w:r>
      <w:r w:rsidRPr="000D5B62">
        <w:rPr>
          <w:rStyle w:val="FootnoteReference"/>
          <w:spacing w:val="-4"/>
          <w:szCs w:val="22"/>
          <w:rtl/>
        </w:rPr>
        <w:t>)</w:t>
      </w:r>
      <w:r w:rsidR="00313F43" w:rsidRPr="000D5B62">
        <w:rPr>
          <w:rStyle w:val="FootnoteReference"/>
          <w:rFonts w:hint="cs"/>
          <w:spacing w:val="-4"/>
          <w:szCs w:val="22"/>
          <w:vertAlign w:val="baseline"/>
          <w:rtl/>
        </w:rPr>
        <w:t>.</w:t>
      </w:r>
    </w:p>
    <w:p w14:paraId="228EFE95" w14:textId="61C0941E" w:rsidR="00803069" w:rsidRPr="000D5B62" w:rsidRDefault="00803069" w:rsidP="00706D34">
      <w:pPr>
        <w:pStyle w:val="SingleTxtGA"/>
        <w:rPr>
          <w:rStyle w:val="FootnoteReference"/>
          <w:rFonts w:eastAsiaTheme="minorEastAsia"/>
          <w:szCs w:val="22"/>
          <w:lang w:val="ar-SA" w:eastAsia="zh-TW" w:bidi="en-GB"/>
        </w:rPr>
      </w:pPr>
      <w:r w:rsidRPr="000D5B62">
        <w:rPr>
          <w:rtl/>
        </w:rPr>
        <w:t>40-</w:t>
      </w:r>
      <w:r w:rsidRPr="000D5B62">
        <w:rPr>
          <w:rtl/>
        </w:rPr>
        <w:tab/>
        <w:t>وفيما يتعلق بالانتماء الديني وإقامة الشعائر الدينية، تفيد الغالبية العظمى (86 في المائة) من أبناء جنوب أفريقيا بانتمائها إلى الدين ’المسيحي‘ في حين أفادت نسبة قدرها 5,2 في المائة من الأفراد بأنهم لا يؤمنون بدين معين. وأفاد ما يزيد عن خمسة في المائة من الأفراد باعتناقهم ديانات وصفت بأنها ’ديانات قديمة أو قبلية أو أرواحية أو غير ذلك من الديانات الأفريقية القديمة‘. أما المسلمون الذين يشكلون 1,9 في المائة من مجموع السكان فهم يتركزون في مقاطعات الكيب الغربية وغاوتنغ وكوازولو - ناتال. ويمثل الهندوس زهاء 0,9 في المائة من سكان جنوب أفريقيا، بيد أنهم يشكلون نسبة قدرها 3,3 في المائة من سكان كوازولو - ناتال</w:t>
      </w:r>
      <w:r w:rsidRPr="000D5B62">
        <w:rPr>
          <w:rStyle w:val="FootnoteReference"/>
          <w:szCs w:val="22"/>
          <w:rtl/>
        </w:rPr>
        <w:t>(</w:t>
      </w:r>
      <w:r w:rsidRPr="000D5B62">
        <w:rPr>
          <w:rStyle w:val="FootnoteReference"/>
          <w:szCs w:val="22"/>
          <w:rtl/>
        </w:rPr>
        <w:footnoteReference w:id="34"/>
      </w:r>
      <w:r w:rsidRPr="000D5B62">
        <w:rPr>
          <w:rStyle w:val="FootnoteReference"/>
          <w:szCs w:val="22"/>
          <w:rtl/>
        </w:rPr>
        <w:t>)</w:t>
      </w:r>
      <w:r w:rsidR="00313F43" w:rsidRPr="000D5B62">
        <w:rPr>
          <w:rStyle w:val="FootnoteReference"/>
          <w:rFonts w:hint="cs"/>
          <w:szCs w:val="22"/>
          <w:vertAlign w:val="baseline"/>
          <w:rtl/>
        </w:rPr>
        <w:t>.</w:t>
      </w:r>
    </w:p>
    <w:p w14:paraId="62C95BB0" w14:textId="56EA5E1C" w:rsidR="00803069" w:rsidRPr="000D5B62" w:rsidRDefault="00313F43" w:rsidP="00313F43">
      <w:pPr>
        <w:pStyle w:val="H1GA"/>
        <w:rPr>
          <w:lang w:val="ar-SA" w:eastAsia="zh-TW" w:bidi="en-GB"/>
        </w:rPr>
      </w:pPr>
      <w:r w:rsidRPr="000D5B62">
        <w:rPr>
          <w:rtl/>
        </w:rPr>
        <w:tab/>
      </w:r>
      <w:r w:rsidR="00803069" w:rsidRPr="000D5B62">
        <w:rPr>
          <w:rtl/>
        </w:rPr>
        <w:t>باء-</w:t>
      </w:r>
      <w:r w:rsidR="00803069" w:rsidRPr="000D5B62">
        <w:rPr>
          <w:rtl/>
        </w:rPr>
        <w:tab/>
        <w:t>الهيكل الدستوري والسياسي والقانوني</w:t>
      </w:r>
    </w:p>
    <w:p w14:paraId="61CF6CAA" w14:textId="77777777" w:rsidR="00803069" w:rsidRPr="000D5B62" w:rsidRDefault="00803069" w:rsidP="00313F43">
      <w:pPr>
        <w:pStyle w:val="H23GA"/>
        <w:rPr>
          <w:lang w:val="ar-SA" w:eastAsia="zh-TW" w:bidi="en-GB"/>
        </w:rPr>
      </w:pPr>
      <w:r w:rsidRPr="000D5B62">
        <w:rPr>
          <w:rtl/>
        </w:rPr>
        <w:tab/>
      </w:r>
      <w:r w:rsidRPr="000D5B62">
        <w:rPr>
          <w:rtl/>
        </w:rPr>
        <w:tab/>
        <w:t>الدستور</w:t>
      </w:r>
    </w:p>
    <w:p w14:paraId="6D88AE04" w14:textId="77777777" w:rsidR="00803069" w:rsidRPr="000D5B62" w:rsidRDefault="00803069" w:rsidP="00706D34">
      <w:pPr>
        <w:pStyle w:val="SingleTxtGA"/>
        <w:rPr>
          <w:lang w:val="ar-SA" w:eastAsia="zh-TW" w:bidi="en-GB"/>
        </w:rPr>
      </w:pPr>
      <w:r w:rsidRPr="000D5B62">
        <w:rPr>
          <w:rtl/>
        </w:rPr>
        <w:t>41-</w:t>
      </w:r>
      <w:r w:rsidRPr="000D5B62">
        <w:rPr>
          <w:rtl/>
        </w:rPr>
        <w:tab/>
        <w:t>اجتازت جنوب أفريقيا مرحلة من التحول الجذري من نظام الفصل العنصري الغاشم (وهو نظام قائم على سطوة البرلمان) إلى نظام ديمقراطي دستوري يلتزم ببناء مجتمع قوامه القيم الديمقراطية والعدالة الاجتماعية وحقوق الإنسان الأساسية. ودستورنا يجسد تاريخنا الفريد وسعينا إلى الحرية والديمقراطية. وبالنظر إلى ماضي جنوب أفريقيا، لا غرو أن يجري التشديد في الدستور بصورة متواترة على ضرورة بناء مجتمع ”مفتوح وديمقراطي“ وإبراز معاني الكرامة والعدل والمساواة.</w:t>
      </w:r>
    </w:p>
    <w:p w14:paraId="2F88BDC0" w14:textId="77777777" w:rsidR="00803069" w:rsidRPr="000D5B62" w:rsidRDefault="00803069" w:rsidP="00706D34">
      <w:pPr>
        <w:pStyle w:val="SingleTxtGA"/>
        <w:rPr>
          <w:spacing w:val="-2"/>
          <w:lang w:val="ar-SA" w:eastAsia="zh-TW" w:bidi="en-GB"/>
        </w:rPr>
      </w:pPr>
      <w:r w:rsidRPr="000D5B62">
        <w:rPr>
          <w:rtl/>
        </w:rPr>
        <w:t>42-</w:t>
      </w:r>
      <w:r w:rsidRPr="000D5B62">
        <w:rPr>
          <w:rtl/>
        </w:rPr>
        <w:tab/>
      </w:r>
      <w:r w:rsidRPr="000D5B62">
        <w:rPr>
          <w:spacing w:val="-2"/>
          <w:rtl/>
        </w:rPr>
        <w:t>ويعلن الدستور بفخر أن جنوب أفريقيا دولة ديمقراطية ذات سيادة تسترشد بالمبادئ الأساسية التالية</w:t>
      </w:r>
      <w:r w:rsidRPr="000D5B62">
        <w:rPr>
          <w:spacing w:val="-2"/>
        </w:rPr>
        <w:t>:</w:t>
      </w:r>
      <w:r w:rsidRPr="000D5B62">
        <w:rPr>
          <w:spacing w:val="-2"/>
          <w:rtl/>
        </w:rPr>
        <w:t xml:space="preserve"> الدستورية، وسيادة القانون، والديمقراطية والمساءلة، والفصل بين السلطات والضوابط والموازين، والحكم التعاوني، وتداول السلطة. وهو يركز على وجوب صون كرامة الإنسان وتحقيق المساواة والنهوض بحقوق الإنسان وبالحريات ونبذ العنصرية والتحيز الجنسي. ويعد الدستور القانون الأسمى في الجمهورية فهو الذي يحكم صياغة جميع القوانين وتفسير المحاكم لها. ويجري تطوير القانون العام بما يتسق مع الدستور.</w:t>
      </w:r>
    </w:p>
    <w:p w14:paraId="2BE4309D" w14:textId="77777777" w:rsidR="00803069" w:rsidRPr="000D5B62" w:rsidRDefault="00803069" w:rsidP="00706D34">
      <w:pPr>
        <w:pStyle w:val="SingleTxtGA"/>
        <w:rPr>
          <w:lang w:val="ar-SA" w:eastAsia="zh-TW" w:bidi="en-GB"/>
        </w:rPr>
      </w:pPr>
      <w:r w:rsidRPr="000D5B62">
        <w:rPr>
          <w:rtl/>
        </w:rPr>
        <w:t>43-</w:t>
      </w:r>
      <w:r w:rsidRPr="000D5B62">
        <w:rPr>
          <w:rtl/>
        </w:rPr>
        <w:tab/>
        <w:t xml:space="preserve">ويضمن الدستور كذلك حق المواطنين البالغين كافة في الاقتراع ويقضي بإنشاء سجل عام يضم أسماء الناخبين على الصعيد الوطني وبإجراء انتخابات منتظمة ويرسي نظاماً للحكم الديمقراطي قوامه التعددية الحزبية بهدف كفالة المساءلة وسرعة الاستجابة والمصارحة. وينص الدستور على أن لكل شخص يتجاوز عمره 18 عاماً الحق في التصويت وعلى إنشاء سجل واحد للناخبين يضم أسماء جميع المواطنين البالغين وإجراء انتخابات بصفة منتظمة وإقامة نظام للحكم قوامه التعددية الحزبية. ويوضح الدستور عمل البرلمان وسائر الهيئات التشريعية وكيفية اختيار المسؤولين التنفيذيين على الصعيد الوطني وعلى صعيد المقاطعات وكيفية أداء المحاكم لعملها. وينشئ الدستور أيضاً مؤسسات مستقلة شتى تابعة للدولة من أجل دعم الديمقراطية. </w:t>
      </w:r>
    </w:p>
    <w:p w14:paraId="6C29C3E9" w14:textId="77777777" w:rsidR="00803069" w:rsidRPr="000D5B62" w:rsidRDefault="00803069" w:rsidP="00706D34">
      <w:pPr>
        <w:pStyle w:val="SingleTxtGA"/>
        <w:rPr>
          <w:lang w:val="en-US" w:eastAsia="zh-TW" w:bidi="en-GB"/>
        </w:rPr>
      </w:pPr>
      <w:r w:rsidRPr="000D5B62">
        <w:rPr>
          <w:rtl/>
        </w:rPr>
        <w:t>44-</w:t>
      </w:r>
      <w:r w:rsidRPr="000D5B62">
        <w:rPr>
          <w:rtl/>
        </w:rPr>
        <w:tab/>
        <w:t>ويتضمن الفصل 2 من الدستور شرعة الحقوق في جنوب أفريقيا. وتتناول هذه الأحكام، ضمن ما تتناوله، الحق في المساواة وصون كرامة الإنسان والحق في الحياة وفي الخصوصية وكذلك حرية الدين والتعبير. وجرى التسليم في شرعة الحقوق بأن حقوق الإنسان مترابطة ولا انفصام لها، مما يستتبع كفالة الحقوق المدنية والسياسية والحقوق الاجتماعية والاقتصادية، وهي حقوق يمكن أن تنظر فيها المحاكم. ونُفذت تدابير شتى تنصب على التشريعات والسياسات العامة وتدابير أخرى لكفالة إعمال الحقوق المدنية والسياسية وكذلك الحقوق الاجتماعية والاقتصادية والثقافية بصورة فعلية. وإضافة إلى ذلك، تواصل محاكمنا إصدار الأحكام وإرساء السوابق القضائية التي تعزز هذه الحقوق وتحميها وتوفر إرشادات يُهتدى بها في تفسيرها. وفيما يتعلق بتعديل الدستور، حددت عتبة أعلى مقارنة بعتبة تعديل التشريعات العادية. فالمادة 74(2) تنص على وجوب أن تعتمد الجمعية الوطنية مشاريع قوانين تعديل الدستور بأغلبية الثلثين إضافة إلى تصويت ست من المقاطعات التسع الممثلة في المجلس الوطني للمقاطعات تأييداً لأي مشاريع قوانين من هذا القبيل.</w:t>
      </w:r>
    </w:p>
    <w:p w14:paraId="194DA96C" w14:textId="77777777" w:rsidR="00803069" w:rsidRPr="000D5B62" w:rsidRDefault="00803069" w:rsidP="00706D34">
      <w:pPr>
        <w:pStyle w:val="SingleTxtGA"/>
        <w:rPr>
          <w:lang w:val="en-US" w:eastAsia="zh-TW"/>
        </w:rPr>
      </w:pPr>
      <w:r w:rsidRPr="000D5B62">
        <w:rPr>
          <w:rtl/>
        </w:rPr>
        <w:t>45-</w:t>
      </w:r>
      <w:r w:rsidRPr="000D5B62">
        <w:rPr>
          <w:rtl/>
        </w:rPr>
        <w:tab/>
        <w:t>ويكفل الدستور استقلال القضاء وينص صراحة على الفصل بين السلطات التنفيذية والتشريعية والقضائية. ومن الناحية الهيكلية، ينقسم جهاز الحكم إلى ثلاثة مستويات، هي المستوى الوطني وعلى مستوى المقاطعات وعلى المستوى المحلي. وينقسم البلد إلى تسع مقاطعات، لكل منها هيئتها التشريعية. ومن المهم التشديد على أن جميع هياكل الحكم تستمد سلطتها من الدستور. ولا يمكن أن يحل أي قانون أو إجراء حكومي محل أحكام الدستور أو ينتهكها.</w:t>
      </w:r>
    </w:p>
    <w:p w14:paraId="53695DBD" w14:textId="77777777" w:rsidR="00803069" w:rsidRPr="000D5B62" w:rsidRDefault="00803069" w:rsidP="00313F43">
      <w:pPr>
        <w:pStyle w:val="H23GA"/>
        <w:rPr>
          <w:lang w:val="ar-SA" w:eastAsia="zh-TW" w:bidi="en-GB"/>
        </w:rPr>
      </w:pPr>
      <w:r w:rsidRPr="000D5B62">
        <w:rPr>
          <w:rtl/>
        </w:rPr>
        <w:tab/>
      </w:r>
      <w:r w:rsidRPr="000D5B62">
        <w:rPr>
          <w:rtl/>
        </w:rPr>
        <w:tab/>
        <w:t>الانتخابات</w:t>
      </w:r>
    </w:p>
    <w:p w14:paraId="0C3DFCC5" w14:textId="5A32643E" w:rsidR="00803069" w:rsidRPr="000D5B62" w:rsidRDefault="00803069" w:rsidP="00706D34">
      <w:pPr>
        <w:pStyle w:val="SingleTxtGA"/>
        <w:rPr>
          <w:lang w:val="ar-SA" w:eastAsia="zh-TW" w:bidi="en-GB"/>
        </w:rPr>
      </w:pPr>
      <w:r w:rsidRPr="000D5B62">
        <w:rPr>
          <w:rtl/>
        </w:rPr>
        <w:t>46-</w:t>
      </w:r>
      <w:r w:rsidRPr="000D5B62">
        <w:rPr>
          <w:rtl/>
        </w:rPr>
        <w:tab/>
        <w:t>تُجرى الانتخابات الوطنية وانتخابات المقاطعات في جنوب أفريقيا كل خمس سنوات. ويصوت الناخبون على حزب سياسي وليس على الأفراد. ويحصل الحزب السياسي على حصة من المقاعد في البرلمان تتناسب تماما</w:t>
      </w:r>
      <w:r w:rsidR="00EF37CC" w:rsidRPr="000D5B62">
        <w:rPr>
          <w:rFonts w:hint="cs"/>
          <w:rtl/>
        </w:rPr>
        <w:t>ً</w:t>
      </w:r>
      <w:r w:rsidRPr="000D5B62">
        <w:rPr>
          <w:rtl/>
        </w:rPr>
        <w:t xml:space="preserve"> مع عدد الأصوات التي فاز بها في الانتخابات. ثم يختار كل حزب الأعضاء الذين سيشغلون المقاعد التي فاز بها. وهذا ما يسمى بنظام التمثيل النسبي.</w:t>
      </w:r>
    </w:p>
    <w:p w14:paraId="4116D4A1" w14:textId="77777777" w:rsidR="00803069" w:rsidRPr="000D5B62" w:rsidRDefault="00803069" w:rsidP="00706D34">
      <w:pPr>
        <w:pStyle w:val="SingleTxtGA"/>
        <w:rPr>
          <w:lang w:val="en-US" w:eastAsia="zh-TW" w:bidi="en-GB"/>
        </w:rPr>
      </w:pPr>
      <w:r w:rsidRPr="000D5B62">
        <w:rPr>
          <w:rtl/>
        </w:rPr>
        <w:t>47-</w:t>
      </w:r>
      <w:r w:rsidRPr="000D5B62">
        <w:rPr>
          <w:rtl/>
        </w:rPr>
        <w:tab/>
        <w:t>وتجرى الانتخابات البلدية كل خمس سنوات. وتجرى هذه الانتخابات وفقاً لنظام مختلط يجمع بين نظامي الأغلبية والتمثيل النسبي. ويوجد في جنوب أفريقيا ثلاثة أنواع من المجالس البلدية هي، المجالس من الفئة ألف: مجالس المناطق الحضرية الكبرى؛ المجالس من الفئة باء: المجالس المحلية؛ مجالس الفئة جيم: مجالس الأحياء. وفيما يتعلق ببلديات المناطق الحضرية الكبرى، تشهد كل دائرة انتخابية نوعين من الانتخابات، هما انتخابات مجالس بلديات المناطق الحضرية الكبرى التي تجرى بنظام أغلبية الأصوات وانتخابات المجالس ذاتها التي يتبع فيها نظام التمثيل النسبي. وفي جميع البلديات المحلية غير بلديات المناطق الحضرية الكبرى، هناك ثلاثة أنواع من الانتخابات في كل منطقة، تجرى لانتخاب المجلس المحلي. التمثيل النسبي في المجالس المحلية؛ والتمثيل النسبي لمجالس المقاطعات. وتُجرى الانتخابات الفرعية في غضون 90 يوماً من شغور أحد مقاعد مجلس إحدى الدوائر البلدية بسبب الوفاة أو الإقصاء أو الاستقالة من منصب مستشار الدائرة.</w:t>
      </w:r>
    </w:p>
    <w:p w14:paraId="23E7EDC5" w14:textId="77777777" w:rsidR="00803069" w:rsidRPr="000D5B62" w:rsidRDefault="00803069" w:rsidP="00706D34">
      <w:pPr>
        <w:pStyle w:val="SingleTxtGA"/>
        <w:rPr>
          <w:spacing w:val="-4"/>
          <w:lang w:val="en-US" w:eastAsia="zh-TW" w:bidi="en-GB"/>
        </w:rPr>
      </w:pPr>
      <w:r w:rsidRPr="000D5B62">
        <w:rPr>
          <w:rtl/>
        </w:rPr>
        <w:t>48-</w:t>
      </w:r>
      <w:r w:rsidRPr="000D5B62">
        <w:rPr>
          <w:rtl/>
        </w:rPr>
        <w:tab/>
      </w:r>
      <w:r w:rsidRPr="000D5B62">
        <w:rPr>
          <w:spacing w:val="-4"/>
          <w:rtl/>
        </w:rPr>
        <w:t xml:space="preserve">كما أنشأ الدستور اللجنة الانتخابية لإدارة انتخابات الهيئات التشريعية الوطنية والإقليمية والبلدية؛ وضمان أن تكون تلك الانتخابات حرة ونزيهة؛ وإعلان نتائج تلك الانتخابات؛ وتجميع قائمة الناخبين وتحديثها. </w:t>
      </w:r>
    </w:p>
    <w:p w14:paraId="13996AC6" w14:textId="7127BAD8" w:rsidR="00803069" w:rsidRPr="000D5B62" w:rsidRDefault="00803069" w:rsidP="00EF37CC">
      <w:pPr>
        <w:pStyle w:val="SingleTxtGA"/>
      </w:pPr>
      <w:r w:rsidRPr="000D5B62">
        <w:rPr>
          <w:rtl/>
        </w:rPr>
        <w:t>49-</w:t>
      </w:r>
      <w:r w:rsidRPr="000D5B62">
        <w:rPr>
          <w:rtl/>
        </w:rPr>
        <w:tab/>
        <w:t xml:space="preserve">وقد تطور النظام الديمقراطي الدستوري في جنوب أفريقيا تطوراً مشهوداً منذ بزوغ فجر الديمقراطية. ومن التطورات اللافتة للنظر، في هذا الصدد، الترحيب الشديد في جنوب أفريقيا بنظام التعددية الحزبية. وفي الانتخابات التي جرت في عام 2014 على الصعيد الوطني وصعيد المقاطعات، </w:t>
      </w:r>
      <w:r w:rsidRPr="000D5B62">
        <w:rPr>
          <w:spacing w:val="-4"/>
          <w:rtl/>
        </w:rPr>
        <w:t>بلغ مجموع عدد الأصوات الصحيحة 497 402 18 صوتاً. وبلغ عدد الأصوات الباطلة</w:t>
      </w:r>
      <w:r w:rsidR="00084F69" w:rsidRPr="000D5B62">
        <w:rPr>
          <w:rFonts w:hint="cs"/>
          <w:spacing w:val="-4"/>
          <w:rtl/>
        </w:rPr>
        <w:t xml:space="preserve"> 274 252 </w:t>
      </w:r>
      <w:r w:rsidRPr="000D5B62">
        <w:rPr>
          <w:spacing w:val="-4"/>
          <w:rtl/>
        </w:rPr>
        <w:t>صوتا</w:t>
      </w:r>
      <w:r w:rsidR="00136F05" w:rsidRPr="000D5B62">
        <w:rPr>
          <w:rFonts w:hint="cs"/>
          <w:spacing w:val="-4"/>
          <w:rtl/>
        </w:rPr>
        <w:t>ً</w:t>
      </w:r>
      <w:r w:rsidRPr="000D5B62">
        <w:rPr>
          <w:spacing w:val="-4"/>
          <w:rtl/>
        </w:rPr>
        <w:t>.</w:t>
      </w:r>
      <w:r w:rsidRPr="000D5B62">
        <w:rPr>
          <w:rtl/>
        </w:rPr>
        <w:t xml:space="preserve"> وبلغ مجموع عدد من أدلوا بأصواتهم 771 654 18 شخصاً، أي ما نسبته 73,48 في المائة من عدد السكان المسجلين البالغ 082 388 25 نسمة. وتنافس في الانتخابات الوطنية ما مجموعه 29 حزباً سياسياً ترشح 25 منها أيضاً لانتخابات المقاطعات ولم يشارك في انتخابات المقاطعات سوى 12 حزباً سياسيا. وتمثل نسبة الناخبين البالغة 73,48 في المائة انخفاضاً عن نسبة المشاركة في الانتخابات الوطنية وانتخابات المقاطعات في عام 2009. بيد أن هذه النسبة تعد مع ذلك نسبة عالية مقارنة بمستويات المشاركة الدولية. وبلغت نسبة الأصوات الباطلة 1,29 في المائة، وهي أدنى نسبة على الإطلاق سجلت في الانتخابات على الصعيد الوطني وعلى صعيد المقاطعات. وأُعلنت نتائج الانتخابات الوطنية وانتخابات المقاطعات في عام 2014 في </w:t>
      </w:r>
      <w:r w:rsidR="00EF37CC" w:rsidRPr="000D5B62">
        <w:rPr>
          <w:rFonts w:hint="cs"/>
          <w:rtl/>
        </w:rPr>
        <w:t>غ</w:t>
      </w:r>
      <w:r w:rsidRPr="000D5B62">
        <w:rPr>
          <w:rtl/>
        </w:rPr>
        <w:t xml:space="preserve">ضون فترة السبعة أيام المنصوص عليها في القانون. وأعلن أن تلك الانتخابات كانت، شأنها شأن كل الانتخابات التي أُجريت منذ عام 1994، انتخابات حرة ونزيهة تتوافر فيها مقومات المصداقية. </w:t>
      </w:r>
    </w:p>
    <w:p w14:paraId="7FA1D6FD" w14:textId="1450B694" w:rsidR="00803069" w:rsidRPr="000D5B62" w:rsidRDefault="00803069" w:rsidP="00706D34">
      <w:pPr>
        <w:pStyle w:val="SingleTxtGA"/>
        <w:rPr>
          <w:lang w:val="ar-SA" w:eastAsia="zh-TW" w:bidi="en-GB"/>
        </w:rPr>
      </w:pPr>
      <w:r w:rsidRPr="000D5B62">
        <w:rPr>
          <w:rtl/>
        </w:rPr>
        <w:t>50-</w:t>
      </w:r>
      <w:r w:rsidRPr="000D5B62">
        <w:rPr>
          <w:rtl/>
        </w:rPr>
        <w:tab/>
        <w:t>أما الانتخابات البلدية التي أُجريت في عام 2016 فقد شارك فيها 820 290 15 ناخباً، أي</w:t>
      </w:r>
      <w:r w:rsidR="005F2563" w:rsidRPr="000D5B62">
        <w:rPr>
          <w:rFonts w:hint="cs"/>
          <w:rtl/>
        </w:rPr>
        <w:t> </w:t>
      </w:r>
      <w:r w:rsidRPr="000D5B62">
        <w:rPr>
          <w:rtl/>
        </w:rPr>
        <w:t>57,94 في المائة من مجموع الناخبين.</w:t>
      </w:r>
    </w:p>
    <w:p w14:paraId="7EC1966D" w14:textId="77777777" w:rsidR="00803069" w:rsidRPr="000D5B62" w:rsidRDefault="00803069" w:rsidP="005F2563">
      <w:pPr>
        <w:pStyle w:val="H23GA"/>
        <w:rPr>
          <w:lang w:val="en-US" w:eastAsia="zh-TW" w:bidi="en-GB"/>
        </w:rPr>
      </w:pPr>
      <w:r w:rsidRPr="000D5B62">
        <w:rPr>
          <w:rtl/>
        </w:rPr>
        <w:tab/>
      </w:r>
      <w:r w:rsidRPr="000D5B62">
        <w:rPr>
          <w:rtl/>
        </w:rPr>
        <w:tab/>
        <w:t>السلطة التنفيذية</w:t>
      </w:r>
    </w:p>
    <w:p w14:paraId="63B4D0CD" w14:textId="77777777" w:rsidR="00803069" w:rsidRPr="000D5B62" w:rsidRDefault="00803069" w:rsidP="00706D34">
      <w:pPr>
        <w:pStyle w:val="SingleTxtGA"/>
        <w:rPr>
          <w:lang w:val="en-US" w:eastAsia="zh-TW"/>
        </w:rPr>
      </w:pPr>
      <w:r w:rsidRPr="000D5B62">
        <w:rPr>
          <w:rtl/>
        </w:rPr>
        <w:t>51-</w:t>
      </w:r>
      <w:r w:rsidRPr="000D5B62">
        <w:rPr>
          <w:rtl/>
        </w:rPr>
        <w:tab/>
        <w:t>تتألف السلطة التنفيذية على الصعيد الوطني من الرئيس ونائب الرئيس ومجلس الوزراء، وعلى صعيد المقاطعات من حكام المقاطعات وأعضاء المجالس التنفيذية. ورئيس الجمهورية هو رئيس الدولة ورئيس السلطة التنفيذية الوطنية، المقصود بها أيضاً مجلس الوزراء. ويتولى الوزراء مسؤولية تشغيل مختلف الإدارات الحكومية، كل حسب حقيبته الوزارية. ويشغل الرئيس، بصفته رئيساً للسلطة التنفيذية منصب القائد الأعلى لقوات الدفاع. وتنتخب الجمعية الوطنية الرئيس خلال جلسة انعقادها الأولى. وبمجرد انتخاب الرئيس/الرئيسة تنتهي عضويته/عضويتها في البرلمان ويجب عليه/عليها أن يؤدي/تؤدي اليمين في غضون خمسة أيام.</w:t>
      </w:r>
    </w:p>
    <w:p w14:paraId="2ABB3665" w14:textId="77777777" w:rsidR="00803069" w:rsidRPr="000D5B62" w:rsidRDefault="00803069" w:rsidP="00706D34">
      <w:pPr>
        <w:pStyle w:val="SingleTxtGA"/>
        <w:rPr>
          <w:lang w:val="en-US" w:eastAsia="zh-TW"/>
        </w:rPr>
      </w:pPr>
      <w:r w:rsidRPr="000D5B62">
        <w:rPr>
          <w:rtl/>
        </w:rPr>
        <w:t>52-</w:t>
      </w:r>
      <w:r w:rsidRPr="000D5B62">
        <w:rPr>
          <w:rtl/>
        </w:rPr>
        <w:tab/>
        <w:t>وتسمى السلطة التنفيذية في كل من المقاطعات التسع المجلس التنفيذي ويرأسه حاكم المقاطعة. ويخضع أعضاء كل من المجالس التنفيذية للمساءلة أمام الهيئة التشريعية بالمقاطعة التي ينتمون إليها مثلما يخضع مجلس الوزراء للمساءلة أمام البرلمان. وينتخب أعضاء الهيئة التشريعية لكل مقاطعة حاكم المقاطعة من بينهم في أول جلسة تعقدها الهيئة بعد الانتخابات. وتخضع المجالس التنفيذية للمساءلة أمام رؤسائها. وأسوة بالوزراء، تتولى المجالس التنفيذية مسؤولية تسيير أعمال الوزارات في المقاطعات. ويرد في جداول ملحقة بالدستور بيان الاختصاصات أو الأمور التي تختص وزارات المقاطعات وحدها بالإشراف عليها في بعض المجالات والأمور التي تشترك مع الحكومة الوطنية في تصريفها في مجالات أخرى. فالجدول رقم 4 يوضح المجالات الوظيفية التي يكون فيها الاختصاص التشريعي مشتركاً بين السلطة الوطنية وسلطات المقاطعات في حين يوضح الجدول رقم 5 المجالات الوظيفية التي تنفرد فيها المقاطعات بالاختصاص التشريعي.</w:t>
      </w:r>
    </w:p>
    <w:p w14:paraId="6B228613" w14:textId="77777777" w:rsidR="00803069" w:rsidRPr="000D5B62" w:rsidRDefault="00803069" w:rsidP="005F2563">
      <w:pPr>
        <w:pStyle w:val="H23GA"/>
        <w:rPr>
          <w:lang w:val="ar-SA" w:eastAsia="zh-TW" w:bidi="en-GB"/>
        </w:rPr>
      </w:pPr>
      <w:r w:rsidRPr="000D5B62">
        <w:rPr>
          <w:rtl/>
        </w:rPr>
        <w:tab/>
      </w:r>
      <w:r w:rsidRPr="000D5B62">
        <w:rPr>
          <w:rtl/>
        </w:rPr>
        <w:tab/>
        <w:t xml:space="preserve">السلطة التشريعية </w:t>
      </w:r>
    </w:p>
    <w:p w14:paraId="267E6863" w14:textId="77777777" w:rsidR="00803069" w:rsidRPr="000D5B62" w:rsidRDefault="00803069" w:rsidP="00706D34">
      <w:pPr>
        <w:pStyle w:val="SingleTxtGA"/>
        <w:rPr>
          <w:lang w:val="ar-SA" w:eastAsia="zh-TW" w:bidi="en-GB"/>
        </w:rPr>
      </w:pPr>
      <w:r w:rsidRPr="000D5B62">
        <w:rPr>
          <w:rtl/>
        </w:rPr>
        <w:t>53-</w:t>
      </w:r>
      <w:r w:rsidRPr="000D5B62">
        <w:rPr>
          <w:rtl/>
        </w:rPr>
        <w:tab/>
        <w:t xml:space="preserve">يمثل البرلمان، في إطار نظام الحكم الوطني، السلطة التشريعية. ويتألف من الجمعية الوطنية والمجلس الوطني للمقاطعات. وباعتبار البرلمان السلطة التشريعية الوطنية، تُمنح الجمعية الوطنية صلاحيات من بينها تعديل الدستور وإصدار التشريعات بشأن أي مسألة. وفي هذا الصدد، تجدر الإشارة إلى أنه حيثما يتعلق الأمر بإجراء تعديلات دستورية، يشترط الدستور توافر نسب أغلبية خاصة لتمرير أي مشروع قانون بشأن تعديل الدستور. </w:t>
      </w:r>
    </w:p>
    <w:p w14:paraId="5A775D94" w14:textId="55362B25" w:rsidR="00803069" w:rsidRPr="000D5B62" w:rsidRDefault="00803069" w:rsidP="00706D34">
      <w:pPr>
        <w:pStyle w:val="SingleTxtGA"/>
        <w:rPr>
          <w:lang w:val="ar-SA" w:eastAsia="zh-TW" w:bidi="en-GB"/>
        </w:rPr>
      </w:pPr>
      <w:r w:rsidRPr="000D5B62">
        <w:rPr>
          <w:rtl/>
        </w:rPr>
        <w:t>54-</w:t>
      </w:r>
      <w:r w:rsidRPr="000D5B62">
        <w:rPr>
          <w:rtl/>
        </w:rPr>
        <w:tab/>
        <w:t>وتُنتخب الجمعية الوطنية لتمثيل الشعب وضمان حكم الشعب في ظل الدستور. وهو ما يتحقق باختيار الرئيس وتوفير منتدى وطني للنظر في القضايا التي تهم الشعب واعتماد التشريعات والتدقيق في أعمال السلطة التنفيذية والإشراف عليها (أي ممارسة دورها الرقابي). ومن المفروض أن تضم الجمعية الوطنية كحد أقصى 400 عضو من أعضاء البرلمان وكحد أدنى 350 عضوا</w:t>
      </w:r>
      <w:r w:rsidR="00136F05" w:rsidRPr="000D5B62">
        <w:rPr>
          <w:rFonts w:hint="cs"/>
          <w:rtl/>
        </w:rPr>
        <w:t>ً</w:t>
      </w:r>
      <w:r w:rsidRPr="000D5B62">
        <w:rPr>
          <w:rtl/>
        </w:rPr>
        <w:t>. ويرد في الجدول أدناه بيان توزيع المقاعد في الجمعية الوطنية، بعد انتخابات عام 2014، حسب الأحزاب السياسية.</w:t>
      </w:r>
    </w:p>
    <w:p w14:paraId="304DD8C6" w14:textId="6FCF028C" w:rsidR="00803069" w:rsidRPr="000D5B62" w:rsidRDefault="00803069" w:rsidP="00706D34">
      <w:pPr>
        <w:pStyle w:val="SingleTxtGA"/>
        <w:rPr>
          <w:b/>
          <w:bCs/>
          <w:lang w:val="ar-SA" w:eastAsia="zh-TW" w:bidi="en-GB"/>
        </w:rPr>
      </w:pPr>
      <w:r w:rsidRPr="000D5B62">
        <w:rPr>
          <w:rtl/>
        </w:rPr>
        <w:t>الجدول 18</w:t>
      </w:r>
      <w:r w:rsidR="00F81761" w:rsidRPr="000D5B62">
        <w:rPr>
          <w:rtl/>
        </w:rPr>
        <w:tab/>
      </w:r>
      <w:r w:rsidR="00F81761" w:rsidRPr="000D5B62">
        <w:rPr>
          <w:rtl/>
        </w:rPr>
        <w:br/>
      </w:r>
      <w:r w:rsidRPr="000D5B62">
        <w:rPr>
          <w:b/>
          <w:bCs/>
          <w:rtl/>
        </w:rPr>
        <w:t>توزيع المقاعد في الجمعية الوطنية حسب الأحزاب السياسية، منذ عام 2014 وحتى الوقت الراهن</w:t>
      </w:r>
    </w:p>
    <w:tbl>
      <w:tblPr>
        <w:bidiVisual/>
        <w:tblW w:w="7370" w:type="dxa"/>
        <w:tblInd w:w="1134" w:type="dxa"/>
        <w:tblLayout w:type="fixed"/>
        <w:tblLook w:val="04A0" w:firstRow="1" w:lastRow="0" w:firstColumn="1" w:lastColumn="0" w:noHBand="0" w:noVBand="1"/>
      </w:tblPr>
      <w:tblGrid>
        <w:gridCol w:w="3826"/>
        <w:gridCol w:w="2268"/>
        <w:gridCol w:w="1276"/>
      </w:tblGrid>
      <w:tr w:rsidR="00803069" w:rsidRPr="000D5B62" w14:paraId="1A25AD77" w14:textId="77777777" w:rsidTr="005F2563">
        <w:trPr>
          <w:tblHeader/>
        </w:trPr>
        <w:tc>
          <w:tcPr>
            <w:tcW w:w="3826" w:type="dxa"/>
            <w:tcBorders>
              <w:top w:val="single" w:sz="4" w:space="0" w:color="auto"/>
              <w:bottom w:val="single" w:sz="12" w:space="0" w:color="auto"/>
            </w:tcBorders>
            <w:shd w:val="clear" w:color="auto" w:fill="auto"/>
            <w:vAlign w:val="bottom"/>
          </w:tcPr>
          <w:p w14:paraId="3581EDE3" w14:textId="77777777" w:rsidR="00803069" w:rsidRPr="000D5B62" w:rsidRDefault="00803069" w:rsidP="005F2563">
            <w:pPr>
              <w:spacing w:before="40" w:after="40" w:line="320" w:lineRule="exact"/>
              <w:textDirection w:val="tbRlV"/>
              <w:rPr>
                <w:rFonts w:eastAsiaTheme="minorEastAsia"/>
                <w:bCs/>
                <w:i/>
                <w:sz w:val="22"/>
                <w:lang w:val="ar-SA" w:eastAsia="zh-TW" w:bidi="en-GB"/>
              </w:rPr>
            </w:pPr>
            <w:r w:rsidRPr="000D5B62">
              <w:rPr>
                <w:rFonts w:eastAsiaTheme="minorEastAsia"/>
                <w:i/>
                <w:iCs/>
                <w:sz w:val="22"/>
                <w:rtl/>
              </w:rPr>
              <w:t>الحزب السياسي في عام 2014</w:t>
            </w:r>
          </w:p>
        </w:tc>
        <w:tc>
          <w:tcPr>
            <w:tcW w:w="2268" w:type="dxa"/>
            <w:tcBorders>
              <w:top w:val="single" w:sz="4" w:space="0" w:color="auto"/>
              <w:bottom w:val="single" w:sz="12" w:space="0" w:color="auto"/>
            </w:tcBorders>
            <w:shd w:val="clear" w:color="auto" w:fill="auto"/>
            <w:vAlign w:val="bottom"/>
          </w:tcPr>
          <w:p w14:paraId="548FDBA8" w14:textId="77777777" w:rsidR="00803069" w:rsidRPr="000D5B62" w:rsidRDefault="00803069" w:rsidP="005F2563">
            <w:pPr>
              <w:spacing w:before="40" w:after="40" w:line="320" w:lineRule="exact"/>
              <w:jc w:val="left"/>
              <w:textDirection w:val="tbRlV"/>
              <w:rPr>
                <w:rFonts w:eastAsiaTheme="minorEastAsia"/>
                <w:bCs/>
                <w:i/>
                <w:sz w:val="22"/>
                <w:lang w:val="ar-SA" w:eastAsia="zh-TW" w:bidi="en-GB"/>
              </w:rPr>
            </w:pPr>
            <w:r w:rsidRPr="000D5B62">
              <w:rPr>
                <w:rFonts w:eastAsiaTheme="minorEastAsia"/>
                <w:i/>
                <w:iCs/>
                <w:sz w:val="22"/>
                <w:rtl/>
              </w:rPr>
              <w:t>عدد المقاعد في عام 2014</w:t>
            </w:r>
          </w:p>
        </w:tc>
        <w:tc>
          <w:tcPr>
            <w:tcW w:w="1276" w:type="dxa"/>
            <w:tcBorders>
              <w:top w:val="single" w:sz="4" w:space="0" w:color="auto"/>
              <w:bottom w:val="single" w:sz="12" w:space="0" w:color="auto"/>
            </w:tcBorders>
            <w:shd w:val="clear" w:color="auto" w:fill="auto"/>
            <w:vAlign w:val="bottom"/>
          </w:tcPr>
          <w:p w14:paraId="2DEA8CBB" w14:textId="14C321B5" w:rsidR="00803069" w:rsidRPr="000D5B62" w:rsidRDefault="00F81761" w:rsidP="005F2563">
            <w:pPr>
              <w:spacing w:before="40" w:after="40" w:line="320" w:lineRule="exact"/>
              <w:jc w:val="left"/>
              <w:textDirection w:val="tbRlV"/>
              <w:rPr>
                <w:rFonts w:eastAsiaTheme="minorEastAsia"/>
                <w:bCs/>
                <w:i/>
                <w:sz w:val="22"/>
                <w:lang w:val="ar-SA" w:eastAsia="zh-TW" w:bidi="en-GB"/>
              </w:rPr>
            </w:pPr>
            <w:r w:rsidRPr="000D5B62">
              <w:rPr>
                <w:rFonts w:eastAsiaTheme="minorEastAsia" w:hint="cs"/>
                <w:i/>
                <w:iCs/>
                <w:sz w:val="22"/>
                <w:rtl/>
              </w:rPr>
              <w:t>بالنسبة</w:t>
            </w:r>
            <w:r w:rsidR="00803069" w:rsidRPr="000D5B62">
              <w:rPr>
                <w:rFonts w:eastAsiaTheme="minorEastAsia"/>
                <w:i/>
                <w:iCs/>
                <w:sz w:val="22"/>
                <w:rtl/>
              </w:rPr>
              <w:t xml:space="preserve"> المئوية</w:t>
            </w:r>
          </w:p>
        </w:tc>
      </w:tr>
      <w:tr w:rsidR="00803069" w:rsidRPr="000D5B62" w14:paraId="216E95DF" w14:textId="77777777" w:rsidTr="005F2563">
        <w:tc>
          <w:tcPr>
            <w:tcW w:w="3826" w:type="dxa"/>
            <w:tcBorders>
              <w:top w:val="single" w:sz="12" w:space="0" w:color="auto"/>
            </w:tcBorders>
            <w:shd w:val="clear" w:color="auto" w:fill="auto"/>
          </w:tcPr>
          <w:p w14:paraId="327C654E"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المؤتمر الوطني الأفريقي</w:t>
            </w:r>
          </w:p>
        </w:tc>
        <w:tc>
          <w:tcPr>
            <w:tcW w:w="2268" w:type="dxa"/>
            <w:tcBorders>
              <w:top w:val="single" w:sz="12" w:space="0" w:color="auto"/>
            </w:tcBorders>
            <w:shd w:val="clear" w:color="auto" w:fill="auto"/>
            <w:vAlign w:val="bottom"/>
          </w:tcPr>
          <w:p w14:paraId="69472837"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249</w:t>
            </w:r>
          </w:p>
        </w:tc>
        <w:tc>
          <w:tcPr>
            <w:tcW w:w="1276" w:type="dxa"/>
            <w:tcBorders>
              <w:top w:val="single" w:sz="12" w:space="0" w:color="auto"/>
            </w:tcBorders>
            <w:shd w:val="clear" w:color="auto" w:fill="auto"/>
            <w:vAlign w:val="bottom"/>
          </w:tcPr>
          <w:p w14:paraId="69DEBFBD"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62,3</w:t>
            </w:r>
          </w:p>
        </w:tc>
      </w:tr>
      <w:tr w:rsidR="00803069" w:rsidRPr="000D5B62" w14:paraId="4ABB7890" w14:textId="77777777" w:rsidTr="005F2563">
        <w:tc>
          <w:tcPr>
            <w:tcW w:w="3826" w:type="dxa"/>
            <w:shd w:val="clear" w:color="auto" w:fill="auto"/>
          </w:tcPr>
          <w:p w14:paraId="2A78482E"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التحالف الديمقراطي</w:t>
            </w:r>
          </w:p>
        </w:tc>
        <w:tc>
          <w:tcPr>
            <w:tcW w:w="2268" w:type="dxa"/>
            <w:shd w:val="clear" w:color="auto" w:fill="auto"/>
            <w:vAlign w:val="bottom"/>
          </w:tcPr>
          <w:p w14:paraId="6375E114"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89</w:t>
            </w:r>
          </w:p>
        </w:tc>
        <w:tc>
          <w:tcPr>
            <w:tcW w:w="1276" w:type="dxa"/>
            <w:shd w:val="clear" w:color="auto" w:fill="auto"/>
            <w:vAlign w:val="bottom"/>
          </w:tcPr>
          <w:p w14:paraId="3C48AA56"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22,3</w:t>
            </w:r>
          </w:p>
        </w:tc>
      </w:tr>
      <w:tr w:rsidR="00803069" w:rsidRPr="000D5B62" w14:paraId="37FF50BE" w14:textId="77777777" w:rsidTr="005F2563">
        <w:tc>
          <w:tcPr>
            <w:tcW w:w="3826" w:type="dxa"/>
            <w:shd w:val="clear" w:color="auto" w:fill="auto"/>
          </w:tcPr>
          <w:p w14:paraId="150D058E"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مناضلون من أجل الحرية الاقتصادية</w:t>
            </w:r>
          </w:p>
        </w:tc>
        <w:tc>
          <w:tcPr>
            <w:tcW w:w="2268" w:type="dxa"/>
            <w:shd w:val="clear" w:color="auto" w:fill="auto"/>
            <w:vAlign w:val="bottom"/>
          </w:tcPr>
          <w:p w14:paraId="2F9AD8E0"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25</w:t>
            </w:r>
          </w:p>
        </w:tc>
        <w:tc>
          <w:tcPr>
            <w:tcW w:w="1276" w:type="dxa"/>
            <w:shd w:val="clear" w:color="auto" w:fill="auto"/>
            <w:vAlign w:val="bottom"/>
          </w:tcPr>
          <w:p w14:paraId="627EDD5E"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6,3</w:t>
            </w:r>
          </w:p>
        </w:tc>
      </w:tr>
      <w:tr w:rsidR="00803069" w:rsidRPr="000D5B62" w14:paraId="12EA5039" w14:textId="77777777" w:rsidTr="005F2563">
        <w:tc>
          <w:tcPr>
            <w:tcW w:w="3826" w:type="dxa"/>
            <w:shd w:val="clear" w:color="auto" w:fill="auto"/>
          </w:tcPr>
          <w:p w14:paraId="58C94A96"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حزب الحرية إنكاثا</w:t>
            </w:r>
          </w:p>
        </w:tc>
        <w:tc>
          <w:tcPr>
            <w:tcW w:w="2268" w:type="dxa"/>
            <w:shd w:val="clear" w:color="auto" w:fill="auto"/>
            <w:vAlign w:val="bottom"/>
          </w:tcPr>
          <w:p w14:paraId="3D3F33DC"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10</w:t>
            </w:r>
          </w:p>
        </w:tc>
        <w:tc>
          <w:tcPr>
            <w:tcW w:w="1276" w:type="dxa"/>
            <w:shd w:val="clear" w:color="auto" w:fill="auto"/>
            <w:vAlign w:val="bottom"/>
          </w:tcPr>
          <w:p w14:paraId="3CB550D2"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2</w:t>
            </w:r>
          </w:p>
        </w:tc>
      </w:tr>
      <w:tr w:rsidR="00803069" w:rsidRPr="000D5B62" w14:paraId="1BA0A174" w14:textId="77777777" w:rsidTr="005F2563">
        <w:tc>
          <w:tcPr>
            <w:tcW w:w="3826" w:type="dxa"/>
            <w:shd w:val="clear" w:color="auto" w:fill="auto"/>
          </w:tcPr>
          <w:p w14:paraId="42145C92"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حزب الحرية الوطني</w:t>
            </w:r>
          </w:p>
        </w:tc>
        <w:tc>
          <w:tcPr>
            <w:tcW w:w="2268" w:type="dxa"/>
            <w:shd w:val="clear" w:color="auto" w:fill="auto"/>
            <w:vAlign w:val="bottom"/>
          </w:tcPr>
          <w:p w14:paraId="223019EB"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6</w:t>
            </w:r>
          </w:p>
        </w:tc>
        <w:tc>
          <w:tcPr>
            <w:tcW w:w="1276" w:type="dxa"/>
            <w:shd w:val="clear" w:color="auto" w:fill="auto"/>
            <w:vAlign w:val="bottom"/>
          </w:tcPr>
          <w:p w14:paraId="2A5F0DC9"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w:t>
            </w:r>
          </w:p>
        </w:tc>
      </w:tr>
      <w:tr w:rsidR="00803069" w:rsidRPr="000D5B62" w14:paraId="7402893C" w14:textId="77777777" w:rsidTr="005F2563">
        <w:tc>
          <w:tcPr>
            <w:tcW w:w="3826" w:type="dxa"/>
            <w:shd w:val="clear" w:color="auto" w:fill="auto"/>
          </w:tcPr>
          <w:p w14:paraId="7C5E92EA"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الحركة الديمقراطية المتحدة</w:t>
            </w:r>
          </w:p>
        </w:tc>
        <w:tc>
          <w:tcPr>
            <w:tcW w:w="2268" w:type="dxa"/>
            <w:shd w:val="clear" w:color="auto" w:fill="auto"/>
            <w:vAlign w:val="bottom"/>
          </w:tcPr>
          <w:p w14:paraId="5337088D"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4</w:t>
            </w:r>
          </w:p>
        </w:tc>
        <w:tc>
          <w:tcPr>
            <w:tcW w:w="1276" w:type="dxa"/>
            <w:shd w:val="clear" w:color="auto" w:fill="auto"/>
            <w:vAlign w:val="bottom"/>
          </w:tcPr>
          <w:p w14:paraId="014FF8A5"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w:t>
            </w:r>
          </w:p>
        </w:tc>
      </w:tr>
      <w:tr w:rsidR="00803069" w:rsidRPr="000D5B62" w14:paraId="5B9E4CEC" w14:textId="77777777" w:rsidTr="005F2563">
        <w:tc>
          <w:tcPr>
            <w:tcW w:w="3826" w:type="dxa"/>
            <w:shd w:val="clear" w:color="auto" w:fill="auto"/>
          </w:tcPr>
          <w:p w14:paraId="2057C4F3"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جبهة الحرية +</w:t>
            </w:r>
          </w:p>
        </w:tc>
        <w:tc>
          <w:tcPr>
            <w:tcW w:w="2268" w:type="dxa"/>
            <w:shd w:val="clear" w:color="auto" w:fill="auto"/>
            <w:vAlign w:val="bottom"/>
          </w:tcPr>
          <w:p w14:paraId="622B70EC"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4</w:t>
            </w:r>
          </w:p>
        </w:tc>
        <w:tc>
          <w:tcPr>
            <w:tcW w:w="1276" w:type="dxa"/>
            <w:shd w:val="clear" w:color="auto" w:fill="auto"/>
            <w:vAlign w:val="bottom"/>
          </w:tcPr>
          <w:p w14:paraId="3797F4FD"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w:t>
            </w:r>
          </w:p>
        </w:tc>
      </w:tr>
      <w:tr w:rsidR="00803069" w:rsidRPr="000D5B62" w14:paraId="3B781459" w14:textId="77777777" w:rsidTr="005F2563">
        <w:tc>
          <w:tcPr>
            <w:tcW w:w="3826" w:type="dxa"/>
            <w:shd w:val="clear" w:color="auto" w:fill="auto"/>
          </w:tcPr>
          <w:p w14:paraId="62F9F0B8"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الحزب الديمقراطي المسيحي الأفريقي</w:t>
            </w:r>
          </w:p>
        </w:tc>
        <w:tc>
          <w:tcPr>
            <w:tcW w:w="2268" w:type="dxa"/>
            <w:shd w:val="clear" w:color="auto" w:fill="auto"/>
            <w:vAlign w:val="bottom"/>
          </w:tcPr>
          <w:p w14:paraId="2994ADC5"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3</w:t>
            </w:r>
          </w:p>
        </w:tc>
        <w:tc>
          <w:tcPr>
            <w:tcW w:w="1276" w:type="dxa"/>
            <w:shd w:val="clear" w:color="auto" w:fill="auto"/>
            <w:vAlign w:val="bottom"/>
          </w:tcPr>
          <w:p w14:paraId="47DB19C2"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0,75</w:t>
            </w:r>
          </w:p>
        </w:tc>
      </w:tr>
      <w:tr w:rsidR="00803069" w:rsidRPr="000D5B62" w14:paraId="740AA88C" w14:textId="77777777" w:rsidTr="005F2563">
        <w:tc>
          <w:tcPr>
            <w:tcW w:w="3826" w:type="dxa"/>
            <w:shd w:val="clear" w:color="auto" w:fill="auto"/>
          </w:tcPr>
          <w:p w14:paraId="08B17141"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مؤتمر المستقلين الأفريقيين</w:t>
            </w:r>
          </w:p>
        </w:tc>
        <w:tc>
          <w:tcPr>
            <w:tcW w:w="2268" w:type="dxa"/>
            <w:shd w:val="clear" w:color="auto" w:fill="auto"/>
            <w:vAlign w:val="bottom"/>
          </w:tcPr>
          <w:p w14:paraId="1A5272B4"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3</w:t>
            </w:r>
          </w:p>
        </w:tc>
        <w:tc>
          <w:tcPr>
            <w:tcW w:w="1276" w:type="dxa"/>
            <w:shd w:val="clear" w:color="auto" w:fill="auto"/>
            <w:vAlign w:val="bottom"/>
          </w:tcPr>
          <w:p w14:paraId="68071DAF"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0,45</w:t>
            </w:r>
          </w:p>
        </w:tc>
      </w:tr>
      <w:tr w:rsidR="00803069" w:rsidRPr="000D5B62" w14:paraId="05F4F105" w14:textId="77777777" w:rsidTr="005F2563">
        <w:tc>
          <w:tcPr>
            <w:tcW w:w="3826" w:type="dxa"/>
            <w:shd w:val="clear" w:color="auto" w:fill="auto"/>
          </w:tcPr>
          <w:p w14:paraId="57F10B3A"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Pr>
              <w:t>AGANG</w:t>
            </w:r>
          </w:p>
        </w:tc>
        <w:tc>
          <w:tcPr>
            <w:tcW w:w="2268" w:type="dxa"/>
            <w:shd w:val="clear" w:color="auto" w:fill="auto"/>
            <w:vAlign w:val="bottom"/>
          </w:tcPr>
          <w:p w14:paraId="5548A063"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2</w:t>
            </w:r>
          </w:p>
        </w:tc>
        <w:tc>
          <w:tcPr>
            <w:tcW w:w="1276" w:type="dxa"/>
            <w:shd w:val="clear" w:color="auto" w:fill="auto"/>
            <w:vAlign w:val="bottom"/>
          </w:tcPr>
          <w:p w14:paraId="5E3DDA84"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0,5</w:t>
            </w:r>
          </w:p>
        </w:tc>
      </w:tr>
      <w:tr w:rsidR="00803069" w:rsidRPr="000D5B62" w14:paraId="7E53FE55" w14:textId="77777777" w:rsidTr="005F2563">
        <w:tc>
          <w:tcPr>
            <w:tcW w:w="3826" w:type="dxa"/>
            <w:tcBorders>
              <w:bottom w:val="single" w:sz="4" w:space="0" w:color="auto"/>
            </w:tcBorders>
            <w:shd w:val="clear" w:color="auto" w:fill="auto"/>
          </w:tcPr>
          <w:p w14:paraId="20CEF1FC" w14:textId="77777777" w:rsidR="00803069" w:rsidRPr="000D5B62" w:rsidRDefault="00803069" w:rsidP="005F2563">
            <w:pPr>
              <w:spacing w:before="40" w:after="40" w:line="320" w:lineRule="exact"/>
              <w:textDirection w:val="tbRlV"/>
              <w:rPr>
                <w:rFonts w:eastAsiaTheme="minorEastAsia"/>
                <w:bCs/>
                <w:sz w:val="22"/>
                <w:lang w:val="ar-SA" w:eastAsia="zh-TW" w:bidi="en-GB"/>
              </w:rPr>
            </w:pPr>
            <w:r w:rsidRPr="000D5B62">
              <w:rPr>
                <w:rFonts w:eastAsiaTheme="minorEastAsia"/>
                <w:sz w:val="22"/>
                <w:rtl/>
              </w:rPr>
              <w:t>مؤتمر الشعب الأفريقي</w:t>
            </w:r>
          </w:p>
        </w:tc>
        <w:tc>
          <w:tcPr>
            <w:tcW w:w="2268" w:type="dxa"/>
            <w:tcBorders>
              <w:bottom w:val="single" w:sz="4" w:space="0" w:color="auto"/>
            </w:tcBorders>
            <w:shd w:val="clear" w:color="auto" w:fill="auto"/>
            <w:vAlign w:val="bottom"/>
          </w:tcPr>
          <w:p w14:paraId="3E26079F"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1</w:t>
            </w:r>
          </w:p>
        </w:tc>
        <w:tc>
          <w:tcPr>
            <w:tcW w:w="1276" w:type="dxa"/>
            <w:tcBorders>
              <w:bottom w:val="single" w:sz="4" w:space="0" w:color="auto"/>
            </w:tcBorders>
            <w:shd w:val="clear" w:color="auto" w:fill="auto"/>
            <w:vAlign w:val="bottom"/>
          </w:tcPr>
          <w:p w14:paraId="53FF25A5" w14:textId="77777777" w:rsidR="00803069" w:rsidRPr="000D5B62" w:rsidRDefault="00803069" w:rsidP="005F2563">
            <w:pPr>
              <w:spacing w:before="40" w:after="40" w:line="320" w:lineRule="exact"/>
              <w:jc w:val="left"/>
              <w:textDirection w:val="tbRlV"/>
              <w:rPr>
                <w:rFonts w:eastAsiaTheme="minorEastAsia"/>
                <w:bCs/>
                <w:sz w:val="22"/>
                <w:lang w:val="ar-SA" w:eastAsia="zh-TW" w:bidi="en-GB"/>
              </w:rPr>
            </w:pPr>
            <w:r w:rsidRPr="000D5B62">
              <w:rPr>
                <w:rFonts w:eastAsiaTheme="minorEastAsia"/>
                <w:sz w:val="22"/>
                <w:rtl/>
              </w:rPr>
              <w:t>0,25</w:t>
            </w:r>
          </w:p>
        </w:tc>
      </w:tr>
      <w:tr w:rsidR="00803069" w:rsidRPr="000D5B62" w14:paraId="13D33432" w14:textId="77777777" w:rsidTr="005F2563">
        <w:tc>
          <w:tcPr>
            <w:tcW w:w="3826" w:type="dxa"/>
            <w:tcBorders>
              <w:top w:val="single" w:sz="4" w:space="0" w:color="auto"/>
              <w:bottom w:val="single" w:sz="12" w:space="0" w:color="auto"/>
            </w:tcBorders>
            <w:shd w:val="clear" w:color="auto" w:fill="auto"/>
          </w:tcPr>
          <w:p w14:paraId="77510972" w14:textId="77777777" w:rsidR="00803069" w:rsidRPr="000D5B62" w:rsidRDefault="00803069" w:rsidP="005F2563">
            <w:pPr>
              <w:spacing w:before="40" w:after="40" w:line="320" w:lineRule="exact"/>
              <w:ind w:left="303"/>
              <w:textDirection w:val="tbRlV"/>
              <w:rPr>
                <w:rFonts w:eastAsiaTheme="minorEastAsia"/>
                <w:b/>
                <w:bCs/>
                <w:sz w:val="22"/>
                <w:lang w:val="ar-SA" w:eastAsia="zh-TW" w:bidi="en-GB"/>
              </w:rPr>
            </w:pPr>
            <w:r w:rsidRPr="000D5B62">
              <w:rPr>
                <w:rFonts w:eastAsiaTheme="minorEastAsia"/>
                <w:b/>
                <w:bCs/>
                <w:sz w:val="22"/>
                <w:rtl/>
              </w:rPr>
              <w:t>المجموع</w:t>
            </w:r>
          </w:p>
        </w:tc>
        <w:tc>
          <w:tcPr>
            <w:tcW w:w="2268" w:type="dxa"/>
            <w:tcBorders>
              <w:top w:val="single" w:sz="4" w:space="0" w:color="auto"/>
              <w:bottom w:val="single" w:sz="12" w:space="0" w:color="auto"/>
            </w:tcBorders>
            <w:shd w:val="clear" w:color="auto" w:fill="auto"/>
            <w:vAlign w:val="bottom"/>
          </w:tcPr>
          <w:p w14:paraId="7AE4634E" w14:textId="77777777" w:rsidR="00803069" w:rsidRPr="000D5B62" w:rsidRDefault="00803069" w:rsidP="005F2563">
            <w:pPr>
              <w:spacing w:before="40" w:after="40" w:line="320" w:lineRule="exact"/>
              <w:jc w:val="left"/>
              <w:textDirection w:val="tbRlV"/>
              <w:rPr>
                <w:rFonts w:eastAsiaTheme="minorEastAsia"/>
                <w:b/>
                <w:sz w:val="22"/>
                <w:lang w:val="ar-SA" w:eastAsia="zh-TW" w:bidi="en-GB"/>
              </w:rPr>
            </w:pPr>
            <w:r w:rsidRPr="000D5B62">
              <w:rPr>
                <w:rFonts w:eastAsiaTheme="minorEastAsia"/>
                <w:b/>
                <w:bCs/>
                <w:sz w:val="22"/>
                <w:rtl/>
              </w:rPr>
              <w:t>400</w:t>
            </w:r>
          </w:p>
        </w:tc>
        <w:tc>
          <w:tcPr>
            <w:tcW w:w="1276" w:type="dxa"/>
            <w:tcBorders>
              <w:top w:val="single" w:sz="4" w:space="0" w:color="auto"/>
              <w:bottom w:val="single" w:sz="12" w:space="0" w:color="auto"/>
            </w:tcBorders>
            <w:shd w:val="clear" w:color="auto" w:fill="auto"/>
            <w:vAlign w:val="bottom"/>
          </w:tcPr>
          <w:p w14:paraId="26C2A225" w14:textId="77777777" w:rsidR="00803069" w:rsidRPr="000D5B62" w:rsidRDefault="00803069" w:rsidP="005F2563">
            <w:pPr>
              <w:spacing w:before="40" w:after="40" w:line="320" w:lineRule="exact"/>
              <w:jc w:val="left"/>
              <w:textDirection w:val="tbRlV"/>
              <w:rPr>
                <w:rFonts w:eastAsiaTheme="minorEastAsia"/>
                <w:b/>
                <w:sz w:val="22"/>
                <w:lang w:val="ar-SA" w:eastAsia="zh-TW" w:bidi="en-GB"/>
              </w:rPr>
            </w:pPr>
            <w:r w:rsidRPr="000D5B62">
              <w:rPr>
                <w:rFonts w:eastAsiaTheme="minorEastAsia"/>
                <w:b/>
                <w:bCs/>
                <w:sz w:val="22"/>
                <w:rtl/>
              </w:rPr>
              <w:t>100</w:t>
            </w:r>
          </w:p>
        </w:tc>
      </w:tr>
    </w:tbl>
    <w:p w14:paraId="288611F8" w14:textId="77777777" w:rsidR="00803069" w:rsidRPr="000D5B62" w:rsidRDefault="00803069" w:rsidP="005F2563">
      <w:pPr>
        <w:pStyle w:val="SingleTxtGA"/>
        <w:spacing w:before="240"/>
        <w:rPr>
          <w:lang w:val="ar-SA" w:eastAsia="zh-TW" w:bidi="en-GB"/>
        </w:rPr>
      </w:pPr>
      <w:r w:rsidRPr="000D5B62">
        <w:rPr>
          <w:rtl/>
        </w:rPr>
        <w:t>55-</w:t>
      </w:r>
      <w:r w:rsidRPr="000D5B62">
        <w:rPr>
          <w:rtl/>
        </w:rPr>
        <w:tab/>
        <w:t>أما المجلس الوطني للمقاطعات فيعمل على كفالة أن يكون لكل من المقاطعات التسع والحكومة المحلية صوت مباشر في البرلمان لدى إعداد القوانين. وهو يمثل المقاطعات لضمان أخذ مصالحها في الاعتبار على صعيد نظام الحكم الوطني؛ وهو ما يتحقق في المقام الأول بمشاركته في عملية التشريع على الصعيد الوطني وتوفير منتدى وطني للنظر في القضايا العامة التي تمس المقاطعات. ويؤدي المجلس دوراً هاماً في النهوض بالوحدة الوطنية وبعلاقات العمل الطيبة بين الحكومة الوطنية وحكومات المقاطعات وأجهزة الحكم المحلي. ولئن كان المندوبون في المجلس يمثلون أحزابهم السياسية، فهم يؤدون في الوقت نفسه واجباً هاماً، ألا وهو تمثيل المقاطعات التي ينتمون إليها ككل. ولكل مقاطعة عشرة مندوبين، بصرف النظر عن حجمها، وذلك لضمان توازن المصالح بين المقاطعات. ويضم كل وفد ستة مندوبين دائمين وأربعة مندوبين ”خاصين“ غير دائمين. ويرأس كل وفد حاكم(ة) المقاطعة (بوصفه أحد المندوبين الخاصين) أو بديل عنه/عنها في حالة غيابه/غيابها. ومن المتعين أن يجسد الوفد القوة النسبية لمختلف الأحزاب في المقاطعة.</w:t>
      </w:r>
    </w:p>
    <w:p w14:paraId="3A6C2C96" w14:textId="77777777" w:rsidR="00803069" w:rsidRPr="000D5B62" w:rsidRDefault="00803069" w:rsidP="00706D34">
      <w:pPr>
        <w:pStyle w:val="SingleTxtGA"/>
        <w:rPr>
          <w:lang w:val="ar-SA" w:eastAsia="zh-TW" w:bidi="en-GB"/>
        </w:rPr>
      </w:pPr>
      <w:r w:rsidRPr="000D5B62">
        <w:rPr>
          <w:rtl/>
        </w:rPr>
        <w:t>56-</w:t>
      </w:r>
      <w:r w:rsidRPr="000D5B62">
        <w:rPr>
          <w:rtl/>
        </w:rPr>
        <w:tab/>
        <w:t xml:space="preserve">ولكل مقاطعة هيئة تشريعية يختلف حجمها تبعاً لعدد السكان في المقاطعة. ووفقاً للدستور، يبلغ عدد أعضاء الهيئة الصغيرة الحجم على أدنى تقدير 30 عضواً، في حين يبلغ عدد أعضاء الهيئة الكبيرة الحجم 80 عضواً على أقصى تقدير. ويُنتخب الأعضاء من قوائم المقاطعات على أساس عدد الأصوات التي حصل عليها الحزب السياسي. وتتولى الهيئة التشريعية في أي مقاطعة مسؤولية تمرير القوانين الخاصة بتلك المقاطعة، حسبما ورد بيانه في الدستور. ولا تسري تلك القوانين إلا على المقاطعة التي صدرت بشأنها. ويجوز للبرلمان التدخل وتغيير تلك القوانين في أحوال معينة، مثلاً في حالة انطوائها على مساس بالأمن الوطني أو الوحدة الاقتصادية أو المعايير الوطنية أو بمصالح أي مقاطعة أخرى. وتناط بالهيئات التشريعية في المقاطعات، شأنها شأن البرلمان، مسؤولية استدعاء أعضاء الهيئات التنفيذية لمساءلتهم عن تصرفاتهم. </w:t>
      </w:r>
    </w:p>
    <w:p w14:paraId="62F759FF" w14:textId="77777777" w:rsidR="00803069" w:rsidRPr="000D5B62" w:rsidRDefault="00803069" w:rsidP="005F2563">
      <w:pPr>
        <w:pStyle w:val="H23GA"/>
        <w:rPr>
          <w:lang w:val="en-US" w:eastAsia="zh-TW" w:bidi="en-GB"/>
        </w:rPr>
      </w:pPr>
      <w:r w:rsidRPr="000D5B62">
        <w:rPr>
          <w:rtl/>
        </w:rPr>
        <w:tab/>
      </w:r>
      <w:r w:rsidRPr="000D5B62">
        <w:rPr>
          <w:rtl/>
        </w:rPr>
        <w:tab/>
        <w:t>القضاء</w:t>
      </w:r>
    </w:p>
    <w:p w14:paraId="46446DDE" w14:textId="5ACC579E" w:rsidR="00803069" w:rsidRPr="000D5B62" w:rsidRDefault="00803069" w:rsidP="00706D34">
      <w:pPr>
        <w:pStyle w:val="SingleTxtGA"/>
        <w:rPr>
          <w:rStyle w:val="FootnoteReference"/>
          <w:rFonts w:eastAsiaTheme="minorEastAsia"/>
          <w:szCs w:val="22"/>
          <w:lang w:val="ar-SA" w:eastAsia="zh-TW" w:bidi="en-GB"/>
        </w:rPr>
      </w:pPr>
      <w:r w:rsidRPr="000D5B62">
        <w:rPr>
          <w:rtl/>
        </w:rPr>
        <w:t>57-</w:t>
      </w:r>
      <w:r w:rsidRPr="000D5B62">
        <w:rPr>
          <w:rtl/>
        </w:rPr>
        <w:tab/>
        <w:t>تشكل نظرية الفصل بين السلطات واستقلال القضاء وسمو الدستور على القواعد القانونية الأخرى لب النظام الديمقراطي الدستوري في جنوب أفريقيا. ويعد مبدأ الفصل بين السلطات أحد المبادئ الدستورية ا</w:t>
      </w:r>
      <w:r w:rsidR="005F2563" w:rsidRPr="000D5B62">
        <w:rPr>
          <w:rFonts w:ascii="Simplified Arabic" w:hAnsi="Simplified Arabic"/>
          <w:rtl/>
        </w:rPr>
        <w:t>ﻟ</w:t>
      </w:r>
      <w:r w:rsidRPr="000D5B62">
        <w:rPr>
          <w:rtl/>
        </w:rPr>
        <w:t xml:space="preserve"> 34 التي تعد اللبنات الأساسية التي ينص عليها الدستور</w:t>
      </w:r>
      <w:r w:rsidRPr="000D5B62">
        <w:rPr>
          <w:rStyle w:val="FootnoteReference"/>
          <w:szCs w:val="22"/>
          <w:rtl/>
        </w:rPr>
        <w:t>(</w:t>
      </w:r>
      <w:r w:rsidRPr="000D5B62">
        <w:rPr>
          <w:rStyle w:val="FootnoteReference"/>
          <w:szCs w:val="22"/>
          <w:rtl/>
        </w:rPr>
        <w:footnoteReference w:id="35"/>
      </w:r>
      <w:r w:rsidRPr="000D5B62">
        <w:rPr>
          <w:rStyle w:val="FootnoteReference"/>
          <w:szCs w:val="22"/>
          <w:rtl/>
        </w:rPr>
        <w:t>)</w:t>
      </w:r>
      <w:r w:rsidR="00E04909" w:rsidRPr="000D5B62">
        <w:rPr>
          <w:rFonts w:hint="cs"/>
          <w:rtl/>
        </w:rPr>
        <w:t xml:space="preserve">. </w:t>
      </w:r>
      <w:r w:rsidRPr="000D5B62">
        <w:rPr>
          <w:rtl/>
        </w:rPr>
        <w:t>وينبثق مبدأ استقلال القضاء من المبدأين الأساسيين القائلين بسيادة القانون والفصل بين السلطات. وهو مبدأ معترف به ومكفول بموجب المادة 165 من الدستور</w:t>
      </w:r>
      <w:r w:rsidRPr="000D5B62">
        <w:rPr>
          <w:rStyle w:val="FootnoteReference"/>
          <w:szCs w:val="22"/>
          <w:rtl/>
        </w:rPr>
        <w:t>(</w:t>
      </w:r>
      <w:r w:rsidRPr="000D5B62">
        <w:rPr>
          <w:rStyle w:val="FootnoteReference"/>
          <w:szCs w:val="22"/>
          <w:rtl/>
        </w:rPr>
        <w:footnoteReference w:id="36"/>
      </w:r>
      <w:r w:rsidRPr="000D5B62">
        <w:rPr>
          <w:rStyle w:val="FootnoteReference"/>
          <w:szCs w:val="22"/>
          <w:rtl/>
        </w:rPr>
        <w:t>)</w:t>
      </w:r>
      <w:r w:rsidR="00E04909" w:rsidRPr="000D5B62">
        <w:rPr>
          <w:rFonts w:hint="cs"/>
          <w:rtl/>
        </w:rPr>
        <w:t xml:space="preserve">. </w:t>
      </w:r>
      <w:r w:rsidRPr="000D5B62">
        <w:rPr>
          <w:rtl/>
        </w:rPr>
        <w:t>فاستقلال القضاء أمر معترف به دولياً في إعلانات وصكوك دولية شتى من قبيل مبادئ الأمم المتحدة الأساسية بشأن استقلال السلطة القضائية</w:t>
      </w:r>
      <w:r w:rsidRPr="000D5B62">
        <w:rPr>
          <w:rStyle w:val="FootnoteReference"/>
          <w:szCs w:val="22"/>
          <w:rtl/>
        </w:rPr>
        <w:t>(</w:t>
      </w:r>
      <w:r w:rsidRPr="000D5B62">
        <w:rPr>
          <w:rStyle w:val="FootnoteReference"/>
          <w:szCs w:val="22"/>
          <w:rtl/>
        </w:rPr>
        <w:footnoteReference w:id="37"/>
      </w:r>
      <w:r w:rsidRPr="000D5B62">
        <w:rPr>
          <w:rStyle w:val="FootnoteReference"/>
          <w:szCs w:val="22"/>
          <w:rtl/>
        </w:rPr>
        <w:t>)</w:t>
      </w:r>
      <w:r w:rsidRPr="000D5B62">
        <w:rPr>
          <w:rtl/>
        </w:rPr>
        <w:t xml:space="preserve"> والميثاق الأفريقي لحقوق الإنسان والشعوب</w:t>
      </w:r>
      <w:r w:rsidRPr="000D5B62">
        <w:rPr>
          <w:rStyle w:val="FootnoteReference"/>
          <w:szCs w:val="22"/>
          <w:rtl/>
        </w:rPr>
        <w:t>(</w:t>
      </w:r>
      <w:r w:rsidRPr="000D5B62">
        <w:rPr>
          <w:rStyle w:val="FootnoteReference"/>
          <w:szCs w:val="22"/>
          <w:rtl/>
        </w:rPr>
        <w:footnoteReference w:id="38"/>
      </w:r>
      <w:r w:rsidRPr="000D5B62">
        <w:rPr>
          <w:rStyle w:val="FootnoteReference"/>
          <w:szCs w:val="22"/>
          <w:rtl/>
        </w:rPr>
        <w:t>)</w:t>
      </w:r>
      <w:r w:rsidR="00E04909" w:rsidRPr="000D5B62">
        <w:rPr>
          <w:rStyle w:val="FootnoteReference"/>
          <w:rFonts w:hint="cs"/>
          <w:szCs w:val="22"/>
          <w:vertAlign w:val="baseline"/>
          <w:rtl/>
        </w:rPr>
        <w:t>.</w:t>
      </w:r>
    </w:p>
    <w:p w14:paraId="4A37BC82" w14:textId="181BF73A" w:rsidR="00803069" w:rsidRPr="000D5B62" w:rsidRDefault="00803069" w:rsidP="00706D34">
      <w:pPr>
        <w:pStyle w:val="SingleTxtGA"/>
        <w:rPr>
          <w:lang w:val="ar-SA" w:eastAsia="zh-TW" w:bidi="en-GB"/>
        </w:rPr>
      </w:pPr>
      <w:r w:rsidRPr="000D5B62">
        <w:rPr>
          <w:rtl/>
        </w:rPr>
        <w:t>58-</w:t>
      </w:r>
      <w:r w:rsidRPr="000D5B62">
        <w:rPr>
          <w:rtl/>
        </w:rPr>
        <w:tab/>
        <w:t>ومنذ إحلال الديمقراطية، استهلت الحكومة عملية، الهدف منها إحداث تغيير جذري في الجهاز القضائي وتعزيز استقلاله. وفي هذا السياق، يقضي قانون عام 2012 المتضمن التعديل السابع عشر للدستور بألا توجد في جنوب أفريقيا سوى محكمة عليا واحدة ويجعل من المحكمة الدستورية أعلى محكمة في الجمهورية. أما قانون المحاكم الكبرى لعام 2013</w:t>
      </w:r>
      <w:r w:rsidRPr="000D5B62">
        <w:rPr>
          <w:rStyle w:val="FootnoteReference"/>
          <w:szCs w:val="22"/>
          <w:rtl/>
        </w:rPr>
        <w:t>(</w:t>
      </w:r>
      <w:r w:rsidRPr="000D5B62">
        <w:rPr>
          <w:rStyle w:val="FootnoteReference"/>
          <w:szCs w:val="22"/>
          <w:rtl/>
        </w:rPr>
        <w:footnoteReference w:id="39"/>
      </w:r>
      <w:r w:rsidRPr="000D5B62">
        <w:rPr>
          <w:rStyle w:val="FootnoteReference"/>
          <w:szCs w:val="22"/>
          <w:rtl/>
        </w:rPr>
        <w:t>)</w:t>
      </w:r>
      <w:r w:rsidRPr="000D5B62">
        <w:rPr>
          <w:rtl/>
        </w:rPr>
        <w:t xml:space="preserve"> الذي أقره الرئيس في 13 آب/أغسطس 2013، فينشد منه تبسيط هيكل المحاكم الكبرى وترشيد أعمالها بهدف زيادة فعالية أدائها.</w:t>
      </w:r>
    </w:p>
    <w:p w14:paraId="57479F6B" w14:textId="6DE8145C" w:rsidR="00803069" w:rsidRPr="000D5B62" w:rsidRDefault="00803069" w:rsidP="00706D34">
      <w:pPr>
        <w:pStyle w:val="SingleTxtGA"/>
        <w:rPr>
          <w:lang w:val="ar-SA" w:eastAsia="zh-TW" w:bidi="en-GB"/>
        </w:rPr>
      </w:pPr>
      <w:r w:rsidRPr="000D5B62">
        <w:rPr>
          <w:rtl/>
        </w:rPr>
        <w:t>59-</w:t>
      </w:r>
      <w:r w:rsidRPr="000D5B62">
        <w:rPr>
          <w:rtl/>
        </w:rPr>
        <w:tab/>
        <w:t>وبمقتضى أحكام المادة 178 من الدستور، أنشئ المجلس الأعلى للقضاء وهو يتألف من 23 عضوا</w:t>
      </w:r>
      <w:r w:rsidR="00D432B8" w:rsidRPr="000D5B62">
        <w:rPr>
          <w:rFonts w:hint="cs"/>
          <w:rtl/>
        </w:rPr>
        <w:t>ً</w:t>
      </w:r>
      <w:r w:rsidRPr="000D5B62">
        <w:rPr>
          <w:rtl/>
        </w:rPr>
        <w:t>. وأسندت إلى المجلس بموجب المادة 178(5) من الدستور مهمة إسداء المشورة إلى الحكومة الوطنية في أي شأن يتصل بالقضاء أو بإقامة العدل. وإضافة إلى ذلك، يؤدي المجلس الوظائف التالية: إجراء مقابلات مع المتقدمين لشغل مناصب قضائية وتقديم توصيات بالتعيينات في السلك القضائي؛ والتعامل مع الشكاوى المقدمة ضد القضاة. ويؤدي المجلس الوظيفة الأولى بكامل هيئته، في حين تؤدي الوظيفة الثانية مجموعة مصغرة تضم 13 مفوضاً. أما الشكاوى، فلا بد من تقديمها أولاً إلى أمانة المجلس الكائنة في مكتب كبير القضاة. وتنص مدونة قواعد سلوك القضاة على المعايير الأخلاقية والمهنية اللازم توافرها في كل قاضٍ.</w:t>
      </w:r>
    </w:p>
    <w:p w14:paraId="71BB9DB1" w14:textId="77777777" w:rsidR="00803069" w:rsidRPr="000D5B62" w:rsidRDefault="00803069" w:rsidP="00706D34">
      <w:pPr>
        <w:pStyle w:val="SingleTxtGA"/>
        <w:rPr>
          <w:lang w:val="ar-SA" w:eastAsia="zh-TW" w:bidi="en-GB"/>
        </w:rPr>
      </w:pPr>
      <w:r w:rsidRPr="000D5B62">
        <w:rPr>
          <w:rtl/>
        </w:rPr>
        <w:t>60-</w:t>
      </w:r>
      <w:r w:rsidRPr="000D5B62">
        <w:rPr>
          <w:rtl/>
        </w:rPr>
        <w:tab/>
        <w:t xml:space="preserve">ويعين الرئيس، بعد التشاور مع زعماء الأحزاب الممثلة في الجمعية الوطنية، كبير القضاة ونائبه ويعين، بعد التشاور مع المجلس الأعلى للقضاة، رئيس ونائب رئيس محكمة الاستئناف العليا. ويعين الرئيس قضاة المحكمة الدستورية الآخرين، بعد التشاور مع كبير القضاة وزعماء الأحزاب الممثلة في الجمعية الوطنية وبعد فحص متأنٍ لقائمة المرشحين المقدمة من المجلس. ويعين الرئيس سائر قضاة المحاكم الكبرى بناء على مشورة المجلس. </w:t>
      </w:r>
    </w:p>
    <w:p w14:paraId="459D76A0" w14:textId="7958BFF9" w:rsidR="00803069" w:rsidRPr="000D5B62" w:rsidRDefault="00803069" w:rsidP="00706D34">
      <w:pPr>
        <w:pStyle w:val="SingleTxtGA"/>
        <w:rPr>
          <w:lang w:val="en-US" w:eastAsia="zh-TW" w:bidi="en-GB"/>
        </w:rPr>
      </w:pPr>
      <w:r w:rsidRPr="000D5B62">
        <w:rPr>
          <w:rtl/>
        </w:rPr>
        <w:t>61-</w:t>
      </w:r>
      <w:r w:rsidRPr="000D5B62">
        <w:rPr>
          <w:rtl/>
        </w:rPr>
        <w:tab/>
        <w:t>وبموجب قانون قضاة المحاكم الجزئية لعام 1993</w:t>
      </w:r>
      <w:r w:rsidRPr="000D5B62">
        <w:rPr>
          <w:rStyle w:val="FootnoteReference"/>
          <w:szCs w:val="22"/>
          <w:rtl/>
        </w:rPr>
        <w:t>(</w:t>
      </w:r>
      <w:r w:rsidRPr="000D5B62">
        <w:rPr>
          <w:rStyle w:val="FootnoteReference"/>
          <w:szCs w:val="22"/>
          <w:rtl/>
        </w:rPr>
        <w:footnoteReference w:id="40"/>
      </w:r>
      <w:r w:rsidRPr="000D5B62">
        <w:rPr>
          <w:rStyle w:val="FootnoteReference"/>
          <w:szCs w:val="22"/>
          <w:rtl/>
        </w:rPr>
        <w:t>)</w:t>
      </w:r>
      <w:r w:rsidRPr="000D5B62">
        <w:rPr>
          <w:rtl/>
        </w:rPr>
        <w:t>، يقوم وزير العدل وشؤون السجون بتعيين قضاة تلك المحاكم بعد التشاور مع هيئة قضاة المحاكم الجزئية. ولجنة قضاة المحاكم الجزئية هيئة قانونية أنشئت بموجب قانون قضاة المحاكم الجزئية. ويرأس تلك الهيئة قاضٍ يعينه الرئيس بالتشاور مع كبير القضاة. ومن بين مهام الهيئة تجميع مدونة لقواعد سلوك الموظفين القضائيين في المحاكم الصغرى (المحاكم المحلية ومحاكم المناطق) وإسداء المشورة لوزير العدل بشأن تعيين قضاة المحاكم الجزئية. كما أنها تسدي المشورة للوزير أو تقدم له توصيات أو توافيه بتقارير ليستخدمها في تزويد البرلمان بالمعلومات عن أي مسألة تتصل بالاستقلال والفعالية في إقامة العدل في المحاكم الجزئية. وتجري كذلك تحقيقات فيما يتعلق بوقف قضاة المحاكم الجزئية عن العمل وعزلهم وتقدم توصيات للوزير في هذا الصدد. وفي حالة إتيان أحد قضاة المحاكم الجزئية سلوكاً يدعي أنه غير قويم، يجوز إبلاغ رئيس قضاة المحكمة التي يرأس فيها القاضي المعني الجلسات بذلك. وبموجب قانون عام 2008</w:t>
      </w:r>
      <w:r w:rsidRPr="000D5B62">
        <w:rPr>
          <w:rStyle w:val="FootnoteReference"/>
          <w:szCs w:val="22"/>
          <w:rtl/>
        </w:rPr>
        <w:t>(</w:t>
      </w:r>
      <w:r w:rsidRPr="000D5B62">
        <w:rPr>
          <w:rStyle w:val="FootnoteReference"/>
          <w:szCs w:val="22"/>
          <w:rtl/>
        </w:rPr>
        <w:footnoteReference w:id="41"/>
      </w:r>
      <w:r w:rsidRPr="000D5B62">
        <w:rPr>
          <w:rStyle w:val="FootnoteReference"/>
          <w:szCs w:val="22"/>
          <w:rtl/>
        </w:rPr>
        <w:t>)</w:t>
      </w:r>
      <w:r w:rsidRPr="000D5B62">
        <w:rPr>
          <w:rtl/>
        </w:rPr>
        <w:t xml:space="preserve"> المتعلق بمعهد التعليم القضائي في جنوب أفريقيا، أنشئ معهد للتعليم القضائي، الهدف منه كفالة استقلال المحاكم وحيادها وصون كرامتها وضمان سهولة اللجوء إليها وفعالية أدائها، وذلك بتوفير التدريب في مجال القضاء لجميع الموظفين القضائيين (القضاة وقضاة المحاكم الجزئية). ويتولى إدارة معهد التعليم القضائي مجلس يضم</w:t>
      </w:r>
      <w:r w:rsidR="00D432B8" w:rsidRPr="000D5B62">
        <w:rPr>
          <w:rFonts w:hint="cs"/>
          <w:rtl/>
        </w:rPr>
        <w:t> </w:t>
      </w:r>
      <w:r w:rsidRPr="000D5B62">
        <w:rPr>
          <w:rtl/>
        </w:rPr>
        <w:t xml:space="preserve">20 شخصاً ويرأسه كبير القضاة. </w:t>
      </w:r>
    </w:p>
    <w:p w14:paraId="44DCC48C" w14:textId="77777777" w:rsidR="00803069" w:rsidRPr="000D5B62" w:rsidRDefault="00803069" w:rsidP="00706D34">
      <w:pPr>
        <w:pStyle w:val="SingleTxtGA"/>
        <w:rPr>
          <w:lang w:val="ar-SA" w:eastAsia="zh-TW" w:bidi="en-GB"/>
        </w:rPr>
      </w:pPr>
      <w:r w:rsidRPr="000D5B62">
        <w:rPr>
          <w:rtl/>
        </w:rPr>
        <w:t>62-</w:t>
      </w:r>
      <w:r w:rsidRPr="000D5B62">
        <w:rPr>
          <w:rtl/>
        </w:rPr>
        <w:tab/>
        <w:t>وقد بذلت الحكومة والسلطة القضائية جهوداً كبيرة لتحويل هيئة القضاة إلى هيئة تجسد على نطاق واسع التركيبة السكانية لبلدنا. ويرد في الجدول أدناه بيان توزيع القضاة الدائمين في بلدنا البالغ عددهم 250 قاضياً، حسب الأصل العرقي ونوع الجنس، وذلك حتى 28 شباط/فبراير 2018.</w:t>
      </w:r>
    </w:p>
    <w:p w14:paraId="646D0254" w14:textId="13A31891" w:rsidR="00803069" w:rsidRPr="000D5B62" w:rsidRDefault="00803069" w:rsidP="00E04909">
      <w:pPr>
        <w:pStyle w:val="SingleTxtGA"/>
        <w:rPr>
          <w:b/>
          <w:bCs/>
          <w:lang w:val="ar-SA" w:eastAsia="zh-TW" w:bidi="en-GB"/>
        </w:rPr>
      </w:pPr>
      <w:r w:rsidRPr="000D5B62">
        <w:rPr>
          <w:rtl/>
        </w:rPr>
        <w:t>الجدول 19</w:t>
      </w:r>
      <w:r w:rsidR="00E04909" w:rsidRPr="000D5B62">
        <w:rPr>
          <w:rtl/>
        </w:rPr>
        <w:tab/>
      </w:r>
      <w:r w:rsidR="00E04909" w:rsidRPr="000D5B62">
        <w:rPr>
          <w:rtl/>
        </w:rPr>
        <w:br/>
      </w:r>
      <w:r w:rsidRPr="000D5B62">
        <w:rPr>
          <w:b/>
          <w:bCs/>
          <w:rtl/>
        </w:rPr>
        <w:t>توزيع القضاة الدائمين حسب الأصل العرقي ونوع الجنس حتى شباط/فبراير 2018</w:t>
      </w:r>
    </w:p>
    <w:tbl>
      <w:tblPr>
        <w:bidiVisual/>
        <w:tblW w:w="7370" w:type="dxa"/>
        <w:tblInd w:w="1134"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1631"/>
        <w:gridCol w:w="797"/>
        <w:gridCol w:w="798"/>
        <w:gridCol w:w="756"/>
        <w:gridCol w:w="700"/>
        <w:gridCol w:w="658"/>
        <w:gridCol w:w="728"/>
        <w:gridCol w:w="686"/>
        <w:gridCol w:w="616"/>
      </w:tblGrid>
      <w:tr w:rsidR="00803069" w:rsidRPr="000D5B62" w14:paraId="31E1E47A" w14:textId="77777777" w:rsidTr="00E04909">
        <w:trPr>
          <w:tblHeader/>
        </w:trPr>
        <w:tc>
          <w:tcPr>
            <w:tcW w:w="1631" w:type="dxa"/>
            <w:shd w:val="clear" w:color="auto" w:fill="auto"/>
            <w:noWrap/>
            <w:vAlign w:val="bottom"/>
            <w:hideMark/>
          </w:tcPr>
          <w:p w14:paraId="44FF37B1"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فئة الوظيفة</w:t>
            </w:r>
          </w:p>
        </w:tc>
        <w:tc>
          <w:tcPr>
            <w:tcW w:w="797" w:type="dxa"/>
            <w:shd w:val="clear" w:color="auto" w:fill="auto"/>
            <w:noWrap/>
            <w:vAlign w:val="bottom"/>
            <w:hideMark/>
          </w:tcPr>
          <w:p w14:paraId="0E085FB7"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ذكور أفريقيون</w:t>
            </w:r>
          </w:p>
        </w:tc>
        <w:tc>
          <w:tcPr>
            <w:tcW w:w="798" w:type="dxa"/>
            <w:shd w:val="clear" w:color="auto" w:fill="auto"/>
            <w:noWrap/>
            <w:vAlign w:val="bottom"/>
            <w:hideMark/>
          </w:tcPr>
          <w:p w14:paraId="724C9DDC"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إناث أفريقيات</w:t>
            </w:r>
          </w:p>
        </w:tc>
        <w:tc>
          <w:tcPr>
            <w:tcW w:w="756" w:type="dxa"/>
            <w:shd w:val="clear" w:color="auto" w:fill="auto"/>
            <w:noWrap/>
            <w:vAlign w:val="bottom"/>
            <w:hideMark/>
          </w:tcPr>
          <w:p w14:paraId="0050EB79"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ذكور ملونون</w:t>
            </w:r>
          </w:p>
        </w:tc>
        <w:tc>
          <w:tcPr>
            <w:tcW w:w="700" w:type="dxa"/>
            <w:shd w:val="clear" w:color="auto" w:fill="auto"/>
            <w:noWrap/>
            <w:vAlign w:val="bottom"/>
            <w:hideMark/>
          </w:tcPr>
          <w:p w14:paraId="3B663FD3"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إناث ملونات</w:t>
            </w:r>
          </w:p>
        </w:tc>
        <w:tc>
          <w:tcPr>
            <w:tcW w:w="658" w:type="dxa"/>
            <w:shd w:val="clear" w:color="auto" w:fill="auto"/>
            <w:noWrap/>
            <w:vAlign w:val="bottom"/>
            <w:hideMark/>
          </w:tcPr>
          <w:p w14:paraId="5CAB4457"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ذكور هنود</w:t>
            </w:r>
          </w:p>
        </w:tc>
        <w:tc>
          <w:tcPr>
            <w:tcW w:w="728" w:type="dxa"/>
            <w:shd w:val="clear" w:color="auto" w:fill="auto"/>
            <w:noWrap/>
            <w:vAlign w:val="bottom"/>
            <w:hideMark/>
          </w:tcPr>
          <w:p w14:paraId="316998CB"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إناث هنديات</w:t>
            </w:r>
          </w:p>
        </w:tc>
        <w:tc>
          <w:tcPr>
            <w:tcW w:w="686" w:type="dxa"/>
            <w:shd w:val="clear" w:color="auto" w:fill="auto"/>
            <w:noWrap/>
            <w:vAlign w:val="bottom"/>
            <w:hideMark/>
          </w:tcPr>
          <w:p w14:paraId="3B177FC2"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ذكور بيض</w:t>
            </w:r>
            <w:r w:rsidRPr="000D5B62">
              <w:rPr>
                <w:rFonts w:eastAsiaTheme="minorEastAsia"/>
                <w:szCs w:val="20"/>
                <w:rtl/>
              </w:rPr>
              <w:t xml:space="preserve"> </w:t>
            </w:r>
          </w:p>
        </w:tc>
        <w:tc>
          <w:tcPr>
            <w:tcW w:w="616" w:type="dxa"/>
            <w:shd w:val="clear" w:color="auto" w:fill="auto"/>
            <w:noWrap/>
            <w:vAlign w:val="bottom"/>
            <w:hideMark/>
          </w:tcPr>
          <w:p w14:paraId="0F8D116B" w14:textId="77777777" w:rsidR="00803069" w:rsidRPr="000D5B62" w:rsidRDefault="00803069" w:rsidP="00E04793">
            <w:pPr>
              <w:spacing w:before="40" w:after="40" w:line="300" w:lineRule="exact"/>
              <w:jc w:val="left"/>
              <w:textDirection w:val="tbRlV"/>
              <w:rPr>
                <w:rFonts w:eastAsiaTheme="minorEastAsia"/>
                <w:i/>
                <w:szCs w:val="20"/>
                <w:lang w:val="ar-SA" w:eastAsia="zh-TW" w:bidi="en-GB"/>
              </w:rPr>
            </w:pPr>
            <w:r w:rsidRPr="000D5B62">
              <w:rPr>
                <w:rFonts w:eastAsiaTheme="minorEastAsia"/>
                <w:i/>
                <w:iCs/>
                <w:szCs w:val="20"/>
                <w:rtl/>
              </w:rPr>
              <w:t>إناث بيض</w:t>
            </w:r>
          </w:p>
        </w:tc>
      </w:tr>
      <w:tr w:rsidR="00803069" w:rsidRPr="000D5B62" w14:paraId="79ACD1A4" w14:textId="77777777" w:rsidTr="00E04909">
        <w:tc>
          <w:tcPr>
            <w:tcW w:w="1631" w:type="dxa"/>
            <w:shd w:val="clear" w:color="auto" w:fill="auto"/>
            <w:noWrap/>
            <w:hideMark/>
          </w:tcPr>
          <w:p w14:paraId="4206F569" w14:textId="77777777" w:rsidR="00803069" w:rsidRPr="000D5B62" w:rsidRDefault="00803069" w:rsidP="00E04793">
            <w:pPr>
              <w:spacing w:before="40" w:after="40" w:line="300" w:lineRule="exact"/>
              <w:textDirection w:val="tbRlV"/>
              <w:rPr>
                <w:rFonts w:eastAsiaTheme="minorEastAsia"/>
                <w:b/>
                <w:bCs/>
                <w:szCs w:val="20"/>
                <w:lang w:val="ar-SA" w:eastAsia="zh-TW" w:bidi="en-GB"/>
              </w:rPr>
            </w:pPr>
            <w:r w:rsidRPr="000D5B62">
              <w:rPr>
                <w:rFonts w:eastAsiaTheme="minorEastAsia"/>
                <w:b/>
                <w:bCs/>
                <w:szCs w:val="20"/>
                <w:rtl/>
              </w:rPr>
              <w:t>قضاة</w:t>
            </w:r>
          </w:p>
        </w:tc>
        <w:tc>
          <w:tcPr>
            <w:tcW w:w="797" w:type="dxa"/>
            <w:shd w:val="clear" w:color="auto" w:fill="auto"/>
            <w:noWrap/>
            <w:vAlign w:val="bottom"/>
            <w:hideMark/>
          </w:tcPr>
          <w:p w14:paraId="200195DD"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69</w:t>
            </w:r>
          </w:p>
        </w:tc>
        <w:tc>
          <w:tcPr>
            <w:tcW w:w="798" w:type="dxa"/>
            <w:shd w:val="clear" w:color="auto" w:fill="auto"/>
            <w:noWrap/>
            <w:vAlign w:val="bottom"/>
            <w:hideMark/>
          </w:tcPr>
          <w:p w14:paraId="77DEF528"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44</w:t>
            </w:r>
          </w:p>
        </w:tc>
        <w:tc>
          <w:tcPr>
            <w:tcW w:w="756" w:type="dxa"/>
            <w:shd w:val="clear" w:color="auto" w:fill="auto"/>
            <w:noWrap/>
            <w:vAlign w:val="bottom"/>
            <w:hideMark/>
          </w:tcPr>
          <w:p w14:paraId="3F6FF060"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16</w:t>
            </w:r>
          </w:p>
        </w:tc>
        <w:tc>
          <w:tcPr>
            <w:tcW w:w="700" w:type="dxa"/>
            <w:shd w:val="clear" w:color="auto" w:fill="auto"/>
            <w:noWrap/>
            <w:vAlign w:val="bottom"/>
            <w:hideMark/>
          </w:tcPr>
          <w:p w14:paraId="44655BA1"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11</w:t>
            </w:r>
          </w:p>
        </w:tc>
        <w:tc>
          <w:tcPr>
            <w:tcW w:w="658" w:type="dxa"/>
            <w:shd w:val="clear" w:color="auto" w:fill="auto"/>
            <w:noWrap/>
            <w:vAlign w:val="bottom"/>
            <w:hideMark/>
          </w:tcPr>
          <w:p w14:paraId="7F7917A3"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14</w:t>
            </w:r>
          </w:p>
        </w:tc>
        <w:tc>
          <w:tcPr>
            <w:tcW w:w="728" w:type="dxa"/>
            <w:shd w:val="clear" w:color="auto" w:fill="auto"/>
            <w:noWrap/>
            <w:vAlign w:val="bottom"/>
            <w:hideMark/>
          </w:tcPr>
          <w:p w14:paraId="638CB47C"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10</w:t>
            </w:r>
          </w:p>
        </w:tc>
        <w:tc>
          <w:tcPr>
            <w:tcW w:w="686" w:type="dxa"/>
            <w:shd w:val="clear" w:color="auto" w:fill="auto"/>
            <w:noWrap/>
            <w:vAlign w:val="bottom"/>
            <w:hideMark/>
          </w:tcPr>
          <w:p w14:paraId="27F4E505"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61</w:t>
            </w:r>
          </w:p>
        </w:tc>
        <w:tc>
          <w:tcPr>
            <w:tcW w:w="616" w:type="dxa"/>
            <w:shd w:val="clear" w:color="auto" w:fill="auto"/>
            <w:noWrap/>
            <w:vAlign w:val="bottom"/>
            <w:hideMark/>
          </w:tcPr>
          <w:p w14:paraId="7902C0D6" w14:textId="77777777" w:rsidR="00803069" w:rsidRPr="000D5B62" w:rsidRDefault="00803069" w:rsidP="00E04793">
            <w:pPr>
              <w:spacing w:before="40" w:after="40" w:line="300" w:lineRule="exact"/>
              <w:jc w:val="left"/>
              <w:textDirection w:val="tbRlV"/>
              <w:rPr>
                <w:rFonts w:eastAsiaTheme="minorEastAsia"/>
                <w:szCs w:val="20"/>
                <w:lang w:val="ar-SA" w:eastAsia="zh-TW" w:bidi="en-GB"/>
              </w:rPr>
            </w:pPr>
            <w:r w:rsidRPr="000D5B62">
              <w:rPr>
                <w:rFonts w:eastAsiaTheme="minorEastAsia"/>
                <w:szCs w:val="20"/>
                <w:rtl/>
              </w:rPr>
              <w:t>25</w:t>
            </w:r>
          </w:p>
        </w:tc>
      </w:tr>
    </w:tbl>
    <w:p w14:paraId="75F3832D" w14:textId="77777777" w:rsidR="00803069" w:rsidRPr="000D5B62" w:rsidRDefault="00803069" w:rsidP="00E04793">
      <w:pPr>
        <w:pStyle w:val="SingleTxtGA"/>
        <w:spacing w:before="240"/>
        <w:rPr>
          <w:lang w:val="ar-SA" w:eastAsia="zh-TW" w:bidi="en-GB"/>
        </w:rPr>
      </w:pPr>
      <w:r w:rsidRPr="000D5B62">
        <w:rPr>
          <w:rtl/>
        </w:rPr>
        <w:t>63-</w:t>
      </w:r>
      <w:r w:rsidRPr="000D5B62">
        <w:rPr>
          <w:rtl/>
        </w:rPr>
        <w:tab/>
        <w:t>وفيما يتعلق بتوزيع قضاة المحاكم الجزئية حسب الأصل العرقي ونوع الجنس، ترد في الجدول أدناه بيانات مقارنة من عام 1998 إلى شباط/فبراير 2018.</w:t>
      </w:r>
    </w:p>
    <w:p w14:paraId="19FC4644" w14:textId="2BD86AEA" w:rsidR="00803069" w:rsidRPr="000D5B62" w:rsidRDefault="00803069" w:rsidP="005F2563">
      <w:pPr>
        <w:pStyle w:val="SingleTxtGA"/>
        <w:pageBreakBefore/>
        <w:rPr>
          <w:b/>
          <w:bCs/>
          <w:lang w:val="ar-SA" w:eastAsia="zh-TW" w:bidi="en-GB"/>
        </w:rPr>
      </w:pPr>
      <w:r w:rsidRPr="000D5B62">
        <w:rPr>
          <w:rtl/>
        </w:rPr>
        <w:t>الجدول 20</w:t>
      </w:r>
      <w:r w:rsidR="00E04793" w:rsidRPr="000D5B62">
        <w:rPr>
          <w:rtl/>
        </w:rPr>
        <w:tab/>
      </w:r>
      <w:r w:rsidR="00E04793" w:rsidRPr="000D5B62">
        <w:rPr>
          <w:rtl/>
        </w:rPr>
        <w:br/>
      </w:r>
      <w:r w:rsidRPr="000D5B62">
        <w:rPr>
          <w:b/>
          <w:bCs/>
          <w:rtl/>
        </w:rPr>
        <w:t>توزيع قضاة المحاكم الجزئية حسب الأصل العرقي ونوع الجنس حتى شباط/فبراير 2018</w:t>
      </w:r>
    </w:p>
    <w:p w14:paraId="7E206E59" w14:textId="77777777" w:rsidR="00803069" w:rsidRPr="000D5B62" w:rsidRDefault="00803069" w:rsidP="00803069">
      <w:pPr>
        <w:tabs>
          <w:tab w:val="left" w:pos="709"/>
          <w:tab w:val="right" w:pos="850"/>
          <w:tab w:val="left" w:pos="1559"/>
          <w:tab w:val="left" w:pos="1984"/>
          <w:tab w:val="left" w:leader="dot" w:pos="8929"/>
          <w:tab w:val="right" w:pos="9638"/>
        </w:tabs>
        <w:spacing w:after="120" w:line="360" w:lineRule="auto"/>
        <w:jc w:val="center"/>
        <w:rPr>
          <w:rFonts w:eastAsiaTheme="minorEastAsia"/>
          <w:bCs/>
          <w:sz w:val="22"/>
        </w:rPr>
      </w:pPr>
      <w:r w:rsidRPr="000D5B62">
        <w:rPr>
          <w:rFonts w:eastAsiaTheme="minorEastAsia"/>
          <w:noProof/>
          <w:sz w:val="22"/>
          <w:lang w:eastAsia="en-GB"/>
        </w:rPr>
        <w:drawing>
          <wp:inline distT="0" distB="0" distL="0" distR="0" wp14:anchorId="6C83CB01" wp14:editId="520A4C19">
            <wp:extent cx="5784850" cy="3009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45" cy="3013227"/>
                    </a:xfrm>
                    <a:prstGeom prst="rect">
                      <a:avLst/>
                    </a:prstGeom>
                    <a:noFill/>
                    <a:ln>
                      <a:noFill/>
                    </a:ln>
                  </pic:spPr>
                </pic:pic>
              </a:graphicData>
            </a:graphic>
          </wp:inline>
        </w:drawing>
      </w:r>
    </w:p>
    <w:p w14:paraId="3D364FC2" w14:textId="77777777" w:rsidR="00803069" w:rsidRPr="000D5B62" w:rsidRDefault="00803069" w:rsidP="005F2563">
      <w:pPr>
        <w:pStyle w:val="H23GA"/>
        <w:spacing w:before="360"/>
        <w:rPr>
          <w:lang w:val="ar-SA" w:eastAsia="zh-TW" w:bidi="en-GB"/>
        </w:rPr>
      </w:pPr>
      <w:r w:rsidRPr="000D5B62">
        <w:rPr>
          <w:rtl/>
        </w:rPr>
        <w:tab/>
      </w:r>
      <w:r w:rsidRPr="000D5B62">
        <w:rPr>
          <w:rtl/>
        </w:rPr>
        <w:tab/>
        <w:t>المحاكم</w:t>
      </w:r>
    </w:p>
    <w:p w14:paraId="679E9007" w14:textId="16C4F61C" w:rsidR="00803069" w:rsidRPr="000D5B62" w:rsidRDefault="00803069" w:rsidP="005F2563">
      <w:pPr>
        <w:pStyle w:val="SingleTxtGA"/>
        <w:rPr>
          <w:rStyle w:val="FootnoteReference"/>
          <w:rFonts w:eastAsiaTheme="minorEastAsia"/>
          <w:szCs w:val="22"/>
          <w:lang w:val="en-US" w:eastAsia="zh-TW" w:bidi="en-GB"/>
        </w:rPr>
      </w:pPr>
      <w:r w:rsidRPr="000D5B62">
        <w:rPr>
          <w:rtl/>
        </w:rPr>
        <w:t>64-</w:t>
      </w:r>
      <w:r w:rsidRPr="000D5B62">
        <w:rPr>
          <w:rtl/>
        </w:rPr>
        <w:tab/>
      </w:r>
      <w:r w:rsidRPr="000D5B62">
        <w:rPr>
          <w:spacing w:val="-2"/>
          <w:rtl/>
        </w:rPr>
        <w:t>تشمل المحاكم المحكمة الدستورية</w:t>
      </w:r>
      <w:r w:rsidRPr="000D5B62">
        <w:rPr>
          <w:rStyle w:val="FootnoteReference"/>
          <w:spacing w:val="-2"/>
          <w:szCs w:val="22"/>
          <w:rtl/>
        </w:rPr>
        <w:t>(</w:t>
      </w:r>
      <w:r w:rsidRPr="000D5B62">
        <w:rPr>
          <w:rStyle w:val="FootnoteReference"/>
          <w:spacing w:val="-2"/>
          <w:szCs w:val="22"/>
          <w:rtl/>
        </w:rPr>
        <w:footnoteReference w:id="42"/>
      </w:r>
      <w:r w:rsidRPr="000D5B62">
        <w:rPr>
          <w:rStyle w:val="FootnoteReference"/>
          <w:spacing w:val="-2"/>
          <w:szCs w:val="22"/>
          <w:rtl/>
        </w:rPr>
        <w:t>)</w:t>
      </w:r>
      <w:r w:rsidR="00313F43" w:rsidRPr="000D5B62">
        <w:rPr>
          <w:rStyle w:val="FootnoteReference"/>
          <w:rFonts w:hint="cs"/>
          <w:spacing w:val="-2"/>
          <w:szCs w:val="22"/>
          <w:rtl/>
        </w:rPr>
        <w:t xml:space="preserve"> </w:t>
      </w:r>
      <w:r w:rsidRPr="000D5B62">
        <w:rPr>
          <w:spacing w:val="-2"/>
          <w:rtl/>
        </w:rPr>
        <w:t>ومحكمة الاستئناف العليا</w:t>
      </w:r>
      <w:r w:rsidRPr="000D5B62">
        <w:rPr>
          <w:rStyle w:val="FootnoteReference"/>
          <w:spacing w:val="-2"/>
          <w:szCs w:val="22"/>
          <w:rtl/>
        </w:rPr>
        <w:t>(</w:t>
      </w:r>
      <w:r w:rsidRPr="000D5B62">
        <w:rPr>
          <w:rStyle w:val="FootnoteReference"/>
          <w:spacing w:val="-2"/>
          <w:szCs w:val="22"/>
          <w:rtl/>
        </w:rPr>
        <w:footnoteReference w:id="43"/>
      </w:r>
      <w:r w:rsidRPr="000D5B62">
        <w:rPr>
          <w:rStyle w:val="FootnoteReference"/>
          <w:spacing w:val="-2"/>
          <w:szCs w:val="22"/>
          <w:rtl/>
        </w:rPr>
        <w:t>)</w:t>
      </w:r>
      <w:r w:rsidRPr="000D5B62">
        <w:rPr>
          <w:spacing w:val="-2"/>
          <w:rtl/>
        </w:rPr>
        <w:t xml:space="preserve"> والمحاكم الكبرى، بما في ذلك </w:t>
      </w:r>
      <w:r w:rsidRPr="000D5B62">
        <w:rPr>
          <w:rtl/>
        </w:rPr>
        <w:t>أي محكمة استئناف كبرى تنشأ بموجب قانون يصدره البرلمان للنظر في دعاوى استئناف أحكام المحاكم الكبرى</w:t>
      </w:r>
      <w:r w:rsidRPr="000D5B62">
        <w:rPr>
          <w:rStyle w:val="FootnoteReference"/>
          <w:szCs w:val="22"/>
          <w:rtl/>
        </w:rPr>
        <w:t>(</w:t>
      </w:r>
      <w:r w:rsidRPr="000D5B62">
        <w:rPr>
          <w:rStyle w:val="FootnoteReference"/>
          <w:szCs w:val="22"/>
          <w:rtl/>
        </w:rPr>
        <w:footnoteReference w:id="44"/>
      </w:r>
      <w:r w:rsidRPr="000D5B62">
        <w:rPr>
          <w:rStyle w:val="FootnoteReference"/>
          <w:szCs w:val="22"/>
          <w:rtl/>
        </w:rPr>
        <w:t>)</w:t>
      </w:r>
      <w:r w:rsidRPr="000D5B62">
        <w:rPr>
          <w:rtl/>
        </w:rPr>
        <w:t xml:space="preserve"> والمحاكم الجزئية</w:t>
      </w:r>
      <w:r w:rsidRPr="000D5B62">
        <w:rPr>
          <w:rStyle w:val="FootnoteReference"/>
          <w:szCs w:val="22"/>
          <w:rtl/>
        </w:rPr>
        <w:t>(</w:t>
      </w:r>
      <w:r w:rsidRPr="000D5B62">
        <w:rPr>
          <w:rStyle w:val="FootnoteReference"/>
          <w:szCs w:val="22"/>
          <w:rtl/>
        </w:rPr>
        <w:footnoteReference w:id="45"/>
      </w:r>
      <w:r w:rsidRPr="000D5B62">
        <w:rPr>
          <w:rStyle w:val="FootnoteReference"/>
          <w:szCs w:val="22"/>
          <w:rtl/>
        </w:rPr>
        <w:t>)</w:t>
      </w:r>
      <w:r w:rsidRPr="000D5B62">
        <w:rPr>
          <w:rtl/>
        </w:rPr>
        <w:t xml:space="preserve"> وأي محكمة أخرى تنشأ أو يتم إقرار وجودها بموجب قانون يصدره البرلمان، بما في ذلك أي محكمة مماثلة في وضعها إما للمحاكم الكبرى أو المحاكم الجزئية. وتبعاً لذلك، </w:t>
      </w:r>
      <w:r w:rsidRPr="000D5B62">
        <w:rPr>
          <w:spacing w:val="-2"/>
          <w:rtl/>
        </w:rPr>
        <w:t>أنشئت، بقوانين، المحاكم التالية: المحاكم الخاصة بضرائب الدخل ومحكمة استئناف منازعات العمل ومحكمة العمل والمحكمة المختصة بالمطالبات المتعلقة بالأراضي ومحكمة استئناف دعاوى المنافسة</w:t>
      </w:r>
      <w:r w:rsidRPr="000D5B62">
        <w:rPr>
          <w:rtl/>
        </w:rPr>
        <w:t xml:space="preserve"> ومحكمة الانتخابات ومحاكم الطلاق والمحاكم المختصة بالنظر في دعاوى المستهلكين و”المحاكم العسكرية“. </w:t>
      </w:r>
      <w:r w:rsidRPr="000D5B62">
        <w:rPr>
          <w:spacing w:val="-2"/>
          <w:rtl/>
        </w:rPr>
        <w:t>وأنشئت بموجب أحكام المادة 9 من الدستور وقانون تحقيق المساواة ومنع التمييز دون وجه حق لعام 2000</w:t>
      </w:r>
      <w:r w:rsidRPr="000D5B62">
        <w:rPr>
          <w:rtl/>
        </w:rPr>
        <w:t xml:space="preserve"> محاكم للفصل في دعاوى المساواة</w:t>
      </w:r>
      <w:r w:rsidRPr="000D5B62">
        <w:rPr>
          <w:rStyle w:val="FootnoteReference"/>
          <w:szCs w:val="22"/>
          <w:rtl/>
        </w:rPr>
        <w:t>(</w:t>
      </w:r>
      <w:r w:rsidRPr="000D5B62">
        <w:rPr>
          <w:rStyle w:val="FootnoteReference"/>
          <w:szCs w:val="22"/>
          <w:rtl/>
        </w:rPr>
        <w:footnoteReference w:id="46"/>
      </w:r>
      <w:r w:rsidRPr="000D5B62">
        <w:rPr>
          <w:rStyle w:val="FootnoteReference"/>
          <w:szCs w:val="22"/>
          <w:rtl/>
        </w:rPr>
        <w:t>)</w:t>
      </w:r>
      <w:r w:rsidR="00E04793" w:rsidRPr="000D5B62">
        <w:rPr>
          <w:rStyle w:val="FootnoteReference"/>
          <w:rFonts w:hint="cs"/>
          <w:szCs w:val="22"/>
          <w:vertAlign w:val="baseline"/>
          <w:rtl/>
        </w:rPr>
        <w:t>.</w:t>
      </w:r>
    </w:p>
    <w:p w14:paraId="4908527B" w14:textId="73F333C6" w:rsidR="00803069" w:rsidRPr="000D5B62" w:rsidRDefault="00803069" w:rsidP="005F2563">
      <w:pPr>
        <w:pStyle w:val="SingleTxtGA"/>
        <w:rPr>
          <w:rStyle w:val="FootnoteReference"/>
          <w:rFonts w:eastAsiaTheme="minorEastAsia"/>
          <w:szCs w:val="22"/>
          <w:lang w:val="en-US" w:eastAsia="zh-TW" w:bidi="en-GB"/>
        </w:rPr>
      </w:pPr>
      <w:r w:rsidRPr="000D5B62">
        <w:rPr>
          <w:rtl/>
        </w:rPr>
        <w:t>65-</w:t>
      </w:r>
      <w:r w:rsidRPr="000D5B62">
        <w:rPr>
          <w:rtl/>
        </w:rPr>
        <w:tab/>
        <w:t>وهناك أيضا محاكم ترتبط بوحدات التحقيق؛ ومحاكم مختصة بالنظر في الدعاوى المتصلة بمجلس الطب البيطري و”محاكم“/هيئات قضائية تفصل في الدعاوى المتصلة بالمياه وما إلى ذلك (وتنشأ تلك المحاكم بموجب تشريعات محددة الغرض). وتوجد علاوة على ذلك المحاكم التي تضم زعماء القبائل والتي ينحصر اختصاصها في تطبيق القانون العرفي. وثمة أيضاً محاكم متخصصة تشكل جزءاً من محاكمنا العادية ولكنها تركز على مجالات بعينها</w:t>
      </w:r>
      <w:bookmarkStart w:id="0" w:name="_Hlk92968390"/>
      <w:r w:rsidRPr="000D5B62">
        <w:rPr>
          <w:rStyle w:val="FootnoteReference"/>
          <w:szCs w:val="22"/>
          <w:rtl/>
        </w:rPr>
        <w:t>(</w:t>
      </w:r>
      <w:r w:rsidRPr="000D5B62">
        <w:rPr>
          <w:rStyle w:val="FootnoteReference"/>
          <w:szCs w:val="22"/>
          <w:rtl/>
        </w:rPr>
        <w:footnoteReference w:id="47"/>
      </w:r>
      <w:r w:rsidRPr="000D5B62">
        <w:rPr>
          <w:rStyle w:val="FootnoteReference"/>
          <w:szCs w:val="22"/>
          <w:rtl/>
        </w:rPr>
        <w:t>)</w:t>
      </w:r>
      <w:bookmarkEnd w:id="0"/>
      <w:r w:rsidR="00E04793" w:rsidRPr="000D5B62">
        <w:rPr>
          <w:rStyle w:val="FootnoteReference"/>
          <w:rFonts w:hint="cs"/>
          <w:szCs w:val="22"/>
          <w:vertAlign w:val="baseline"/>
          <w:rtl/>
        </w:rPr>
        <w:t>.</w:t>
      </w:r>
    </w:p>
    <w:p w14:paraId="5F510EC6" w14:textId="2F3FD236" w:rsidR="00803069" w:rsidRPr="000D5B62" w:rsidRDefault="00803069" w:rsidP="005F2563">
      <w:pPr>
        <w:pStyle w:val="SingleTxtGA"/>
        <w:spacing w:line="340" w:lineRule="exact"/>
        <w:rPr>
          <w:spacing w:val="-4"/>
          <w:lang w:val="ar-SA" w:eastAsia="zh-TW" w:bidi="en-GB"/>
        </w:rPr>
      </w:pPr>
      <w:r w:rsidRPr="000D5B62">
        <w:rPr>
          <w:rtl/>
        </w:rPr>
        <w:t>66-</w:t>
      </w:r>
      <w:r w:rsidRPr="000D5B62">
        <w:rPr>
          <w:rtl/>
        </w:rPr>
        <w:tab/>
      </w:r>
      <w:r w:rsidRPr="000D5B62">
        <w:rPr>
          <w:spacing w:val="-4"/>
          <w:rtl/>
        </w:rPr>
        <w:t>وتشكل المحاكم التقليدية جزءاً لا غنى عنه من نظام إقامة العدل. ففي الفصل 12 من الدستور يعترف بشيوخ القبائل بوصفهم مؤسسة لها وضعها ودورها وفقاً للقانون العرفي وذلك مع التقيد بالدستور. كما أن وجود المحاكم التقليدية مثبت في الجدول رقم 6 من الدستور. ويُعترف في الدستور بالقانون العرفي ومن ثم، لا</w:t>
      </w:r>
      <w:r w:rsidR="005F2563" w:rsidRPr="000D5B62">
        <w:rPr>
          <w:rFonts w:hint="cs"/>
          <w:spacing w:val="-4"/>
          <w:rtl/>
        </w:rPr>
        <w:t> </w:t>
      </w:r>
      <w:r w:rsidRPr="000D5B62">
        <w:rPr>
          <w:spacing w:val="-4"/>
          <w:rtl/>
        </w:rPr>
        <w:t>بد من إصدار تشريعات تنظم ذلك. فالمحاكم التقليدية لها وجود في الواقع وبالتالي يتحتم دستورياً إخضاع تلك المحاكم لتغييرات جذرية بحيث تتلاءم مع الدستور. ويدرس البرلمان حاليا مشروع قانون المحاكم التقليدية. وتهدف دراسة مشروع القانون إلى ضمان تعاملنا مع مفاهيم العدالة التقليدية على النحو المناسب.</w:t>
      </w:r>
    </w:p>
    <w:p w14:paraId="43B0B6D1" w14:textId="77777777" w:rsidR="00803069" w:rsidRPr="000D5B62" w:rsidRDefault="00803069" w:rsidP="00706D34">
      <w:pPr>
        <w:pStyle w:val="SingleTxtGA"/>
        <w:rPr>
          <w:spacing w:val="-4"/>
          <w:lang w:val="ar-SA" w:eastAsia="zh-TW" w:bidi="en-GB"/>
        </w:rPr>
      </w:pPr>
      <w:r w:rsidRPr="000D5B62">
        <w:rPr>
          <w:rtl/>
        </w:rPr>
        <w:t>67-</w:t>
      </w:r>
      <w:r w:rsidRPr="000D5B62">
        <w:rPr>
          <w:rtl/>
        </w:rPr>
        <w:tab/>
      </w:r>
      <w:r w:rsidRPr="000D5B62">
        <w:rPr>
          <w:spacing w:val="-4"/>
          <w:rtl/>
        </w:rPr>
        <w:t>ومن المتوخى أيضاً الاستعانة بالمحاكم المجتمعية في تنفيذ نظام العدالة التصالحية في ظل نظام العدالة الجنائية. ويتمثل الهدف من ذلك في كفالة التعامل مع الجرائم الأقل خطورة من خلال برامج لتحويل المسارات بدلاً من إصدار أحكام بالسجن. وتعكف وزارة العدل حالياً على وضع إطار للسياسات المتعين اتباعها فيما يتعلق بالمحاكم المجتمعية والهدف من هذا الإطار هو وضع تصور لنموذج المحكمة المجتمعية المناسب للنظام الديمقراطي الدستوري في جنوب أفريقيا مع أخذ حتمية التغيير الجذري التي يشدد عليها الدستور في الاعتبار. ويشمل مفهوم المحكمة المجتمعية عناصر العدالة التصالحية التي تنصب على إعادة الأمور إلى نصابها ورد الاعتبار والمصالحة بين الضحية والجاني ومنع الجريمة على الصعيد المجتمعي وتوفير الخدمات على أساس تطوعي للجناة والضحايا. وفي سياق تطوير السياسات، طُلب إلى لجنة إصلاح القوانين في جنوب أفريقيا أن تضيف إلى برنامجها الخاص بالبحوث بحثاً بشأن المحاكم المجتمعية.</w:t>
      </w:r>
    </w:p>
    <w:p w14:paraId="6D62578D" w14:textId="236E1807" w:rsidR="00803069" w:rsidRPr="000D5B62" w:rsidRDefault="00803069" w:rsidP="00706D34">
      <w:pPr>
        <w:pStyle w:val="SingleTxtGA"/>
        <w:rPr>
          <w:b/>
          <w:lang w:val="ar-SA" w:eastAsia="zh-TW" w:bidi="en-GB"/>
        </w:rPr>
      </w:pPr>
      <w:r w:rsidRPr="000D5B62">
        <w:rPr>
          <w:rtl/>
        </w:rPr>
        <w:t>68-</w:t>
      </w:r>
      <w:r w:rsidRPr="000D5B62">
        <w:rPr>
          <w:rtl/>
        </w:rPr>
        <w:tab/>
        <w:t>ومن بين الدوائر الأخرى الملحقة بالمحاكم والتي تؤدي دوراً هاماً في كفالة حماية حقوق الإنسان، مكتب المحاماة المتخصص في قضايا الأسرة الذي تتوجب استشارته في شؤون كل ما يخص الأطفال من أمور باعتبار أن المحكمة العليا هي ولي أمر جميع الأطفال في جنوب أفريقيا. ويتولى المكتب أيضاً قضايا المنازعات بين الوالدين أو أفراد الأسرة وحول مسؤولية كل من الوالدين وحقوق الأطفال. وقد وسع قانون الطفل لعام 2005 نطاق مهام مكتب محامي الأسرة</w:t>
      </w:r>
      <w:r w:rsidRPr="000D5B62">
        <w:rPr>
          <w:rStyle w:val="FootnoteReference"/>
          <w:szCs w:val="22"/>
          <w:rtl/>
        </w:rPr>
        <w:t>(</w:t>
      </w:r>
      <w:r w:rsidRPr="000D5B62">
        <w:rPr>
          <w:rStyle w:val="FootnoteReference"/>
          <w:szCs w:val="22"/>
          <w:rtl/>
        </w:rPr>
        <w:footnoteReference w:id="48"/>
      </w:r>
      <w:r w:rsidRPr="000D5B62">
        <w:rPr>
          <w:rStyle w:val="FootnoteReference"/>
          <w:szCs w:val="22"/>
          <w:rtl/>
        </w:rPr>
        <w:t>)</w:t>
      </w:r>
      <w:r w:rsidR="00E04793" w:rsidRPr="000D5B62">
        <w:rPr>
          <w:rFonts w:hint="cs"/>
          <w:rtl/>
        </w:rPr>
        <w:t xml:space="preserve">. </w:t>
      </w:r>
      <w:r w:rsidRPr="000D5B62">
        <w:rPr>
          <w:rtl/>
        </w:rPr>
        <w:t>والمكتب هو الهيئة الرئيسية المكلفة بإدارة نظم السجلات المتعلقة بالاختطاف الدولي للأطفال مما يحمي الأطفال من الآثار الضارة لاختطافهم إلى بلد أجنبي على يد أحد والديهم أو القائمين على رعايتهم. ولقد غدت اتفاقية لاهاي المتعلقة بالجوانب المدنية للاختطاف الدولي للأطفال والتي انضمت إليها جنوب أفريقيا في 1 تشرين الأول/أكتوبر 1996 تشكل جزءاً من قوانين بلدنا بمقتضى القانون المتعلق برعاية الأطفال لعام 2005. وتتيح مشاركة بلدنا في هذا الصك الدولي إمكانية إعادة الأطفال الذين يُجلَبون إلى جنوب أفريقيا أو يُختطفون منها على وجه السرعة و/أو تأمين حقهم في التواصل مع من رحلوا عنه من والديهم. وخلال عام 2016، وافق بلدنا على انضمام 34 بلداً آخر ليصل عدد الدول المتعاقد معها إلى 83 دولة، الأمر الذي من شأنه أن يسهم في توسيع نطاق عملنا في مجال حماية الطفل.</w:t>
      </w:r>
    </w:p>
    <w:p w14:paraId="70C59E14" w14:textId="77777777" w:rsidR="00803069" w:rsidRPr="000D5B62" w:rsidRDefault="00803069" w:rsidP="00E73021">
      <w:pPr>
        <w:pStyle w:val="SingleTxtGA"/>
        <w:spacing w:line="350" w:lineRule="exact"/>
        <w:rPr>
          <w:b/>
          <w:lang w:val="ar-SA" w:eastAsia="zh-TW" w:bidi="en-GB"/>
        </w:rPr>
      </w:pPr>
      <w:r w:rsidRPr="000D5B62">
        <w:rPr>
          <w:rtl/>
        </w:rPr>
        <w:t>69-</w:t>
      </w:r>
      <w:r w:rsidRPr="000D5B62">
        <w:rPr>
          <w:rtl/>
        </w:rPr>
        <w:tab/>
        <w:t>وفيما يتعلق بالخدمات المتعلقة بتركات المتوفين وتصفية التركات المعسرة وتسجيل الأمانات والوصاية والقُوامة وإدارة الوصي لأموال القاصرين والأشخاص ذوي الإعاقات الذهنية، فإن الموظف القضائي الملحق بالمحكمة العليا يؤديها للجمهور.</w:t>
      </w:r>
    </w:p>
    <w:p w14:paraId="684E47CB" w14:textId="3136F509" w:rsidR="00803069" w:rsidRPr="000D5B62" w:rsidRDefault="00803069" w:rsidP="00E73021">
      <w:pPr>
        <w:pStyle w:val="SingleTxtGA"/>
        <w:spacing w:line="350" w:lineRule="exact"/>
        <w:rPr>
          <w:spacing w:val="-2"/>
          <w:lang w:val="ar-SA" w:eastAsia="zh-TW" w:bidi="en-GB"/>
        </w:rPr>
      </w:pPr>
      <w:r w:rsidRPr="000D5B62">
        <w:rPr>
          <w:rtl/>
        </w:rPr>
        <w:t>70-</w:t>
      </w:r>
      <w:r w:rsidRPr="000D5B62">
        <w:rPr>
          <w:rtl/>
        </w:rPr>
        <w:tab/>
      </w:r>
      <w:r w:rsidRPr="000D5B62">
        <w:rPr>
          <w:spacing w:val="-2"/>
          <w:rtl/>
        </w:rPr>
        <w:t>ومن ناحية أخرى، أنشئت بموجب المادة 179 من الدستور هيئة ادعاء وطنية واحدة. وتم إنشاء مكتب المدير الوطني للنيابات العامة في 1 آب/أغسطس 1998. ويتألف برنامج العمل الوطني من المدير الوطني، الذي يرأس المكتب ويديره؛ ونواب مدراء النيابات العامة الوطنيون؛ ومدراء النيابات العامة والمدراء الخاصون؛ وأعضاء آخرون في سلطة الادعاء يعينون في المكتب أو يعينون فيه؛ وأعضاء هيئة الموظفين الإداريين في المكتب. والتشريع الذي ينظم سلطة الادعاء هو قانون هيئة الادعاء الوطنية لعام 1998</w:t>
      </w:r>
      <w:r w:rsidRPr="000D5B62">
        <w:rPr>
          <w:rStyle w:val="FootnoteReference"/>
          <w:spacing w:val="-2"/>
          <w:szCs w:val="22"/>
          <w:rtl/>
        </w:rPr>
        <w:t>(</w:t>
      </w:r>
      <w:r w:rsidRPr="000D5B62">
        <w:rPr>
          <w:rStyle w:val="FootnoteReference"/>
          <w:spacing w:val="-2"/>
          <w:szCs w:val="22"/>
          <w:rtl/>
        </w:rPr>
        <w:footnoteReference w:id="49"/>
      </w:r>
      <w:r w:rsidRPr="000D5B62">
        <w:rPr>
          <w:rStyle w:val="FootnoteReference"/>
          <w:spacing w:val="-2"/>
          <w:szCs w:val="22"/>
          <w:rtl/>
        </w:rPr>
        <w:t>)</w:t>
      </w:r>
      <w:r w:rsidR="00E04793" w:rsidRPr="000D5B62">
        <w:rPr>
          <w:rFonts w:hint="cs"/>
          <w:spacing w:val="-2"/>
          <w:rtl/>
        </w:rPr>
        <w:t xml:space="preserve">. </w:t>
      </w:r>
      <w:r w:rsidRPr="000D5B62">
        <w:rPr>
          <w:spacing w:val="-2"/>
          <w:rtl/>
        </w:rPr>
        <w:t>ووفقاً للدستور، يمنح القانون المذكور هيئة الادعاء سلطة إقامة الدعاوى الجنائية باسم الدولة وأداء كل ما</w:t>
      </w:r>
      <w:r w:rsidR="00397D00" w:rsidRPr="000D5B62">
        <w:rPr>
          <w:rFonts w:hint="cs"/>
          <w:spacing w:val="-2"/>
          <w:rtl/>
        </w:rPr>
        <w:t> </w:t>
      </w:r>
      <w:r w:rsidRPr="000D5B62">
        <w:rPr>
          <w:spacing w:val="-2"/>
          <w:rtl/>
        </w:rPr>
        <w:t>يمكن أن يترتب على إقامة الدعاوى الجنائية من مهام ضرورية. وفي دولة يحكمها الدستور مثل جنوب أفريقيا، من حق جميع المواطنين التمتع بحياة أفضل - حياة خالية من الخوف ومن الجريمة. ومن ثم، فهيئة الادعاء الوطنية تؤدي، بوصفها شريكاً أساسياً في نظام العدالة الجنائية، دوراً بالغ الأهمية في كفالة توجيه الاتهام لمرتكبي الجرائم وتحميلهم مسؤولية أفعالهم الإجرامية. وتساعد الهيئة أيضاً على ضمان ثقة الرأي العام في نظام العدالة الجنائية.</w:t>
      </w:r>
    </w:p>
    <w:p w14:paraId="1E25318E" w14:textId="77777777" w:rsidR="00803069" w:rsidRPr="000D5B62" w:rsidRDefault="00803069" w:rsidP="005F2563">
      <w:pPr>
        <w:pStyle w:val="H23GA"/>
        <w:rPr>
          <w:lang w:val="ar-SA" w:eastAsia="zh-TW" w:bidi="en-GB"/>
        </w:rPr>
      </w:pPr>
      <w:r w:rsidRPr="000D5B62">
        <w:rPr>
          <w:rtl/>
        </w:rPr>
        <w:tab/>
      </w:r>
      <w:r w:rsidRPr="000D5B62">
        <w:rPr>
          <w:rtl/>
        </w:rPr>
        <w:tab/>
        <w:t>إنفاذ القانون وإقامة العدل</w:t>
      </w:r>
    </w:p>
    <w:p w14:paraId="13EAE343" w14:textId="5CB2E91B" w:rsidR="00803069" w:rsidRPr="000D5B62" w:rsidRDefault="00803069" w:rsidP="00706D34">
      <w:pPr>
        <w:pStyle w:val="SingleTxtGA"/>
        <w:rPr>
          <w:lang w:val="ar-SA" w:eastAsia="zh-TW" w:bidi="en-GB"/>
        </w:rPr>
      </w:pPr>
      <w:r w:rsidRPr="000D5B62">
        <w:rPr>
          <w:rtl/>
        </w:rPr>
        <w:t>71-</w:t>
      </w:r>
      <w:r w:rsidRPr="000D5B62">
        <w:rPr>
          <w:rtl/>
        </w:rPr>
        <w:tab/>
        <w:t>لكفالة سلامة الجميع في جنوب أفريقيا، تعمل وكالات إنفاذ القانون جنباً إلى جنب مع الإدارة المعنية بإقامة العدل وتطوير النظام الدستوري وهيئة الادعاءات الوطنية وإدارة خدمات السجون وإدارة التنمية الاجتماعية وإدارات أخرى لتحقيق هدف خطة التنمية الوطنية المتجسد في الشعار القائل ”</w:t>
      </w:r>
      <w:r w:rsidRPr="000D5B62">
        <w:rPr>
          <w:i/>
          <w:iCs/>
          <w:rtl/>
        </w:rPr>
        <w:t>الناس</w:t>
      </w:r>
      <w:r w:rsidR="005B754C" w:rsidRPr="000D5B62">
        <w:rPr>
          <w:rFonts w:hint="cs"/>
          <w:i/>
          <w:iCs/>
          <w:rtl/>
        </w:rPr>
        <w:t> </w:t>
      </w:r>
      <w:r w:rsidRPr="000D5B62">
        <w:rPr>
          <w:i/>
          <w:iCs/>
          <w:rtl/>
        </w:rPr>
        <w:t>كافة في جنوب أفريقيا آمنون ويشعرون بالأمان</w:t>
      </w:r>
      <w:r w:rsidRPr="000D5B62">
        <w:rPr>
          <w:rtl/>
        </w:rPr>
        <w:t>“. وللنهوض بهذه المهمة مع وضع الأهداف المنشودة نصب أعيننا على امتداد سلسلة القيمة، أنشئت على مستوى مجلس الوزراء المجموعة المعنية بالعدل ومنع الجريمة والأمن. ويتمثل محور تركيز المجموعة المذكورة في مكافحة الجريمة والفساد بما</w:t>
      </w:r>
      <w:r w:rsidR="005B754C" w:rsidRPr="000D5B62">
        <w:rPr>
          <w:rFonts w:hint="cs"/>
          <w:rtl/>
        </w:rPr>
        <w:t> </w:t>
      </w:r>
      <w:r w:rsidRPr="000D5B62">
        <w:rPr>
          <w:rtl/>
        </w:rPr>
        <w:t>يتيح اتباع نهج متكامل ومنسق في وضع السياسات وتنفيذها وتنفيذ برامج العمل الحكومية الصادر بها تكليف من مجلس الوزراء والموضوعة في ضوء خطة العمل الوطنية.</w:t>
      </w:r>
    </w:p>
    <w:p w14:paraId="351D508A" w14:textId="172F3A5C" w:rsidR="00803069" w:rsidRPr="000D5B62" w:rsidRDefault="00803069" w:rsidP="00706D34">
      <w:pPr>
        <w:pStyle w:val="SingleTxtGA"/>
        <w:rPr>
          <w:rStyle w:val="FootnoteReference"/>
          <w:rFonts w:eastAsiaTheme="minorEastAsia"/>
          <w:szCs w:val="22"/>
          <w:lang w:val="ar-SA" w:eastAsia="zh-TW" w:bidi="en-GB"/>
        </w:rPr>
      </w:pPr>
      <w:r w:rsidRPr="000D5B62">
        <w:rPr>
          <w:rtl/>
        </w:rPr>
        <w:t>72-</w:t>
      </w:r>
      <w:r w:rsidRPr="000D5B62">
        <w:rPr>
          <w:rtl/>
        </w:rPr>
        <w:tab/>
        <w:t>وينيط الدستور في الفصل 11 منه بدائرة شرطة جنوب أفريقيا المسؤولية عن منع الجريمة ومكافحتها والتحري عنها والحفاظ على الأمن العام وحماية وتأمين سكان الجمهورية وممتلكاتهم وبإعلاء كلمة القانون وإنفاذه. ودعم وإنفاذ القانون. ويتوجب على دائرة شرطة جنوب أفريقيا أن تهيئ للشعب كافة في جنوب أفريقيا بيئة يسودها الأمان والأمن؛ وأن تدرأ أي خطر يمكن أن يهدد أمن أي جماعة محلية وسلامة أفرادها؛ وأن تحقق في أي جرائم تهدد أمن أي جماعة محلية وسلامة أفرادها؛ وأن تكفل تقديم المجرمين للعدالة؛ وأن تشارك في جهود معالجة أسباب الجريمة. ويتناول قانون دائرة شرطة جنوب أفريقيا لعام 1995</w:t>
      </w:r>
      <w:r w:rsidRPr="000D5B62">
        <w:rPr>
          <w:rStyle w:val="FootnoteReference"/>
          <w:szCs w:val="22"/>
          <w:rtl/>
        </w:rPr>
        <w:t>(</w:t>
      </w:r>
      <w:r w:rsidRPr="000D5B62">
        <w:rPr>
          <w:rStyle w:val="FootnoteReference"/>
          <w:szCs w:val="22"/>
          <w:rtl/>
        </w:rPr>
        <w:footnoteReference w:id="50"/>
      </w:r>
      <w:r w:rsidRPr="000D5B62">
        <w:rPr>
          <w:rStyle w:val="FootnoteReference"/>
          <w:szCs w:val="22"/>
          <w:rtl/>
        </w:rPr>
        <w:t>)</w:t>
      </w:r>
      <w:r w:rsidRPr="000D5B62">
        <w:rPr>
          <w:rtl/>
        </w:rPr>
        <w:t xml:space="preserve"> الأمور المتصلة بإنشائها وبهيكلها التنظيمي ولوائحها التنظيمية وبالإشراف عليها. ويرد في الجدول أدناه بيان عدد الجرائم الخطيرة المبلغ عنها في جنوب أفريقيا في الفترة 2013-2017</w:t>
      </w:r>
      <w:r w:rsidRPr="000D5B62">
        <w:rPr>
          <w:rStyle w:val="FootnoteReference"/>
          <w:szCs w:val="22"/>
          <w:rtl/>
        </w:rPr>
        <w:t>(</w:t>
      </w:r>
      <w:r w:rsidRPr="000D5B62">
        <w:rPr>
          <w:rStyle w:val="FootnoteReference"/>
          <w:szCs w:val="22"/>
          <w:rtl/>
        </w:rPr>
        <w:footnoteReference w:id="51"/>
      </w:r>
      <w:r w:rsidRPr="000D5B62">
        <w:rPr>
          <w:rStyle w:val="FootnoteReference"/>
          <w:szCs w:val="22"/>
          <w:rtl/>
        </w:rPr>
        <w:t>)</w:t>
      </w:r>
      <w:r w:rsidR="00E04793" w:rsidRPr="000D5B62">
        <w:rPr>
          <w:rStyle w:val="FootnoteReference"/>
          <w:rFonts w:hint="cs"/>
          <w:szCs w:val="22"/>
          <w:vertAlign w:val="baseline"/>
          <w:rtl/>
        </w:rPr>
        <w:t>.</w:t>
      </w:r>
    </w:p>
    <w:p w14:paraId="4709BC6A" w14:textId="5638FD62" w:rsidR="00803069" w:rsidRPr="000D5B62" w:rsidRDefault="00803069" w:rsidP="00E04793">
      <w:pPr>
        <w:pStyle w:val="SingleTxtGA"/>
        <w:rPr>
          <w:rStyle w:val="FootnoteReference"/>
          <w:rFonts w:eastAsiaTheme="minorEastAsia"/>
          <w:szCs w:val="22"/>
          <w:rtl/>
          <w:lang w:val="ar-SA" w:eastAsia="zh-TW" w:bidi="en-GB"/>
        </w:rPr>
      </w:pPr>
      <w:r w:rsidRPr="000D5B62">
        <w:rPr>
          <w:rtl/>
        </w:rPr>
        <w:t>الجدول 21</w:t>
      </w:r>
      <w:r w:rsidR="00E04793" w:rsidRPr="000D5B62">
        <w:rPr>
          <w:rtl/>
        </w:rPr>
        <w:tab/>
      </w:r>
      <w:r w:rsidR="00E04793" w:rsidRPr="000D5B62">
        <w:rPr>
          <w:rtl/>
        </w:rPr>
        <w:br/>
      </w:r>
      <w:r w:rsidRPr="000D5B62">
        <w:rPr>
          <w:b/>
          <w:bCs/>
          <w:rtl/>
        </w:rPr>
        <w:t>الجرائم الخطيرة المبلغ عنها في جنوب أفريقيا، 2013-2017</w:t>
      </w:r>
      <w:r w:rsidRPr="000D5B62">
        <w:rPr>
          <w:rStyle w:val="FootnoteReference"/>
          <w:b/>
          <w:szCs w:val="22"/>
          <w:rtl/>
        </w:rPr>
        <w:t>(</w:t>
      </w:r>
      <w:r w:rsidRPr="000D5B62">
        <w:rPr>
          <w:rStyle w:val="FootnoteReference"/>
          <w:b/>
          <w:szCs w:val="22"/>
          <w:rtl/>
        </w:rPr>
        <w:footnoteReference w:id="52"/>
      </w:r>
      <w:r w:rsidRPr="000D5B62">
        <w:rPr>
          <w:rStyle w:val="FootnoteReference"/>
          <w:b/>
          <w:szCs w:val="22"/>
          <w:rtl/>
        </w:rPr>
        <w:t>)</w:t>
      </w:r>
    </w:p>
    <w:tbl>
      <w:tblPr>
        <w:bidiVisual/>
        <w:tblW w:w="8504" w:type="dxa"/>
        <w:tblInd w:w="1134" w:type="dxa"/>
        <w:tblBorders>
          <w:top w:val="single" w:sz="4" w:space="0" w:color="auto"/>
          <w:bottom w:val="single" w:sz="12" w:space="0" w:color="auto"/>
        </w:tblBorders>
        <w:tblLayout w:type="fixed"/>
        <w:tblLook w:val="04A0" w:firstRow="1" w:lastRow="0" w:firstColumn="1" w:lastColumn="0" w:noHBand="0" w:noVBand="1"/>
      </w:tblPr>
      <w:tblGrid>
        <w:gridCol w:w="2121"/>
        <w:gridCol w:w="1045"/>
        <w:gridCol w:w="1230"/>
        <w:gridCol w:w="58"/>
        <w:gridCol w:w="42"/>
        <w:gridCol w:w="1134"/>
        <w:gridCol w:w="1288"/>
        <w:gridCol w:w="938"/>
        <w:gridCol w:w="648"/>
      </w:tblGrid>
      <w:tr w:rsidR="00803069" w:rsidRPr="000D5B62" w14:paraId="02372669" w14:textId="77777777" w:rsidTr="00B038BD">
        <w:trPr>
          <w:tblHeader/>
        </w:trPr>
        <w:tc>
          <w:tcPr>
            <w:tcW w:w="2121" w:type="dxa"/>
            <w:tcBorders>
              <w:top w:val="single" w:sz="4" w:space="0" w:color="auto"/>
              <w:bottom w:val="single" w:sz="12" w:space="0" w:color="auto"/>
            </w:tcBorders>
            <w:shd w:val="clear" w:color="auto" w:fill="auto"/>
            <w:vAlign w:val="bottom"/>
          </w:tcPr>
          <w:p w14:paraId="5B8E18AE" w14:textId="77777777" w:rsidR="00803069" w:rsidRPr="000D5B62" w:rsidRDefault="00803069" w:rsidP="00E73021">
            <w:pPr>
              <w:spacing w:before="40" w:after="40" w:line="280" w:lineRule="exact"/>
              <w:jc w:val="left"/>
              <w:textDirection w:val="tbRlV"/>
              <w:rPr>
                <w:rFonts w:eastAsiaTheme="minorEastAsia"/>
                <w:bCs/>
                <w:i/>
                <w:spacing w:val="-4"/>
                <w:sz w:val="18"/>
                <w:szCs w:val="18"/>
                <w:lang w:eastAsia="zh-TW" w:bidi="en-GB"/>
              </w:rPr>
            </w:pPr>
            <w:r w:rsidRPr="000D5B62">
              <w:rPr>
                <w:rFonts w:eastAsiaTheme="minorEastAsia"/>
                <w:i/>
                <w:iCs/>
                <w:spacing w:val="-4"/>
                <w:sz w:val="18"/>
                <w:szCs w:val="18"/>
                <w:rtl/>
              </w:rPr>
              <w:t>فئة الجريمة</w:t>
            </w:r>
          </w:p>
        </w:tc>
        <w:tc>
          <w:tcPr>
            <w:tcW w:w="1045" w:type="dxa"/>
            <w:tcBorders>
              <w:top w:val="single" w:sz="4" w:space="0" w:color="auto"/>
              <w:bottom w:val="single" w:sz="12" w:space="0" w:color="auto"/>
            </w:tcBorders>
            <w:shd w:val="clear" w:color="auto" w:fill="auto"/>
            <w:vAlign w:val="bottom"/>
          </w:tcPr>
          <w:p w14:paraId="7555B3CF" w14:textId="1FA99662"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نيسان/أبريل - آذار/مارس 201</w:t>
            </w:r>
            <w:r w:rsidR="00933EC3" w:rsidRPr="000D5B62">
              <w:rPr>
                <w:rFonts w:eastAsiaTheme="minorEastAsia" w:hint="cs"/>
                <w:i/>
                <w:iCs/>
                <w:spacing w:val="-4"/>
                <w:sz w:val="18"/>
                <w:szCs w:val="18"/>
                <w:rtl/>
              </w:rPr>
              <w:t>3</w:t>
            </w:r>
            <w:r w:rsidRPr="000D5B62">
              <w:rPr>
                <w:rFonts w:eastAsiaTheme="minorEastAsia"/>
                <w:i/>
                <w:iCs/>
                <w:spacing w:val="-4"/>
                <w:sz w:val="18"/>
                <w:szCs w:val="18"/>
                <w:rtl/>
              </w:rPr>
              <w:t>/201</w:t>
            </w:r>
            <w:r w:rsidR="00933EC3" w:rsidRPr="000D5B62">
              <w:rPr>
                <w:rFonts w:eastAsiaTheme="minorEastAsia" w:hint="cs"/>
                <w:i/>
                <w:iCs/>
                <w:spacing w:val="-4"/>
                <w:sz w:val="18"/>
                <w:szCs w:val="18"/>
                <w:rtl/>
              </w:rPr>
              <w:t>4</w:t>
            </w:r>
          </w:p>
        </w:tc>
        <w:tc>
          <w:tcPr>
            <w:tcW w:w="1288" w:type="dxa"/>
            <w:gridSpan w:val="2"/>
            <w:tcBorders>
              <w:top w:val="single" w:sz="4" w:space="0" w:color="auto"/>
              <w:bottom w:val="single" w:sz="12" w:space="0" w:color="auto"/>
            </w:tcBorders>
            <w:shd w:val="clear" w:color="auto" w:fill="auto"/>
            <w:vAlign w:val="bottom"/>
          </w:tcPr>
          <w:p w14:paraId="73DFFBEA" w14:textId="4A5E1A35"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نيسان/أبريل - آذار/مارس 201</w:t>
            </w:r>
            <w:r w:rsidR="00933EC3" w:rsidRPr="000D5B62">
              <w:rPr>
                <w:rFonts w:eastAsiaTheme="minorEastAsia" w:hint="cs"/>
                <w:i/>
                <w:iCs/>
                <w:spacing w:val="-4"/>
                <w:sz w:val="18"/>
                <w:szCs w:val="18"/>
                <w:rtl/>
              </w:rPr>
              <w:t>4</w:t>
            </w:r>
            <w:r w:rsidRPr="000D5B62">
              <w:rPr>
                <w:rFonts w:eastAsiaTheme="minorEastAsia"/>
                <w:i/>
                <w:iCs/>
                <w:spacing w:val="-4"/>
                <w:sz w:val="18"/>
                <w:szCs w:val="18"/>
                <w:rtl/>
              </w:rPr>
              <w:t>/201</w:t>
            </w:r>
            <w:r w:rsidR="00933EC3" w:rsidRPr="000D5B62">
              <w:rPr>
                <w:rFonts w:eastAsiaTheme="minorEastAsia" w:hint="cs"/>
                <w:i/>
                <w:iCs/>
                <w:spacing w:val="-4"/>
                <w:sz w:val="18"/>
                <w:szCs w:val="18"/>
                <w:rtl/>
              </w:rPr>
              <w:t>5</w:t>
            </w:r>
          </w:p>
        </w:tc>
        <w:tc>
          <w:tcPr>
            <w:tcW w:w="1176" w:type="dxa"/>
            <w:gridSpan w:val="2"/>
            <w:tcBorders>
              <w:top w:val="single" w:sz="4" w:space="0" w:color="auto"/>
              <w:bottom w:val="single" w:sz="12" w:space="0" w:color="auto"/>
            </w:tcBorders>
            <w:shd w:val="clear" w:color="auto" w:fill="auto"/>
            <w:vAlign w:val="bottom"/>
          </w:tcPr>
          <w:p w14:paraId="72D0399D" w14:textId="4D3269E1"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نيسان/أبريل - آذار/مارس 201</w:t>
            </w:r>
            <w:r w:rsidR="00933EC3" w:rsidRPr="000D5B62">
              <w:rPr>
                <w:rFonts w:eastAsiaTheme="minorEastAsia" w:hint="cs"/>
                <w:i/>
                <w:iCs/>
                <w:spacing w:val="-4"/>
                <w:sz w:val="18"/>
                <w:szCs w:val="18"/>
                <w:rtl/>
              </w:rPr>
              <w:t>5</w:t>
            </w:r>
            <w:r w:rsidRPr="000D5B62">
              <w:rPr>
                <w:rFonts w:eastAsiaTheme="minorEastAsia"/>
                <w:i/>
                <w:iCs/>
                <w:spacing w:val="-4"/>
                <w:sz w:val="18"/>
                <w:szCs w:val="18"/>
                <w:rtl/>
              </w:rPr>
              <w:t>/201</w:t>
            </w:r>
            <w:r w:rsidR="00933EC3" w:rsidRPr="000D5B62">
              <w:rPr>
                <w:rFonts w:eastAsiaTheme="minorEastAsia" w:hint="cs"/>
                <w:i/>
                <w:iCs/>
                <w:spacing w:val="-4"/>
                <w:sz w:val="18"/>
                <w:szCs w:val="18"/>
                <w:rtl/>
              </w:rPr>
              <w:t>6</w:t>
            </w:r>
          </w:p>
        </w:tc>
        <w:tc>
          <w:tcPr>
            <w:tcW w:w="1288" w:type="dxa"/>
            <w:tcBorders>
              <w:top w:val="single" w:sz="4" w:space="0" w:color="auto"/>
              <w:bottom w:val="single" w:sz="12" w:space="0" w:color="auto"/>
            </w:tcBorders>
            <w:shd w:val="clear" w:color="auto" w:fill="auto"/>
            <w:vAlign w:val="bottom"/>
          </w:tcPr>
          <w:p w14:paraId="393F34BF" w14:textId="62F7E061"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نيسان/أبريل - آذار/مارس 201</w:t>
            </w:r>
            <w:r w:rsidR="00933EC3" w:rsidRPr="000D5B62">
              <w:rPr>
                <w:rFonts w:eastAsiaTheme="minorEastAsia" w:hint="cs"/>
                <w:i/>
                <w:iCs/>
                <w:spacing w:val="-4"/>
                <w:sz w:val="18"/>
                <w:szCs w:val="18"/>
                <w:rtl/>
              </w:rPr>
              <w:t>6</w:t>
            </w:r>
            <w:r w:rsidRPr="000D5B62">
              <w:rPr>
                <w:rFonts w:eastAsiaTheme="minorEastAsia"/>
                <w:i/>
                <w:iCs/>
                <w:spacing w:val="-4"/>
                <w:sz w:val="18"/>
                <w:szCs w:val="18"/>
                <w:rtl/>
              </w:rPr>
              <w:t>/201</w:t>
            </w:r>
            <w:r w:rsidR="00933EC3" w:rsidRPr="000D5B62">
              <w:rPr>
                <w:rFonts w:eastAsiaTheme="minorEastAsia" w:hint="cs"/>
                <w:i/>
                <w:iCs/>
                <w:spacing w:val="-4"/>
                <w:sz w:val="18"/>
                <w:szCs w:val="18"/>
                <w:rtl/>
              </w:rPr>
              <w:t>7</w:t>
            </w:r>
          </w:p>
        </w:tc>
        <w:tc>
          <w:tcPr>
            <w:tcW w:w="938" w:type="dxa"/>
            <w:tcBorders>
              <w:top w:val="single" w:sz="4" w:space="0" w:color="auto"/>
              <w:bottom w:val="single" w:sz="12" w:space="0" w:color="auto"/>
            </w:tcBorders>
            <w:shd w:val="clear" w:color="auto" w:fill="auto"/>
            <w:vAlign w:val="bottom"/>
          </w:tcPr>
          <w:p w14:paraId="48D74ED7" w14:textId="77777777"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الفرق في عدد الحالات</w:t>
            </w:r>
          </w:p>
        </w:tc>
        <w:tc>
          <w:tcPr>
            <w:tcW w:w="648" w:type="dxa"/>
            <w:tcBorders>
              <w:top w:val="single" w:sz="4" w:space="0" w:color="auto"/>
              <w:bottom w:val="single" w:sz="12" w:space="0" w:color="auto"/>
            </w:tcBorders>
            <w:shd w:val="clear" w:color="auto" w:fill="auto"/>
            <w:vAlign w:val="bottom"/>
          </w:tcPr>
          <w:p w14:paraId="06F86494" w14:textId="77777777" w:rsidR="00803069" w:rsidRPr="000D5B62" w:rsidRDefault="00803069" w:rsidP="00E73021">
            <w:pPr>
              <w:spacing w:before="40" w:after="40" w:line="280" w:lineRule="exact"/>
              <w:jc w:val="left"/>
              <w:textDirection w:val="tbRlV"/>
              <w:rPr>
                <w:rFonts w:eastAsiaTheme="minorEastAsia"/>
                <w:bCs/>
                <w:i/>
                <w:spacing w:val="-4"/>
                <w:sz w:val="18"/>
                <w:szCs w:val="18"/>
                <w:rtl/>
                <w:lang w:val="ar-SA" w:eastAsia="zh-TW" w:bidi="en-GB"/>
              </w:rPr>
            </w:pPr>
            <w:r w:rsidRPr="000D5B62">
              <w:rPr>
                <w:rFonts w:eastAsiaTheme="minorEastAsia"/>
                <w:i/>
                <w:iCs/>
                <w:spacing w:val="-4"/>
                <w:sz w:val="18"/>
                <w:szCs w:val="18"/>
                <w:rtl/>
              </w:rPr>
              <w:t>التغيير بالنسبة المئوية</w:t>
            </w:r>
          </w:p>
        </w:tc>
      </w:tr>
      <w:tr w:rsidR="00803069" w:rsidRPr="000D5B62" w14:paraId="7A483A34" w14:textId="77777777" w:rsidTr="00E73021">
        <w:tc>
          <w:tcPr>
            <w:tcW w:w="8504" w:type="dxa"/>
            <w:gridSpan w:val="9"/>
            <w:tcBorders>
              <w:top w:val="single" w:sz="12" w:space="0" w:color="auto"/>
              <w:bottom w:val="single" w:sz="4" w:space="0" w:color="auto"/>
            </w:tcBorders>
            <w:shd w:val="clear" w:color="auto" w:fill="auto"/>
          </w:tcPr>
          <w:p w14:paraId="18C936CE"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جرائم ناشئة عن الاحتكاك بين الأشخاص (جرائم ضد الأشخاص)</w:t>
            </w:r>
          </w:p>
        </w:tc>
      </w:tr>
      <w:tr w:rsidR="00803069" w:rsidRPr="000D5B62" w14:paraId="4A857FC8" w14:textId="77777777" w:rsidTr="00E73021">
        <w:tc>
          <w:tcPr>
            <w:tcW w:w="2121" w:type="dxa"/>
            <w:tcBorders>
              <w:top w:val="single" w:sz="4" w:space="0" w:color="auto"/>
            </w:tcBorders>
            <w:shd w:val="clear" w:color="auto" w:fill="auto"/>
          </w:tcPr>
          <w:p w14:paraId="3FEDC4A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القتل العمد</w:t>
            </w:r>
          </w:p>
        </w:tc>
        <w:tc>
          <w:tcPr>
            <w:tcW w:w="1045" w:type="dxa"/>
            <w:tcBorders>
              <w:top w:val="single" w:sz="4" w:space="0" w:color="auto"/>
            </w:tcBorders>
            <w:shd w:val="clear" w:color="auto" w:fill="auto"/>
          </w:tcPr>
          <w:p w14:paraId="1F9E9DA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023 17</w:t>
            </w:r>
          </w:p>
        </w:tc>
        <w:tc>
          <w:tcPr>
            <w:tcW w:w="1288" w:type="dxa"/>
            <w:gridSpan w:val="2"/>
            <w:tcBorders>
              <w:top w:val="single" w:sz="4" w:space="0" w:color="auto"/>
            </w:tcBorders>
            <w:shd w:val="clear" w:color="auto" w:fill="auto"/>
          </w:tcPr>
          <w:p w14:paraId="2311E43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805 17</w:t>
            </w:r>
          </w:p>
        </w:tc>
        <w:tc>
          <w:tcPr>
            <w:tcW w:w="1176" w:type="dxa"/>
            <w:gridSpan w:val="2"/>
            <w:tcBorders>
              <w:top w:val="single" w:sz="4" w:space="0" w:color="auto"/>
            </w:tcBorders>
            <w:shd w:val="clear" w:color="auto" w:fill="auto"/>
          </w:tcPr>
          <w:p w14:paraId="006D94D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673 18</w:t>
            </w:r>
          </w:p>
        </w:tc>
        <w:tc>
          <w:tcPr>
            <w:tcW w:w="1288" w:type="dxa"/>
            <w:tcBorders>
              <w:top w:val="single" w:sz="4" w:space="0" w:color="auto"/>
            </w:tcBorders>
            <w:shd w:val="clear" w:color="auto" w:fill="auto"/>
          </w:tcPr>
          <w:p w14:paraId="06F4853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016 19</w:t>
            </w:r>
          </w:p>
        </w:tc>
        <w:tc>
          <w:tcPr>
            <w:tcW w:w="938" w:type="dxa"/>
            <w:tcBorders>
              <w:top w:val="single" w:sz="4" w:space="0" w:color="auto"/>
            </w:tcBorders>
            <w:shd w:val="clear" w:color="auto" w:fill="auto"/>
          </w:tcPr>
          <w:p w14:paraId="6DA6E81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343</w:t>
            </w:r>
          </w:p>
        </w:tc>
        <w:tc>
          <w:tcPr>
            <w:tcW w:w="648" w:type="dxa"/>
            <w:tcBorders>
              <w:top w:val="single" w:sz="4" w:space="0" w:color="auto"/>
            </w:tcBorders>
            <w:shd w:val="clear" w:color="auto" w:fill="auto"/>
          </w:tcPr>
          <w:p w14:paraId="3722BBA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1,8</w:t>
            </w:r>
          </w:p>
        </w:tc>
      </w:tr>
      <w:tr w:rsidR="00803069" w:rsidRPr="000D5B62" w14:paraId="1BC51F34" w14:textId="77777777" w:rsidTr="00E73021">
        <w:tc>
          <w:tcPr>
            <w:tcW w:w="2121" w:type="dxa"/>
            <w:shd w:val="clear" w:color="auto" w:fill="auto"/>
          </w:tcPr>
          <w:p w14:paraId="7E84097F"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الجرائم الجنسية</w:t>
            </w:r>
          </w:p>
        </w:tc>
        <w:tc>
          <w:tcPr>
            <w:tcW w:w="1045" w:type="dxa"/>
            <w:shd w:val="clear" w:color="auto" w:fill="auto"/>
          </w:tcPr>
          <w:p w14:paraId="2A6D584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680 56</w:t>
            </w:r>
          </w:p>
        </w:tc>
        <w:tc>
          <w:tcPr>
            <w:tcW w:w="1288" w:type="dxa"/>
            <w:gridSpan w:val="2"/>
            <w:shd w:val="clear" w:color="auto" w:fill="auto"/>
          </w:tcPr>
          <w:p w14:paraId="3FE0817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617 53</w:t>
            </w:r>
          </w:p>
        </w:tc>
        <w:tc>
          <w:tcPr>
            <w:tcW w:w="1176" w:type="dxa"/>
            <w:gridSpan w:val="2"/>
            <w:shd w:val="clear" w:color="auto" w:fill="auto"/>
          </w:tcPr>
          <w:p w14:paraId="22D3C51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895 51</w:t>
            </w:r>
          </w:p>
        </w:tc>
        <w:tc>
          <w:tcPr>
            <w:tcW w:w="1288" w:type="dxa"/>
            <w:shd w:val="clear" w:color="auto" w:fill="auto"/>
          </w:tcPr>
          <w:p w14:paraId="313CDDC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660 49</w:t>
            </w:r>
          </w:p>
        </w:tc>
        <w:tc>
          <w:tcPr>
            <w:tcW w:w="938" w:type="dxa"/>
            <w:shd w:val="clear" w:color="auto" w:fill="auto"/>
          </w:tcPr>
          <w:p w14:paraId="071597CE" w14:textId="7AB0386E"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w:t>
            </w:r>
            <w:r w:rsidR="007801B1" w:rsidRPr="000D5B62">
              <w:rPr>
                <w:rFonts w:eastAsiaTheme="minorEastAsia" w:hint="cs"/>
                <w:spacing w:val="-4"/>
                <w:sz w:val="18"/>
                <w:szCs w:val="18"/>
                <w:rtl/>
              </w:rPr>
              <w:t>235 2</w:t>
            </w:r>
          </w:p>
        </w:tc>
        <w:tc>
          <w:tcPr>
            <w:tcW w:w="648" w:type="dxa"/>
            <w:shd w:val="clear" w:color="auto" w:fill="auto"/>
          </w:tcPr>
          <w:p w14:paraId="626D7241" w14:textId="12C91E30"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w:t>
            </w:r>
            <w:r w:rsidR="00CB6827" w:rsidRPr="000D5B62">
              <w:rPr>
                <w:rFonts w:eastAsiaTheme="minorEastAsia" w:hint="cs"/>
                <w:spacing w:val="-4"/>
                <w:sz w:val="18"/>
                <w:szCs w:val="18"/>
                <w:rtl/>
              </w:rPr>
              <w:t>,</w:t>
            </w:r>
            <w:r w:rsidRPr="000D5B62">
              <w:rPr>
                <w:rFonts w:eastAsiaTheme="minorEastAsia"/>
                <w:spacing w:val="-4"/>
                <w:sz w:val="18"/>
                <w:szCs w:val="18"/>
                <w:rtl/>
              </w:rPr>
              <w:t>3</w:t>
            </w:r>
          </w:p>
        </w:tc>
      </w:tr>
      <w:tr w:rsidR="00803069" w:rsidRPr="000D5B62" w14:paraId="0AFC494D" w14:textId="77777777" w:rsidTr="00E73021">
        <w:tc>
          <w:tcPr>
            <w:tcW w:w="2121" w:type="dxa"/>
            <w:shd w:val="clear" w:color="auto" w:fill="auto"/>
          </w:tcPr>
          <w:p w14:paraId="744ABD78"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الشروع في القتل</w:t>
            </w:r>
          </w:p>
        </w:tc>
        <w:tc>
          <w:tcPr>
            <w:tcW w:w="1045" w:type="dxa"/>
            <w:shd w:val="clear" w:color="auto" w:fill="auto"/>
          </w:tcPr>
          <w:p w14:paraId="72538B8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989 16</w:t>
            </w:r>
          </w:p>
        </w:tc>
        <w:tc>
          <w:tcPr>
            <w:tcW w:w="1288" w:type="dxa"/>
            <w:gridSpan w:val="2"/>
            <w:shd w:val="clear" w:color="auto" w:fill="auto"/>
          </w:tcPr>
          <w:p w14:paraId="0A1D438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537 17</w:t>
            </w:r>
          </w:p>
        </w:tc>
        <w:tc>
          <w:tcPr>
            <w:tcW w:w="1176" w:type="dxa"/>
            <w:gridSpan w:val="2"/>
            <w:shd w:val="clear" w:color="auto" w:fill="auto"/>
          </w:tcPr>
          <w:p w14:paraId="1FB3E7B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127 18</w:t>
            </w:r>
          </w:p>
        </w:tc>
        <w:tc>
          <w:tcPr>
            <w:tcW w:w="1288" w:type="dxa"/>
            <w:shd w:val="clear" w:color="auto" w:fill="auto"/>
          </w:tcPr>
          <w:p w14:paraId="53CCF2E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205 18</w:t>
            </w:r>
          </w:p>
        </w:tc>
        <w:tc>
          <w:tcPr>
            <w:tcW w:w="938" w:type="dxa"/>
            <w:shd w:val="clear" w:color="auto" w:fill="auto"/>
          </w:tcPr>
          <w:p w14:paraId="788F743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78</w:t>
            </w:r>
          </w:p>
        </w:tc>
        <w:tc>
          <w:tcPr>
            <w:tcW w:w="648" w:type="dxa"/>
            <w:shd w:val="clear" w:color="auto" w:fill="auto"/>
          </w:tcPr>
          <w:p w14:paraId="3269415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0,4</w:t>
            </w:r>
          </w:p>
        </w:tc>
      </w:tr>
      <w:tr w:rsidR="00803069" w:rsidRPr="000D5B62" w14:paraId="4DC510EB" w14:textId="77777777" w:rsidTr="00E73021">
        <w:tc>
          <w:tcPr>
            <w:tcW w:w="2121" w:type="dxa"/>
            <w:shd w:val="clear" w:color="auto" w:fill="auto"/>
          </w:tcPr>
          <w:p w14:paraId="0B94C646"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الاعتداء بنية إلحاق أذى بدني خطير</w:t>
            </w:r>
          </w:p>
        </w:tc>
        <w:tc>
          <w:tcPr>
            <w:tcW w:w="1045" w:type="dxa"/>
            <w:shd w:val="clear" w:color="auto" w:fill="auto"/>
          </w:tcPr>
          <w:p w14:paraId="658720D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333 182</w:t>
            </w:r>
          </w:p>
        </w:tc>
        <w:tc>
          <w:tcPr>
            <w:tcW w:w="1288" w:type="dxa"/>
            <w:gridSpan w:val="2"/>
            <w:shd w:val="clear" w:color="auto" w:fill="auto"/>
          </w:tcPr>
          <w:p w14:paraId="0C04389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556 182</w:t>
            </w:r>
          </w:p>
        </w:tc>
        <w:tc>
          <w:tcPr>
            <w:tcW w:w="1176" w:type="dxa"/>
            <w:gridSpan w:val="2"/>
            <w:shd w:val="clear" w:color="auto" w:fill="auto"/>
          </w:tcPr>
          <w:p w14:paraId="18FBDA3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933 182</w:t>
            </w:r>
          </w:p>
        </w:tc>
        <w:tc>
          <w:tcPr>
            <w:tcW w:w="1288" w:type="dxa"/>
            <w:shd w:val="clear" w:color="auto" w:fill="auto"/>
          </w:tcPr>
          <w:p w14:paraId="10EE3B68"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616 170</w:t>
            </w:r>
          </w:p>
        </w:tc>
        <w:tc>
          <w:tcPr>
            <w:tcW w:w="938" w:type="dxa"/>
            <w:shd w:val="clear" w:color="auto" w:fill="auto"/>
          </w:tcPr>
          <w:p w14:paraId="1E69C1B3" w14:textId="7940F30F"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7801B1" w:rsidRPr="000D5B62">
              <w:rPr>
                <w:rFonts w:eastAsiaTheme="minorEastAsia" w:hint="cs"/>
                <w:spacing w:val="-4"/>
                <w:sz w:val="18"/>
                <w:szCs w:val="18"/>
                <w:rtl/>
              </w:rPr>
              <w:t>317 12</w:t>
            </w:r>
          </w:p>
        </w:tc>
        <w:tc>
          <w:tcPr>
            <w:tcW w:w="648" w:type="dxa"/>
            <w:shd w:val="clear" w:color="auto" w:fill="auto"/>
          </w:tcPr>
          <w:p w14:paraId="5A38BD5A" w14:textId="0646F708"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w:t>
            </w:r>
            <w:r w:rsidR="00CB6827" w:rsidRPr="000D5B62">
              <w:rPr>
                <w:rFonts w:eastAsiaTheme="minorEastAsia" w:hint="cs"/>
                <w:spacing w:val="-4"/>
                <w:sz w:val="18"/>
                <w:szCs w:val="18"/>
                <w:rtl/>
              </w:rPr>
              <w:t>,</w:t>
            </w:r>
            <w:r w:rsidRPr="000D5B62">
              <w:rPr>
                <w:rFonts w:eastAsiaTheme="minorEastAsia"/>
                <w:spacing w:val="-4"/>
                <w:sz w:val="18"/>
                <w:szCs w:val="18"/>
                <w:rtl/>
              </w:rPr>
              <w:t>7</w:t>
            </w:r>
          </w:p>
        </w:tc>
      </w:tr>
      <w:tr w:rsidR="00803069" w:rsidRPr="000D5B62" w14:paraId="6CE92676" w14:textId="77777777" w:rsidTr="00E73021">
        <w:tc>
          <w:tcPr>
            <w:tcW w:w="2121" w:type="dxa"/>
            <w:shd w:val="clear" w:color="auto" w:fill="auto"/>
          </w:tcPr>
          <w:p w14:paraId="1C26DE7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اعتداء يعاقب عليه القانون العام</w:t>
            </w:r>
          </w:p>
        </w:tc>
        <w:tc>
          <w:tcPr>
            <w:tcW w:w="1045" w:type="dxa"/>
            <w:shd w:val="clear" w:color="auto" w:fill="auto"/>
          </w:tcPr>
          <w:p w14:paraId="1A304B1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081 166</w:t>
            </w:r>
          </w:p>
        </w:tc>
        <w:tc>
          <w:tcPr>
            <w:tcW w:w="1288" w:type="dxa"/>
            <w:gridSpan w:val="2"/>
            <w:shd w:val="clear" w:color="auto" w:fill="auto"/>
          </w:tcPr>
          <w:p w14:paraId="49BCF05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486 161</w:t>
            </w:r>
          </w:p>
        </w:tc>
        <w:tc>
          <w:tcPr>
            <w:tcW w:w="1176" w:type="dxa"/>
            <w:gridSpan w:val="2"/>
            <w:shd w:val="clear" w:color="auto" w:fill="auto"/>
          </w:tcPr>
          <w:p w14:paraId="705C3A2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958 164</w:t>
            </w:r>
          </w:p>
        </w:tc>
        <w:tc>
          <w:tcPr>
            <w:tcW w:w="1288" w:type="dxa"/>
            <w:shd w:val="clear" w:color="auto" w:fill="auto"/>
          </w:tcPr>
          <w:p w14:paraId="1D2FC522"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450 156</w:t>
            </w:r>
          </w:p>
        </w:tc>
        <w:tc>
          <w:tcPr>
            <w:tcW w:w="938" w:type="dxa"/>
            <w:shd w:val="clear" w:color="auto" w:fill="auto"/>
          </w:tcPr>
          <w:p w14:paraId="4CAA709C" w14:textId="1151216D"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7801B1" w:rsidRPr="000D5B62">
              <w:rPr>
                <w:rFonts w:eastAsiaTheme="minorEastAsia" w:hint="cs"/>
                <w:spacing w:val="-4"/>
                <w:sz w:val="18"/>
                <w:szCs w:val="18"/>
                <w:rtl/>
              </w:rPr>
              <w:t>508 8</w:t>
            </w:r>
          </w:p>
        </w:tc>
        <w:tc>
          <w:tcPr>
            <w:tcW w:w="648" w:type="dxa"/>
            <w:shd w:val="clear" w:color="auto" w:fill="auto"/>
          </w:tcPr>
          <w:p w14:paraId="41AEE08C" w14:textId="1AC399C0"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w:t>
            </w:r>
            <w:r w:rsidR="00CB6827" w:rsidRPr="000D5B62">
              <w:rPr>
                <w:rFonts w:eastAsiaTheme="minorEastAsia" w:hint="cs"/>
                <w:spacing w:val="-4"/>
                <w:sz w:val="18"/>
                <w:szCs w:val="18"/>
                <w:rtl/>
              </w:rPr>
              <w:t>,</w:t>
            </w:r>
            <w:r w:rsidRPr="000D5B62">
              <w:rPr>
                <w:rFonts w:eastAsiaTheme="minorEastAsia"/>
                <w:spacing w:val="-4"/>
                <w:sz w:val="18"/>
                <w:szCs w:val="18"/>
                <w:rtl/>
              </w:rPr>
              <w:t>2</w:t>
            </w:r>
          </w:p>
        </w:tc>
      </w:tr>
      <w:tr w:rsidR="00803069" w:rsidRPr="000D5B62" w14:paraId="28B8F205" w14:textId="77777777" w:rsidTr="00E73021">
        <w:tc>
          <w:tcPr>
            <w:tcW w:w="2121" w:type="dxa"/>
            <w:shd w:val="clear" w:color="auto" w:fill="auto"/>
          </w:tcPr>
          <w:p w14:paraId="4775614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يعاقب عليها القانون العام</w:t>
            </w:r>
          </w:p>
        </w:tc>
        <w:tc>
          <w:tcPr>
            <w:tcW w:w="1045" w:type="dxa"/>
            <w:shd w:val="clear" w:color="auto" w:fill="auto"/>
          </w:tcPr>
          <w:p w14:paraId="7D217D3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505 53</w:t>
            </w:r>
          </w:p>
        </w:tc>
        <w:tc>
          <w:tcPr>
            <w:tcW w:w="1288" w:type="dxa"/>
            <w:gridSpan w:val="2"/>
            <w:shd w:val="clear" w:color="auto" w:fill="auto"/>
          </w:tcPr>
          <w:p w14:paraId="08CC949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927 54</w:t>
            </w:r>
          </w:p>
        </w:tc>
        <w:tc>
          <w:tcPr>
            <w:tcW w:w="1176" w:type="dxa"/>
            <w:gridSpan w:val="2"/>
            <w:shd w:val="clear" w:color="auto" w:fill="auto"/>
          </w:tcPr>
          <w:p w14:paraId="2B6C81E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110 54</w:t>
            </w:r>
          </w:p>
        </w:tc>
        <w:tc>
          <w:tcPr>
            <w:tcW w:w="1288" w:type="dxa"/>
            <w:shd w:val="clear" w:color="auto" w:fill="auto"/>
          </w:tcPr>
          <w:p w14:paraId="7CBF4A3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418 53</w:t>
            </w:r>
          </w:p>
        </w:tc>
        <w:tc>
          <w:tcPr>
            <w:tcW w:w="938" w:type="dxa"/>
            <w:shd w:val="clear" w:color="auto" w:fill="auto"/>
          </w:tcPr>
          <w:p w14:paraId="518FD42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-692</w:t>
            </w:r>
          </w:p>
        </w:tc>
        <w:tc>
          <w:tcPr>
            <w:tcW w:w="648" w:type="dxa"/>
            <w:shd w:val="clear" w:color="auto" w:fill="auto"/>
          </w:tcPr>
          <w:p w14:paraId="15CB062F" w14:textId="34F7C97C"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r w:rsidR="00CB6827" w:rsidRPr="000D5B62">
              <w:rPr>
                <w:rFonts w:eastAsiaTheme="minorEastAsia" w:hint="cs"/>
                <w:spacing w:val="-4"/>
                <w:sz w:val="18"/>
                <w:szCs w:val="18"/>
                <w:rtl/>
              </w:rPr>
              <w:t>,</w:t>
            </w:r>
            <w:r w:rsidRPr="000D5B62">
              <w:rPr>
                <w:rFonts w:eastAsiaTheme="minorEastAsia"/>
                <w:spacing w:val="-4"/>
                <w:sz w:val="18"/>
                <w:szCs w:val="18"/>
                <w:rtl/>
              </w:rPr>
              <w:t>3</w:t>
            </w:r>
          </w:p>
        </w:tc>
      </w:tr>
      <w:tr w:rsidR="00803069" w:rsidRPr="000D5B62" w14:paraId="54710857" w14:textId="77777777" w:rsidTr="00E73021">
        <w:tc>
          <w:tcPr>
            <w:tcW w:w="2121" w:type="dxa"/>
            <w:shd w:val="clear" w:color="auto" w:fill="auto"/>
          </w:tcPr>
          <w:p w14:paraId="5A29857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مقترنة بظروف مشدِدة للعقوبة</w:t>
            </w:r>
          </w:p>
        </w:tc>
        <w:tc>
          <w:tcPr>
            <w:tcW w:w="1045" w:type="dxa"/>
            <w:shd w:val="clear" w:color="auto" w:fill="auto"/>
          </w:tcPr>
          <w:p w14:paraId="05F1929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963 118</w:t>
            </w:r>
          </w:p>
        </w:tc>
        <w:tc>
          <w:tcPr>
            <w:tcW w:w="1288" w:type="dxa"/>
            <w:gridSpan w:val="2"/>
            <w:shd w:val="clear" w:color="auto" w:fill="auto"/>
          </w:tcPr>
          <w:p w14:paraId="1F91E12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045 129</w:t>
            </w:r>
          </w:p>
        </w:tc>
        <w:tc>
          <w:tcPr>
            <w:tcW w:w="1176" w:type="dxa"/>
            <w:gridSpan w:val="2"/>
            <w:shd w:val="clear" w:color="auto" w:fill="auto"/>
          </w:tcPr>
          <w:p w14:paraId="3A7792C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527 132</w:t>
            </w:r>
          </w:p>
        </w:tc>
        <w:tc>
          <w:tcPr>
            <w:tcW w:w="1288" w:type="dxa"/>
            <w:shd w:val="clear" w:color="auto" w:fill="auto"/>
          </w:tcPr>
          <w:p w14:paraId="184593B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956 140</w:t>
            </w:r>
          </w:p>
        </w:tc>
        <w:tc>
          <w:tcPr>
            <w:tcW w:w="938" w:type="dxa"/>
            <w:shd w:val="clear" w:color="auto" w:fill="auto"/>
          </w:tcPr>
          <w:p w14:paraId="40407D4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429 8</w:t>
            </w:r>
          </w:p>
        </w:tc>
        <w:tc>
          <w:tcPr>
            <w:tcW w:w="648" w:type="dxa"/>
            <w:shd w:val="clear" w:color="auto" w:fill="auto"/>
          </w:tcPr>
          <w:p w14:paraId="0513675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6,4</w:t>
            </w:r>
          </w:p>
        </w:tc>
      </w:tr>
      <w:tr w:rsidR="00803069" w:rsidRPr="000D5B62" w14:paraId="7AD31A45" w14:textId="77777777" w:rsidTr="00E73021">
        <w:tc>
          <w:tcPr>
            <w:tcW w:w="2121" w:type="dxa"/>
            <w:tcBorders>
              <w:bottom w:val="single" w:sz="4" w:space="0" w:color="auto"/>
            </w:tcBorders>
            <w:shd w:val="clear" w:color="auto" w:fill="auto"/>
          </w:tcPr>
          <w:p w14:paraId="0F59DC3B"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الجرائم الناشئة عن الاحتكاك بين الأشخاص</w:t>
            </w:r>
          </w:p>
        </w:tc>
        <w:tc>
          <w:tcPr>
            <w:tcW w:w="1045" w:type="dxa"/>
            <w:tcBorders>
              <w:bottom w:val="single" w:sz="4" w:space="0" w:color="auto"/>
            </w:tcBorders>
            <w:shd w:val="clear" w:color="auto" w:fill="auto"/>
          </w:tcPr>
          <w:p w14:paraId="0562891F"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574 611</w:t>
            </w:r>
          </w:p>
        </w:tc>
        <w:tc>
          <w:tcPr>
            <w:tcW w:w="1288" w:type="dxa"/>
            <w:gridSpan w:val="2"/>
            <w:tcBorders>
              <w:bottom w:val="single" w:sz="4" w:space="0" w:color="auto"/>
            </w:tcBorders>
            <w:shd w:val="clear" w:color="auto" w:fill="auto"/>
          </w:tcPr>
          <w:p w14:paraId="30331AE4"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973 616</w:t>
            </w:r>
          </w:p>
        </w:tc>
        <w:tc>
          <w:tcPr>
            <w:tcW w:w="1176" w:type="dxa"/>
            <w:gridSpan w:val="2"/>
            <w:tcBorders>
              <w:bottom w:val="single" w:sz="4" w:space="0" w:color="auto"/>
            </w:tcBorders>
            <w:shd w:val="clear" w:color="auto" w:fill="auto"/>
          </w:tcPr>
          <w:p w14:paraId="339B723F"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223 623</w:t>
            </w:r>
          </w:p>
        </w:tc>
        <w:tc>
          <w:tcPr>
            <w:tcW w:w="1288" w:type="dxa"/>
            <w:tcBorders>
              <w:bottom w:val="single" w:sz="4" w:space="0" w:color="auto"/>
            </w:tcBorders>
            <w:shd w:val="clear" w:color="auto" w:fill="auto"/>
          </w:tcPr>
          <w:p w14:paraId="6D7AB76C" w14:textId="77777777" w:rsidR="00803069" w:rsidRPr="000D5B62" w:rsidRDefault="00803069" w:rsidP="00E73021">
            <w:pPr>
              <w:spacing w:before="40" w:after="40" w:line="280" w:lineRule="exact"/>
              <w:jc w:val="left"/>
              <w:textDirection w:val="tbRlV"/>
              <w:rPr>
                <w:rFonts w:eastAsiaTheme="minorEastAsia"/>
                <w:b/>
                <w:spacing w:val="-4"/>
                <w:sz w:val="18"/>
                <w:szCs w:val="18"/>
                <w:lang w:eastAsia="zh-TW" w:bidi="en-GB"/>
              </w:rPr>
            </w:pPr>
            <w:r w:rsidRPr="000D5B62">
              <w:rPr>
                <w:rFonts w:eastAsiaTheme="minorEastAsia"/>
                <w:b/>
                <w:bCs/>
                <w:spacing w:val="-4"/>
                <w:sz w:val="18"/>
                <w:szCs w:val="18"/>
                <w:rtl/>
              </w:rPr>
              <w:t>321 608</w:t>
            </w:r>
          </w:p>
        </w:tc>
        <w:tc>
          <w:tcPr>
            <w:tcW w:w="938" w:type="dxa"/>
            <w:tcBorders>
              <w:bottom w:val="single" w:sz="4" w:space="0" w:color="auto"/>
            </w:tcBorders>
            <w:shd w:val="clear" w:color="auto" w:fill="auto"/>
          </w:tcPr>
          <w:p w14:paraId="17DB9097" w14:textId="158FDC7F"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w:t>
            </w:r>
            <w:r w:rsidR="007801B1" w:rsidRPr="000D5B62">
              <w:rPr>
                <w:rFonts w:eastAsiaTheme="minorEastAsia" w:hint="cs"/>
                <w:b/>
                <w:bCs/>
                <w:spacing w:val="-4"/>
                <w:sz w:val="18"/>
                <w:szCs w:val="18"/>
                <w:rtl/>
              </w:rPr>
              <w:t>902 14</w:t>
            </w:r>
          </w:p>
        </w:tc>
        <w:tc>
          <w:tcPr>
            <w:tcW w:w="648" w:type="dxa"/>
            <w:tcBorders>
              <w:bottom w:val="single" w:sz="4" w:space="0" w:color="auto"/>
            </w:tcBorders>
            <w:shd w:val="clear" w:color="auto" w:fill="auto"/>
          </w:tcPr>
          <w:p w14:paraId="5D46A920" w14:textId="18EBCAA9"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w:t>
            </w:r>
            <w:r w:rsidR="00CB6827" w:rsidRPr="000D5B62">
              <w:rPr>
                <w:rFonts w:eastAsiaTheme="minorEastAsia" w:hint="cs"/>
                <w:b/>
                <w:bCs/>
                <w:spacing w:val="-4"/>
                <w:sz w:val="18"/>
                <w:szCs w:val="18"/>
                <w:rtl/>
              </w:rPr>
              <w:t>,</w:t>
            </w:r>
            <w:r w:rsidRPr="000D5B62">
              <w:rPr>
                <w:rFonts w:eastAsiaTheme="minorEastAsia"/>
                <w:b/>
                <w:bCs/>
                <w:spacing w:val="-4"/>
                <w:sz w:val="18"/>
                <w:szCs w:val="18"/>
                <w:rtl/>
              </w:rPr>
              <w:t>4</w:t>
            </w:r>
          </w:p>
        </w:tc>
      </w:tr>
      <w:tr w:rsidR="00803069" w:rsidRPr="000D5B62" w14:paraId="1A13E651" w14:textId="77777777" w:rsidTr="00E73021">
        <w:trPr>
          <w:tblHeader/>
        </w:trPr>
        <w:tc>
          <w:tcPr>
            <w:tcW w:w="8504" w:type="dxa"/>
            <w:gridSpan w:val="9"/>
            <w:tcBorders>
              <w:top w:val="single" w:sz="4" w:space="0" w:color="auto"/>
              <w:bottom w:val="single" w:sz="4" w:space="0" w:color="auto"/>
            </w:tcBorders>
            <w:shd w:val="clear" w:color="auto" w:fill="auto"/>
          </w:tcPr>
          <w:p w14:paraId="0FA3CD9E"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النسبة: الجرائم الناشئة عن الاحتكاك بين الأشخاص (جرائم ضد الأشخاص)</w:t>
            </w:r>
          </w:p>
        </w:tc>
      </w:tr>
      <w:tr w:rsidR="00803069" w:rsidRPr="000D5B62" w14:paraId="3F7BAC9C" w14:textId="77777777" w:rsidTr="00E73021">
        <w:tc>
          <w:tcPr>
            <w:tcW w:w="2121" w:type="dxa"/>
            <w:tcBorders>
              <w:top w:val="single" w:sz="4" w:space="0" w:color="auto"/>
            </w:tcBorders>
            <w:shd w:val="clear" w:color="auto" w:fill="auto"/>
          </w:tcPr>
          <w:p w14:paraId="0877629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القتل العمد (مع سبق الاصرار والترصد)</w:t>
            </w:r>
          </w:p>
        </w:tc>
        <w:tc>
          <w:tcPr>
            <w:tcW w:w="1045" w:type="dxa"/>
            <w:tcBorders>
              <w:top w:val="single" w:sz="4" w:space="0" w:color="auto"/>
            </w:tcBorders>
            <w:shd w:val="clear" w:color="auto" w:fill="auto"/>
          </w:tcPr>
          <w:p w14:paraId="670DA79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31,9</w:t>
            </w:r>
          </w:p>
        </w:tc>
        <w:tc>
          <w:tcPr>
            <w:tcW w:w="1288" w:type="dxa"/>
            <w:gridSpan w:val="2"/>
            <w:tcBorders>
              <w:top w:val="single" w:sz="4" w:space="0" w:color="auto"/>
            </w:tcBorders>
            <w:shd w:val="clear" w:color="auto" w:fill="auto"/>
          </w:tcPr>
          <w:p w14:paraId="11E37EA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32,9</w:t>
            </w:r>
          </w:p>
        </w:tc>
        <w:tc>
          <w:tcPr>
            <w:tcW w:w="1176" w:type="dxa"/>
            <w:gridSpan w:val="2"/>
            <w:tcBorders>
              <w:top w:val="single" w:sz="4" w:space="0" w:color="auto"/>
            </w:tcBorders>
            <w:shd w:val="clear" w:color="auto" w:fill="auto"/>
          </w:tcPr>
          <w:p w14:paraId="5F7DF5D3" w14:textId="77777777" w:rsidR="00803069" w:rsidRPr="000D5B62" w:rsidRDefault="00803069" w:rsidP="00C277BB">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34,0</w:t>
            </w:r>
          </w:p>
        </w:tc>
        <w:tc>
          <w:tcPr>
            <w:tcW w:w="1288" w:type="dxa"/>
            <w:tcBorders>
              <w:top w:val="single" w:sz="4" w:space="0" w:color="auto"/>
            </w:tcBorders>
            <w:shd w:val="clear" w:color="auto" w:fill="auto"/>
          </w:tcPr>
          <w:p w14:paraId="7E4C8BD8"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34,1</w:t>
            </w:r>
          </w:p>
        </w:tc>
        <w:tc>
          <w:tcPr>
            <w:tcW w:w="938" w:type="dxa"/>
            <w:tcBorders>
              <w:top w:val="single" w:sz="4" w:space="0" w:color="auto"/>
            </w:tcBorders>
            <w:shd w:val="clear" w:color="auto" w:fill="auto"/>
          </w:tcPr>
          <w:p w14:paraId="599DE8C2"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0,1</w:t>
            </w:r>
          </w:p>
        </w:tc>
        <w:tc>
          <w:tcPr>
            <w:tcW w:w="648" w:type="dxa"/>
            <w:tcBorders>
              <w:top w:val="single" w:sz="4" w:space="0" w:color="auto"/>
            </w:tcBorders>
            <w:shd w:val="clear" w:color="auto" w:fill="auto"/>
          </w:tcPr>
          <w:p w14:paraId="19F74E18" w14:textId="77777777" w:rsidR="00803069" w:rsidRPr="000D5B62" w:rsidRDefault="00803069" w:rsidP="00C277BB">
            <w:pPr>
              <w:spacing w:before="40" w:after="40" w:line="280" w:lineRule="exact"/>
              <w:jc w:val="left"/>
              <w:rPr>
                <w:rFonts w:eastAsiaTheme="minorEastAsia"/>
                <w:bCs/>
                <w:spacing w:val="-4"/>
                <w:sz w:val="18"/>
                <w:szCs w:val="18"/>
                <w:rtl/>
              </w:rPr>
            </w:pPr>
          </w:p>
        </w:tc>
      </w:tr>
      <w:tr w:rsidR="00803069" w:rsidRPr="000D5B62" w14:paraId="5E115C2C" w14:textId="77777777" w:rsidTr="00E73021">
        <w:tc>
          <w:tcPr>
            <w:tcW w:w="2121" w:type="dxa"/>
            <w:shd w:val="clear" w:color="auto" w:fill="auto"/>
          </w:tcPr>
          <w:p w14:paraId="0699B7D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الشروع في القتل</w:t>
            </w:r>
          </w:p>
        </w:tc>
        <w:tc>
          <w:tcPr>
            <w:tcW w:w="1045" w:type="dxa"/>
            <w:shd w:val="clear" w:color="auto" w:fill="auto"/>
          </w:tcPr>
          <w:p w14:paraId="522F4EE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31,9</w:t>
            </w:r>
          </w:p>
        </w:tc>
        <w:tc>
          <w:tcPr>
            <w:tcW w:w="1288" w:type="dxa"/>
            <w:gridSpan w:val="2"/>
            <w:shd w:val="clear" w:color="auto" w:fill="auto"/>
          </w:tcPr>
          <w:p w14:paraId="7BF402C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32,4</w:t>
            </w:r>
          </w:p>
        </w:tc>
        <w:tc>
          <w:tcPr>
            <w:tcW w:w="1176" w:type="dxa"/>
            <w:gridSpan w:val="2"/>
            <w:shd w:val="clear" w:color="auto" w:fill="auto"/>
          </w:tcPr>
          <w:p w14:paraId="5B1AC7CF" w14:textId="77777777" w:rsidR="00803069" w:rsidRPr="000D5B62" w:rsidRDefault="00803069" w:rsidP="00C277BB">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33,0</w:t>
            </w:r>
          </w:p>
        </w:tc>
        <w:tc>
          <w:tcPr>
            <w:tcW w:w="1288" w:type="dxa"/>
            <w:shd w:val="clear" w:color="auto" w:fill="auto"/>
          </w:tcPr>
          <w:p w14:paraId="2D702971" w14:textId="77777777" w:rsidR="00803069" w:rsidRPr="000D5B62" w:rsidRDefault="00803069" w:rsidP="00C277BB">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32,6</w:t>
            </w:r>
          </w:p>
        </w:tc>
        <w:tc>
          <w:tcPr>
            <w:tcW w:w="938" w:type="dxa"/>
            <w:shd w:val="clear" w:color="auto" w:fill="auto"/>
          </w:tcPr>
          <w:p w14:paraId="42F29457" w14:textId="7CC08FA8"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4</w:t>
            </w:r>
          </w:p>
        </w:tc>
        <w:tc>
          <w:tcPr>
            <w:tcW w:w="648" w:type="dxa"/>
            <w:shd w:val="clear" w:color="auto" w:fill="auto"/>
          </w:tcPr>
          <w:p w14:paraId="6F31A199" w14:textId="77777777" w:rsidR="00803069" w:rsidRPr="000D5B62" w:rsidRDefault="00803069" w:rsidP="00C277BB">
            <w:pPr>
              <w:spacing w:before="40" w:after="40" w:line="280" w:lineRule="exact"/>
              <w:jc w:val="left"/>
              <w:rPr>
                <w:rFonts w:eastAsiaTheme="minorEastAsia"/>
                <w:bCs/>
                <w:spacing w:val="-4"/>
                <w:sz w:val="18"/>
                <w:szCs w:val="18"/>
                <w:rtl/>
              </w:rPr>
            </w:pPr>
          </w:p>
        </w:tc>
      </w:tr>
      <w:tr w:rsidR="00803069" w:rsidRPr="000D5B62" w14:paraId="15496052" w14:textId="77777777" w:rsidTr="00E73021">
        <w:tc>
          <w:tcPr>
            <w:tcW w:w="2121" w:type="dxa"/>
            <w:shd w:val="clear" w:color="auto" w:fill="auto"/>
          </w:tcPr>
          <w:p w14:paraId="5B09EBE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اعتداء بنية إلحاق أذى بدني خطير</w:t>
            </w:r>
          </w:p>
        </w:tc>
        <w:tc>
          <w:tcPr>
            <w:tcW w:w="1045" w:type="dxa"/>
            <w:shd w:val="clear" w:color="auto" w:fill="auto"/>
          </w:tcPr>
          <w:p w14:paraId="26AC210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342,1</w:t>
            </w:r>
          </w:p>
        </w:tc>
        <w:tc>
          <w:tcPr>
            <w:tcW w:w="1288" w:type="dxa"/>
            <w:gridSpan w:val="2"/>
            <w:shd w:val="clear" w:color="auto" w:fill="auto"/>
          </w:tcPr>
          <w:p w14:paraId="347B41F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337,3</w:t>
            </w:r>
          </w:p>
        </w:tc>
        <w:tc>
          <w:tcPr>
            <w:tcW w:w="1176" w:type="dxa"/>
            <w:gridSpan w:val="2"/>
            <w:shd w:val="clear" w:color="auto" w:fill="auto"/>
          </w:tcPr>
          <w:p w14:paraId="779F4ED7"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332,8</w:t>
            </w:r>
          </w:p>
        </w:tc>
        <w:tc>
          <w:tcPr>
            <w:tcW w:w="1288" w:type="dxa"/>
            <w:shd w:val="clear" w:color="auto" w:fill="auto"/>
          </w:tcPr>
          <w:p w14:paraId="35A07655"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305,5</w:t>
            </w:r>
          </w:p>
        </w:tc>
        <w:tc>
          <w:tcPr>
            <w:tcW w:w="938" w:type="dxa"/>
            <w:shd w:val="clear" w:color="auto" w:fill="auto"/>
          </w:tcPr>
          <w:p w14:paraId="67E867D4" w14:textId="7014F32A"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-27</w:t>
            </w:r>
            <w:r w:rsidR="00CB6827" w:rsidRPr="000D5B62">
              <w:rPr>
                <w:rFonts w:eastAsiaTheme="minorEastAsia" w:hint="cs"/>
                <w:spacing w:val="-4"/>
                <w:sz w:val="18"/>
                <w:szCs w:val="18"/>
                <w:rtl/>
              </w:rPr>
              <w:t>,</w:t>
            </w:r>
            <w:r w:rsidRPr="000D5B62">
              <w:rPr>
                <w:rFonts w:eastAsiaTheme="minorEastAsia"/>
                <w:spacing w:val="-4"/>
                <w:sz w:val="18"/>
                <w:szCs w:val="18"/>
                <w:rtl/>
              </w:rPr>
              <w:t>3</w:t>
            </w:r>
          </w:p>
        </w:tc>
        <w:tc>
          <w:tcPr>
            <w:tcW w:w="648" w:type="dxa"/>
            <w:shd w:val="clear" w:color="auto" w:fill="auto"/>
          </w:tcPr>
          <w:p w14:paraId="59E41EC2" w14:textId="77777777" w:rsidR="00803069" w:rsidRPr="000D5B62" w:rsidRDefault="00803069" w:rsidP="00C277BB">
            <w:pPr>
              <w:spacing w:before="40" w:after="40" w:line="280" w:lineRule="exact"/>
              <w:jc w:val="left"/>
              <w:rPr>
                <w:rFonts w:eastAsiaTheme="minorEastAsia"/>
                <w:bCs/>
                <w:spacing w:val="-4"/>
                <w:sz w:val="18"/>
                <w:szCs w:val="18"/>
                <w:rtl/>
              </w:rPr>
            </w:pPr>
          </w:p>
          <w:p w14:paraId="1F7CE427" w14:textId="77777777" w:rsidR="00803069" w:rsidRPr="000D5B62" w:rsidRDefault="00803069" w:rsidP="00C277BB">
            <w:pPr>
              <w:spacing w:before="40" w:after="40" w:line="280" w:lineRule="exact"/>
              <w:jc w:val="left"/>
              <w:rPr>
                <w:rFonts w:eastAsiaTheme="minorEastAsia"/>
                <w:bCs/>
                <w:spacing w:val="-4"/>
                <w:sz w:val="18"/>
                <w:szCs w:val="18"/>
                <w:rtl/>
              </w:rPr>
            </w:pPr>
          </w:p>
        </w:tc>
      </w:tr>
      <w:tr w:rsidR="00803069" w:rsidRPr="000D5B62" w14:paraId="523C0396" w14:textId="77777777" w:rsidTr="00933EC3">
        <w:tc>
          <w:tcPr>
            <w:tcW w:w="2121" w:type="dxa"/>
            <w:shd w:val="clear" w:color="auto" w:fill="auto"/>
          </w:tcPr>
          <w:p w14:paraId="3B00ED7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اعتداء يعاقب عليه القانون العام</w:t>
            </w:r>
          </w:p>
        </w:tc>
        <w:tc>
          <w:tcPr>
            <w:tcW w:w="1045" w:type="dxa"/>
            <w:shd w:val="clear" w:color="auto" w:fill="auto"/>
          </w:tcPr>
          <w:p w14:paraId="2DA22F7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311,6</w:t>
            </w:r>
          </w:p>
        </w:tc>
        <w:tc>
          <w:tcPr>
            <w:tcW w:w="1230" w:type="dxa"/>
            <w:shd w:val="clear" w:color="auto" w:fill="auto"/>
          </w:tcPr>
          <w:p w14:paraId="4202D3A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298,4</w:t>
            </w:r>
          </w:p>
        </w:tc>
        <w:tc>
          <w:tcPr>
            <w:tcW w:w="1234" w:type="dxa"/>
            <w:gridSpan w:val="3"/>
            <w:shd w:val="clear" w:color="auto" w:fill="auto"/>
          </w:tcPr>
          <w:p w14:paraId="017E59BB" w14:textId="77777777" w:rsidR="00803069" w:rsidRPr="000D5B62" w:rsidRDefault="00803069" w:rsidP="00C277BB">
            <w:pPr>
              <w:spacing w:before="40" w:after="40" w:line="280" w:lineRule="exact"/>
              <w:ind w:left="64"/>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300,1</w:t>
            </w:r>
          </w:p>
        </w:tc>
        <w:tc>
          <w:tcPr>
            <w:tcW w:w="1288" w:type="dxa"/>
            <w:shd w:val="clear" w:color="auto" w:fill="auto"/>
          </w:tcPr>
          <w:p w14:paraId="674506EA"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280,2</w:t>
            </w:r>
          </w:p>
        </w:tc>
        <w:tc>
          <w:tcPr>
            <w:tcW w:w="938" w:type="dxa"/>
            <w:shd w:val="clear" w:color="auto" w:fill="auto"/>
          </w:tcPr>
          <w:p w14:paraId="5E2730C0" w14:textId="1B918B4C"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-20</w:t>
            </w:r>
            <w:r w:rsidR="00CB6827" w:rsidRPr="000D5B62">
              <w:rPr>
                <w:rFonts w:eastAsiaTheme="minorEastAsia" w:hint="cs"/>
                <w:spacing w:val="-4"/>
                <w:sz w:val="18"/>
                <w:szCs w:val="18"/>
                <w:rtl/>
              </w:rPr>
              <w:t>,</w:t>
            </w:r>
            <w:r w:rsidRPr="000D5B62">
              <w:rPr>
                <w:rFonts w:eastAsiaTheme="minorEastAsia"/>
                <w:spacing w:val="-4"/>
                <w:sz w:val="18"/>
                <w:szCs w:val="18"/>
                <w:rtl/>
              </w:rPr>
              <w:t>0</w:t>
            </w:r>
          </w:p>
        </w:tc>
        <w:tc>
          <w:tcPr>
            <w:tcW w:w="648" w:type="dxa"/>
            <w:shd w:val="clear" w:color="auto" w:fill="auto"/>
          </w:tcPr>
          <w:p w14:paraId="208610B7" w14:textId="77777777" w:rsidR="00803069" w:rsidRPr="000D5B62" w:rsidRDefault="00803069" w:rsidP="00C277BB">
            <w:pPr>
              <w:spacing w:before="40" w:after="40" w:line="280" w:lineRule="exact"/>
              <w:jc w:val="left"/>
              <w:rPr>
                <w:rFonts w:eastAsiaTheme="minorEastAsia"/>
                <w:bCs/>
                <w:spacing w:val="-4"/>
                <w:sz w:val="18"/>
                <w:szCs w:val="18"/>
                <w:rtl/>
              </w:rPr>
            </w:pPr>
          </w:p>
        </w:tc>
      </w:tr>
      <w:tr w:rsidR="00803069" w:rsidRPr="000D5B62" w14:paraId="3E73948A" w14:textId="77777777" w:rsidTr="00933EC3">
        <w:tc>
          <w:tcPr>
            <w:tcW w:w="2121" w:type="dxa"/>
            <w:tcBorders>
              <w:bottom w:val="single" w:sz="4" w:space="0" w:color="auto"/>
            </w:tcBorders>
            <w:shd w:val="clear" w:color="auto" w:fill="auto"/>
          </w:tcPr>
          <w:p w14:paraId="636279C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يعاقب عليها القانون العام</w:t>
            </w:r>
          </w:p>
        </w:tc>
        <w:tc>
          <w:tcPr>
            <w:tcW w:w="1045" w:type="dxa"/>
            <w:tcBorders>
              <w:bottom w:val="single" w:sz="4" w:space="0" w:color="auto"/>
            </w:tcBorders>
            <w:shd w:val="clear" w:color="auto" w:fill="auto"/>
          </w:tcPr>
          <w:p w14:paraId="53E7349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100,4</w:t>
            </w:r>
          </w:p>
        </w:tc>
        <w:tc>
          <w:tcPr>
            <w:tcW w:w="1230" w:type="dxa"/>
            <w:tcBorders>
              <w:bottom w:val="single" w:sz="4" w:space="0" w:color="auto"/>
            </w:tcBorders>
            <w:shd w:val="clear" w:color="auto" w:fill="auto"/>
          </w:tcPr>
          <w:p w14:paraId="67D9688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101,5</w:t>
            </w:r>
          </w:p>
        </w:tc>
        <w:tc>
          <w:tcPr>
            <w:tcW w:w="1234" w:type="dxa"/>
            <w:gridSpan w:val="3"/>
            <w:tcBorders>
              <w:bottom w:val="single" w:sz="4" w:space="0" w:color="auto"/>
            </w:tcBorders>
            <w:shd w:val="clear" w:color="auto" w:fill="auto"/>
          </w:tcPr>
          <w:p w14:paraId="1A8B3366" w14:textId="77777777" w:rsidR="00803069" w:rsidRPr="000D5B62" w:rsidRDefault="00803069" w:rsidP="00C277BB">
            <w:pPr>
              <w:spacing w:before="40" w:after="40" w:line="280" w:lineRule="exact"/>
              <w:ind w:left="64"/>
              <w:jc w:val="left"/>
              <w:textDirection w:val="tbRlV"/>
              <w:rPr>
                <w:rFonts w:eastAsiaTheme="minorEastAsia"/>
                <w:bCs/>
                <w:spacing w:val="-4"/>
                <w:sz w:val="18"/>
                <w:szCs w:val="18"/>
                <w:lang w:eastAsia="zh-TW" w:bidi="en-GB"/>
              </w:rPr>
            </w:pPr>
            <w:r w:rsidRPr="000D5B62">
              <w:rPr>
                <w:rFonts w:eastAsiaTheme="minorEastAsia"/>
                <w:spacing w:val="-4"/>
                <w:sz w:val="18"/>
                <w:szCs w:val="18"/>
                <w:rtl/>
              </w:rPr>
              <w:t>98,4</w:t>
            </w:r>
          </w:p>
        </w:tc>
        <w:tc>
          <w:tcPr>
            <w:tcW w:w="1288" w:type="dxa"/>
            <w:tcBorders>
              <w:bottom w:val="single" w:sz="4" w:space="0" w:color="auto"/>
            </w:tcBorders>
            <w:shd w:val="clear" w:color="auto" w:fill="auto"/>
          </w:tcPr>
          <w:p w14:paraId="693F804E" w14:textId="77777777"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95,7</w:t>
            </w:r>
          </w:p>
        </w:tc>
        <w:tc>
          <w:tcPr>
            <w:tcW w:w="938" w:type="dxa"/>
            <w:tcBorders>
              <w:bottom w:val="single" w:sz="4" w:space="0" w:color="auto"/>
            </w:tcBorders>
            <w:shd w:val="clear" w:color="auto" w:fill="auto"/>
          </w:tcPr>
          <w:p w14:paraId="442A2FA4" w14:textId="36003FA9" w:rsidR="00803069" w:rsidRPr="000D5B62" w:rsidRDefault="00803069" w:rsidP="00C277BB">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w:t>
            </w:r>
            <w:r w:rsidR="00CB6827" w:rsidRPr="000D5B62">
              <w:rPr>
                <w:rFonts w:eastAsiaTheme="minorEastAsia" w:hint="cs"/>
                <w:spacing w:val="-4"/>
                <w:sz w:val="18"/>
                <w:szCs w:val="18"/>
                <w:rtl/>
              </w:rPr>
              <w:t>,</w:t>
            </w:r>
            <w:r w:rsidRPr="000D5B62">
              <w:rPr>
                <w:rFonts w:eastAsiaTheme="minorEastAsia"/>
                <w:spacing w:val="-4"/>
                <w:sz w:val="18"/>
                <w:szCs w:val="18"/>
                <w:rtl/>
              </w:rPr>
              <w:t>8</w:t>
            </w:r>
          </w:p>
        </w:tc>
        <w:tc>
          <w:tcPr>
            <w:tcW w:w="648" w:type="dxa"/>
            <w:tcBorders>
              <w:bottom w:val="single" w:sz="4" w:space="0" w:color="auto"/>
            </w:tcBorders>
            <w:shd w:val="clear" w:color="auto" w:fill="auto"/>
          </w:tcPr>
          <w:p w14:paraId="2172715C" w14:textId="77777777" w:rsidR="00803069" w:rsidRPr="000D5B62" w:rsidRDefault="00803069" w:rsidP="00C277BB">
            <w:pPr>
              <w:spacing w:before="40" w:after="40" w:line="280" w:lineRule="exact"/>
              <w:jc w:val="left"/>
              <w:rPr>
                <w:rFonts w:eastAsiaTheme="minorEastAsia"/>
                <w:bCs/>
                <w:spacing w:val="-4"/>
                <w:sz w:val="18"/>
                <w:szCs w:val="18"/>
                <w:rtl/>
              </w:rPr>
            </w:pPr>
          </w:p>
        </w:tc>
      </w:tr>
      <w:tr w:rsidR="00803069" w:rsidRPr="000D5B62" w14:paraId="37035CEF" w14:textId="77777777" w:rsidTr="00E73021">
        <w:trPr>
          <w:tblHeader/>
        </w:trPr>
        <w:tc>
          <w:tcPr>
            <w:tcW w:w="8504" w:type="dxa"/>
            <w:gridSpan w:val="9"/>
            <w:tcBorders>
              <w:top w:val="single" w:sz="4" w:space="0" w:color="auto"/>
              <w:bottom w:val="single" w:sz="4" w:space="0" w:color="auto"/>
            </w:tcBorders>
            <w:shd w:val="clear" w:color="auto" w:fill="auto"/>
          </w:tcPr>
          <w:p w14:paraId="73163BDC"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الجرائم الجنسية</w:t>
            </w:r>
          </w:p>
        </w:tc>
      </w:tr>
      <w:tr w:rsidR="00803069" w:rsidRPr="000D5B62" w14:paraId="7A0737F7" w14:textId="77777777" w:rsidTr="00C277BB">
        <w:tc>
          <w:tcPr>
            <w:tcW w:w="2121" w:type="dxa"/>
            <w:tcBorders>
              <w:top w:val="single" w:sz="4" w:space="0" w:color="auto"/>
            </w:tcBorders>
            <w:shd w:val="clear" w:color="auto" w:fill="auto"/>
          </w:tcPr>
          <w:p w14:paraId="171119F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 xml:space="preserve">الاغتصاب </w:t>
            </w:r>
          </w:p>
        </w:tc>
        <w:tc>
          <w:tcPr>
            <w:tcW w:w="1045" w:type="dxa"/>
            <w:tcBorders>
              <w:top w:val="single" w:sz="4" w:space="0" w:color="auto"/>
            </w:tcBorders>
            <w:shd w:val="clear" w:color="auto" w:fill="auto"/>
          </w:tcPr>
          <w:p w14:paraId="061DC3B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349 45</w:t>
            </w:r>
          </w:p>
        </w:tc>
        <w:tc>
          <w:tcPr>
            <w:tcW w:w="1330" w:type="dxa"/>
            <w:gridSpan w:val="3"/>
            <w:tcBorders>
              <w:top w:val="single" w:sz="4" w:space="0" w:color="auto"/>
            </w:tcBorders>
            <w:shd w:val="clear" w:color="auto" w:fill="auto"/>
          </w:tcPr>
          <w:p w14:paraId="3EEB0D8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195 43</w:t>
            </w:r>
          </w:p>
        </w:tc>
        <w:tc>
          <w:tcPr>
            <w:tcW w:w="1134" w:type="dxa"/>
            <w:tcBorders>
              <w:top w:val="single" w:sz="4" w:space="0" w:color="auto"/>
            </w:tcBorders>
            <w:shd w:val="clear" w:color="auto" w:fill="auto"/>
          </w:tcPr>
          <w:p w14:paraId="5A7345D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503 41</w:t>
            </w:r>
          </w:p>
        </w:tc>
        <w:tc>
          <w:tcPr>
            <w:tcW w:w="1288" w:type="dxa"/>
            <w:tcBorders>
              <w:top w:val="single" w:sz="4" w:space="0" w:color="auto"/>
            </w:tcBorders>
            <w:shd w:val="clear" w:color="auto" w:fill="auto"/>
          </w:tcPr>
          <w:p w14:paraId="134B39BA"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828 39</w:t>
            </w:r>
          </w:p>
        </w:tc>
        <w:tc>
          <w:tcPr>
            <w:tcW w:w="938" w:type="dxa"/>
            <w:tcBorders>
              <w:top w:val="single" w:sz="4" w:space="0" w:color="auto"/>
            </w:tcBorders>
            <w:shd w:val="clear" w:color="auto" w:fill="auto"/>
          </w:tcPr>
          <w:p w14:paraId="47F24845" w14:textId="527106A3"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7801B1" w:rsidRPr="000D5B62">
              <w:rPr>
                <w:rFonts w:eastAsiaTheme="minorEastAsia" w:hint="cs"/>
                <w:spacing w:val="-4"/>
                <w:sz w:val="18"/>
                <w:szCs w:val="18"/>
                <w:rtl/>
              </w:rPr>
              <w:t>675 1</w:t>
            </w:r>
          </w:p>
        </w:tc>
        <w:tc>
          <w:tcPr>
            <w:tcW w:w="648" w:type="dxa"/>
            <w:tcBorders>
              <w:top w:val="single" w:sz="4" w:space="0" w:color="auto"/>
            </w:tcBorders>
            <w:shd w:val="clear" w:color="auto" w:fill="auto"/>
          </w:tcPr>
          <w:p w14:paraId="34CB65A5" w14:textId="71902F5A"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w:t>
            </w:r>
            <w:r w:rsidR="00CB6827" w:rsidRPr="000D5B62">
              <w:rPr>
                <w:rFonts w:eastAsiaTheme="minorEastAsia" w:hint="cs"/>
                <w:spacing w:val="-4"/>
                <w:sz w:val="18"/>
                <w:szCs w:val="18"/>
                <w:rtl/>
              </w:rPr>
              <w:t>,</w:t>
            </w:r>
            <w:r w:rsidRPr="000D5B62">
              <w:rPr>
                <w:rFonts w:eastAsiaTheme="minorEastAsia"/>
                <w:spacing w:val="-4"/>
                <w:sz w:val="18"/>
                <w:szCs w:val="18"/>
                <w:rtl/>
              </w:rPr>
              <w:t>0</w:t>
            </w:r>
          </w:p>
        </w:tc>
      </w:tr>
      <w:tr w:rsidR="00803069" w:rsidRPr="000D5B62" w14:paraId="065DB71C" w14:textId="77777777" w:rsidTr="00C277BB">
        <w:tc>
          <w:tcPr>
            <w:tcW w:w="2121" w:type="dxa"/>
            <w:shd w:val="clear" w:color="auto" w:fill="auto"/>
          </w:tcPr>
          <w:p w14:paraId="01FAF47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الاعتداء الجنسي</w:t>
            </w:r>
          </w:p>
        </w:tc>
        <w:tc>
          <w:tcPr>
            <w:tcW w:w="1045" w:type="dxa"/>
            <w:shd w:val="clear" w:color="auto" w:fill="auto"/>
          </w:tcPr>
          <w:p w14:paraId="13807AA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597 6</w:t>
            </w:r>
          </w:p>
        </w:tc>
        <w:tc>
          <w:tcPr>
            <w:tcW w:w="1330" w:type="dxa"/>
            <w:gridSpan w:val="3"/>
            <w:shd w:val="clear" w:color="auto" w:fill="auto"/>
          </w:tcPr>
          <w:p w14:paraId="42EF20B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087 6</w:t>
            </w:r>
          </w:p>
        </w:tc>
        <w:tc>
          <w:tcPr>
            <w:tcW w:w="1134" w:type="dxa"/>
            <w:shd w:val="clear" w:color="auto" w:fill="auto"/>
          </w:tcPr>
          <w:p w14:paraId="6AC692C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212 6</w:t>
            </w:r>
          </w:p>
        </w:tc>
        <w:tc>
          <w:tcPr>
            <w:tcW w:w="1288" w:type="dxa"/>
            <w:shd w:val="clear" w:color="auto" w:fill="auto"/>
          </w:tcPr>
          <w:p w14:paraId="5EF999A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271 6</w:t>
            </w:r>
          </w:p>
        </w:tc>
        <w:tc>
          <w:tcPr>
            <w:tcW w:w="938" w:type="dxa"/>
            <w:shd w:val="clear" w:color="auto" w:fill="auto"/>
          </w:tcPr>
          <w:p w14:paraId="2888B93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59</w:t>
            </w:r>
          </w:p>
        </w:tc>
        <w:tc>
          <w:tcPr>
            <w:tcW w:w="648" w:type="dxa"/>
            <w:shd w:val="clear" w:color="auto" w:fill="auto"/>
          </w:tcPr>
          <w:p w14:paraId="203758F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0,9</w:t>
            </w:r>
          </w:p>
        </w:tc>
      </w:tr>
      <w:tr w:rsidR="00803069" w:rsidRPr="000D5B62" w14:paraId="24AB1095" w14:textId="77777777" w:rsidTr="00C277BB">
        <w:tc>
          <w:tcPr>
            <w:tcW w:w="2121" w:type="dxa"/>
            <w:shd w:val="clear" w:color="auto" w:fill="auto"/>
          </w:tcPr>
          <w:p w14:paraId="54464E7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الشروع في ارتكاب جرائم جنسية</w:t>
            </w:r>
          </w:p>
        </w:tc>
        <w:tc>
          <w:tcPr>
            <w:tcW w:w="1045" w:type="dxa"/>
            <w:shd w:val="clear" w:color="auto" w:fill="auto"/>
          </w:tcPr>
          <w:p w14:paraId="283C116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913 2</w:t>
            </w:r>
          </w:p>
        </w:tc>
        <w:tc>
          <w:tcPr>
            <w:tcW w:w="1330" w:type="dxa"/>
            <w:gridSpan w:val="3"/>
            <w:shd w:val="clear" w:color="auto" w:fill="auto"/>
          </w:tcPr>
          <w:p w14:paraId="237479C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641 2</w:t>
            </w:r>
          </w:p>
        </w:tc>
        <w:tc>
          <w:tcPr>
            <w:tcW w:w="1134" w:type="dxa"/>
            <w:shd w:val="clear" w:color="auto" w:fill="auto"/>
          </w:tcPr>
          <w:p w14:paraId="4670AD9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573 2</w:t>
            </w:r>
          </w:p>
        </w:tc>
        <w:tc>
          <w:tcPr>
            <w:tcW w:w="1288" w:type="dxa"/>
            <w:shd w:val="clear" w:color="auto" w:fill="auto"/>
          </w:tcPr>
          <w:p w14:paraId="6BBF918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073 2</w:t>
            </w:r>
          </w:p>
        </w:tc>
        <w:tc>
          <w:tcPr>
            <w:tcW w:w="938" w:type="dxa"/>
            <w:shd w:val="clear" w:color="auto" w:fill="auto"/>
          </w:tcPr>
          <w:p w14:paraId="2F3FD46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-500</w:t>
            </w:r>
          </w:p>
        </w:tc>
        <w:tc>
          <w:tcPr>
            <w:tcW w:w="648" w:type="dxa"/>
            <w:shd w:val="clear" w:color="auto" w:fill="auto"/>
          </w:tcPr>
          <w:p w14:paraId="3EC4F300" w14:textId="134AEA89"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-19</w:t>
            </w:r>
            <w:r w:rsidR="00CB6827" w:rsidRPr="000D5B62">
              <w:rPr>
                <w:rFonts w:eastAsiaTheme="minorEastAsia" w:hint="cs"/>
                <w:spacing w:val="-4"/>
                <w:sz w:val="18"/>
                <w:szCs w:val="18"/>
                <w:rtl/>
              </w:rPr>
              <w:t>,</w:t>
            </w:r>
            <w:r w:rsidRPr="000D5B62">
              <w:rPr>
                <w:rFonts w:eastAsiaTheme="minorEastAsia"/>
                <w:spacing w:val="-4"/>
                <w:sz w:val="18"/>
                <w:szCs w:val="18"/>
                <w:rtl/>
              </w:rPr>
              <w:t>4</w:t>
            </w:r>
          </w:p>
        </w:tc>
      </w:tr>
      <w:tr w:rsidR="00803069" w:rsidRPr="000D5B62" w14:paraId="1CA67367" w14:textId="77777777" w:rsidTr="00C277BB">
        <w:tc>
          <w:tcPr>
            <w:tcW w:w="2121" w:type="dxa"/>
            <w:shd w:val="clear" w:color="auto" w:fill="auto"/>
          </w:tcPr>
          <w:p w14:paraId="51A7E5D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جرائم جنسية ناشئة عن الاحتكاك بين الأشخاص</w:t>
            </w:r>
          </w:p>
        </w:tc>
        <w:tc>
          <w:tcPr>
            <w:tcW w:w="1045" w:type="dxa"/>
            <w:shd w:val="clear" w:color="auto" w:fill="auto"/>
          </w:tcPr>
          <w:p w14:paraId="31294E6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821 1</w:t>
            </w:r>
          </w:p>
        </w:tc>
        <w:tc>
          <w:tcPr>
            <w:tcW w:w="1330" w:type="dxa"/>
            <w:gridSpan w:val="3"/>
            <w:shd w:val="clear" w:color="auto" w:fill="auto"/>
          </w:tcPr>
          <w:p w14:paraId="18B1DBC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694 1</w:t>
            </w:r>
          </w:p>
        </w:tc>
        <w:tc>
          <w:tcPr>
            <w:tcW w:w="1134" w:type="dxa"/>
            <w:shd w:val="clear" w:color="auto" w:fill="auto"/>
          </w:tcPr>
          <w:p w14:paraId="7A4A102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607 1</w:t>
            </w:r>
          </w:p>
        </w:tc>
        <w:tc>
          <w:tcPr>
            <w:tcW w:w="1288" w:type="dxa"/>
            <w:shd w:val="clear" w:color="auto" w:fill="auto"/>
          </w:tcPr>
          <w:p w14:paraId="065A895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488 1</w:t>
            </w:r>
          </w:p>
        </w:tc>
        <w:tc>
          <w:tcPr>
            <w:tcW w:w="938" w:type="dxa"/>
            <w:shd w:val="clear" w:color="auto" w:fill="auto"/>
          </w:tcPr>
          <w:p w14:paraId="5A540BC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-119</w:t>
            </w:r>
          </w:p>
        </w:tc>
        <w:tc>
          <w:tcPr>
            <w:tcW w:w="648" w:type="dxa"/>
            <w:shd w:val="clear" w:color="auto" w:fill="auto"/>
          </w:tcPr>
          <w:p w14:paraId="65558399" w14:textId="4064DD9A"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w:t>
            </w:r>
            <w:r w:rsidR="00CB6827" w:rsidRPr="000D5B62">
              <w:rPr>
                <w:rFonts w:eastAsiaTheme="minorEastAsia" w:hint="cs"/>
                <w:spacing w:val="-4"/>
                <w:sz w:val="18"/>
                <w:szCs w:val="18"/>
                <w:rtl/>
              </w:rPr>
              <w:t>,</w:t>
            </w:r>
            <w:r w:rsidRPr="000D5B62">
              <w:rPr>
                <w:rFonts w:eastAsiaTheme="minorEastAsia"/>
                <w:spacing w:val="-4"/>
                <w:sz w:val="18"/>
                <w:szCs w:val="18"/>
                <w:rtl/>
              </w:rPr>
              <w:t>4</w:t>
            </w:r>
          </w:p>
        </w:tc>
      </w:tr>
      <w:tr w:rsidR="00803069" w:rsidRPr="000D5B62" w14:paraId="5F7E9DBD" w14:textId="77777777" w:rsidTr="00C277BB">
        <w:tc>
          <w:tcPr>
            <w:tcW w:w="2121" w:type="dxa"/>
            <w:tcBorders>
              <w:bottom w:val="single" w:sz="4" w:space="0" w:color="auto"/>
            </w:tcBorders>
            <w:shd w:val="clear" w:color="auto" w:fill="auto"/>
          </w:tcPr>
          <w:p w14:paraId="38A602B2"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الجرائم الجنسية</w:t>
            </w:r>
          </w:p>
        </w:tc>
        <w:tc>
          <w:tcPr>
            <w:tcW w:w="1045" w:type="dxa"/>
            <w:tcBorders>
              <w:bottom w:val="single" w:sz="4" w:space="0" w:color="auto"/>
            </w:tcBorders>
            <w:shd w:val="clear" w:color="auto" w:fill="auto"/>
          </w:tcPr>
          <w:p w14:paraId="53C23D0E"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680 56</w:t>
            </w:r>
          </w:p>
        </w:tc>
        <w:tc>
          <w:tcPr>
            <w:tcW w:w="1330" w:type="dxa"/>
            <w:gridSpan w:val="3"/>
            <w:tcBorders>
              <w:bottom w:val="single" w:sz="4" w:space="0" w:color="auto"/>
            </w:tcBorders>
            <w:shd w:val="clear" w:color="auto" w:fill="auto"/>
          </w:tcPr>
          <w:p w14:paraId="5DAD2C7C"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617 53</w:t>
            </w:r>
          </w:p>
        </w:tc>
        <w:tc>
          <w:tcPr>
            <w:tcW w:w="1134" w:type="dxa"/>
            <w:tcBorders>
              <w:bottom w:val="single" w:sz="4" w:space="0" w:color="auto"/>
            </w:tcBorders>
            <w:shd w:val="clear" w:color="auto" w:fill="auto"/>
          </w:tcPr>
          <w:p w14:paraId="57906830"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895 51</w:t>
            </w:r>
          </w:p>
        </w:tc>
        <w:tc>
          <w:tcPr>
            <w:tcW w:w="1288" w:type="dxa"/>
            <w:tcBorders>
              <w:bottom w:val="single" w:sz="4" w:space="0" w:color="auto"/>
            </w:tcBorders>
            <w:shd w:val="clear" w:color="auto" w:fill="auto"/>
          </w:tcPr>
          <w:p w14:paraId="59F9DCCB"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660 49</w:t>
            </w:r>
          </w:p>
        </w:tc>
        <w:tc>
          <w:tcPr>
            <w:tcW w:w="938" w:type="dxa"/>
            <w:tcBorders>
              <w:bottom w:val="single" w:sz="4" w:space="0" w:color="auto"/>
            </w:tcBorders>
            <w:shd w:val="clear" w:color="auto" w:fill="auto"/>
          </w:tcPr>
          <w:p w14:paraId="61982C0A" w14:textId="6077D52B"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w:t>
            </w:r>
            <w:r w:rsidR="007801B1" w:rsidRPr="000D5B62">
              <w:rPr>
                <w:rFonts w:eastAsiaTheme="minorEastAsia" w:hint="cs"/>
                <w:b/>
                <w:bCs/>
                <w:spacing w:val="-4"/>
                <w:sz w:val="18"/>
                <w:szCs w:val="18"/>
                <w:rtl/>
              </w:rPr>
              <w:t>235 2</w:t>
            </w:r>
          </w:p>
        </w:tc>
        <w:tc>
          <w:tcPr>
            <w:tcW w:w="648" w:type="dxa"/>
            <w:tcBorders>
              <w:bottom w:val="single" w:sz="4" w:space="0" w:color="auto"/>
            </w:tcBorders>
            <w:shd w:val="clear" w:color="auto" w:fill="auto"/>
          </w:tcPr>
          <w:p w14:paraId="25DE62BC" w14:textId="4B3C3B8B"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-4</w:t>
            </w:r>
            <w:r w:rsidR="00CB6827" w:rsidRPr="000D5B62">
              <w:rPr>
                <w:rFonts w:eastAsiaTheme="minorEastAsia" w:hint="cs"/>
                <w:spacing w:val="-4"/>
                <w:sz w:val="18"/>
                <w:szCs w:val="18"/>
                <w:rtl/>
              </w:rPr>
              <w:t>,</w:t>
            </w:r>
            <w:r w:rsidRPr="000D5B62">
              <w:rPr>
                <w:rFonts w:eastAsiaTheme="minorEastAsia"/>
                <w:b/>
                <w:bCs/>
                <w:spacing w:val="-4"/>
                <w:sz w:val="18"/>
                <w:szCs w:val="18"/>
                <w:rtl/>
              </w:rPr>
              <w:t>3</w:t>
            </w:r>
          </w:p>
        </w:tc>
      </w:tr>
      <w:tr w:rsidR="00803069" w:rsidRPr="000D5B62" w14:paraId="2CC9E2DB" w14:textId="77777777" w:rsidTr="00E73021">
        <w:trPr>
          <w:tblHeader/>
        </w:trPr>
        <w:tc>
          <w:tcPr>
            <w:tcW w:w="8504" w:type="dxa"/>
            <w:gridSpan w:val="9"/>
            <w:tcBorders>
              <w:top w:val="single" w:sz="4" w:space="0" w:color="auto"/>
              <w:bottom w:val="single" w:sz="4" w:space="0" w:color="auto"/>
            </w:tcBorders>
            <w:shd w:val="clear" w:color="auto" w:fill="auto"/>
          </w:tcPr>
          <w:p w14:paraId="17763487"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النسبة: الجرائم الجنسية</w:t>
            </w:r>
          </w:p>
        </w:tc>
      </w:tr>
      <w:tr w:rsidR="00803069" w:rsidRPr="000D5B62" w14:paraId="703D6232" w14:textId="77777777" w:rsidTr="00C277BB">
        <w:tc>
          <w:tcPr>
            <w:tcW w:w="2121" w:type="dxa"/>
            <w:tcBorders>
              <w:top w:val="single" w:sz="4" w:space="0" w:color="auto"/>
            </w:tcBorders>
            <w:shd w:val="clear" w:color="auto" w:fill="auto"/>
          </w:tcPr>
          <w:p w14:paraId="5810ADC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 xml:space="preserve">الاغتصاب </w:t>
            </w:r>
          </w:p>
        </w:tc>
        <w:tc>
          <w:tcPr>
            <w:tcW w:w="1045" w:type="dxa"/>
            <w:tcBorders>
              <w:top w:val="single" w:sz="4" w:space="0" w:color="auto"/>
            </w:tcBorders>
            <w:shd w:val="clear" w:color="auto" w:fill="auto"/>
          </w:tcPr>
          <w:p w14:paraId="12E8347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85,1</w:t>
            </w:r>
          </w:p>
        </w:tc>
        <w:tc>
          <w:tcPr>
            <w:tcW w:w="1330" w:type="dxa"/>
            <w:gridSpan w:val="3"/>
            <w:tcBorders>
              <w:top w:val="single" w:sz="4" w:space="0" w:color="auto"/>
            </w:tcBorders>
            <w:shd w:val="clear" w:color="auto" w:fill="auto"/>
          </w:tcPr>
          <w:p w14:paraId="71318C6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79,8</w:t>
            </w:r>
          </w:p>
        </w:tc>
        <w:tc>
          <w:tcPr>
            <w:tcW w:w="1134" w:type="dxa"/>
            <w:tcBorders>
              <w:top w:val="single" w:sz="4" w:space="0" w:color="auto"/>
            </w:tcBorders>
            <w:shd w:val="clear" w:color="auto" w:fill="auto"/>
          </w:tcPr>
          <w:p w14:paraId="14E416B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75,5</w:t>
            </w:r>
          </w:p>
        </w:tc>
        <w:tc>
          <w:tcPr>
            <w:tcW w:w="1288" w:type="dxa"/>
            <w:tcBorders>
              <w:top w:val="single" w:sz="4" w:space="0" w:color="auto"/>
            </w:tcBorders>
            <w:shd w:val="clear" w:color="auto" w:fill="auto"/>
          </w:tcPr>
          <w:p w14:paraId="0D487FD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71,3</w:t>
            </w:r>
          </w:p>
        </w:tc>
        <w:tc>
          <w:tcPr>
            <w:tcW w:w="938" w:type="dxa"/>
            <w:tcBorders>
              <w:top w:val="single" w:sz="4" w:space="0" w:color="auto"/>
            </w:tcBorders>
            <w:shd w:val="clear" w:color="auto" w:fill="auto"/>
          </w:tcPr>
          <w:p w14:paraId="315C28C7" w14:textId="1B3D012B"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w:t>
            </w:r>
            <w:r w:rsidR="00CB6827" w:rsidRPr="000D5B62">
              <w:rPr>
                <w:rFonts w:eastAsiaTheme="minorEastAsia" w:hint="cs"/>
                <w:spacing w:val="-4"/>
                <w:sz w:val="18"/>
                <w:szCs w:val="18"/>
                <w:rtl/>
              </w:rPr>
              <w:t>,</w:t>
            </w:r>
            <w:r w:rsidRPr="000D5B62">
              <w:rPr>
                <w:rFonts w:eastAsiaTheme="minorEastAsia"/>
                <w:spacing w:val="-4"/>
                <w:sz w:val="18"/>
                <w:szCs w:val="18"/>
                <w:rtl/>
              </w:rPr>
              <w:t>2</w:t>
            </w:r>
          </w:p>
        </w:tc>
        <w:tc>
          <w:tcPr>
            <w:tcW w:w="648" w:type="dxa"/>
            <w:tcBorders>
              <w:top w:val="single" w:sz="4" w:space="0" w:color="auto"/>
            </w:tcBorders>
            <w:shd w:val="clear" w:color="auto" w:fill="auto"/>
          </w:tcPr>
          <w:p w14:paraId="37952872" w14:textId="77777777" w:rsidR="00803069" w:rsidRPr="000D5B62" w:rsidRDefault="00803069" w:rsidP="00E73021">
            <w:pPr>
              <w:spacing w:before="40" w:after="40" w:line="280" w:lineRule="exact"/>
              <w:jc w:val="left"/>
              <w:rPr>
                <w:rFonts w:eastAsiaTheme="minorEastAsia"/>
                <w:bCs/>
                <w:spacing w:val="-4"/>
                <w:sz w:val="18"/>
                <w:szCs w:val="18"/>
                <w:rtl/>
              </w:rPr>
            </w:pPr>
          </w:p>
        </w:tc>
      </w:tr>
      <w:tr w:rsidR="00803069" w:rsidRPr="000D5B62" w14:paraId="3B7321EB" w14:textId="77777777" w:rsidTr="00C277BB">
        <w:tc>
          <w:tcPr>
            <w:tcW w:w="2121" w:type="dxa"/>
            <w:shd w:val="clear" w:color="auto" w:fill="auto"/>
          </w:tcPr>
          <w:p w14:paraId="7DED0E9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الاعتداء الجنسي</w:t>
            </w:r>
          </w:p>
        </w:tc>
        <w:tc>
          <w:tcPr>
            <w:tcW w:w="1045" w:type="dxa"/>
            <w:shd w:val="clear" w:color="auto" w:fill="auto"/>
          </w:tcPr>
          <w:p w14:paraId="0A56F0B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12,4</w:t>
            </w:r>
          </w:p>
        </w:tc>
        <w:tc>
          <w:tcPr>
            <w:tcW w:w="1330" w:type="dxa"/>
            <w:gridSpan w:val="3"/>
            <w:shd w:val="clear" w:color="auto" w:fill="auto"/>
          </w:tcPr>
          <w:p w14:paraId="445D2ED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11,2</w:t>
            </w:r>
          </w:p>
        </w:tc>
        <w:tc>
          <w:tcPr>
            <w:tcW w:w="1134" w:type="dxa"/>
            <w:shd w:val="clear" w:color="auto" w:fill="auto"/>
          </w:tcPr>
          <w:p w14:paraId="45DAB4D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11,3</w:t>
            </w:r>
          </w:p>
        </w:tc>
        <w:tc>
          <w:tcPr>
            <w:tcW w:w="1288" w:type="dxa"/>
            <w:shd w:val="clear" w:color="auto" w:fill="auto"/>
          </w:tcPr>
          <w:p w14:paraId="7258619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11,2</w:t>
            </w:r>
          </w:p>
        </w:tc>
        <w:tc>
          <w:tcPr>
            <w:tcW w:w="938" w:type="dxa"/>
            <w:shd w:val="clear" w:color="auto" w:fill="auto"/>
          </w:tcPr>
          <w:p w14:paraId="43A3B9C3" w14:textId="72916A8E"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1</w:t>
            </w:r>
          </w:p>
        </w:tc>
        <w:tc>
          <w:tcPr>
            <w:tcW w:w="648" w:type="dxa"/>
            <w:shd w:val="clear" w:color="auto" w:fill="auto"/>
          </w:tcPr>
          <w:p w14:paraId="7B1A4FC5" w14:textId="77777777" w:rsidR="00803069" w:rsidRPr="000D5B62" w:rsidRDefault="00803069" w:rsidP="00E73021">
            <w:pPr>
              <w:spacing w:before="40" w:after="40" w:line="280" w:lineRule="exact"/>
              <w:jc w:val="left"/>
              <w:rPr>
                <w:rFonts w:eastAsiaTheme="minorEastAsia"/>
                <w:bCs/>
                <w:spacing w:val="-4"/>
                <w:sz w:val="18"/>
                <w:szCs w:val="18"/>
                <w:rtl/>
              </w:rPr>
            </w:pPr>
          </w:p>
        </w:tc>
      </w:tr>
      <w:tr w:rsidR="00803069" w:rsidRPr="000D5B62" w14:paraId="305C01A5" w14:textId="77777777" w:rsidTr="00C277BB">
        <w:tc>
          <w:tcPr>
            <w:tcW w:w="2121" w:type="dxa"/>
            <w:shd w:val="clear" w:color="auto" w:fill="auto"/>
          </w:tcPr>
          <w:p w14:paraId="4AE8F6D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الشروع في ارتكاب جرائم جنسية</w:t>
            </w:r>
          </w:p>
        </w:tc>
        <w:tc>
          <w:tcPr>
            <w:tcW w:w="1045" w:type="dxa"/>
            <w:shd w:val="clear" w:color="auto" w:fill="auto"/>
          </w:tcPr>
          <w:p w14:paraId="665227A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5,5</w:t>
            </w:r>
          </w:p>
        </w:tc>
        <w:tc>
          <w:tcPr>
            <w:tcW w:w="1330" w:type="dxa"/>
            <w:gridSpan w:val="3"/>
            <w:shd w:val="clear" w:color="auto" w:fill="auto"/>
          </w:tcPr>
          <w:p w14:paraId="78C7856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4,9</w:t>
            </w:r>
          </w:p>
        </w:tc>
        <w:tc>
          <w:tcPr>
            <w:tcW w:w="1134" w:type="dxa"/>
            <w:shd w:val="clear" w:color="auto" w:fill="auto"/>
          </w:tcPr>
          <w:p w14:paraId="1954F36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4,7</w:t>
            </w:r>
          </w:p>
        </w:tc>
        <w:tc>
          <w:tcPr>
            <w:tcW w:w="1288" w:type="dxa"/>
            <w:shd w:val="clear" w:color="auto" w:fill="auto"/>
          </w:tcPr>
          <w:p w14:paraId="6B0A27A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3,7</w:t>
            </w:r>
          </w:p>
        </w:tc>
        <w:tc>
          <w:tcPr>
            <w:tcW w:w="938" w:type="dxa"/>
            <w:shd w:val="clear" w:color="auto" w:fill="auto"/>
          </w:tcPr>
          <w:p w14:paraId="7FA03A2F" w14:textId="203E2084"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r w:rsidR="00CB6827" w:rsidRPr="000D5B62">
              <w:rPr>
                <w:rFonts w:eastAsiaTheme="minorEastAsia" w:hint="cs"/>
                <w:spacing w:val="-4"/>
                <w:sz w:val="18"/>
                <w:szCs w:val="18"/>
                <w:rtl/>
              </w:rPr>
              <w:t>,</w:t>
            </w:r>
            <w:r w:rsidRPr="000D5B62">
              <w:rPr>
                <w:rFonts w:eastAsiaTheme="minorEastAsia"/>
                <w:spacing w:val="-4"/>
                <w:sz w:val="18"/>
                <w:szCs w:val="18"/>
                <w:rtl/>
              </w:rPr>
              <w:t>0</w:t>
            </w:r>
          </w:p>
        </w:tc>
        <w:tc>
          <w:tcPr>
            <w:tcW w:w="648" w:type="dxa"/>
            <w:shd w:val="clear" w:color="auto" w:fill="auto"/>
          </w:tcPr>
          <w:p w14:paraId="40E51B7B" w14:textId="77777777" w:rsidR="00803069" w:rsidRPr="000D5B62" w:rsidRDefault="00803069" w:rsidP="00E73021">
            <w:pPr>
              <w:spacing w:before="40" w:after="40" w:line="280" w:lineRule="exact"/>
              <w:jc w:val="left"/>
              <w:rPr>
                <w:rFonts w:eastAsiaTheme="minorEastAsia"/>
                <w:bCs/>
                <w:spacing w:val="-4"/>
                <w:sz w:val="18"/>
                <w:szCs w:val="18"/>
                <w:rtl/>
              </w:rPr>
            </w:pPr>
          </w:p>
        </w:tc>
      </w:tr>
      <w:tr w:rsidR="00803069" w:rsidRPr="000D5B62" w14:paraId="296E82BC" w14:textId="77777777" w:rsidTr="00C277BB">
        <w:tc>
          <w:tcPr>
            <w:tcW w:w="2121" w:type="dxa"/>
            <w:tcBorders>
              <w:bottom w:val="single" w:sz="4" w:space="0" w:color="auto"/>
            </w:tcBorders>
            <w:shd w:val="clear" w:color="auto" w:fill="auto"/>
          </w:tcPr>
          <w:p w14:paraId="54B7E71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جرائم جنسية ناشئة عن الاحتكاك بين الأشخاص</w:t>
            </w:r>
          </w:p>
        </w:tc>
        <w:tc>
          <w:tcPr>
            <w:tcW w:w="1045" w:type="dxa"/>
            <w:tcBorders>
              <w:bottom w:val="single" w:sz="4" w:space="0" w:color="auto"/>
            </w:tcBorders>
            <w:shd w:val="clear" w:color="auto" w:fill="auto"/>
          </w:tcPr>
          <w:p w14:paraId="2E2A2B0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w:t>
            </w:r>
          </w:p>
        </w:tc>
        <w:tc>
          <w:tcPr>
            <w:tcW w:w="1330" w:type="dxa"/>
            <w:gridSpan w:val="3"/>
            <w:tcBorders>
              <w:bottom w:val="single" w:sz="4" w:space="0" w:color="auto"/>
            </w:tcBorders>
            <w:shd w:val="clear" w:color="auto" w:fill="auto"/>
          </w:tcPr>
          <w:p w14:paraId="22C0E60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3,1</w:t>
            </w:r>
          </w:p>
        </w:tc>
        <w:tc>
          <w:tcPr>
            <w:tcW w:w="1134" w:type="dxa"/>
            <w:tcBorders>
              <w:bottom w:val="single" w:sz="4" w:space="0" w:color="auto"/>
            </w:tcBorders>
            <w:shd w:val="clear" w:color="auto" w:fill="auto"/>
          </w:tcPr>
          <w:p w14:paraId="5D44C55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2,9</w:t>
            </w:r>
          </w:p>
        </w:tc>
        <w:tc>
          <w:tcPr>
            <w:tcW w:w="1288" w:type="dxa"/>
            <w:tcBorders>
              <w:bottom w:val="single" w:sz="4" w:space="0" w:color="auto"/>
            </w:tcBorders>
            <w:shd w:val="clear" w:color="auto" w:fill="auto"/>
          </w:tcPr>
          <w:p w14:paraId="3253D36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2,7</w:t>
            </w:r>
          </w:p>
        </w:tc>
        <w:tc>
          <w:tcPr>
            <w:tcW w:w="938" w:type="dxa"/>
            <w:tcBorders>
              <w:bottom w:val="single" w:sz="4" w:space="0" w:color="auto"/>
            </w:tcBorders>
            <w:shd w:val="clear" w:color="auto" w:fill="auto"/>
          </w:tcPr>
          <w:p w14:paraId="54E1073B" w14:textId="0AFA881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3</w:t>
            </w:r>
          </w:p>
        </w:tc>
        <w:tc>
          <w:tcPr>
            <w:tcW w:w="648" w:type="dxa"/>
            <w:tcBorders>
              <w:bottom w:val="single" w:sz="4" w:space="0" w:color="auto"/>
            </w:tcBorders>
            <w:shd w:val="clear" w:color="auto" w:fill="auto"/>
          </w:tcPr>
          <w:p w14:paraId="57DF37DA" w14:textId="77777777" w:rsidR="00803069" w:rsidRPr="000D5B62" w:rsidRDefault="00803069" w:rsidP="00E73021">
            <w:pPr>
              <w:spacing w:before="40" w:after="40" w:line="280" w:lineRule="exact"/>
              <w:jc w:val="left"/>
              <w:rPr>
                <w:rFonts w:eastAsiaTheme="minorEastAsia"/>
                <w:bCs/>
                <w:spacing w:val="-4"/>
                <w:sz w:val="18"/>
                <w:szCs w:val="18"/>
                <w:rtl/>
              </w:rPr>
            </w:pPr>
          </w:p>
        </w:tc>
      </w:tr>
      <w:tr w:rsidR="00803069" w:rsidRPr="000D5B62" w14:paraId="27BB9D02" w14:textId="77777777" w:rsidTr="00E73021">
        <w:trPr>
          <w:tblHeader/>
        </w:trPr>
        <w:tc>
          <w:tcPr>
            <w:tcW w:w="8504" w:type="dxa"/>
            <w:gridSpan w:val="9"/>
            <w:tcBorders>
              <w:top w:val="single" w:sz="4" w:space="0" w:color="auto"/>
              <w:bottom w:val="single" w:sz="4" w:space="0" w:color="auto"/>
            </w:tcBorders>
            <w:shd w:val="clear" w:color="auto" w:fill="auto"/>
          </w:tcPr>
          <w:p w14:paraId="0F9A264A"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الفئات الفرعية من جريمة الاعتداء بنية إلحاق أذى شديد</w:t>
            </w:r>
          </w:p>
        </w:tc>
      </w:tr>
      <w:tr w:rsidR="00803069" w:rsidRPr="000D5B62" w14:paraId="360EDDC0" w14:textId="77777777" w:rsidTr="00E73021">
        <w:tc>
          <w:tcPr>
            <w:tcW w:w="2121" w:type="dxa"/>
            <w:tcBorders>
              <w:top w:val="single" w:sz="4" w:space="0" w:color="auto"/>
            </w:tcBorders>
            <w:shd w:val="clear" w:color="auto" w:fill="auto"/>
          </w:tcPr>
          <w:p w14:paraId="63830B1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 xml:space="preserve">سرقة السيارات </w:t>
            </w:r>
          </w:p>
        </w:tc>
        <w:tc>
          <w:tcPr>
            <w:tcW w:w="1045" w:type="dxa"/>
            <w:tcBorders>
              <w:top w:val="single" w:sz="4" w:space="0" w:color="auto"/>
            </w:tcBorders>
            <w:shd w:val="clear" w:color="auto" w:fill="auto"/>
          </w:tcPr>
          <w:p w14:paraId="354CBE5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180 11</w:t>
            </w:r>
          </w:p>
        </w:tc>
        <w:tc>
          <w:tcPr>
            <w:tcW w:w="1288" w:type="dxa"/>
            <w:gridSpan w:val="2"/>
            <w:tcBorders>
              <w:top w:val="single" w:sz="4" w:space="0" w:color="auto"/>
            </w:tcBorders>
            <w:shd w:val="clear" w:color="auto" w:fill="auto"/>
          </w:tcPr>
          <w:p w14:paraId="5C2E81F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773 12</w:t>
            </w:r>
          </w:p>
        </w:tc>
        <w:tc>
          <w:tcPr>
            <w:tcW w:w="1176" w:type="dxa"/>
            <w:gridSpan w:val="2"/>
            <w:tcBorders>
              <w:top w:val="single" w:sz="4" w:space="0" w:color="auto"/>
            </w:tcBorders>
            <w:shd w:val="clear" w:color="auto" w:fill="auto"/>
          </w:tcPr>
          <w:p w14:paraId="7F3CDEA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602 14</w:t>
            </w:r>
          </w:p>
        </w:tc>
        <w:tc>
          <w:tcPr>
            <w:tcW w:w="1288" w:type="dxa"/>
            <w:tcBorders>
              <w:top w:val="single" w:sz="4" w:space="0" w:color="auto"/>
            </w:tcBorders>
            <w:shd w:val="clear" w:color="auto" w:fill="auto"/>
          </w:tcPr>
          <w:p w14:paraId="5D37C66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717 16</w:t>
            </w:r>
          </w:p>
        </w:tc>
        <w:tc>
          <w:tcPr>
            <w:tcW w:w="938" w:type="dxa"/>
            <w:tcBorders>
              <w:top w:val="single" w:sz="4" w:space="0" w:color="auto"/>
            </w:tcBorders>
            <w:shd w:val="clear" w:color="auto" w:fill="auto"/>
          </w:tcPr>
          <w:p w14:paraId="3FC232C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115 2</w:t>
            </w:r>
          </w:p>
        </w:tc>
        <w:tc>
          <w:tcPr>
            <w:tcW w:w="648" w:type="dxa"/>
            <w:tcBorders>
              <w:top w:val="single" w:sz="4" w:space="0" w:color="auto"/>
            </w:tcBorders>
            <w:shd w:val="clear" w:color="auto" w:fill="auto"/>
          </w:tcPr>
          <w:p w14:paraId="1823F23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14,5</w:t>
            </w:r>
          </w:p>
        </w:tc>
      </w:tr>
      <w:tr w:rsidR="00803069" w:rsidRPr="000D5B62" w14:paraId="582B2BD5" w14:textId="77777777" w:rsidTr="00E73021">
        <w:tc>
          <w:tcPr>
            <w:tcW w:w="2121" w:type="dxa"/>
            <w:shd w:val="clear" w:color="auto" w:fill="auto"/>
          </w:tcPr>
          <w:p w14:paraId="735DDF1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خطف الشاحنات</w:t>
            </w:r>
          </w:p>
        </w:tc>
        <w:tc>
          <w:tcPr>
            <w:tcW w:w="1045" w:type="dxa"/>
            <w:shd w:val="clear" w:color="auto" w:fill="auto"/>
          </w:tcPr>
          <w:p w14:paraId="7343AAF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991</w:t>
            </w:r>
          </w:p>
        </w:tc>
        <w:tc>
          <w:tcPr>
            <w:tcW w:w="1288" w:type="dxa"/>
            <w:gridSpan w:val="2"/>
            <w:shd w:val="clear" w:color="auto" w:fill="auto"/>
          </w:tcPr>
          <w:p w14:paraId="06021E6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279 1</w:t>
            </w:r>
          </w:p>
        </w:tc>
        <w:tc>
          <w:tcPr>
            <w:tcW w:w="1176" w:type="dxa"/>
            <w:gridSpan w:val="2"/>
            <w:shd w:val="clear" w:color="auto" w:fill="auto"/>
          </w:tcPr>
          <w:p w14:paraId="1A54D4B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184 1</w:t>
            </w:r>
          </w:p>
        </w:tc>
        <w:tc>
          <w:tcPr>
            <w:tcW w:w="1288" w:type="dxa"/>
            <w:shd w:val="clear" w:color="auto" w:fill="auto"/>
          </w:tcPr>
          <w:p w14:paraId="437264E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183 1</w:t>
            </w:r>
          </w:p>
        </w:tc>
        <w:tc>
          <w:tcPr>
            <w:tcW w:w="938" w:type="dxa"/>
            <w:shd w:val="clear" w:color="auto" w:fill="auto"/>
          </w:tcPr>
          <w:p w14:paraId="1694B5C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p>
        </w:tc>
        <w:tc>
          <w:tcPr>
            <w:tcW w:w="648" w:type="dxa"/>
            <w:shd w:val="clear" w:color="auto" w:fill="auto"/>
          </w:tcPr>
          <w:p w14:paraId="620E42F2" w14:textId="0875D1EC"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1</w:t>
            </w:r>
          </w:p>
        </w:tc>
      </w:tr>
      <w:tr w:rsidR="00803069" w:rsidRPr="000D5B62" w14:paraId="5F891E9F" w14:textId="77777777" w:rsidTr="00E73021">
        <w:tc>
          <w:tcPr>
            <w:tcW w:w="2121" w:type="dxa"/>
            <w:shd w:val="clear" w:color="auto" w:fill="auto"/>
          </w:tcPr>
          <w:p w14:paraId="0B3D762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النقود في أثناء عملية نقلها</w:t>
            </w:r>
          </w:p>
        </w:tc>
        <w:tc>
          <w:tcPr>
            <w:tcW w:w="1045" w:type="dxa"/>
            <w:shd w:val="clear" w:color="auto" w:fill="auto"/>
          </w:tcPr>
          <w:p w14:paraId="4FE98B1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145</w:t>
            </w:r>
          </w:p>
        </w:tc>
        <w:tc>
          <w:tcPr>
            <w:tcW w:w="1288" w:type="dxa"/>
            <w:gridSpan w:val="2"/>
            <w:shd w:val="clear" w:color="auto" w:fill="auto"/>
          </w:tcPr>
          <w:p w14:paraId="4D8A70B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119</w:t>
            </w:r>
          </w:p>
        </w:tc>
        <w:tc>
          <w:tcPr>
            <w:tcW w:w="1176" w:type="dxa"/>
            <w:gridSpan w:val="2"/>
            <w:shd w:val="clear" w:color="auto" w:fill="auto"/>
          </w:tcPr>
          <w:p w14:paraId="5312D12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137</w:t>
            </w:r>
          </w:p>
        </w:tc>
        <w:tc>
          <w:tcPr>
            <w:tcW w:w="1288" w:type="dxa"/>
            <w:shd w:val="clear" w:color="auto" w:fill="auto"/>
          </w:tcPr>
          <w:p w14:paraId="13EEB99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152</w:t>
            </w:r>
          </w:p>
        </w:tc>
        <w:tc>
          <w:tcPr>
            <w:tcW w:w="938" w:type="dxa"/>
            <w:shd w:val="clear" w:color="auto" w:fill="auto"/>
          </w:tcPr>
          <w:p w14:paraId="4853537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15</w:t>
            </w:r>
          </w:p>
        </w:tc>
        <w:tc>
          <w:tcPr>
            <w:tcW w:w="648" w:type="dxa"/>
            <w:shd w:val="clear" w:color="auto" w:fill="auto"/>
          </w:tcPr>
          <w:p w14:paraId="3FB6B6A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10,9</w:t>
            </w:r>
          </w:p>
        </w:tc>
      </w:tr>
      <w:tr w:rsidR="00803069" w:rsidRPr="000D5B62" w14:paraId="4F795845" w14:textId="77777777" w:rsidTr="00E73021">
        <w:tc>
          <w:tcPr>
            <w:tcW w:w="2121" w:type="dxa"/>
            <w:tcBorders>
              <w:bottom w:val="nil"/>
            </w:tcBorders>
            <w:shd w:val="clear" w:color="auto" w:fill="auto"/>
          </w:tcPr>
          <w:p w14:paraId="2A68955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السطو على البنوك</w:t>
            </w:r>
          </w:p>
        </w:tc>
        <w:tc>
          <w:tcPr>
            <w:tcW w:w="1045" w:type="dxa"/>
            <w:tcBorders>
              <w:bottom w:val="nil"/>
            </w:tcBorders>
            <w:shd w:val="clear" w:color="auto" w:fill="auto"/>
          </w:tcPr>
          <w:p w14:paraId="093569A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21</w:t>
            </w:r>
          </w:p>
        </w:tc>
        <w:tc>
          <w:tcPr>
            <w:tcW w:w="1288" w:type="dxa"/>
            <w:gridSpan w:val="2"/>
            <w:tcBorders>
              <w:bottom w:val="nil"/>
            </w:tcBorders>
            <w:shd w:val="clear" w:color="auto" w:fill="auto"/>
          </w:tcPr>
          <w:p w14:paraId="6122A64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17</w:t>
            </w:r>
          </w:p>
        </w:tc>
        <w:tc>
          <w:tcPr>
            <w:tcW w:w="1176" w:type="dxa"/>
            <w:gridSpan w:val="2"/>
            <w:tcBorders>
              <w:bottom w:val="nil"/>
            </w:tcBorders>
            <w:shd w:val="clear" w:color="auto" w:fill="auto"/>
          </w:tcPr>
          <w:p w14:paraId="0951A24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w:t>
            </w:r>
          </w:p>
        </w:tc>
        <w:tc>
          <w:tcPr>
            <w:tcW w:w="1288" w:type="dxa"/>
            <w:tcBorders>
              <w:bottom w:val="nil"/>
            </w:tcBorders>
            <w:shd w:val="clear" w:color="auto" w:fill="auto"/>
          </w:tcPr>
          <w:p w14:paraId="1BCB1EE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w:t>
            </w:r>
          </w:p>
        </w:tc>
        <w:tc>
          <w:tcPr>
            <w:tcW w:w="938" w:type="dxa"/>
            <w:tcBorders>
              <w:bottom w:val="nil"/>
            </w:tcBorders>
            <w:shd w:val="clear" w:color="auto" w:fill="auto"/>
          </w:tcPr>
          <w:p w14:paraId="5A6DB56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w:t>
            </w:r>
          </w:p>
        </w:tc>
        <w:tc>
          <w:tcPr>
            <w:tcW w:w="648" w:type="dxa"/>
            <w:tcBorders>
              <w:bottom w:val="nil"/>
            </w:tcBorders>
            <w:shd w:val="clear" w:color="auto" w:fill="auto"/>
          </w:tcPr>
          <w:p w14:paraId="3DD5D5D6" w14:textId="286A95A0"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w:t>
            </w:r>
            <w:r w:rsidR="00CB6827" w:rsidRPr="000D5B62">
              <w:rPr>
                <w:rFonts w:eastAsiaTheme="minorEastAsia" w:hint="cs"/>
                <w:spacing w:val="-4"/>
                <w:sz w:val="18"/>
                <w:szCs w:val="18"/>
                <w:rtl/>
              </w:rPr>
              <w:t>,</w:t>
            </w:r>
            <w:r w:rsidRPr="000D5B62">
              <w:rPr>
                <w:rFonts w:eastAsiaTheme="minorEastAsia"/>
                <w:spacing w:val="-4"/>
                <w:sz w:val="18"/>
                <w:szCs w:val="18"/>
                <w:rtl/>
              </w:rPr>
              <w:t>0</w:t>
            </w:r>
          </w:p>
        </w:tc>
      </w:tr>
      <w:tr w:rsidR="00803069" w:rsidRPr="000D5B62" w14:paraId="0DC6B13E" w14:textId="77777777" w:rsidTr="00E73021">
        <w:tc>
          <w:tcPr>
            <w:tcW w:w="2121" w:type="dxa"/>
            <w:tcBorders>
              <w:top w:val="nil"/>
              <w:bottom w:val="nil"/>
            </w:tcBorders>
            <w:shd w:val="clear" w:color="auto" w:fill="auto"/>
          </w:tcPr>
          <w:p w14:paraId="7D3C2D9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السطو على مباني سكنية</w:t>
            </w:r>
          </w:p>
        </w:tc>
        <w:tc>
          <w:tcPr>
            <w:tcW w:w="1045" w:type="dxa"/>
            <w:tcBorders>
              <w:top w:val="nil"/>
              <w:bottom w:val="nil"/>
            </w:tcBorders>
            <w:shd w:val="clear" w:color="auto" w:fill="auto"/>
          </w:tcPr>
          <w:p w14:paraId="08AF35C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284 19</w:t>
            </w:r>
          </w:p>
        </w:tc>
        <w:tc>
          <w:tcPr>
            <w:tcW w:w="1288" w:type="dxa"/>
            <w:gridSpan w:val="2"/>
            <w:tcBorders>
              <w:top w:val="nil"/>
              <w:bottom w:val="nil"/>
            </w:tcBorders>
            <w:shd w:val="clear" w:color="auto" w:fill="auto"/>
          </w:tcPr>
          <w:p w14:paraId="44B0023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281 20</w:t>
            </w:r>
          </w:p>
        </w:tc>
        <w:tc>
          <w:tcPr>
            <w:tcW w:w="1176" w:type="dxa"/>
            <w:gridSpan w:val="2"/>
            <w:tcBorders>
              <w:top w:val="nil"/>
              <w:bottom w:val="nil"/>
            </w:tcBorders>
            <w:shd w:val="clear" w:color="auto" w:fill="auto"/>
          </w:tcPr>
          <w:p w14:paraId="2F51E4C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820 20</w:t>
            </w:r>
          </w:p>
        </w:tc>
        <w:tc>
          <w:tcPr>
            <w:tcW w:w="1288" w:type="dxa"/>
            <w:tcBorders>
              <w:top w:val="nil"/>
              <w:bottom w:val="nil"/>
            </w:tcBorders>
            <w:shd w:val="clear" w:color="auto" w:fill="auto"/>
          </w:tcPr>
          <w:p w14:paraId="73C2763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343 22</w:t>
            </w:r>
          </w:p>
        </w:tc>
        <w:tc>
          <w:tcPr>
            <w:tcW w:w="938" w:type="dxa"/>
            <w:tcBorders>
              <w:top w:val="nil"/>
              <w:bottom w:val="nil"/>
            </w:tcBorders>
            <w:shd w:val="clear" w:color="auto" w:fill="auto"/>
          </w:tcPr>
          <w:p w14:paraId="063EFB1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523 1</w:t>
            </w:r>
          </w:p>
        </w:tc>
        <w:tc>
          <w:tcPr>
            <w:tcW w:w="648" w:type="dxa"/>
            <w:tcBorders>
              <w:top w:val="nil"/>
              <w:bottom w:val="nil"/>
            </w:tcBorders>
            <w:shd w:val="clear" w:color="auto" w:fill="auto"/>
          </w:tcPr>
          <w:p w14:paraId="3933A82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7,3</w:t>
            </w:r>
          </w:p>
        </w:tc>
      </w:tr>
      <w:tr w:rsidR="00803069" w:rsidRPr="000D5B62" w14:paraId="0B34696A" w14:textId="77777777" w:rsidTr="00E73021">
        <w:tc>
          <w:tcPr>
            <w:tcW w:w="2121" w:type="dxa"/>
            <w:tcBorders>
              <w:top w:val="nil"/>
            </w:tcBorders>
            <w:shd w:val="clear" w:color="auto" w:fill="auto"/>
          </w:tcPr>
          <w:p w14:paraId="1A8A5F8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السطو على المباني غير السكنية</w:t>
            </w:r>
          </w:p>
        </w:tc>
        <w:tc>
          <w:tcPr>
            <w:tcW w:w="1045" w:type="dxa"/>
            <w:tcBorders>
              <w:top w:val="nil"/>
            </w:tcBorders>
            <w:shd w:val="clear" w:color="auto" w:fill="auto"/>
          </w:tcPr>
          <w:p w14:paraId="497FAD3C"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573 18</w:t>
            </w:r>
          </w:p>
        </w:tc>
        <w:tc>
          <w:tcPr>
            <w:tcW w:w="1288" w:type="dxa"/>
            <w:gridSpan w:val="2"/>
            <w:tcBorders>
              <w:top w:val="nil"/>
            </w:tcBorders>
            <w:shd w:val="clear" w:color="auto" w:fill="auto"/>
          </w:tcPr>
          <w:p w14:paraId="4225C5E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170 19</w:t>
            </w:r>
          </w:p>
        </w:tc>
        <w:tc>
          <w:tcPr>
            <w:tcW w:w="1176" w:type="dxa"/>
            <w:gridSpan w:val="2"/>
            <w:tcBorders>
              <w:top w:val="nil"/>
            </w:tcBorders>
            <w:shd w:val="clear" w:color="auto" w:fill="auto"/>
          </w:tcPr>
          <w:p w14:paraId="3E268A2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698 19</w:t>
            </w:r>
          </w:p>
        </w:tc>
        <w:tc>
          <w:tcPr>
            <w:tcW w:w="1288" w:type="dxa"/>
            <w:tcBorders>
              <w:top w:val="nil"/>
            </w:tcBorders>
            <w:shd w:val="clear" w:color="auto" w:fill="auto"/>
          </w:tcPr>
          <w:p w14:paraId="678F0CC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680 20</w:t>
            </w:r>
          </w:p>
        </w:tc>
        <w:tc>
          <w:tcPr>
            <w:tcW w:w="938" w:type="dxa"/>
            <w:tcBorders>
              <w:top w:val="nil"/>
            </w:tcBorders>
            <w:shd w:val="clear" w:color="auto" w:fill="auto"/>
          </w:tcPr>
          <w:p w14:paraId="75EB005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982</w:t>
            </w:r>
          </w:p>
        </w:tc>
        <w:tc>
          <w:tcPr>
            <w:tcW w:w="648" w:type="dxa"/>
            <w:tcBorders>
              <w:top w:val="nil"/>
            </w:tcBorders>
            <w:shd w:val="clear" w:color="auto" w:fill="auto"/>
          </w:tcPr>
          <w:p w14:paraId="537A059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w:t>
            </w:r>
          </w:p>
        </w:tc>
      </w:tr>
      <w:tr w:rsidR="00803069" w:rsidRPr="000D5B62" w14:paraId="31CEECD6" w14:textId="77777777" w:rsidTr="00E73021">
        <w:tc>
          <w:tcPr>
            <w:tcW w:w="2121" w:type="dxa"/>
            <w:shd w:val="clear" w:color="auto" w:fill="auto"/>
          </w:tcPr>
          <w:p w14:paraId="74BCC3E6"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الجرائم الثلاثية</w:t>
            </w:r>
          </w:p>
        </w:tc>
        <w:tc>
          <w:tcPr>
            <w:tcW w:w="1045" w:type="dxa"/>
            <w:shd w:val="clear" w:color="auto" w:fill="auto"/>
          </w:tcPr>
          <w:p w14:paraId="08B437D5"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037 49</w:t>
            </w:r>
          </w:p>
        </w:tc>
        <w:tc>
          <w:tcPr>
            <w:tcW w:w="1288" w:type="dxa"/>
            <w:gridSpan w:val="2"/>
            <w:shd w:val="clear" w:color="auto" w:fill="auto"/>
          </w:tcPr>
          <w:p w14:paraId="04CEA1CD"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224 52</w:t>
            </w:r>
          </w:p>
        </w:tc>
        <w:tc>
          <w:tcPr>
            <w:tcW w:w="1176" w:type="dxa"/>
            <w:gridSpan w:val="2"/>
            <w:shd w:val="clear" w:color="auto" w:fill="auto"/>
          </w:tcPr>
          <w:p w14:paraId="0621EA87"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120 55</w:t>
            </w:r>
          </w:p>
        </w:tc>
        <w:tc>
          <w:tcPr>
            <w:tcW w:w="1288" w:type="dxa"/>
            <w:shd w:val="clear" w:color="auto" w:fill="auto"/>
          </w:tcPr>
          <w:p w14:paraId="5E2EE13B"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740 59</w:t>
            </w:r>
          </w:p>
        </w:tc>
        <w:tc>
          <w:tcPr>
            <w:tcW w:w="938" w:type="dxa"/>
            <w:shd w:val="clear" w:color="auto" w:fill="auto"/>
          </w:tcPr>
          <w:p w14:paraId="47838A5F"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620 4</w:t>
            </w:r>
          </w:p>
        </w:tc>
        <w:tc>
          <w:tcPr>
            <w:tcW w:w="648" w:type="dxa"/>
            <w:shd w:val="clear" w:color="auto" w:fill="auto"/>
          </w:tcPr>
          <w:p w14:paraId="1C60349B"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Cs/>
                <w:spacing w:val="-4"/>
                <w:sz w:val="18"/>
                <w:szCs w:val="18"/>
                <w:rtl/>
              </w:rPr>
              <w:t>8,4</w:t>
            </w:r>
          </w:p>
        </w:tc>
      </w:tr>
      <w:tr w:rsidR="00803069" w:rsidRPr="000D5B62" w14:paraId="62FF58D9" w14:textId="77777777" w:rsidTr="00E73021">
        <w:tc>
          <w:tcPr>
            <w:tcW w:w="2121" w:type="dxa"/>
            <w:shd w:val="clear" w:color="auto" w:fill="auto"/>
          </w:tcPr>
          <w:p w14:paraId="6A608F01"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فئات فرعية من السرقة المقترنة بظروف مشدِدة للعقوبة</w:t>
            </w:r>
          </w:p>
        </w:tc>
        <w:tc>
          <w:tcPr>
            <w:tcW w:w="1045" w:type="dxa"/>
            <w:shd w:val="clear" w:color="auto" w:fill="auto"/>
          </w:tcPr>
          <w:p w14:paraId="155AFB39"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194 50</w:t>
            </w:r>
          </w:p>
        </w:tc>
        <w:tc>
          <w:tcPr>
            <w:tcW w:w="1288" w:type="dxa"/>
            <w:gridSpan w:val="2"/>
            <w:shd w:val="clear" w:color="auto" w:fill="auto"/>
          </w:tcPr>
          <w:p w14:paraId="5E6475B9"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639 53</w:t>
            </w:r>
          </w:p>
        </w:tc>
        <w:tc>
          <w:tcPr>
            <w:tcW w:w="1176" w:type="dxa"/>
            <w:gridSpan w:val="2"/>
            <w:shd w:val="clear" w:color="auto" w:fill="auto"/>
          </w:tcPr>
          <w:p w14:paraId="4F052701"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447 56</w:t>
            </w:r>
          </w:p>
        </w:tc>
        <w:tc>
          <w:tcPr>
            <w:tcW w:w="1288" w:type="dxa"/>
            <w:shd w:val="clear" w:color="auto" w:fill="auto"/>
          </w:tcPr>
          <w:p w14:paraId="13B62151"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078 61</w:t>
            </w:r>
          </w:p>
        </w:tc>
        <w:tc>
          <w:tcPr>
            <w:tcW w:w="938" w:type="dxa"/>
            <w:shd w:val="clear" w:color="auto" w:fill="auto"/>
          </w:tcPr>
          <w:p w14:paraId="4D28CCA2"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631 4</w:t>
            </w:r>
          </w:p>
        </w:tc>
        <w:tc>
          <w:tcPr>
            <w:tcW w:w="648" w:type="dxa"/>
            <w:shd w:val="clear" w:color="auto" w:fill="auto"/>
          </w:tcPr>
          <w:p w14:paraId="313F4323"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Cs/>
                <w:spacing w:val="-4"/>
                <w:sz w:val="18"/>
                <w:szCs w:val="18"/>
                <w:rtl/>
              </w:rPr>
              <w:t>8,2</w:t>
            </w:r>
          </w:p>
        </w:tc>
      </w:tr>
      <w:tr w:rsidR="00803069" w:rsidRPr="000D5B62" w14:paraId="6C0645CC" w14:textId="77777777" w:rsidTr="00E73021">
        <w:tc>
          <w:tcPr>
            <w:tcW w:w="2121" w:type="dxa"/>
            <w:tcBorders>
              <w:bottom w:val="nil"/>
            </w:tcBorders>
            <w:shd w:val="clear" w:color="auto" w:fill="auto"/>
          </w:tcPr>
          <w:p w14:paraId="7900737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 xml:space="preserve">الحرق عمداً </w:t>
            </w:r>
          </w:p>
        </w:tc>
        <w:tc>
          <w:tcPr>
            <w:tcW w:w="1045" w:type="dxa"/>
            <w:tcBorders>
              <w:bottom w:val="nil"/>
            </w:tcBorders>
            <w:shd w:val="clear" w:color="auto" w:fill="auto"/>
          </w:tcPr>
          <w:p w14:paraId="2159A47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458 5</w:t>
            </w:r>
          </w:p>
        </w:tc>
        <w:tc>
          <w:tcPr>
            <w:tcW w:w="1288" w:type="dxa"/>
            <w:gridSpan w:val="2"/>
            <w:tcBorders>
              <w:bottom w:val="nil"/>
            </w:tcBorders>
            <w:shd w:val="clear" w:color="auto" w:fill="auto"/>
          </w:tcPr>
          <w:p w14:paraId="07086C1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127 5</w:t>
            </w:r>
          </w:p>
        </w:tc>
        <w:tc>
          <w:tcPr>
            <w:tcW w:w="1176" w:type="dxa"/>
            <w:gridSpan w:val="2"/>
            <w:tcBorders>
              <w:bottom w:val="nil"/>
            </w:tcBorders>
            <w:shd w:val="clear" w:color="auto" w:fill="auto"/>
          </w:tcPr>
          <w:p w14:paraId="69275A90"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903 4</w:t>
            </w:r>
          </w:p>
        </w:tc>
        <w:tc>
          <w:tcPr>
            <w:tcW w:w="1288" w:type="dxa"/>
            <w:tcBorders>
              <w:bottom w:val="nil"/>
            </w:tcBorders>
            <w:shd w:val="clear" w:color="auto" w:fill="auto"/>
          </w:tcPr>
          <w:p w14:paraId="25CA2699"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321 4</w:t>
            </w:r>
          </w:p>
        </w:tc>
        <w:tc>
          <w:tcPr>
            <w:tcW w:w="938" w:type="dxa"/>
            <w:tcBorders>
              <w:bottom w:val="nil"/>
            </w:tcBorders>
            <w:shd w:val="clear" w:color="auto" w:fill="auto"/>
          </w:tcPr>
          <w:p w14:paraId="57377EB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-582</w:t>
            </w:r>
          </w:p>
        </w:tc>
        <w:tc>
          <w:tcPr>
            <w:tcW w:w="648" w:type="dxa"/>
            <w:tcBorders>
              <w:bottom w:val="nil"/>
            </w:tcBorders>
            <w:shd w:val="clear" w:color="auto" w:fill="auto"/>
          </w:tcPr>
          <w:p w14:paraId="07052919" w14:textId="436E35BA"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w:t>
            </w:r>
            <w:r w:rsidR="00CB6827" w:rsidRPr="000D5B62">
              <w:rPr>
                <w:rFonts w:eastAsiaTheme="minorEastAsia" w:hint="cs"/>
                <w:spacing w:val="-4"/>
                <w:sz w:val="18"/>
                <w:szCs w:val="18"/>
                <w:rtl/>
              </w:rPr>
              <w:t>,</w:t>
            </w:r>
            <w:r w:rsidRPr="000D5B62">
              <w:rPr>
                <w:rFonts w:eastAsiaTheme="minorEastAsia"/>
                <w:spacing w:val="-4"/>
                <w:sz w:val="18"/>
                <w:szCs w:val="18"/>
                <w:rtl/>
              </w:rPr>
              <w:t>9</w:t>
            </w:r>
          </w:p>
        </w:tc>
      </w:tr>
      <w:tr w:rsidR="00803069" w:rsidRPr="000D5B62" w14:paraId="66B37F6D" w14:textId="77777777" w:rsidTr="00E73021">
        <w:tc>
          <w:tcPr>
            <w:tcW w:w="2121" w:type="dxa"/>
            <w:tcBorders>
              <w:top w:val="nil"/>
              <w:bottom w:val="nil"/>
            </w:tcBorders>
            <w:shd w:val="clear" w:color="auto" w:fill="auto"/>
          </w:tcPr>
          <w:p w14:paraId="47B0994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إتلاف الممتلكات عمداً</w:t>
            </w:r>
          </w:p>
        </w:tc>
        <w:tc>
          <w:tcPr>
            <w:tcW w:w="1045" w:type="dxa"/>
            <w:tcBorders>
              <w:top w:val="nil"/>
              <w:bottom w:val="nil"/>
            </w:tcBorders>
            <w:shd w:val="clear" w:color="auto" w:fill="auto"/>
          </w:tcPr>
          <w:p w14:paraId="5CF4D723"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983 117</w:t>
            </w:r>
          </w:p>
        </w:tc>
        <w:tc>
          <w:tcPr>
            <w:tcW w:w="1288" w:type="dxa"/>
            <w:gridSpan w:val="2"/>
            <w:tcBorders>
              <w:top w:val="nil"/>
              <w:bottom w:val="nil"/>
            </w:tcBorders>
            <w:shd w:val="clear" w:color="auto" w:fill="auto"/>
          </w:tcPr>
          <w:p w14:paraId="37EE493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662 120</w:t>
            </w:r>
          </w:p>
        </w:tc>
        <w:tc>
          <w:tcPr>
            <w:tcW w:w="1176" w:type="dxa"/>
            <w:gridSpan w:val="2"/>
            <w:tcBorders>
              <w:top w:val="nil"/>
              <w:bottom w:val="nil"/>
            </w:tcBorders>
            <w:shd w:val="clear" w:color="auto" w:fill="auto"/>
          </w:tcPr>
          <w:p w14:paraId="4B7B5AE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901 119</w:t>
            </w:r>
          </w:p>
        </w:tc>
        <w:tc>
          <w:tcPr>
            <w:tcW w:w="1288" w:type="dxa"/>
            <w:tcBorders>
              <w:top w:val="nil"/>
              <w:bottom w:val="nil"/>
            </w:tcBorders>
            <w:shd w:val="clear" w:color="auto" w:fill="auto"/>
          </w:tcPr>
          <w:p w14:paraId="565A67C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409 116</w:t>
            </w:r>
          </w:p>
        </w:tc>
        <w:tc>
          <w:tcPr>
            <w:tcW w:w="938" w:type="dxa"/>
            <w:tcBorders>
              <w:top w:val="nil"/>
              <w:bottom w:val="nil"/>
            </w:tcBorders>
            <w:shd w:val="clear" w:color="auto" w:fill="auto"/>
          </w:tcPr>
          <w:p w14:paraId="654BB7F9" w14:textId="0F284ECF"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8D1EE5" w:rsidRPr="000D5B62">
              <w:rPr>
                <w:rFonts w:eastAsiaTheme="minorEastAsia" w:hint="cs"/>
                <w:spacing w:val="-4"/>
                <w:sz w:val="18"/>
                <w:szCs w:val="18"/>
                <w:rtl/>
              </w:rPr>
              <w:t>492 3</w:t>
            </w:r>
          </w:p>
        </w:tc>
        <w:tc>
          <w:tcPr>
            <w:tcW w:w="648" w:type="dxa"/>
            <w:tcBorders>
              <w:top w:val="nil"/>
              <w:bottom w:val="nil"/>
            </w:tcBorders>
            <w:shd w:val="clear" w:color="auto" w:fill="auto"/>
          </w:tcPr>
          <w:p w14:paraId="24DDA945" w14:textId="58395450"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w:t>
            </w:r>
            <w:r w:rsidR="00CB6827" w:rsidRPr="000D5B62">
              <w:rPr>
                <w:rFonts w:eastAsiaTheme="minorEastAsia" w:hint="cs"/>
                <w:spacing w:val="-4"/>
                <w:sz w:val="18"/>
                <w:szCs w:val="18"/>
                <w:rtl/>
              </w:rPr>
              <w:t>,</w:t>
            </w:r>
            <w:r w:rsidRPr="000D5B62">
              <w:rPr>
                <w:rFonts w:eastAsiaTheme="minorEastAsia"/>
                <w:spacing w:val="-4"/>
                <w:sz w:val="18"/>
                <w:szCs w:val="18"/>
                <w:rtl/>
              </w:rPr>
              <w:t>9</w:t>
            </w:r>
          </w:p>
        </w:tc>
      </w:tr>
      <w:tr w:rsidR="00803069" w:rsidRPr="000D5B62" w14:paraId="34427FFC" w14:textId="77777777" w:rsidTr="00E73021">
        <w:tc>
          <w:tcPr>
            <w:tcW w:w="2121" w:type="dxa"/>
            <w:tcBorders>
              <w:top w:val="nil"/>
              <w:bottom w:val="single" w:sz="4" w:space="0" w:color="auto"/>
            </w:tcBorders>
            <w:shd w:val="clear" w:color="auto" w:fill="auto"/>
          </w:tcPr>
          <w:p w14:paraId="0F2C5DC1"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الجرائم المتصلة بالاحتكاك بين الأشخاص</w:t>
            </w:r>
          </w:p>
        </w:tc>
        <w:tc>
          <w:tcPr>
            <w:tcW w:w="1045" w:type="dxa"/>
            <w:tcBorders>
              <w:top w:val="nil"/>
              <w:bottom w:val="single" w:sz="4" w:space="0" w:color="auto"/>
            </w:tcBorders>
            <w:shd w:val="clear" w:color="auto" w:fill="auto"/>
          </w:tcPr>
          <w:p w14:paraId="341570D5"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441 123</w:t>
            </w:r>
          </w:p>
        </w:tc>
        <w:tc>
          <w:tcPr>
            <w:tcW w:w="1288" w:type="dxa"/>
            <w:gridSpan w:val="2"/>
            <w:tcBorders>
              <w:top w:val="nil"/>
              <w:bottom w:val="single" w:sz="4" w:space="0" w:color="auto"/>
            </w:tcBorders>
            <w:shd w:val="clear" w:color="auto" w:fill="auto"/>
          </w:tcPr>
          <w:p w14:paraId="35966C4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789 125</w:t>
            </w:r>
          </w:p>
        </w:tc>
        <w:tc>
          <w:tcPr>
            <w:tcW w:w="1176" w:type="dxa"/>
            <w:gridSpan w:val="2"/>
            <w:tcBorders>
              <w:top w:val="nil"/>
              <w:bottom w:val="single" w:sz="4" w:space="0" w:color="auto"/>
            </w:tcBorders>
            <w:shd w:val="clear" w:color="auto" w:fill="auto"/>
          </w:tcPr>
          <w:p w14:paraId="66C5A66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804 124</w:t>
            </w:r>
          </w:p>
        </w:tc>
        <w:tc>
          <w:tcPr>
            <w:tcW w:w="1288" w:type="dxa"/>
            <w:tcBorders>
              <w:top w:val="nil"/>
              <w:bottom w:val="single" w:sz="4" w:space="0" w:color="auto"/>
            </w:tcBorders>
            <w:shd w:val="clear" w:color="auto" w:fill="auto"/>
          </w:tcPr>
          <w:p w14:paraId="478DB4DB"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730 120</w:t>
            </w:r>
          </w:p>
        </w:tc>
        <w:tc>
          <w:tcPr>
            <w:tcW w:w="938" w:type="dxa"/>
            <w:tcBorders>
              <w:top w:val="nil"/>
              <w:bottom w:val="single" w:sz="4" w:space="0" w:color="auto"/>
            </w:tcBorders>
            <w:shd w:val="clear" w:color="auto" w:fill="auto"/>
          </w:tcPr>
          <w:p w14:paraId="225FFD91" w14:textId="4FCD6E7E"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8D1EE5" w:rsidRPr="000D5B62">
              <w:rPr>
                <w:rFonts w:eastAsiaTheme="minorEastAsia" w:hint="cs"/>
                <w:spacing w:val="-4"/>
                <w:sz w:val="18"/>
                <w:szCs w:val="18"/>
                <w:rtl/>
              </w:rPr>
              <w:t>074 4</w:t>
            </w:r>
          </w:p>
        </w:tc>
        <w:tc>
          <w:tcPr>
            <w:tcW w:w="648" w:type="dxa"/>
            <w:tcBorders>
              <w:top w:val="nil"/>
              <w:bottom w:val="single" w:sz="4" w:space="0" w:color="auto"/>
            </w:tcBorders>
            <w:shd w:val="clear" w:color="auto" w:fill="auto"/>
          </w:tcPr>
          <w:p w14:paraId="578F6C81" w14:textId="3737FC7C"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w:t>
            </w:r>
            <w:r w:rsidR="00CB6827" w:rsidRPr="000D5B62">
              <w:rPr>
                <w:rFonts w:eastAsiaTheme="minorEastAsia" w:hint="cs"/>
                <w:spacing w:val="-4"/>
                <w:sz w:val="18"/>
                <w:szCs w:val="18"/>
                <w:rtl/>
              </w:rPr>
              <w:t>,</w:t>
            </w:r>
            <w:r w:rsidRPr="000D5B62">
              <w:rPr>
                <w:rFonts w:eastAsiaTheme="minorEastAsia"/>
                <w:spacing w:val="-4"/>
                <w:sz w:val="18"/>
                <w:szCs w:val="18"/>
                <w:rtl/>
              </w:rPr>
              <w:t>3</w:t>
            </w:r>
          </w:p>
        </w:tc>
      </w:tr>
      <w:tr w:rsidR="00803069" w:rsidRPr="000D5B62" w14:paraId="5D2AB126" w14:textId="77777777" w:rsidTr="00E73021">
        <w:trPr>
          <w:tblHeader/>
        </w:trPr>
        <w:tc>
          <w:tcPr>
            <w:tcW w:w="8504" w:type="dxa"/>
            <w:gridSpan w:val="9"/>
            <w:tcBorders>
              <w:top w:val="single" w:sz="4" w:space="0" w:color="auto"/>
              <w:bottom w:val="single" w:sz="4" w:space="0" w:color="auto"/>
            </w:tcBorders>
            <w:shd w:val="clear" w:color="auto" w:fill="auto"/>
          </w:tcPr>
          <w:p w14:paraId="7634A855" w14:textId="77777777" w:rsidR="00803069" w:rsidRPr="000D5B62" w:rsidRDefault="00803069" w:rsidP="00E73021">
            <w:pPr>
              <w:spacing w:before="40" w:after="40" w:line="30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الجرائم المتصلة بالممتلكات</w:t>
            </w:r>
          </w:p>
        </w:tc>
      </w:tr>
      <w:tr w:rsidR="00803069" w:rsidRPr="000D5B62" w14:paraId="2FFD7CFB" w14:textId="77777777" w:rsidTr="00E73021">
        <w:tc>
          <w:tcPr>
            <w:tcW w:w="2121" w:type="dxa"/>
            <w:tcBorders>
              <w:top w:val="single" w:sz="4" w:space="0" w:color="auto"/>
            </w:tcBorders>
            <w:shd w:val="clear" w:color="auto" w:fill="auto"/>
          </w:tcPr>
          <w:p w14:paraId="49DAEAC7"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السطو على المباني غير السكنية</w:t>
            </w:r>
          </w:p>
        </w:tc>
        <w:tc>
          <w:tcPr>
            <w:tcW w:w="1045" w:type="dxa"/>
            <w:tcBorders>
              <w:top w:val="single" w:sz="4" w:space="0" w:color="auto"/>
            </w:tcBorders>
            <w:shd w:val="clear" w:color="auto" w:fill="auto"/>
          </w:tcPr>
          <w:p w14:paraId="6E6DA450"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464 73</w:t>
            </w:r>
          </w:p>
        </w:tc>
        <w:tc>
          <w:tcPr>
            <w:tcW w:w="1288" w:type="dxa"/>
            <w:gridSpan w:val="2"/>
            <w:tcBorders>
              <w:top w:val="single" w:sz="4" w:space="0" w:color="auto"/>
            </w:tcBorders>
            <w:shd w:val="clear" w:color="auto" w:fill="auto"/>
          </w:tcPr>
          <w:p w14:paraId="7F4590F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358 74</w:t>
            </w:r>
          </w:p>
        </w:tc>
        <w:tc>
          <w:tcPr>
            <w:tcW w:w="1176" w:type="dxa"/>
            <w:gridSpan w:val="2"/>
            <w:tcBorders>
              <w:top w:val="single" w:sz="4" w:space="0" w:color="auto"/>
            </w:tcBorders>
            <w:shd w:val="clear" w:color="auto" w:fill="auto"/>
          </w:tcPr>
          <w:p w14:paraId="2AD72FF8"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008 75</w:t>
            </w:r>
          </w:p>
        </w:tc>
        <w:tc>
          <w:tcPr>
            <w:tcW w:w="1288" w:type="dxa"/>
            <w:tcBorders>
              <w:top w:val="single" w:sz="4" w:space="0" w:color="auto"/>
            </w:tcBorders>
            <w:shd w:val="clear" w:color="auto" w:fill="auto"/>
          </w:tcPr>
          <w:p w14:paraId="1C5807A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618 75</w:t>
            </w:r>
          </w:p>
        </w:tc>
        <w:tc>
          <w:tcPr>
            <w:tcW w:w="938" w:type="dxa"/>
            <w:tcBorders>
              <w:top w:val="single" w:sz="4" w:space="0" w:color="auto"/>
            </w:tcBorders>
            <w:shd w:val="clear" w:color="auto" w:fill="auto"/>
          </w:tcPr>
          <w:p w14:paraId="782A3AE0"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610</w:t>
            </w:r>
          </w:p>
        </w:tc>
        <w:tc>
          <w:tcPr>
            <w:tcW w:w="648" w:type="dxa"/>
            <w:tcBorders>
              <w:top w:val="single" w:sz="4" w:space="0" w:color="auto"/>
            </w:tcBorders>
            <w:shd w:val="clear" w:color="auto" w:fill="auto"/>
          </w:tcPr>
          <w:p w14:paraId="07219FD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0,8</w:t>
            </w:r>
          </w:p>
        </w:tc>
      </w:tr>
      <w:tr w:rsidR="00803069" w:rsidRPr="000D5B62" w14:paraId="647609F8" w14:textId="77777777" w:rsidTr="00E73021">
        <w:tc>
          <w:tcPr>
            <w:tcW w:w="2121" w:type="dxa"/>
            <w:shd w:val="clear" w:color="auto" w:fill="auto"/>
          </w:tcPr>
          <w:p w14:paraId="2AB0716B"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fr-CH" w:eastAsia="zh-TW" w:bidi="en-GB"/>
              </w:rPr>
            </w:pPr>
            <w:r w:rsidRPr="000D5B62">
              <w:rPr>
                <w:rFonts w:eastAsiaTheme="minorEastAsia"/>
                <w:spacing w:val="-4"/>
                <w:sz w:val="18"/>
                <w:szCs w:val="18"/>
                <w:rtl/>
              </w:rPr>
              <w:t>السطو على المباني السكنية</w:t>
            </w:r>
          </w:p>
        </w:tc>
        <w:tc>
          <w:tcPr>
            <w:tcW w:w="1045" w:type="dxa"/>
            <w:shd w:val="clear" w:color="auto" w:fill="auto"/>
          </w:tcPr>
          <w:p w14:paraId="4DFBCD3E"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784 259</w:t>
            </w:r>
          </w:p>
        </w:tc>
        <w:tc>
          <w:tcPr>
            <w:tcW w:w="1288" w:type="dxa"/>
            <w:gridSpan w:val="2"/>
            <w:shd w:val="clear" w:color="auto" w:fill="auto"/>
          </w:tcPr>
          <w:p w14:paraId="4FFDA647"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716 253</w:t>
            </w:r>
          </w:p>
        </w:tc>
        <w:tc>
          <w:tcPr>
            <w:tcW w:w="1176" w:type="dxa"/>
            <w:gridSpan w:val="2"/>
            <w:shd w:val="clear" w:color="auto" w:fill="auto"/>
          </w:tcPr>
          <w:p w14:paraId="50E0DB11"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606 250</w:t>
            </w:r>
          </w:p>
        </w:tc>
        <w:tc>
          <w:tcPr>
            <w:tcW w:w="1288" w:type="dxa"/>
            <w:shd w:val="clear" w:color="auto" w:fill="auto"/>
          </w:tcPr>
          <w:p w14:paraId="5D40FCE1" w14:textId="77777777" w:rsidR="00803069" w:rsidRPr="000D5B62" w:rsidRDefault="00803069" w:rsidP="00E73021">
            <w:pPr>
              <w:spacing w:before="40" w:after="40" w:line="30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654 246</w:t>
            </w:r>
          </w:p>
        </w:tc>
        <w:tc>
          <w:tcPr>
            <w:tcW w:w="938" w:type="dxa"/>
            <w:shd w:val="clear" w:color="auto" w:fill="auto"/>
          </w:tcPr>
          <w:p w14:paraId="21323E8C" w14:textId="06638288"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154606" w:rsidRPr="000D5B62">
              <w:rPr>
                <w:rFonts w:eastAsiaTheme="minorEastAsia" w:hint="cs"/>
                <w:spacing w:val="-4"/>
                <w:sz w:val="18"/>
                <w:szCs w:val="18"/>
                <w:rtl/>
              </w:rPr>
              <w:t>952 3</w:t>
            </w:r>
          </w:p>
        </w:tc>
        <w:tc>
          <w:tcPr>
            <w:tcW w:w="648" w:type="dxa"/>
            <w:shd w:val="clear" w:color="auto" w:fill="auto"/>
          </w:tcPr>
          <w:p w14:paraId="1F964F89" w14:textId="54BD7A0C"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r w:rsidR="00CB6827" w:rsidRPr="000D5B62">
              <w:rPr>
                <w:rFonts w:eastAsiaTheme="minorEastAsia" w:hint="cs"/>
                <w:spacing w:val="-4"/>
                <w:sz w:val="18"/>
                <w:szCs w:val="18"/>
                <w:rtl/>
              </w:rPr>
              <w:t>,</w:t>
            </w:r>
            <w:r w:rsidRPr="000D5B62">
              <w:rPr>
                <w:rFonts w:eastAsiaTheme="minorEastAsia"/>
                <w:spacing w:val="-4"/>
                <w:sz w:val="18"/>
                <w:szCs w:val="18"/>
                <w:rtl/>
              </w:rPr>
              <w:t>6</w:t>
            </w:r>
          </w:p>
        </w:tc>
      </w:tr>
      <w:tr w:rsidR="00803069" w:rsidRPr="000D5B62" w14:paraId="4865E33E" w14:textId="77777777" w:rsidTr="00E73021">
        <w:tc>
          <w:tcPr>
            <w:tcW w:w="2121" w:type="dxa"/>
            <w:shd w:val="clear" w:color="auto" w:fill="auto"/>
          </w:tcPr>
          <w:p w14:paraId="1F6948B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السيارات والدراجات النارية</w:t>
            </w:r>
          </w:p>
        </w:tc>
        <w:tc>
          <w:tcPr>
            <w:tcW w:w="1045" w:type="dxa"/>
            <w:shd w:val="clear" w:color="auto" w:fill="auto"/>
          </w:tcPr>
          <w:p w14:paraId="25172AE3"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645 56</w:t>
            </w:r>
          </w:p>
        </w:tc>
        <w:tc>
          <w:tcPr>
            <w:tcW w:w="1288" w:type="dxa"/>
            <w:gridSpan w:val="2"/>
            <w:shd w:val="clear" w:color="auto" w:fill="auto"/>
          </w:tcPr>
          <w:p w14:paraId="04D505DC"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090 55</w:t>
            </w:r>
          </w:p>
        </w:tc>
        <w:tc>
          <w:tcPr>
            <w:tcW w:w="1176" w:type="dxa"/>
            <w:gridSpan w:val="2"/>
            <w:shd w:val="clear" w:color="auto" w:fill="auto"/>
          </w:tcPr>
          <w:p w14:paraId="7B4E6FA8"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809 53</w:t>
            </w:r>
          </w:p>
        </w:tc>
        <w:tc>
          <w:tcPr>
            <w:tcW w:w="1288" w:type="dxa"/>
            <w:shd w:val="clear" w:color="auto" w:fill="auto"/>
          </w:tcPr>
          <w:p w14:paraId="0B1E7CB7"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307 53</w:t>
            </w:r>
          </w:p>
        </w:tc>
        <w:tc>
          <w:tcPr>
            <w:tcW w:w="938" w:type="dxa"/>
            <w:shd w:val="clear" w:color="auto" w:fill="auto"/>
          </w:tcPr>
          <w:p w14:paraId="2BA3358C"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-502</w:t>
            </w:r>
          </w:p>
        </w:tc>
        <w:tc>
          <w:tcPr>
            <w:tcW w:w="648" w:type="dxa"/>
            <w:shd w:val="clear" w:color="auto" w:fill="auto"/>
          </w:tcPr>
          <w:p w14:paraId="2F4A1720" w14:textId="51B4C7C3"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9</w:t>
            </w:r>
          </w:p>
        </w:tc>
      </w:tr>
      <w:tr w:rsidR="00803069" w:rsidRPr="000D5B62" w14:paraId="7B6E621C" w14:textId="77777777" w:rsidTr="00E73021">
        <w:tc>
          <w:tcPr>
            <w:tcW w:w="2121" w:type="dxa"/>
            <w:shd w:val="clear" w:color="auto" w:fill="auto"/>
          </w:tcPr>
          <w:p w14:paraId="07CB9958"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السيارات أو أشياء من داخلها</w:t>
            </w:r>
          </w:p>
        </w:tc>
        <w:tc>
          <w:tcPr>
            <w:tcW w:w="1045" w:type="dxa"/>
            <w:shd w:val="clear" w:color="auto" w:fill="auto"/>
          </w:tcPr>
          <w:p w14:paraId="28C673F3"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801 143</w:t>
            </w:r>
          </w:p>
        </w:tc>
        <w:tc>
          <w:tcPr>
            <w:tcW w:w="1288" w:type="dxa"/>
            <w:gridSpan w:val="2"/>
            <w:shd w:val="clear" w:color="auto" w:fill="auto"/>
          </w:tcPr>
          <w:p w14:paraId="605B06D8"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358 145</w:t>
            </w:r>
          </w:p>
        </w:tc>
        <w:tc>
          <w:tcPr>
            <w:tcW w:w="1176" w:type="dxa"/>
            <w:gridSpan w:val="2"/>
            <w:shd w:val="clear" w:color="auto" w:fill="auto"/>
          </w:tcPr>
          <w:p w14:paraId="1F2276F2"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386 139</w:t>
            </w:r>
          </w:p>
        </w:tc>
        <w:tc>
          <w:tcPr>
            <w:tcW w:w="1288" w:type="dxa"/>
            <w:shd w:val="clear" w:color="auto" w:fill="auto"/>
          </w:tcPr>
          <w:p w14:paraId="0839D9AA" w14:textId="77777777" w:rsidR="00803069" w:rsidRPr="000D5B62" w:rsidRDefault="00803069" w:rsidP="00E73021">
            <w:pPr>
              <w:spacing w:before="40" w:after="40" w:line="30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172 138</w:t>
            </w:r>
          </w:p>
        </w:tc>
        <w:tc>
          <w:tcPr>
            <w:tcW w:w="938" w:type="dxa"/>
            <w:shd w:val="clear" w:color="auto" w:fill="auto"/>
          </w:tcPr>
          <w:p w14:paraId="2E6007A1" w14:textId="75C9242D"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154606" w:rsidRPr="000D5B62">
              <w:rPr>
                <w:rFonts w:eastAsiaTheme="minorEastAsia" w:hint="cs"/>
                <w:spacing w:val="-4"/>
                <w:sz w:val="18"/>
                <w:szCs w:val="18"/>
                <w:rtl/>
              </w:rPr>
              <w:t>214 1</w:t>
            </w:r>
          </w:p>
        </w:tc>
        <w:tc>
          <w:tcPr>
            <w:tcW w:w="648" w:type="dxa"/>
            <w:shd w:val="clear" w:color="auto" w:fill="auto"/>
          </w:tcPr>
          <w:p w14:paraId="35118029" w14:textId="7DC03D1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-0</w:t>
            </w:r>
            <w:r w:rsidR="00CB6827" w:rsidRPr="000D5B62">
              <w:rPr>
                <w:rFonts w:eastAsiaTheme="minorEastAsia" w:hint="cs"/>
                <w:spacing w:val="-4"/>
                <w:sz w:val="18"/>
                <w:szCs w:val="18"/>
                <w:rtl/>
              </w:rPr>
              <w:t>,</w:t>
            </w:r>
            <w:r w:rsidRPr="000D5B62">
              <w:rPr>
                <w:rFonts w:eastAsiaTheme="minorEastAsia"/>
                <w:spacing w:val="-4"/>
                <w:sz w:val="18"/>
                <w:szCs w:val="18"/>
                <w:rtl/>
              </w:rPr>
              <w:t>9</w:t>
            </w:r>
          </w:p>
        </w:tc>
      </w:tr>
      <w:tr w:rsidR="00803069" w:rsidRPr="000D5B62" w14:paraId="3EBCA906" w14:textId="77777777" w:rsidTr="00E73021">
        <w:tc>
          <w:tcPr>
            <w:tcW w:w="2121" w:type="dxa"/>
            <w:shd w:val="clear" w:color="auto" w:fill="auto"/>
          </w:tcPr>
          <w:p w14:paraId="54B6B55F" w14:textId="77777777" w:rsidR="00803069" w:rsidRPr="000D5B62" w:rsidRDefault="00803069" w:rsidP="00E73021">
            <w:pPr>
              <w:spacing w:before="40" w:after="40" w:line="30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سرقة الماشية</w:t>
            </w:r>
          </w:p>
        </w:tc>
        <w:tc>
          <w:tcPr>
            <w:tcW w:w="1045" w:type="dxa"/>
            <w:shd w:val="clear" w:color="auto" w:fill="auto"/>
          </w:tcPr>
          <w:p w14:paraId="0058D841"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534 24</w:t>
            </w:r>
          </w:p>
        </w:tc>
        <w:tc>
          <w:tcPr>
            <w:tcW w:w="1288" w:type="dxa"/>
            <w:gridSpan w:val="2"/>
            <w:shd w:val="clear" w:color="auto" w:fill="auto"/>
          </w:tcPr>
          <w:p w14:paraId="6B6CE7D0"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965 24</w:t>
            </w:r>
          </w:p>
        </w:tc>
        <w:tc>
          <w:tcPr>
            <w:tcW w:w="1176" w:type="dxa"/>
            <w:gridSpan w:val="2"/>
            <w:shd w:val="clear" w:color="auto" w:fill="auto"/>
          </w:tcPr>
          <w:p w14:paraId="4C060B3A"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715 24</w:t>
            </w:r>
          </w:p>
        </w:tc>
        <w:tc>
          <w:tcPr>
            <w:tcW w:w="1288" w:type="dxa"/>
            <w:shd w:val="clear" w:color="auto" w:fill="auto"/>
          </w:tcPr>
          <w:p w14:paraId="1EE99141"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902 26</w:t>
            </w:r>
          </w:p>
        </w:tc>
        <w:tc>
          <w:tcPr>
            <w:tcW w:w="938" w:type="dxa"/>
            <w:shd w:val="clear" w:color="auto" w:fill="auto"/>
          </w:tcPr>
          <w:p w14:paraId="017634A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187 2</w:t>
            </w:r>
          </w:p>
        </w:tc>
        <w:tc>
          <w:tcPr>
            <w:tcW w:w="648" w:type="dxa"/>
            <w:shd w:val="clear" w:color="auto" w:fill="auto"/>
          </w:tcPr>
          <w:p w14:paraId="2ECE631A"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8,8</w:t>
            </w:r>
          </w:p>
        </w:tc>
      </w:tr>
      <w:tr w:rsidR="00803069" w:rsidRPr="000D5B62" w14:paraId="00B64E4D" w14:textId="77777777" w:rsidTr="00E73021">
        <w:tc>
          <w:tcPr>
            <w:tcW w:w="2121" w:type="dxa"/>
            <w:tcBorders>
              <w:bottom w:val="single" w:sz="4" w:space="0" w:color="auto"/>
            </w:tcBorders>
            <w:shd w:val="clear" w:color="auto" w:fill="auto"/>
          </w:tcPr>
          <w:p w14:paraId="66AD2295"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الجرائم المتصلة بالممتلكات</w:t>
            </w:r>
          </w:p>
        </w:tc>
        <w:tc>
          <w:tcPr>
            <w:tcW w:w="1045" w:type="dxa"/>
            <w:tcBorders>
              <w:bottom w:val="single" w:sz="4" w:space="0" w:color="auto"/>
            </w:tcBorders>
            <w:shd w:val="clear" w:color="auto" w:fill="auto"/>
          </w:tcPr>
          <w:p w14:paraId="1B1496BB"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228 558</w:t>
            </w:r>
          </w:p>
        </w:tc>
        <w:tc>
          <w:tcPr>
            <w:tcW w:w="1288" w:type="dxa"/>
            <w:gridSpan w:val="2"/>
            <w:tcBorders>
              <w:bottom w:val="single" w:sz="4" w:space="0" w:color="auto"/>
            </w:tcBorders>
            <w:shd w:val="clear" w:color="auto" w:fill="auto"/>
          </w:tcPr>
          <w:p w14:paraId="7FE74D49"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487 553</w:t>
            </w:r>
          </w:p>
        </w:tc>
        <w:tc>
          <w:tcPr>
            <w:tcW w:w="1176" w:type="dxa"/>
            <w:gridSpan w:val="2"/>
            <w:tcBorders>
              <w:bottom w:val="single" w:sz="4" w:space="0" w:color="auto"/>
            </w:tcBorders>
            <w:shd w:val="clear" w:color="auto" w:fill="auto"/>
          </w:tcPr>
          <w:p w14:paraId="678CE30D"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524 543</w:t>
            </w:r>
          </w:p>
        </w:tc>
        <w:tc>
          <w:tcPr>
            <w:tcW w:w="1288" w:type="dxa"/>
            <w:tcBorders>
              <w:bottom w:val="single" w:sz="4" w:space="0" w:color="auto"/>
            </w:tcBorders>
            <w:shd w:val="clear" w:color="auto" w:fill="auto"/>
          </w:tcPr>
          <w:p w14:paraId="22EF5B8A"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653 540</w:t>
            </w:r>
          </w:p>
        </w:tc>
        <w:tc>
          <w:tcPr>
            <w:tcW w:w="938" w:type="dxa"/>
            <w:tcBorders>
              <w:bottom w:val="single" w:sz="4" w:space="0" w:color="auto"/>
            </w:tcBorders>
            <w:shd w:val="clear" w:color="auto" w:fill="auto"/>
          </w:tcPr>
          <w:p w14:paraId="53979399" w14:textId="03232209"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w:t>
            </w:r>
            <w:r w:rsidR="00154606" w:rsidRPr="000D5B62">
              <w:rPr>
                <w:rFonts w:eastAsiaTheme="minorEastAsia" w:hint="cs"/>
                <w:b/>
                <w:bCs/>
                <w:spacing w:val="-4"/>
                <w:sz w:val="18"/>
                <w:szCs w:val="18"/>
                <w:rtl/>
              </w:rPr>
              <w:t>871 2</w:t>
            </w:r>
          </w:p>
        </w:tc>
        <w:tc>
          <w:tcPr>
            <w:tcW w:w="648" w:type="dxa"/>
            <w:tcBorders>
              <w:bottom w:val="single" w:sz="4" w:space="0" w:color="auto"/>
            </w:tcBorders>
            <w:shd w:val="clear" w:color="auto" w:fill="auto"/>
          </w:tcPr>
          <w:p w14:paraId="790645F2" w14:textId="64FE7624"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w:t>
            </w:r>
            <w:r w:rsidR="00CB6827" w:rsidRPr="000D5B62">
              <w:rPr>
                <w:rFonts w:eastAsiaTheme="minorEastAsia" w:hint="cs"/>
                <w:spacing w:val="-4"/>
                <w:sz w:val="18"/>
                <w:szCs w:val="18"/>
                <w:rtl/>
              </w:rPr>
              <w:t>,</w:t>
            </w:r>
            <w:r w:rsidRPr="000D5B62">
              <w:rPr>
                <w:rFonts w:eastAsiaTheme="minorEastAsia"/>
                <w:b/>
                <w:bCs/>
                <w:spacing w:val="-4"/>
                <w:sz w:val="18"/>
                <w:szCs w:val="18"/>
                <w:rtl/>
              </w:rPr>
              <w:t>5</w:t>
            </w:r>
          </w:p>
        </w:tc>
      </w:tr>
      <w:tr w:rsidR="00803069" w:rsidRPr="000D5B62" w14:paraId="662EE361" w14:textId="77777777" w:rsidTr="00E73021">
        <w:trPr>
          <w:tblHeader/>
        </w:trPr>
        <w:tc>
          <w:tcPr>
            <w:tcW w:w="8504" w:type="dxa"/>
            <w:gridSpan w:val="9"/>
            <w:tcBorders>
              <w:top w:val="single" w:sz="4" w:space="0" w:color="auto"/>
              <w:bottom w:val="single" w:sz="4" w:space="0" w:color="auto"/>
            </w:tcBorders>
            <w:shd w:val="clear" w:color="auto" w:fill="auto"/>
          </w:tcPr>
          <w:p w14:paraId="6CE69D56" w14:textId="77777777" w:rsidR="00803069" w:rsidRPr="000D5B62" w:rsidRDefault="00803069" w:rsidP="00E73021">
            <w:pPr>
              <w:spacing w:before="40" w:after="40" w:line="30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جرائم خطيرة أخرى</w:t>
            </w:r>
          </w:p>
        </w:tc>
      </w:tr>
      <w:tr w:rsidR="00803069" w:rsidRPr="000D5B62" w14:paraId="6E3510BD" w14:textId="77777777" w:rsidTr="00E73021">
        <w:tc>
          <w:tcPr>
            <w:tcW w:w="2121" w:type="dxa"/>
            <w:tcBorders>
              <w:top w:val="single" w:sz="4" w:space="0" w:color="auto"/>
            </w:tcBorders>
            <w:shd w:val="clear" w:color="auto" w:fill="auto"/>
          </w:tcPr>
          <w:p w14:paraId="2FD5DE4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جميع السرقات التي لم يرد ذكرها في موضع آخر</w:t>
            </w:r>
          </w:p>
        </w:tc>
        <w:tc>
          <w:tcPr>
            <w:tcW w:w="1045" w:type="dxa"/>
            <w:tcBorders>
              <w:top w:val="single" w:sz="4" w:space="0" w:color="auto"/>
            </w:tcBorders>
            <w:shd w:val="clear" w:color="auto" w:fill="auto"/>
          </w:tcPr>
          <w:p w14:paraId="3ABCFBB2"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517 362</w:t>
            </w:r>
          </w:p>
        </w:tc>
        <w:tc>
          <w:tcPr>
            <w:tcW w:w="1288" w:type="dxa"/>
            <w:gridSpan w:val="2"/>
            <w:tcBorders>
              <w:top w:val="single" w:sz="4" w:space="0" w:color="auto"/>
            </w:tcBorders>
            <w:shd w:val="clear" w:color="auto" w:fill="auto"/>
          </w:tcPr>
          <w:p w14:paraId="7F10B473"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541 360</w:t>
            </w:r>
          </w:p>
        </w:tc>
        <w:tc>
          <w:tcPr>
            <w:tcW w:w="1176" w:type="dxa"/>
            <w:gridSpan w:val="2"/>
            <w:tcBorders>
              <w:top w:val="single" w:sz="4" w:space="0" w:color="auto"/>
            </w:tcBorders>
            <w:shd w:val="clear" w:color="auto" w:fill="auto"/>
          </w:tcPr>
          <w:p w14:paraId="3EE7A959"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372 340</w:t>
            </w:r>
          </w:p>
        </w:tc>
        <w:tc>
          <w:tcPr>
            <w:tcW w:w="1288" w:type="dxa"/>
            <w:tcBorders>
              <w:top w:val="single" w:sz="4" w:space="0" w:color="auto"/>
            </w:tcBorders>
            <w:shd w:val="clear" w:color="auto" w:fill="auto"/>
          </w:tcPr>
          <w:p w14:paraId="585881B0"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272 328</w:t>
            </w:r>
          </w:p>
        </w:tc>
        <w:tc>
          <w:tcPr>
            <w:tcW w:w="938" w:type="dxa"/>
            <w:tcBorders>
              <w:top w:val="single" w:sz="4" w:space="0" w:color="auto"/>
            </w:tcBorders>
            <w:shd w:val="clear" w:color="auto" w:fill="auto"/>
          </w:tcPr>
          <w:p w14:paraId="56742C48" w14:textId="5FB8E383"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8C28E2" w:rsidRPr="000D5B62">
              <w:rPr>
                <w:rFonts w:eastAsiaTheme="minorEastAsia" w:hint="cs"/>
                <w:spacing w:val="-4"/>
                <w:sz w:val="18"/>
                <w:szCs w:val="18"/>
                <w:rtl/>
              </w:rPr>
              <w:t>100 12</w:t>
            </w:r>
          </w:p>
        </w:tc>
        <w:tc>
          <w:tcPr>
            <w:tcW w:w="648" w:type="dxa"/>
            <w:tcBorders>
              <w:top w:val="single" w:sz="4" w:space="0" w:color="auto"/>
            </w:tcBorders>
            <w:shd w:val="clear" w:color="auto" w:fill="auto"/>
          </w:tcPr>
          <w:p w14:paraId="41D39CD9" w14:textId="5E3BEFA5"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w:t>
            </w:r>
            <w:r w:rsidR="00CB6827" w:rsidRPr="000D5B62">
              <w:rPr>
                <w:rFonts w:eastAsiaTheme="minorEastAsia" w:hint="cs"/>
                <w:spacing w:val="-4"/>
                <w:sz w:val="18"/>
                <w:szCs w:val="18"/>
                <w:rtl/>
              </w:rPr>
              <w:t>,</w:t>
            </w:r>
            <w:r w:rsidRPr="000D5B62">
              <w:rPr>
                <w:rFonts w:eastAsiaTheme="minorEastAsia"/>
                <w:spacing w:val="-4"/>
                <w:sz w:val="18"/>
                <w:szCs w:val="18"/>
                <w:rtl/>
              </w:rPr>
              <w:t>6</w:t>
            </w:r>
          </w:p>
        </w:tc>
      </w:tr>
      <w:tr w:rsidR="00803069" w:rsidRPr="000D5B62" w14:paraId="38AD1060" w14:textId="77777777" w:rsidTr="00E73021">
        <w:tc>
          <w:tcPr>
            <w:tcW w:w="2121" w:type="dxa"/>
            <w:shd w:val="clear" w:color="auto" w:fill="auto"/>
          </w:tcPr>
          <w:p w14:paraId="04D00FAF"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الجريمة التجارية</w:t>
            </w:r>
          </w:p>
        </w:tc>
        <w:tc>
          <w:tcPr>
            <w:tcW w:w="1045" w:type="dxa"/>
            <w:shd w:val="clear" w:color="auto" w:fill="auto"/>
          </w:tcPr>
          <w:p w14:paraId="3CF66B24"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744 76</w:t>
            </w:r>
          </w:p>
        </w:tc>
        <w:tc>
          <w:tcPr>
            <w:tcW w:w="1288" w:type="dxa"/>
            <w:gridSpan w:val="2"/>
            <w:shd w:val="clear" w:color="auto" w:fill="auto"/>
          </w:tcPr>
          <w:p w14:paraId="54791141"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830 67</w:t>
            </w:r>
          </w:p>
        </w:tc>
        <w:tc>
          <w:tcPr>
            <w:tcW w:w="1176" w:type="dxa"/>
            <w:gridSpan w:val="2"/>
            <w:shd w:val="clear" w:color="auto" w:fill="auto"/>
          </w:tcPr>
          <w:p w14:paraId="4397C7E6"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917 69</w:t>
            </w:r>
          </w:p>
        </w:tc>
        <w:tc>
          <w:tcPr>
            <w:tcW w:w="1288" w:type="dxa"/>
            <w:shd w:val="clear" w:color="auto" w:fill="auto"/>
          </w:tcPr>
          <w:p w14:paraId="30DCA1DD"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550 73</w:t>
            </w:r>
          </w:p>
        </w:tc>
        <w:tc>
          <w:tcPr>
            <w:tcW w:w="938" w:type="dxa"/>
            <w:shd w:val="clear" w:color="auto" w:fill="auto"/>
          </w:tcPr>
          <w:p w14:paraId="1B3A76ED"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633 3</w:t>
            </w:r>
          </w:p>
        </w:tc>
        <w:tc>
          <w:tcPr>
            <w:tcW w:w="648" w:type="dxa"/>
            <w:shd w:val="clear" w:color="auto" w:fill="auto"/>
          </w:tcPr>
          <w:p w14:paraId="2CF11B32"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5,2</w:t>
            </w:r>
          </w:p>
        </w:tc>
      </w:tr>
      <w:tr w:rsidR="00803069" w:rsidRPr="000D5B62" w14:paraId="1C9B0D1D" w14:textId="77777777" w:rsidTr="00E73021">
        <w:tc>
          <w:tcPr>
            <w:tcW w:w="2121" w:type="dxa"/>
            <w:shd w:val="clear" w:color="auto" w:fill="auto"/>
          </w:tcPr>
          <w:p w14:paraId="625A0A17"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سرقة معروضات المتاجر</w:t>
            </w:r>
          </w:p>
        </w:tc>
        <w:tc>
          <w:tcPr>
            <w:tcW w:w="1045" w:type="dxa"/>
            <w:shd w:val="clear" w:color="auto" w:fill="auto"/>
          </w:tcPr>
          <w:p w14:paraId="3341FEAE"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487 70</w:t>
            </w:r>
          </w:p>
        </w:tc>
        <w:tc>
          <w:tcPr>
            <w:tcW w:w="1288" w:type="dxa"/>
            <w:gridSpan w:val="2"/>
            <w:shd w:val="clear" w:color="auto" w:fill="auto"/>
          </w:tcPr>
          <w:p w14:paraId="05D42963"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327 71</w:t>
            </w:r>
          </w:p>
        </w:tc>
        <w:tc>
          <w:tcPr>
            <w:tcW w:w="1176" w:type="dxa"/>
            <w:gridSpan w:val="2"/>
            <w:shd w:val="clear" w:color="auto" w:fill="auto"/>
          </w:tcPr>
          <w:p w14:paraId="37447C14"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786 68</w:t>
            </w:r>
          </w:p>
        </w:tc>
        <w:tc>
          <w:tcPr>
            <w:tcW w:w="1288" w:type="dxa"/>
            <w:shd w:val="clear" w:color="auto" w:fill="auto"/>
          </w:tcPr>
          <w:p w14:paraId="5958DF2F" w14:textId="77777777"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454 67</w:t>
            </w:r>
          </w:p>
        </w:tc>
        <w:tc>
          <w:tcPr>
            <w:tcW w:w="938" w:type="dxa"/>
            <w:shd w:val="clear" w:color="auto" w:fill="auto"/>
          </w:tcPr>
          <w:p w14:paraId="4176F8B3" w14:textId="7B6B8960"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8C28E2" w:rsidRPr="000D5B62">
              <w:rPr>
                <w:rFonts w:eastAsiaTheme="minorEastAsia" w:hint="cs"/>
                <w:spacing w:val="-4"/>
                <w:sz w:val="18"/>
                <w:szCs w:val="18"/>
                <w:rtl/>
              </w:rPr>
              <w:t>332 1</w:t>
            </w:r>
          </w:p>
        </w:tc>
        <w:tc>
          <w:tcPr>
            <w:tcW w:w="648" w:type="dxa"/>
            <w:shd w:val="clear" w:color="auto" w:fill="auto"/>
          </w:tcPr>
          <w:p w14:paraId="0C2FB0B7" w14:textId="403A10A6" w:rsidR="00803069" w:rsidRPr="000D5B62" w:rsidRDefault="00803069" w:rsidP="00E73021">
            <w:pPr>
              <w:spacing w:before="40" w:after="40" w:line="30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r w:rsidR="00CB6827" w:rsidRPr="000D5B62">
              <w:rPr>
                <w:rFonts w:eastAsiaTheme="minorEastAsia" w:hint="cs"/>
                <w:spacing w:val="-4"/>
                <w:sz w:val="18"/>
                <w:szCs w:val="18"/>
                <w:rtl/>
              </w:rPr>
              <w:t>,</w:t>
            </w:r>
            <w:r w:rsidRPr="000D5B62">
              <w:rPr>
                <w:rFonts w:eastAsiaTheme="minorEastAsia"/>
                <w:spacing w:val="-4"/>
                <w:sz w:val="18"/>
                <w:szCs w:val="18"/>
                <w:rtl/>
              </w:rPr>
              <w:t>9</w:t>
            </w:r>
          </w:p>
        </w:tc>
      </w:tr>
      <w:tr w:rsidR="00803069" w:rsidRPr="000D5B62" w14:paraId="4D4BAF8C" w14:textId="77777777" w:rsidTr="00E73021">
        <w:tc>
          <w:tcPr>
            <w:tcW w:w="2121" w:type="dxa"/>
            <w:tcBorders>
              <w:bottom w:val="single" w:sz="4" w:space="0" w:color="auto"/>
            </w:tcBorders>
            <w:shd w:val="clear" w:color="auto" w:fill="auto"/>
          </w:tcPr>
          <w:p w14:paraId="0352C098"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جرائم خطيرة أخرى</w:t>
            </w:r>
          </w:p>
        </w:tc>
        <w:tc>
          <w:tcPr>
            <w:tcW w:w="1045" w:type="dxa"/>
            <w:tcBorders>
              <w:bottom w:val="single" w:sz="4" w:space="0" w:color="auto"/>
            </w:tcBorders>
            <w:shd w:val="clear" w:color="auto" w:fill="auto"/>
          </w:tcPr>
          <w:p w14:paraId="18B33D65"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748 510</w:t>
            </w:r>
          </w:p>
        </w:tc>
        <w:tc>
          <w:tcPr>
            <w:tcW w:w="1288" w:type="dxa"/>
            <w:gridSpan w:val="2"/>
            <w:tcBorders>
              <w:bottom w:val="single" w:sz="4" w:space="0" w:color="auto"/>
            </w:tcBorders>
            <w:shd w:val="clear" w:color="auto" w:fill="auto"/>
          </w:tcPr>
          <w:p w14:paraId="2F470BAF"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698 499</w:t>
            </w:r>
          </w:p>
        </w:tc>
        <w:tc>
          <w:tcPr>
            <w:tcW w:w="1176" w:type="dxa"/>
            <w:gridSpan w:val="2"/>
            <w:tcBorders>
              <w:bottom w:val="single" w:sz="4" w:space="0" w:color="auto"/>
            </w:tcBorders>
            <w:shd w:val="clear" w:color="auto" w:fill="auto"/>
          </w:tcPr>
          <w:p w14:paraId="539807B3"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075 479</w:t>
            </w:r>
          </w:p>
        </w:tc>
        <w:tc>
          <w:tcPr>
            <w:tcW w:w="1288" w:type="dxa"/>
            <w:tcBorders>
              <w:bottom w:val="single" w:sz="4" w:space="0" w:color="auto"/>
            </w:tcBorders>
            <w:shd w:val="clear" w:color="auto" w:fill="auto"/>
          </w:tcPr>
          <w:p w14:paraId="0A6C30AD"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276 469</w:t>
            </w:r>
          </w:p>
        </w:tc>
        <w:tc>
          <w:tcPr>
            <w:tcW w:w="938" w:type="dxa"/>
            <w:tcBorders>
              <w:bottom w:val="single" w:sz="4" w:space="0" w:color="auto"/>
            </w:tcBorders>
            <w:shd w:val="clear" w:color="auto" w:fill="auto"/>
          </w:tcPr>
          <w:p w14:paraId="73941DBC" w14:textId="5406F07B"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w:t>
            </w:r>
            <w:r w:rsidR="008C28E2" w:rsidRPr="000D5B62">
              <w:rPr>
                <w:rFonts w:eastAsiaTheme="minorEastAsia" w:hint="cs"/>
                <w:b/>
                <w:bCs/>
                <w:spacing w:val="-4"/>
                <w:sz w:val="18"/>
                <w:szCs w:val="18"/>
                <w:rtl/>
              </w:rPr>
              <w:t>799 9</w:t>
            </w:r>
          </w:p>
        </w:tc>
        <w:tc>
          <w:tcPr>
            <w:tcW w:w="648" w:type="dxa"/>
            <w:tcBorders>
              <w:bottom w:val="single" w:sz="4" w:space="0" w:color="auto"/>
            </w:tcBorders>
            <w:shd w:val="clear" w:color="auto" w:fill="auto"/>
          </w:tcPr>
          <w:p w14:paraId="14459AAE" w14:textId="042FC9F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-2</w:t>
            </w:r>
            <w:r w:rsidR="00CB6827" w:rsidRPr="000D5B62">
              <w:rPr>
                <w:rFonts w:eastAsiaTheme="minorEastAsia" w:hint="cs"/>
                <w:spacing w:val="-4"/>
                <w:sz w:val="18"/>
                <w:szCs w:val="18"/>
                <w:rtl/>
              </w:rPr>
              <w:t>,</w:t>
            </w:r>
            <w:r w:rsidRPr="000D5B62">
              <w:rPr>
                <w:rFonts w:eastAsiaTheme="minorEastAsia"/>
                <w:b/>
                <w:bCs/>
                <w:spacing w:val="-4"/>
                <w:sz w:val="18"/>
                <w:szCs w:val="18"/>
                <w:rtl/>
              </w:rPr>
              <w:t>0</w:t>
            </w:r>
          </w:p>
        </w:tc>
      </w:tr>
      <w:tr w:rsidR="00803069" w:rsidRPr="000D5B62" w14:paraId="1B640867" w14:textId="77777777" w:rsidTr="00E73021">
        <w:trPr>
          <w:tblHeader/>
        </w:trPr>
        <w:tc>
          <w:tcPr>
            <w:tcW w:w="8504" w:type="dxa"/>
            <w:gridSpan w:val="9"/>
            <w:tcBorders>
              <w:top w:val="single" w:sz="4" w:space="0" w:color="auto"/>
              <w:bottom w:val="single" w:sz="4" w:space="0" w:color="auto"/>
            </w:tcBorders>
            <w:shd w:val="clear" w:color="auto" w:fill="auto"/>
          </w:tcPr>
          <w:p w14:paraId="6B9A5962" w14:textId="77777777" w:rsidR="00803069" w:rsidRPr="000D5B62" w:rsidRDefault="00803069" w:rsidP="00E73021">
            <w:pPr>
              <w:spacing w:before="40" w:after="40" w:line="30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جرائم خطيرة أخرى</w:t>
            </w:r>
          </w:p>
        </w:tc>
      </w:tr>
      <w:tr w:rsidR="00803069" w:rsidRPr="000D5B62" w14:paraId="0CB93492" w14:textId="77777777" w:rsidTr="00C277BB">
        <w:tc>
          <w:tcPr>
            <w:tcW w:w="2121" w:type="dxa"/>
            <w:tcBorders>
              <w:top w:val="single" w:sz="4" w:space="0" w:color="auto"/>
              <w:bottom w:val="single" w:sz="4" w:space="0" w:color="auto"/>
            </w:tcBorders>
            <w:shd w:val="clear" w:color="auto" w:fill="auto"/>
          </w:tcPr>
          <w:p w14:paraId="67A31E5F"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جرائم خطيرة أبلغت عنها 17 جماعة محلية</w:t>
            </w:r>
          </w:p>
        </w:tc>
        <w:tc>
          <w:tcPr>
            <w:tcW w:w="1045" w:type="dxa"/>
            <w:tcBorders>
              <w:top w:val="single" w:sz="4" w:space="0" w:color="auto"/>
              <w:bottom w:val="single" w:sz="4" w:space="0" w:color="auto"/>
            </w:tcBorders>
            <w:shd w:val="clear" w:color="auto" w:fill="auto"/>
          </w:tcPr>
          <w:p w14:paraId="77D1233C"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991 803 1</w:t>
            </w:r>
          </w:p>
        </w:tc>
        <w:tc>
          <w:tcPr>
            <w:tcW w:w="1330" w:type="dxa"/>
            <w:gridSpan w:val="3"/>
            <w:tcBorders>
              <w:top w:val="single" w:sz="4" w:space="0" w:color="auto"/>
              <w:bottom w:val="single" w:sz="4" w:space="0" w:color="auto"/>
            </w:tcBorders>
            <w:shd w:val="clear" w:color="auto" w:fill="auto"/>
          </w:tcPr>
          <w:p w14:paraId="2D41B740"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947 795 1</w:t>
            </w:r>
          </w:p>
        </w:tc>
        <w:tc>
          <w:tcPr>
            <w:tcW w:w="1134" w:type="dxa"/>
            <w:tcBorders>
              <w:top w:val="single" w:sz="4" w:space="0" w:color="auto"/>
              <w:bottom w:val="single" w:sz="4" w:space="0" w:color="auto"/>
            </w:tcBorders>
            <w:shd w:val="clear" w:color="auto" w:fill="auto"/>
          </w:tcPr>
          <w:p w14:paraId="4D1FCEDE" w14:textId="77777777"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626 770 1</w:t>
            </w:r>
          </w:p>
        </w:tc>
        <w:tc>
          <w:tcPr>
            <w:tcW w:w="1288" w:type="dxa"/>
            <w:tcBorders>
              <w:top w:val="single" w:sz="4" w:space="0" w:color="auto"/>
              <w:bottom w:val="single" w:sz="4" w:space="0" w:color="auto"/>
            </w:tcBorders>
            <w:shd w:val="clear" w:color="auto" w:fill="auto"/>
          </w:tcPr>
          <w:p w14:paraId="584FF277" w14:textId="77777777" w:rsidR="00803069" w:rsidRPr="000D5B62" w:rsidRDefault="00803069" w:rsidP="00E73021">
            <w:pPr>
              <w:spacing w:before="40" w:after="40" w:line="300" w:lineRule="exact"/>
              <w:jc w:val="left"/>
              <w:textDirection w:val="tbRlV"/>
              <w:rPr>
                <w:rFonts w:eastAsiaTheme="minorEastAsia"/>
                <w:b/>
                <w:spacing w:val="-4"/>
                <w:sz w:val="18"/>
                <w:szCs w:val="18"/>
                <w:lang w:eastAsia="zh-TW" w:bidi="en-GB"/>
              </w:rPr>
            </w:pPr>
            <w:r w:rsidRPr="000D5B62">
              <w:rPr>
                <w:rFonts w:eastAsiaTheme="minorEastAsia"/>
                <w:b/>
                <w:bCs/>
                <w:spacing w:val="-4"/>
                <w:sz w:val="18"/>
                <w:szCs w:val="18"/>
                <w:rtl/>
              </w:rPr>
              <w:t>980 738 1</w:t>
            </w:r>
          </w:p>
        </w:tc>
        <w:tc>
          <w:tcPr>
            <w:tcW w:w="938" w:type="dxa"/>
            <w:tcBorders>
              <w:top w:val="single" w:sz="4" w:space="0" w:color="auto"/>
              <w:bottom w:val="single" w:sz="4" w:space="0" w:color="auto"/>
            </w:tcBorders>
            <w:shd w:val="clear" w:color="auto" w:fill="auto"/>
          </w:tcPr>
          <w:p w14:paraId="0E159494" w14:textId="58ACC76C"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w:t>
            </w:r>
            <w:r w:rsidR="008C28E2" w:rsidRPr="000D5B62">
              <w:rPr>
                <w:rFonts w:eastAsiaTheme="minorEastAsia" w:hint="cs"/>
                <w:b/>
                <w:bCs/>
                <w:spacing w:val="-4"/>
                <w:sz w:val="18"/>
                <w:szCs w:val="18"/>
                <w:rtl/>
              </w:rPr>
              <w:t>646 31</w:t>
            </w:r>
          </w:p>
        </w:tc>
        <w:tc>
          <w:tcPr>
            <w:tcW w:w="648" w:type="dxa"/>
            <w:tcBorders>
              <w:top w:val="single" w:sz="4" w:space="0" w:color="auto"/>
              <w:bottom w:val="single" w:sz="4" w:space="0" w:color="auto"/>
            </w:tcBorders>
            <w:shd w:val="clear" w:color="auto" w:fill="auto"/>
          </w:tcPr>
          <w:p w14:paraId="6CF1A0F8" w14:textId="3ED43540" w:rsidR="00803069" w:rsidRPr="000D5B62" w:rsidRDefault="00803069" w:rsidP="00E73021">
            <w:pPr>
              <w:spacing w:before="40" w:after="40" w:line="30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-1</w:t>
            </w:r>
            <w:r w:rsidR="00CB6827" w:rsidRPr="000D5B62">
              <w:rPr>
                <w:rFonts w:eastAsiaTheme="minorEastAsia" w:hint="cs"/>
                <w:spacing w:val="-4"/>
                <w:sz w:val="18"/>
                <w:szCs w:val="18"/>
                <w:rtl/>
              </w:rPr>
              <w:t>,</w:t>
            </w:r>
            <w:r w:rsidRPr="000D5B62">
              <w:rPr>
                <w:rFonts w:eastAsiaTheme="minorEastAsia"/>
                <w:b/>
                <w:bCs/>
                <w:spacing w:val="-4"/>
                <w:sz w:val="18"/>
                <w:szCs w:val="18"/>
                <w:rtl/>
              </w:rPr>
              <w:t>8</w:t>
            </w:r>
          </w:p>
        </w:tc>
      </w:tr>
      <w:tr w:rsidR="00803069" w:rsidRPr="000D5B62" w14:paraId="1E1CEA20" w14:textId="77777777" w:rsidTr="00E73021">
        <w:trPr>
          <w:tblHeader/>
        </w:trPr>
        <w:tc>
          <w:tcPr>
            <w:tcW w:w="8504" w:type="dxa"/>
            <w:gridSpan w:val="9"/>
            <w:tcBorders>
              <w:top w:val="single" w:sz="4" w:space="0" w:color="auto"/>
              <w:bottom w:val="single" w:sz="4" w:space="0" w:color="auto"/>
            </w:tcBorders>
            <w:shd w:val="clear" w:color="auto" w:fill="auto"/>
          </w:tcPr>
          <w:p w14:paraId="38227CDD" w14:textId="77777777" w:rsidR="00803069" w:rsidRPr="000D5B62" w:rsidRDefault="00803069" w:rsidP="00E73021">
            <w:pPr>
              <w:spacing w:before="40" w:after="40" w:line="280" w:lineRule="exact"/>
              <w:jc w:val="left"/>
              <w:textDirection w:val="tbRlV"/>
              <w:rPr>
                <w:rFonts w:eastAsiaTheme="minorEastAsia"/>
                <w:bCs/>
                <w:i/>
                <w:iCs/>
                <w:spacing w:val="-4"/>
                <w:sz w:val="18"/>
                <w:szCs w:val="18"/>
                <w:rtl/>
                <w:lang w:val="ar-SA" w:eastAsia="zh-TW" w:bidi="en-GB"/>
              </w:rPr>
            </w:pPr>
            <w:r w:rsidRPr="000D5B62">
              <w:rPr>
                <w:rFonts w:eastAsiaTheme="minorEastAsia"/>
                <w:i/>
                <w:iCs/>
                <w:spacing w:val="-4"/>
                <w:sz w:val="18"/>
                <w:szCs w:val="18"/>
                <w:rtl/>
              </w:rPr>
              <w:t>جرائم اكتشفت بفضل جهود الشرطة</w:t>
            </w:r>
          </w:p>
        </w:tc>
      </w:tr>
      <w:tr w:rsidR="00803069" w:rsidRPr="000D5B62" w14:paraId="11404ABF" w14:textId="77777777" w:rsidTr="00E73021">
        <w:tc>
          <w:tcPr>
            <w:tcW w:w="2121" w:type="dxa"/>
            <w:tcBorders>
              <w:top w:val="single" w:sz="4" w:space="0" w:color="auto"/>
            </w:tcBorders>
            <w:shd w:val="clear" w:color="auto" w:fill="auto"/>
          </w:tcPr>
          <w:p w14:paraId="564E9E2C"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حيازة الأسلحة النارية والذخيرة بصورة غير مشروعة</w:t>
            </w:r>
          </w:p>
        </w:tc>
        <w:tc>
          <w:tcPr>
            <w:tcW w:w="1045" w:type="dxa"/>
            <w:tcBorders>
              <w:top w:val="single" w:sz="4" w:space="0" w:color="auto"/>
            </w:tcBorders>
            <w:shd w:val="clear" w:color="auto" w:fill="auto"/>
          </w:tcPr>
          <w:p w14:paraId="2116E1F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362 15</w:t>
            </w:r>
          </w:p>
        </w:tc>
        <w:tc>
          <w:tcPr>
            <w:tcW w:w="1288" w:type="dxa"/>
            <w:gridSpan w:val="2"/>
            <w:tcBorders>
              <w:top w:val="single" w:sz="4" w:space="0" w:color="auto"/>
            </w:tcBorders>
            <w:shd w:val="clear" w:color="auto" w:fill="auto"/>
          </w:tcPr>
          <w:p w14:paraId="05E699D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116 15</w:t>
            </w:r>
          </w:p>
        </w:tc>
        <w:tc>
          <w:tcPr>
            <w:tcW w:w="1176" w:type="dxa"/>
            <w:gridSpan w:val="2"/>
            <w:tcBorders>
              <w:top w:val="single" w:sz="4" w:space="0" w:color="auto"/>
            </w:tcBorders>
            <w:shd w:val="clear" w:color="auto" w:fill="auto"/>
          </w:tcPr>
          <w:p w14:paraId="7AA99FC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772 14</w:t>
            </w:r>
          </w:p>
        </w:tc>
        <w:tc>
          <w:tcPr>
            <w:tcW w:w="1288" w:type="dxa"/>
            <w:tcBorders>
              <w:top w:val="single" w:sz="4" w:space="0" w:color="auto"/>
            </w:tcBorders>
            <w:shd w:val="clear" w:color="auto" w:fill="auto"/>
          </w:tcPr>
          <w:p w14:paraId="5863961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134 16</w:t>
            </w:r>
          </w:p>
        </w:tc>
        <w:tc>
          <w:tcPr>
            <w:tcW w:w="938" w:type="dxa"/>
            <w:tcBorders>
              <w:top w:val="single" w:sz="4" w:space="0" w:color="auto"/>
            </w:tcBorders>
            <w:shd w:val="clear" w:color="auto" w:fill="auto"/>
          </w:tcPr>
          <w:p w14:paraId="7F81F9D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362 1</w:t>
            </w:r>
          </w:p>
        </w:tc>
        <w:tc>
          <w:tcPr>
            <w:tcW w:w="648" w:type="dxa"/>
            <w:tcBorders>
              <w:top w:val="single" w:sz="4" w:space="0" w:color="auto"/>
            </w:tcBorders>
            <w:shd w:val="clear" w:color="auto" w:fill="auto"/>
          </w:tcPr>
          <w:p w14:paraId="385ADF9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9,2</w:t>
            </w:r>
          </w:p>
        </w:tc>
      </w:tr>
      <w:tr w:rsidR="00803069" w:rsidRPr="000D5B62" w14:paraId="3BC79AD9" w14:textId="77777777" w:rsidTr="00E73021">
        <w:tc>
          <w:tcPr>
            <w:tcW w:w="2121" w:type="dxa"/>
            <w:shd w:val="clear" w:color="auto" w:fill="auto"/>
          </w:tcPr>
          <w:p w14:paraId="6A803F46"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الجرائم المتصلة بالمخدرات</w:t>
            </w:r>
          </w:p>
        </w:tc>
        <w:tc>
          <w:tcPr>
            <w:tcW w:w="1045" w:type="dxa"/>
            <w:shd w:val="clear" w:color="auto" w:fill="auto"/>
          </w:tcPr>
          <w:p w14:paraId="550861F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596 260</w:t>
            </w:r>
          </w:p>
        </w:tc>
        <w:tc>
          <w:tcPr>
            <w:tcW w:w="1288" w:type="dxa"/>
            <w:gridSpan w:val="2"/>
            <w:shd w:val="clear" w:color="auto" w:fill="auto"/>
          </w:tcPr>
          <w:p w14:paraId="3DA3B632"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902 266</w:t>
            </w:r>
          </w:p>
        </w:tc>
        <w:tc>
          <w:tcPr>
            <w:tcW w:w="1176" w:type="dxa"/>
            <w:gridSpan w:val="2"/>
            <w:shd w:val="clear" w:color="auto" w:fill="auto"/>
          </w:tcPr>
          <w:p w14:paraId="4C91781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165 259</w:t>
            </w:r>
          </w:p>
        </w:tc>
        <w:tc>
          <w:tcPr>
            <w:tcW w:w="1288" w:type="dxa"/>
            <w:shd w:val="clear" w:color="auto" w:fill="auto"/>
          </w:tcPr>
          <w:p w14:paraId="03B9526B"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689 292</w:t>
            </w:r>
          </w:p>
        </w:tc>
        <w:tc>
          <w:tcPr>
            <w:tcW w:w="938" w:type="dxa"/>
            <w:shd w:val="clear" w:color="auto" w:fill="auto"/>
          </w:tcPr>
          <w:p w14:paraId="779B859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524 33</w:t>
            </w:r>
          </w:p>
        </w:tc>
        <w:tc>
          <w:tcPr>
            <w:tcW w:w="648" w:type="dxa"/>
            <w:shd w:val="clear" w:color="auto" w:fill="auto"/>
          </w:tcPr>
          <w:p w14:paraId="2461174D"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12,9</w:t>
            </w:r>
          </w:p>
        </w:tc>
      </w:tr>
      <w:tr w:rsidR="00803069" w:rsidRPr="000D5B62" w14:paraId="3030A943" w14:textId="77777777" w:rsidTr="00E73021">
        <w:tc>
          <w:tcPr>
            <w:tcW w:w="2121" w:type="dxa"/>
            <w:shd w:val="clear" w:color="auto" w:fill="auto"/>
          </w:tcPr>
          <w:p w14:paraId="738C414F"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قيادة السيارات تحت تأثير الكحول أو المخدرات</w:t>
            </w:r>
          </w:p>
        </w:tc>
        <w:tc>
          <w:tcPr>
            <w:tcW w:w="1045" w:type="dxa"/>
            <w:shd w:val="clear" w:color="auto" w:fill="auto"/>
          </w:tcPr>
          <w:p w14:paraId="66B262AA"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725 69</w:t>
            </w:r>
          </w:p>
        </w:tc>
        <w:tc>
          <w:tcPr>
            <w:tcW w:w="1288" w:type="dxa"/>
            <w:gridSpan w:val="2"/>
            <w:shd w:val="clear" w:color="auto" w:fill="auto"/>
          </w:tcPr>
          <w:p w14:paraId="64801468"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561 68</w:t>
            </w:r>
          </w:p>
        </w:tc>
        <w:tc>
          <w:tcPr>
            <w:tcW w:w="1176" w:type="dxa"/>
            <w:gridSpan w:val="2"/>
            <w:shd w:val="clear" w:color="auto" w:fill="auto"/>
          </w:tcPr>
          <w:p w14:paraId="209BD54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159 76</w:t>
            </w:r>
          </w:p>
        </w:tc>
        <w:tc>
          <w:tcPr>
            <w:tcW w:w="1288" w:type="dxa"/>
            <w:shd w:val="clear" w:color="auto" w:fill="auto"/>
          </w:tcPr>
          <w:p w14:paraId="1551525F" w14:textId="77777777" w:rsidR="00803069" w:rsidRPr="000D5B62" w:rsidRDefault="00803069" w:rsidP="00E73021">
            <w:pPr>
              <w:spacing w:before="40" w:after="40" w:line="280" w:lineRule="exact"/>
              <w:jc w:val="left"/>
              <w:textDirection w:val="tbRlV"/>
              <w:rPr>
                <w:rFonts w:eastAsiaTheme="minorEastAsia"/>
                <w:bCs/>
                <w:spacing w:val="-4"/>
                <w:sz w:val="18"/>
                <w:szCs w:val="18"/>
                <w:lang w:eastAsia="zh-TW" w:bidi="en-GB"/>
              </w:rPr>
            </w:pPr>
            <w:r w:rsidRPr="000D5B62">
              <w:rPr>
                <w:rFonts w:eastAsiaTheme="minorEastAsia"/>
                <w:spacing w:val="-4"/>
                <w:sz w:val="18"/>
                <w:szCs w:val="18"/>
                <w:rtl/>
              </w:rPr>
              <w:t>034 75</w:t>
            </w:r>
          </w:p>
        </w:tc>
        <w:tc>
          <w:tcPr>
            <w:tcW w:w="938" w:type="dxa"/>
            <w:shd w:val="clear" w:color="auto" w:fill="auto"/>
          </w:tcPr>
          <w:p w14:paraId="6BD1B09E" w14:textId="25535F90"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w:t>
            </w:r>
            <w:r w:rsidR="008C28E2" w:rsidRPr="000D5B62">
              <w:rPr>
                <w:rFonts w:eastAsiaTheme="minorEastAsia" w:hint="cs"/>
                <w:spacing w:val="-4"/>
                <w:sz w:val="18"/>
                <w:szCs w:val="18"/>
                <w:rtl/>
              </w:rPr>
              <w:t>125 1</w:t>
            </w:r>
          </w:p>
        </w:tc>
        <w:tc>
          <w:tcPr>
            <w:tcW w:w="648" w:type="dxa"/>
            <w:shd w:val="clear" w:color="auto" w:fill="auto"/>
          </w:tcPr>
          <w:p w14:paraId="6671A0BF" w14:textId="4626B092"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w:t>
            </w:r>
            <w:r w:rsidR="00CB6827" w:rsidRPr="000D5B62">
              <w:rPr>
                <w:rFonts w:eastAsiaTheme="minorEastAsia" w:hint="cs"/>
                <w:spacing w:val="-4"/>
                <w:sz w:val="18"/>
                <w:szCs w:val="18"/>
                <w:rtl/>
              </w:rPr>
              <w:t>,</w:t>
            </w:r>
            <w:r w:rsidRPr="000D5B62">
              <w:rPr>
                <w:rFonts w:eastAsiaTheme="minorEastAsia"/>
                <w:spacing w:val="-4"/>
                <w:sz w:val="18"/>
                <w:szCs w:val="18"/>
                <w:rtl/>
              </w:rPr>
              <w:t>5</w:t>
            </w:r>
          </w:p>
        </w:tc>
      </w:tr>
      <w:tr w:rsidR="00803069" w:rsidRPr="000D5B62" w14:paraId="66B62AA2" w14:textId="77777777" w:rsidTr="00E73021">
        <w:tc>
          <w:tcPr>
            <w:tcW w:w="2121" w:type="dxa"/>
            <w:shd w:val="clear" w:color="auto" w:fill="auto"/>
          </w:tcPr>
          <w:p w14:paraId="55DA3C1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الجرائم الجنسية</w:t>
            </w:r>
          </w:p>
        </w:tc>
        <w:tc>
          <w:tcPr>
            <w:tcW w:w="1045" w:type="dxa"/>
            <w:shd w:val="clear" w:color="auto" w:fill="auto"/>
          </w:tcPr>
          <w:p w14:paraId="303F320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720 4</w:t>
            </w:r>
          </w:p>
        </w:tc>
        <w:tc>
          <w:tcPr>
            <w:tcW w:w="1288" w:type="dxa"/>
            <w:gridSpan w:val="2"/>
            <w:shd w:val="clear" w:color="auto" w:fill="auto"/>
          </w:tcPr>
          <w:p w14:paraId="036E9521"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340 6</w:t>
            </w:r>
          </w:p>
        </w:tc>
        <w:tc>
          <w:tcPr>
            <w:tcW w:w="1176" w:type="dxa"/>
            <w:gridSpan w:val="2"/>
            <w:shd w:val="clear" w:color="auto" w:fill="auto"/>
          </w:tcPr>
          <w:p w14:paraId="445BC60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830 5</w:t>
            </w:r>
          </w:p>
        </w:tc>
        <w:tc>
          <w:tcPr>
            <w:tcW w:w="1288" w:type="dxa"/>
            <w:shd w:val="clear" w:color="auto" w:fill="auto"/>
          </w:tcPr>
          <w:p w14:paraId="0FC855AE"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164 6</w:t>
            </w:r>
          </w:p>
        </w:tc>
        <w:tc>
          <w:tcPr>
            <w:tcW w:w="938" w:type="dxa"/>
            <w:shd w:val="clear" w:color="auto" w:fill="auto"/>
          </w:tcPr>
          <w:p w14:paraId="138BBFF7"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334</w:t>
            </w:r>
          </w:p>
        </w:tc>
        <w:tc>
          <w:tcPr>
            <w:tcW w:w="648" w:type="dxa"/>
            <w:shd w:val="clear" w:color="auto" w:fill="auto"/>
          </w:tcPr>
          <w:p w14:paraId="735032B4" w14:textId="77777777" w:rsidR="00803069" w:rsidRPr="000D5B62" w:rsidRDefault="00803069" w:rsidP="00E73021">
            <w:pPr>
              <w:spacing w:before="40" w:after="40" w:line="280" w:lineRule="exact"/>
              <w:jc w:val="left"/>
              <w:textDirection w:val="tbRlV"/>
              <w:rPr>
                <w:rFonts w:eastAsiaTheme="minorEastAsia"/>
                <w:bCs/>
                <w:spacing w:val="-4"/>
                <w:sz w:val="18"/>
                <w:szCs w:val="18"/>
                <w:rtl/>
                <w:lang w:val="ar-SA" w:eastAsia="zh-TW" w:bidi="en-GB"/>
              </w:rPr>
            </w:pPr>
            <w:r w:rsidRPr="000D5B62">
              <w:rPr>
                <w:rFonts w:eastAsiaTheme="minorEastAsia"/>
                <w:spacing w:val="-4"/>
                <w:sz w:val="18"/>
                <w:szCs w:val="18"/>
                <w:rtl/>
              </w:rPr>
              <w:t>5,7</w:t>
            </w:r>
          </w:p>
        </w:tc>
      </w:tr>
      <w:tr w:rsidR="00803069" w:rsidRPr="000D5B62" w14:paraId="40444C4E" w14:textId="77777777" w:rsidTr="00E73021">
        <w:tc>
          <w:tcPr>
            <w:tcW w:w="2121" w:type="dxa"/>
            <w:shd w:val="clear" w:color="auto" w:fill="auto"/>
          </w:tcPr>
          <w:p w14:paraId="758E83CE"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جرائم اكتشفت بفضل جهود الشرطة</w:t>
            </w:r>
          </w:p>
        </w:tc>
        <w:tc>
          <w:tcPr>
            <w:tcW w:w="1045" w:type="dxa"/>
            <w:shd w:val="clear" w:color="auto" w:fill="auto"/>
          </w:tcPr>
          <w:p w14:paraId="776378CF"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403 350</w:t>
            </w:r>
          </w:p>
        </w:tc>
        <w:tc>
          <w:tcPr>
            <w:tcW w:w="1288" w:type="dxa"/>
            <w:gridSpan w:val="2"/>
            <w:shd w:val="clear" w:color="auto" w:fill="auto"/>
          </w:tcPr>
          <w:p w14:paraId="3E1E8A85"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919 356</w:t>
            </w:r>
          </w:p>
        </w:tc>
        <w:tc>
          <w:tcPr>
            <w:tcW w:w="1176" w:type="dxa"/>
            <w:gridSpan w:val="2"/>
            <w:shd w:val="clear" w:color="auto" w:fill="auto"/>
          </w:tcPr>
          <w:p w14:paraId="34B4EAC2"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926 355</w:t>
            </w:r>
          </w:p>
        </w:tc>
        <w:tc>
          <w:tcPr>
            <w:tcW w:w="1288" w:type="dxa"/>
            <w:shd w:val="clear" w:color="auto" w:fill="auto"/>
          </w:tcPr>
          <w:p w14:paraId="1B9ED12C"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021 390</w:t>
            </w:r>
          </w:p>
        </w:tc>
        <w:tc>
          <w:tcPr>
            <w:tcW w:w="938" w:type="dxa"/>
            <w:shd w:val="clear" w:color="auto" w:fill="auto"/>
          </w:tcPr>
          <w:p w14:paraId="36CB3D68"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
                <w:bCs/>
                <w:spacing w:val="-4"/>
                <w:sz w:val="18"/>
                <w:szCs w:val="18"/>
                <w:rtl/>
              </w:rPr>
              <w:t>095 34</w:t>
            </w:r>
          </w:p>
        </w:tc>
        <w:tc>
          <w:tcPr>
            <w:tcW w:w="648" w:type="dxa"/>
            <w:shd w:val="clear" w:color="auto" w:fill="auto"/>
          </w:tcPr>
          <w:p w14:paraId="2DFF9001" w14:textId="77777777" w:rsidR="00803069" w:rsidRPr="000D5B62" w:rsidRDefault="00803069" w:rsidP="00E73021">
            <w:pPr>
              <w:spacing w:before="40" w:after="40" w:line="280" w:lineRule="exact"/>
              <w:jc w:val="left"/>
              <w:textDirection w:val="tbRlV"/>
              <w:rPr>
                <w:rFonts w:eastAsiaTheme="minorEastAsia"/>
                <w:b/>
                <w:spacing w:val="-4"/>
                <w:sz w:val="18"/>
                <w:szCs w:val="18"/>
                <w:rtl/>
                <w:lang w:val="ar-SA" w:eastAsia="zh-TW" w:bidi="en-GB"/>
              </w:rPr>
            </w:pPr>
            <w:r w:rsidRPr="000D5B62">
              <w:rPr>
                <w:rFonts w:eastAsiaTheme="minorEastAsia"/>
                <w:bCs/>
                <w:spacing w:val="-4"/>
                <w:sz w:val="18"/>
                <w:szCs w:val="18"/>
                <w:rtl/>
              </w:rPr>
              <w:t>9,6</w:t>
            </w:r>
          </w:p>
        </w:tc>
      </w:tr>
    </w:tbl>
    <w:p w14:paraId="1730334A" w14:textId="77777777" w:rsidR="00803069" w:rsidRPr="000D5B62" w:rsidRDefault="00803069" w:rsidP="005F2563">
      <w:pPr>
        <w:pStyle w:val="SingleTxtGA"/>
        <w:spacing w:before="240"/>
        <w:rPr>
          <w:rtl/>
          <w:lang w:val="ar-SA" w:eastAsia="zh-TW" w:bidi="en-GB"/>
        </w:rPr>
      </w:pPr>
      <w:r w:rsidRPr="000D5B62">
        <w:rPr>
          <w:rtl/>
        </w:rPr>
        <w:t>73-</w:t>
      </w:r>
      <w:r w:rsidRPr="000D5B62">
        <w:rPr>
          <w:rtl/>
        </w:rPr>
        <w:tab/>
        <w:t xml:space="preserve">وفيما يتعلق بمسألة العدالة الجنائية، أُحرز تقدم كبير بشأن استعراض نظام العدالة الجنائية وتحديث نظام العدالة الجنائية عن طريق برنامج نظام العدالة الجنائية المتكامل. وسوف يعالج نظام العدالة الجنائية المتكامل التحديات ومواطن القصور على امتداد سلسلة القيمة للعدالة الجنائية. وهو نظام يتوخى منه تعزيز التعاون والتكامل بين وكالات إنفاذ القانون في سياق تحقيق هدف خطة التنمية الوطنية الاستراتيجي المتمثل في بناء مجتمعات محلية أكثر أماناً وإرساء نظام عدالة جنائية قوي. </w:t>
      </w:r>
    </w:p>
    <w:p w14:paraId="2F2C6764" w14:textId="580144B4" w:rsidR="00803069" w:rsidRPr="000D5B62" w:rsidRDefault="00803069" w:rsidP="00706D34">
      <w:pPr>
        <w:pStyle w:val="SingleTxtGA"/>
        <w:rPr>
          <w:lang w:val="en-US" w:eastAsia="zh-TW" w:bidi="en-GB"/>
        </w:rPr>
      </w:pPr>
      <w:r w:rsidRPr="000D5B62">
        <w:rPr>
          <w:rtl/>
        </w:rPr>
        <w:t>74-</w:t>
      </w:r>
      <w:r w:rsidRPr="000D5B62">
        <w:rPr>
          <w:rtl/>
        </w:rPr>
        <w:tab/>
        <w:t>ونفذت أيضاً جنوب أفريقيا برنامجاً لتمكين الضحايا وكفالة إنصاف الضحايا والشهود ودعمهم دعما</w:t>
      </w:r>
      <w:r w:rsidR="00E73021" w:rsidRPr="000D5B62">
        <w:rPr>
          <w:rFonts w:hint="cs"/>
          <w:rtl/>
        </w:rPr>
        <w:t>ً</w:t>
      </w:r>
      <w:r w:rsidRPr="000D5B62">
        <w:rPr>
          <w:rtl/>
        </w:rPr>
        <w:t xml:space="preserve"> كاملا</w:t>
      </w:r>
      <w:r w:rsidR="00E73021" w:rsidRPr="000D5B62">
        <w:rPr>
          <w:rFonts w:hint="cs"/>
          <w:rtl/>
        </w:rPr>
        <w:t>ً</w:t>
      </w:r>
      <w:r w:rsidRPr="000D5B62">
        <w:rPr>
          <w:rtl/>
        </w:rPr>
        <w:t>، وهي لا تنفك تروج لتركيز الجهود على ذلك بوجه خاص عبر قنوات عدة، من بينها ميثاقنا المتعلق بحقوق الضحايا. وفي سياق مكافحة الجريمة، تستخدم الدراسات الاستقصائية التي تجرى عن الضحايا لرصد تصور الجريمة وقياس مدى رضا المستفيد من خدمات الشرطة والمحاكم عن تلك الخدمات. والدراسة الاستقصائية بشأن ضحايا الجريمة هي دراسة استقصائية سنوية قائمة على أساس الأسر المعيشية تهدف إلى توفير معلومات عن ديناميات الجريمة. وتبحث هذه الدراسة تصورات عامة الناس لأنشطة الشرطة والمدعين العامين والمحاكم والخدمات الإصلاحية في منع الجريمة والإيذاء. وتشكل الدراسة الاستقصائية أيضاً مصدراً مكملاً للبيانات المتعلقة بمعدلات الجريمة في جنوب أفريقيا. وقد أظهرت دراسة استقصائية في عام 2016/2017</w:t>
      </w:r>
      <w:r w:rsidRPr="000D5B62">
        <w:rPr>
          <w:rStyle w:val="FootnoteReference"/>
          <w:szCs w:val="22"/>
          <w:rtl/>
        </w:rPr>
        <w:t>(</w:t>
      </w:r>
      <w:r w:rsidRPr="000D5B62">
        <w:rPr>
          <w:rStyle w:val="FootnoteReference"/>
          <w:szCs w:val="22"/>
          <w:rtl/>
        </w:rPr>
        <w:footnoteReference w:id="53"/>
      </w:r>
      <w:r w:rsidRPr="000D5B62">
        <w:rPr>
          <w:rStyle w:val="FootnoteReference"/>
          <w:szCs w:val="22"/>
          <w:rtl/>
        </w:rPr>
        <w:t>)</w:t>
      </w:r>
      <w:r w:rsidRPr="000D5B62">
        <w:rPr>
          <w:rtl/>
        </w:rPr>
        <w:t xml:space="preserve"> أن ثقة الأسر المعيشية في دوائر الشرطة والمحاكم بدأت تتآكل شيئا</w:t>
      </w:r>
      <w:r w:rsidR="00611E78" w:rsidRPr="000D5B62">
        <w:rPr>
          <w:rFonts w:hint="cs"/>
          <w:rtl/>
        </w:rPr>
        <w:t>ً</w:t>
      </w:r>
      <w:r w:rsidRPr="000D5B62">
        <w:rPr>
          <w:rtl/>
        </w:rPr>
        <w:t xml:space="preserve"> فشيئا</w:t>
      </w:r>
      <w:r w:rsidR="00611E78" w:rsidRPr="000D5B62">
        <w:rPr>
          <w:rFonts w:hint="cs"/>
          <w:rtl/>
        </w:rPr>
        <w:t>ً</w:t>
      </w:r>
      <w:r w:rsidRPr="000D5B62">
        <w:rPr>
          <w:rtl/>
        </w:rPr>
        <w:t xml:space="preserve"> على مر السنين. فالأسر المعيشية التي أبدت موقفا</w:t>
      </w:r>
      <w:r w:rsidR="00611E78" w:rsidRPr="000D5B62">
        <w:rPr>
          <w:rFonts w:hint="cs"/>
          <w:rtl/>
        </w:rPr>
        <w:t>ً</w:t>
      </w:r>
      <w:r w:rsidRPr="000D5B62">
        <w:rPr>
          <w:rtl/>
        </w:rPr>
        <w:t xml:space="preserve"> سلبيا</w:t>
      </w:r>
      <w:r w:rsidR="00611E78" w:rsidRPr="000D5B62">
        <w:rPr>
          <w:rFonts w:hint="cs"/>
          <w:rtl/>
        </w:rPr>
        <w:t>ً</w:t>
      </w:r>
      <w:r w:rsidRPr="000D5B62">
        <w:rPr>
          <w:rtl/>
        </w:rPr>
        <w:t xml:space="preserve"> من جهاز الشرطة رأت أن الشرطة لم تفلح في استعادة المسروقات (59 في المائة) في حين رأت الأسر التي أبدت استياءً من خدمات المحاكم أن المحاكم تتساهل كثيرا</w:t>
      </w:r>
      <w:r w:rsidR="00611E78" w:rsidRPr="000D5B62">
        <w:rPr>
          <w:rFonts w:hint="cs"/>
          <w:rtl/>
        </w:rPr>
        <w:t>ً</w:t>
      </w:r>
      <w:r w:rsidRPr="000D5B62">
        <w:rPr>
          <w:rtl/>
        </w:rPr>
        <w:t xml:space="preserve"> مع المجرمين.</w:t>
      </w:r>
    </w:p>
    <w:p w14:paraId="55872212" w14:textId="77777777" w:rsidR="00803069" w:rsidRPr="000D5B62" w:rsidRDefault="00803069" w:rsidP="00E04793">
      <w:pPr>
        <w:pStyle w:val="H23GA"/>
        <w:rPr>
          <w:rtl/>
          <w:lang w:val="ar-SA" w:eastAsia="zh-TW" w:bidi="en-GB"/>
        </w:rPr>
      </w:pPr>
      <w:r w:rsidRPr="000D5B62">
        <w:rPr>
          <w:rtl/>
        </w:rPr>
        <w:tab/>
      </w:r>
      <w:r w:rsidRPr="000D5B62">
        <w:rPr>
          <w:rtl/>
        </w:rPr>
        <w:tab/>
        <w:t>المعونة القضائية</w:t>
      </w:r>
    </w:p>
    <w:p w14:paraId="3C32F5F7" w14:textId="79051A1D" w:rsidR="00803069" w:rsidRPr="000D5B62" w:rsidRDefault="00803069" w:rsidP="00706D34">
      <w:pPr>
        <w:pStyle w:val="SingleTxtGA"/>
        <w:rPr>
          <w:lang w:val="en-US" w:eastAsia="zh-TW" w:bidi="en-GB"/>
        </w:rPr>
      </w:pPr>
      <w:r w:rsidRPr="000D5B62">
        <w:rPr>
          <w:rtl/>
        </w:rPr>
        <w:t>75-</w:t>
      </w:r>
      <w:r w:rsidRPr="000D5B62">
        <w:rPr>
          <w:rtl/>
        </w:rPr>
        <w:tab/>
      </w:r>
      <w:r w:rsidRPr="000D5B62">
        <w:rPr>
          <w:spacing w:val="-4"/>
          <w:rtl/>
        </w:rPr>
        <w:t>ينص الدستور على حق كل طفل وكل شخص يطلب حل نزاع ما عن طريق المحكمة أو هيئة قضائية أخرى، وحق كل متهم وكل شخص محتجز، بمن في ذلك السجين المحكوم عليه، في أن يوفر له التمثيل القانوني على نفقة الدولة في الحالات التي يمكن أن يقع فيها ظلم كبير إن لم تقدم تلك المعونة. ولذلك، أُنشئت بموجب قانون المساعدة القانونية في جنوب أفريقيا لعام 2014</w:t>
      </w:r>
      <w:r w:rsidRPr="000D5B62">
        <w:rPr>
          <w:rStyle w:val="FootnoteReference"/>
          <w:spacing w:val="-4"/>
          <w:szCs w:val="22"/>
          <w:rtl/>
        </w:rPr>
        <w:t>(</w:t>
      </w:r>
      <w:r w:rsidRPr="000D5B62">
        <w:rPr>
          <w:rStyle w:val="FootnoteReference"/>
          <w:spacing w:val="-4"/>
          <w:szCs w:val="22"/>
          <w:rtl/>
        </w:rPr>
        <w:footnoteReference w:id="54"/>
      </w:r>
      <w:r w:rsidRPr="000D5B62">
        <w:rPr>
          <w:rStyle w:val="FootnoteReference"/>
          <w:spacing w:val="-4"/>
          <w:szCs w:val="22"/>
          <w:rtl/>
        </w:rPr>
        <w:t>)</w:t>
      </w:r>
      <w:r w:rsidRPr="000D5B62">
        <w:rPr>
          <w:spacing w:val="-4"/>
          <w:rtl/>
        </w:rPr>
        <w:t xml:space="preserve"> هيئة المساعدة القانونية في جنوب أفريقيا، بوصفها كياناً حكومياً وطنياً، لكي تفي بتلك الالتزامات المنصوص عليها في الدستور</w:t>
      </w:r>
      <w:r w:rsidRPr="000D5B62">
        <w:rPr>
          <w:rStyle w:val="FootnoteReference"/>
          <w:spacing w:val="-4"/>
          <w:szCs w:val="22"/>
          <w:rtl/>
        </w:rPr>
        <w:t>(</w:t>
      </w:r>
      <w:r w:rsidRPr="000D5B62">
        <w:rPr>
          <w:rStyle w:val="FootnoteReference"/>
          <w:spacing w:val="-4"/>
          <w:szCs w:val="22"/>
          <w:rtl/>
        </w:rPr>
        <w:footnoteReference w:id="55"/>
      </w:r>
      <w:r w:rsidRPr="000D5B62">
        <w:rPr>
          <w:rStyle w:val="FootnoteReference"/>
          <w:spacing w:val="-4"/>
          <w:szCs w:val="22"/>
          <w:rtl/>
        </w:rPr>
        <w:t>)</w:t>
      </w:r>
      <w:r w:rsidR="00E04793" w:rsidRPr="000D5B62">
        <w:rPr>
          <w:rFonts w:hint="cs"/>
          <w:spacing w:val="-4"/>
          <w:rtl/>
        </w:rPr>
        <w:t xml:space="preserve">. </w:t>
      </w:r>
      <w:r w:rsidRPr="000D5B62">
        <w:rPr>
          <w:spacing w:val="-4"/>
          <w:rtl/>
        </w:rPr>
        <w:t>فالمادة 34 من الدستور تكفل إمكانية الاحتكام إلى القضاء والحق في جلسة استماع علنية عادلة</w:t>
      </w:r>
      <w:r w:rsidRPr="000D5B62">
        <w:rPr>
          <w:rStyle w:val="FootnoteReference"/>
          <w:spacing w:val="-4"/>
          <w:szCs w:val="22"/>
          <w:rtl/>
        </w:rPr>
        <w:t>(</w:t>
      </w:r>
      <w:r w:rsidRPr="000D5B62">
        <w:rPr>
          <w:rStyle w:val="FootnoteReference"/>
          <w:spacing w:val="-4"/>
          <w:szCs w:val="22"/>
          <w:rtl/>
        </w:rPr>
        <w:footnoteReference w:id="56"/>
      </w:r>
      <w:r w:rsidRPr="000D5B62">
        <w:rPr>
          <w:rStyle w:val="FootnoteReference"/>
          <w:spacing w:val="-4"/>
          <w:szCs w:val="22"/>
          <w:rtl/>
        </w:rPr>
        <w:t>)</w:t>
      </w:r>
      <w:r w:rsidR="00E04793" w:rsidRPr="000D5B62">
        <w:rPr>
          <w:rFonts w:hint="cs"/>
          <w:spacing w:val="-4"/>
          <w:rtl/>
        </w:rPr>
        <w:t>.</w:t>
      </w:r>
      <w:r w:rsidR="00E04793" w:rsidRPr="000D5B62">
        <w:rPr>
          <w:rFonts w:hint="cs"/>
          <w:rtl/>
        </w:rPr>
        <w:t xml:space="preserve"> </w:t>
      </w:r>
      <w:r w:rsidRPr="000D5B62">
        <w:rPr>
          <w:rtl/>
        </w:rPr>
        <w:t>وحددت الهيئة الأولويات التالية في تقديم المعونة القضائية، انسجاما</w:t>
      </w:r>
      <w:r w:rsidR="003A445D" w:rsidRPr="000D5B62">
        <w:rPr>
          <w:rFonts w:hint="cs"/>
          <w:rtl/>
        </w:rPr>
        <w:t>ً</w:t>
      </w:r>
      <w:r w:rsidRPr="000D5B62">
        <w:rPr>
          <w:rtl/>
        </w:rPr>
        <w:t xml:space="preserve"> مع الشروط التي ألزمها بها الدستور ومقتضيات قانون تفويضها:</w:t>
      </w:r>
    </w:p>
    <w:p w14:paraId="0A12CE04" w14:textId="77777777" w:rsidR="00803069" w:rsidRPr="000D5B62" w:rsidRDefault="00803069" w:rsidP="00706D34">
      <w:pPr>
        <w:pStyle w:val="Bullet1GA"/>
        <w:rPr>
          <w:rtl/>
          <w:lang w:val="ar-SA" w:bidi="en-GB"/>
        </w:rPr>
      </w:pPr>
      <w:r w:rsidRPr="000D5B62">
        <w:rPr>
          <w:rtl/>
        </w:rPr>
        <w:t>الطفل في القضايا المدنية التي تمسه في الحالات التي يمكن أن يقع فيها ظلم كبير إن لم تقدم تلك المعونة؛</w:t>
      </w:r>
    </w:p>
    <w:p w14:paraId="0E76154C" w14:textId="77777777" w:rsidR="00803069" w:rsidRPr="000D5B62" w:rsidRDefault="00803069" w:rsidP="00706D34">
      <w:pPr>
        <w:pStyle w:val="Bullet1GA"/>
        <w:rPr>
          <w:rtl/>
          <w:lang w:val="ar-SA" w:bidi="en-GB"/>
        </w:rPr>
      </w:pPr>
      <w:r w:rsidRPr="000D5B62">
        <w:rPr>
          <w:rtl/>
        </w:rPr>
        <w:t>كل شخص محتجز (بما يشمل السجين المحكوم عليه)؛</w:t>
      </w:r>
    </w:p>
    <w:p w14:paraId="631BADAB" w14:textId="77777777" w:rsidR="00803069" w:rsidRPr="000D5B62" w:rsidRDefault="00803069" w:rsidP="00706D34">
      <w:pPr>
        <w:pStyle w:val="Bullet1GA"/>
        <w:rPr>
          <w:rtl/>
          <w:lang w:val="ar-SA" w:bidi="en-GB"/>
        </w:rPr>
      </w:pPr>
      <w:r w:rsidRPr="000D5B62">
        <w:rPr>
          <w:rtl/>
        </w:rPr>
        <w:t>كل شخص متهم في جريمة؛</w:t>
      </w:r>
    </w:p>
    <w:p w14:paraId="37E267A4" w14:textId="309A3EED" w:rsidR="00803069" w:rsidRPr="000D5B62" w:rsidRDefault="00803069" w:rsidP="00706D34">
      <w:pPr>
        <w:pStyle w:val="Bullet1GA"/>
        <w:rPr>
          <w:rtl/>
          <w:lang w:val="ar-SA" w:bidi="en-GB"/>
        </w:rPr>
      </w:pPr>
      <w:r w:rsidRPr="000D5B62">
        <w:rPr>
          <w:rtl/>
        </w:rPr>
        <w:t>الشخص الذي يرغب في استئناف قرار أصدرته محكمة أو إعادة النظر فيه أمام محكمة</w:t>
      </w:r>
      <w:r w:rsidR="003A445D" w:rsidRPr="000D5B62">
        <w:rPr>
          <w:rFonts w:hint="cs"/>
          <w:rtl/>
        </w:rPr>
        <w:t> </w:t>
      </w:r>
      <w:r w:rsidRPr="000D5B62">
        <w:rPr>
          <w:rtl/>
        </w:rPr>
        <w:t>أعلى؛</w:t>
      </w:r>
    </w:p>
    <w:p w14:paraId="03AED559" w14:textId="77777777" w:rsidR="00803069" w:rsidRPr="000D5B62" w:rsidRDefault="00803069" w:rsidP="00706D34">
      <w:pPr>
        <w:pStyle w:val="Bullet1GA"/>
        <w:rPr>
          <w:rtl/>
          <w:lang w:val="ar-SA" w:bidi="en-GB"/>
        </w:rPr>
      </w:pPr>
      <w:r w:rsidRPr="000D5B62">
        <w:rPr>
          <w:rtl/>
        </w:rPr>
        <w:t>المرأة، ولا سيما في قضايا الطلاق والنفقة والعنف العائلي؛</w:t>
      </w:r>
    </w:p>
    <w:p w14:paraId="653B77D8" w14:textId="77777777" w:rsidR="00803069" w:rsidRPr="000D5B62" w:rsidRDefault="00803069" w:rsidP="00706D34">
      <w:pPr>
        <w:pStyle w:val="Bullet1GA"/>
        <w:rPr>
          <w:rtl/>
          <w:lang w:val="ar-SA" w:bidi="en-GB"/>
        </w:rPr>
      </w:pPr>
      <w:r w:rsidRPr="000D5B62">
        <w:rPr>
          <w:rtl/>
        </w:rPr>
        <w:t>غير الملاك، ولا سيما في حالات الإخلاء.</w:t>
      </w:r>
    </w:p>
    <w:p w14:paraId="3571825F" w14:textId="2B851952" w:rsidR="00803069" w:rsidRPr="000D5B62" w:rsidRDefault="00803069" w:rsidP="00706D34">
      <w:pPr>
        <w:pStyle w:val="SingleTxtGA"/>
        <w:rPr>
          <w:rtl/>
          <w:lang w:val="ar-SA" w:eastAsia="zh-TW" w:bidi="en-GB"/>
        </w:rPr>
      </w:pPr>
      <w:r w:rsidRPr="000D5B62">
        <w:rPr>
          <w:rtl/>
        </w:rPr>
        <w:t>76-</w:t>
      </w:r>
      <w:r w:rsidRPr="000D5B62">
        <w:rPr>
          <w:rtl/>
        </w:rPr>
        <w:tab/>
        <w:t>والهيئة مكلفة أيضاً، بموجب قانون تفويضها، بتقديم أو إتاحة المعونة القضائية والمشورة القانونية وتوفير التمثيل القانوني للأشخاص على نفقة الدولة والتعريف بالحقوق والالتزامات القانونية وتوفير المعلومات في هذا الصدد</w:t>
      </w:r>
      <w:r w:rsidRPr="000D5B62">
        <w:rPr>
          <w:rStyle w:val="FootnoteReference"/>
          <w:szCs w:val="22"/>
          <w:rtl/>
        </w:rPr>
        <w:t>(</w:t>
      </w:r>
      <w:r w:rsidRPr="000D5B62">
        <w:rPr>
          <w:rStyle w:val="FootnoteReference"/>
          <w:szCs w:val="22"/>
          <w:rtl/>
        </w:rPr>
        <w:footnoteReference w:id="57"/>
      </w:r>
      <w:r w:rsidRPr="000D5B62">
        <w:rPr>
          <w:rStyle w:val="FootnoteReference"/>
          <w:szCs w:val="22"/>
          <w:rtl/>
        </w:rPr>
        <w:t>)</w:t>
      </w:r>
      <w:r w:rsidR="00E04793" w:rsidRPr="000D5B62">
        <w:rPr>
          <w:rFonts w:hint="cs"/>
          <w:rtl/>
        </w:rPr>
        <w:t xml:space="preserve">. </w:t>
      </w:r>
      <w:r w:rsidRPr="000D5B62">
        <w:rPr>
          <w:rtl/>
        </w:rPr>
        <w:t>وتمول الهيئة من الخزانة الوطنية</w:t>
      </w:r>
      <w:r w:rsidRPr="000D5B62">
        <w:rPr>
          <w:rStyle w:val="FootnoteReference"/>
          <w:szCs w:val="22"/>
          <w:rtl/>
        </w:rPr>
        <w:t>(</w:t>
      </w:r>
      <w:r w:rsidRPr="000D5B62">
        <w:rPr>
          <w:rStyle w:val="FootnoteReference"/>
          <w:szCs w:val="22"/>
          <w:rtl/>
        </w:rPr>
        <w:footnoteReference w:id="58"/>
      </w:r>
      <w:r w:rsidRPr="000D5B62">
        <w:rPr>
          <w:rStyle w:val="FootnoteReference"/>
          <w:szCs w:val="22"/>
          <w:rtl/>
        </w:rPr>
        <w:t>)</w:t>
      </w:r>
      <w:r w:rsidR="00E04793" w:rsidRPr="000D5B62">
        <w:rPr>
          <w:rFonts w:hint="cs"/>
          <w:rtl/>
        </w:rPr>
        <w:t xml:space="preserve">. </w:t>
      </w:r>
      <w:r w:rsidRPr="000D5B62">
        <w:rPr>
          <w:rtl/>
        </w:rPr>
        <w:t xml:space="preserve">وفيما يتعلق بتقديم المعونة القضائية للفقراء والمستضعفين، ترد فيما يلي إحصاءات عام 2017/2018 الصادرة في هذا الصدد: </w:t>
      </w:r>
    </w:p>
    <w:p w14:paraId="5EA33560" w14:textId="77777777" w:rsidR="00803069" w:rsidRPr="000D5B62" w:rsidRDefault="00803069" w:rsidP="00706D34">
      <w:pPr>
        <w:pStyle w:val="Bullet1GA"/>
        <w:rPr>
          <w:rtl/>
          <w:lang w:val="ar-SA" w:bidi="en-GB"/>
        </w:rPr>
      </w:pPr>
      <w:r w:rsidRPr="000D5B62">
        <w:rPr>
          <w:rtl/>
        </w:rPr>
        <w:t>تلقى ما مجموعه 856 731 موكلاً المعونة القضائية والمشورة القانونية في قضايا جنائية وقضايا تندرج في نطاق القانون المدني؛</w:t>
      </w:r>
    </w:p>
    <w:p w14:paraId="36438CED" w14:textId="77777777" w:rsidR="00803069" w:rsidRPr="000D5B62" w:rsidRDefault="00803069" w:rsidP="00706D34">
      <w:pPr>
        <w:pStyle w:val="Bullet1GA"/>
        <w:rPr>
          <w:rtl/>
          <w:lang w:val="ar-SA" w:bidi="en-GB"/>
        </w:rPr>
      </w:pPr>
      <w:r w:rsidRPr="000D5B62">
        <w:rPr>
          <w:rtl/>
        </w:rPr>
        <w:t>تم توفير التمثيل القانوني في 617 426 قضية؛</w:t>
      </w:r>
    </w:p>
    <w:p w14:paraId="58822CE6" w14:textId="77777777" w:rsidR="00803069" w:rsidRPr="000D5B62" w:rsidRDefault="00803069" w:rsidP="00706D34">
      <w:pPr>
        <w:pStyle w:val="Bullet1GA"/>
        <w:rPr>
          <w:rtl/>
          <w:lang w:val="ar-SA" w:bidi="en-GB"/>
        </w:rPr>
      </w:pPr>
      <w:r w:rsidRPr="000D5B62">
        <w:rPr>
          <w:rtl/>
        </w:rPr>
        <w:t>تلقى 202 371 (87 في المائة) موكل المعونة القضائية في قضايا جنائية في حين تلقت 415 55 (13 في المائة) موكلة المعونة القضائية في قضايا مدنية؛</w:t>
      </w:r>
    </w:p>
    <w:p w14:paraId="1501545D" w14:textId="77777777" w:rsidR="00803069" w:rsidRPr="000D5B62" w:rsidRDefault="00803069" w:rsidP="00706D34">
      <w:pPr>
        <w:pStyle w:val="Bullet1GA"/>
        <w:rPr>
          <w:rtl/>
          <w:lang w:val="ar-SA" w:bidi="en-GB"/>
        </w:rPr>
      </w:pPr>
      <w:r w:rsidRPr="000D5B62">
        <w:rPr>
          <w:rtl/>
        </w:rPr>
        <w:t>رفعت 25 دعوى من دعاوى التقاضي الاستراتيجي؛</w:t>
      </w:r>
    </w:p>
    <w:p w14:paraId="6F0E4155" w14:textId="77777777" w:rsidR="00803069" w:rsidRPr="000D5B62" w:rsidRDefault="00803069" w:rsidP="00706D34">
      <w:pPr>
        <w:pStyle w:val="Bullet1GA"/>
        <w:rPr>
          <w:rtl/>
          <w:lang w:val="ar-SA" w:bidi="en-GB"/>
        </w:rPr>
      </w:pPr>
      <w:r w:rsidRPr="000D5B62">
        <w:rPr>
          <w:rtl/>
        </w:rPr>
        <w:t>المساعدة في 774 1 دعوى استئناف استؤنف فيها الحكم/العقوبة أمام محكمة أعلى؛</w:t>
      </w:r>
    </w:p>
    <w:p w14:paraId="10ED5A02" w14:textId="77777777" w:rsidR="00803069" w:rsidRPr="000D5B62" w:rsidRDefault="00803069" w:rsidP="00706D34">
      <w:pPr>
        <w:pStyle w:val="Bullet1GA"/>
        <w:rPr>
          <w:rtl/>
          <w:lang w:val="ar-SA" w:bidi="en-GB"/>
        </w:rPr>
      </w:pPr>
      <w:r w:rsidRPr="000D5B62">
        <w:rPr>
          <w:rtl/>
        </w:rPr>
        <w:t>بلغت نسبة الموكلين قيد الحجز في إصلاحيات في إطار قضايا جنائية 34 في المائة (726 46 عميلاً)؛</w:t>
      </w:r>
    </w:p>
    <w:p w14:paraId="7CA2C994" w14:textId="77777777" w:rsidR="00803069" w:rsidRPr="000D5B62" w:rsidRDefault="00803069" w:rsidP="00706D34">
      <w:pPr>
        <w:pStyle w:val="Bullet1GA"/>
        <w:rPr>
          <w:rtl/>
          <w:lang w:val="ar-SA" w:bidi="en-GB"/>
        </w:rPr>
      </w:pPr>
      <w:r w:rsidRPr="000D5B62">
        <w:rPr>
          <w:rtl/>
        </w:rPr>
        <w:t>تلقى المساعدة 350 16 طفلاً، 62 في المائة منهم (141 10 طفلاً) ارتكبوا أعمالاً مخالفة للقانون و38 في المائة منهم (209 6 أطفال) كانوا في حاجة إلى المساعدة في قضايا مدنية؛</w:t>
      </w:r>
    </w:p>
    <w:p w14:paraId="0C1C1E37" w14:textId="77777777" w:rsidR="00803069" w:rsidRPr="000D5B62" w:rsidRDefault="00803069" w:rsidP="00706D34">
      <w:pPr>
        <w:pStyle w:val="Bullet1GA"/>
        <w:rPr>
          <w:rtl/>
          <w:lang w:val="ar-SA" w:bidi="en-GB"/>
        </w:rPr>
      </w:pPr>
      <w:r w:rsidRPr="000D5B62">
        <w:rPr>
          <w:rtl/>
        </w:rPr>
        <w:t>أسديت المشورة القانونية إلى 239 305 عميلاً.</w:t>
      </w:r>
    </w:p>
    <w:p w14:paraId="2DBFE9BD" w14:textId="20695F37" w:rsidR="00803069" w:rsidRPr="000D5B62" w:rsidRDefault="00803069" w:rsidP="00706D34">
      <w:pPr>
        <w:pStyle w:val="SingleTxtGA"/>
        <w:rPr>
          <w:rStyle w:val="SingleTxtGChar"/>
          <w:rFonts w:eastAsiaTheme="minorEastAsia"/>
          <w:spacing w:val="-4"/>
          <w:sz w:val="22"/>
          <w:szCs w:val="22"/>
          <w:rtl/>
          <w:lang w:val="ar-SA" w:eastAsia="zh-TW" w:bidi="en-GB"/>
        </w:rPr>
      </w:pPr>
      <w:r w:rsidRPr="000D5B62">
        <w:rPr>
          <w:rtl/>
        </w:rPr>
        <w:t>77-</w:t>
      </w:r>
      <w:r w:rsidRPr="000D5B62">
        <w:rPr>
          <w:rtl/>
        </w:rPr>
        <w:tab/>
      </w:r>
      <w:r w:rsidRPr="000D5B62">
        <w:rPr>
          <w:spacing w:val="-4"/>
          <w:rtl/>
        </w:rPr>
        <w:t>وفيما يتعلق بإمكانية استفادة المهاجرين واللاجئين وملتمسي اللجوء من برامج المعونة القضائية، يجدر التشديد على أن شرعة الحقوق المدرجة في الدستور تنص على كفالة أغلبية الحقوق لـ ”كافة الناس“ - أي ليس لمواطني جنوب أفريقيا فحسب، بل أيضاً للرعايا الأجانب داخل حدودنا</w:t>
      </w:r>
      <w:r w:rsidRPr="000D5B62">
        <w:rPr>
          <w:rStyle w:val="FootnoteReference"/>
          <w:spacing w:val="-4"/>
          <w:szCs w:val="22"/>
          <w:rtl/>
        </w:rPr>
        <w:t>(</w:t>
      </w:r>
      <w:r w:rsidRPr="000D5B62">
        <w:rPr>
          <w:rStyle w:val="FootnoteReference"/>
          <w:spacing w:val="-4"/>
          <w:szCs w:val="22"/>
          <w:rtl/>
        </w:rPr>
        <w:footnoteReference w:id="59"/>
      </w:r>
      <w:r w:rsidRPr="000D5B62">
        <w:rPr>
          <w:rStyle w:val="FootnoteReference"/>
          <w:spacing w:val="-4"/>
          <w:szCs w:val="22"/>
          <w:rtl/>
        </w:rPr>
        <w:t>)</w:t>
      </w:r>
      <w:r w:rsidR="00E04793" w:rsidRPr="000D5B62">
        <w:rPr>
          <w:rFonts w:hint="cs"/>
          <w:spacing w:val="-4"/>
          <w:rtl/>
        </w:rPr>
        <w:t xml:space="preserve">. </w:t>
      </w:r>
      <w:r w:rsidRPr="000D5B62">
        <w:rPr>
          <w:spacing w:val="-4"/>
          <w:rtl/>
        </w:rPr>
        <w:t>ومن ثم، تتاح المعونة القضائية لكل من يعيش في جنوب أفريقيا إذا كانت القضية:</w:t>
      </w:r>
    </w:p>
    <w:p w14:paraId="3676D59F" w14:textId="77777777" w:rsidR="00803069" w:rsidRPr="000D5B62" w:rsidRDefault="00803069" w:rsidP="00E04793">
      <w:pPr>
        <w:pStyle w:val="Bullet1GA"/>
        <w:rPr>
          <w:rtl/>
          <w:lang w:val="ar-SA" w:bidi="en-GB"/>
        </w:rPr>
      </w:pPr>
      <w:r w:rsidRPr="000D5B62">
        <w:rPr>
          <w:rtl/>
        </w:rPr>
        <w:t>جنائية؛</w:t>
      </w:r>
    </w:p>
    <w:p w14:paraId="784C761F" w14:textId="77777777" w:rsidR="00E04793" w:rsidRPr="000D5B62" w:rsidRDefault="00803069" w:rsidP="00E04793">
      <w:pPr>
        <w:pStyle w:val="Bullet1GA"/>
        <w:rPr>
          <w:lang w:val="ar-SA" w:bidi="en-GB"/>
        </w:rPr>
      </w:pPr>
      <w:r w:rsidRPr="000D5B62">
        <w:rPr>
          <w:rtl/>
        </w:rPr>
        <w:t>تخص أطفال؛</w:t>
      </w:r>
    </w:p>
    <w:p w14:paraId="516B4A5C" w14:textId="66FFA43C" w:rsidR="00803069" w:rsidRPr="000D5B62" w:rsidRDefault="00803069" w:rsidP="00E04793">
      <w:pPr>
        <w:pStyle w:val="Bullet1GA"/>
        <w:rPr>
          <w:rStyle w:val="FootnoteReference"/>
          <w:szCs w:val="22"/>
          <w:vertAlign w:val="baseline"/>
          <w:rtl/>
          <w:lang w:val="ar-SA" w:bidi="en-GB"/>
        </w:rPr>
      </w:pPr>
      <w:r w:rsidRPr="000D5B62">
        <w:rPr>
          <w:rtl/>
        </w:rPr>
        <w:t>تخص طالب اللجوء - تتاح المعونة القضائية لمن يطلب اللجوء أو يعتزم التقدم بطلب اللجوء بموجب أحكام الفصلين 3 و4 من قانون اللاجئين لعام 1998</w:t>
      </w:r>
      <w:r w:rsidRPr="000D5B62">
        <w:rPr>
          <w:rStyle w:val="FootnoteReference"/>
          <w:szCs w:val="22"/>
          <w:rtl/>
        </w:rPr>
        <w:t>(</w:t>
      </w:r>
      <w:r w:rsidRPr="000D5B62">
        <w:rPr>
          <w:rStyle w:val="FootnoteReference"/>
          <w:szCs w:val="22"/>
          <w:rtl/>
        </w:rPr>
        <w:footnoteReference w:id="60"/>
      </w:r>
      <w:r w:rsidRPr="000D5B62">
        <w:rPr>
          <w:rStyle w:val="FootnoteReference"/>
          <w:szCs w:val="22"/>
          <w:rtl/>
        </w:rPr>
        <w:t>)</w:t>
      </w:r>
      <w:r w:rsidR="00E04793" w:rsidRPr="000D5B62">
        <w:rPr>
          <w:rStyle w:val="FootnoteReference"/>
          <w:rFonts w:hint="cs"/>
          <w:szCs w:val="22"/>
          <w:vertAlign w:val="baseline"/>
          <w:rtl/>
        </w:rPr>
        <w:t>؛</w:t>
      </w:r>
    </w:p>
    <w:p w14:paraId="1C108E41" w14:textId="77777777" w:rsidR="00803069" w:rsidRPr="000D5B62" w:rsidRDefault="00803069" w:rsidP="00706D34">
      <w:pPr>
        <w:pStyle w:val="Bullet1GA"/>
        <w:rPr>
          <w:rtl/>
          <w:lang w:val="ar-SA" w:bidi="en-GB"/>
        </w:rPr>
      </w:pPr>
      <w:r w:rsidRPr="000D5B62">
        <w:rPr>
          <w:rtl/>
        </w:rPr>
        <w:t>يمكن أن تؤثر إيجابياً في حياة عدد كبير من المعوزين أو يمكن أن تؤثر إيجابياً في حياة عدد كبير من المعوزين غير الشخص الذي قدمت له/الأشخاص الذين قدمت لهم الخدمات القانونية مباشرة.</w:t>
      </w:r>
    </w:p>
    <w:p w14:paraId="422E1D7E" w14:textId="1845D93D" w:rsidR="00803069" w:rsidRPr="000D5B62" w:rsidRDefault="00803069" w:rsidP="00313F43">
      <w:pPr>
        <w:pStyle w:val="SingleTxtGA"/>
        <w:rPr>
          <w:rStyle w:val="FootnoteReference"/>
          <w:rFonts w:eastAsiaTheme="minorEastAsia"/>
          <w:szCs w:val="22"/>
          <w:rtl/>
          <w:lang w:val="ar-SA" w:eastAsia="zh-TW" w:bidi="en-GB"/>
        </w:rPr>
      </w:pPr>
      <w:r w:rsidRPr="000D5B62">
        <w:rPr>
          <w:rtl/>
        </w:rPr>
        <w:t>78-</w:t>
      </w:r>
      <w:r w:rsidRPr="000D5B62">
        <w:rPr>
          <w:rtl/>
        </w:rPr>
        <w:tab/>
        <w:t>وبمقتضى اللائحة الملحقة بقانون المعونة القضائية في جنوب أفريقيا، يجوز تقديم تلك المعونة لأي شخص توجه إليه إحدى محاكم جنوب أفريقيا الاتهام رسمياً شريطة أن يكون ذلك الشخص مستوفياً لشروط الحصول على المعونة القضائية في اللائحة المذكورة</w:t>
      </w:r>
      <w:r w:rsidRPr="000D5B62">
        <w:rPr>
          <w:rStyle w:val="FootnoteReference"/>
          <w:szCs w:val="22"/>
          <w:rtl/>
        </w:rPr>
        <w:t>(</w:t>
      </w:r>
      <w:r w:rsidRPr="000D5B62">
        <w:rPr>
          <w:rStyle w:val="FootnoteReference"/>
          <w:szCs w:val="22"/>
          <w:rtl/>
        </w:rPr>
        <w:footnoteReference w:id="61"/>
      </w:r>
      <w:r w:rsidRPr="000D5B62">
        <w:rPr>
          <w:rStyle w:val="FootnoteReference"/>
          <w:szCs w:val="22"/>
          <w:rtl/>
        </w:rPr>
        <w:t>)</w:t>
      </w:r>
      <w:r w:rsidRPr="000D5B62">
        <w:rPr>
          <w:rtl/>
        </w:rPr>
        <w:t xml:space="preserve"> وتتاح للأشخاص الطبيعيين خدمات المعونة القضائية لغرضي إسداء المشورة وتوفير التمثيل القانوني</w:t>
      </w:r>
      <w:r w:rsidRPr="000D5B62">
        <w:rPr>
          <w:rStyle w:val="FootnoteReference"/>
          <w:szCs w:val="22"/>
          <w:rtl/>
        </w:rPr>
        <w:t>(</w:t>
      </w:r>
      <w:r w:rsidRPr="000D5B62">
        <w:rPr>
          <w:rStyle w:val="FootnoteReference"/>
          <w:szCs w:val="22"/>
          <w:rtl/>
        </w:rPr>
        <w:footnoteReference w:id="62"/>
      </w:r>
      <w:r w:rsidRPr="000D5B62">
        <w:rPr>
          <w:rStyle w:val="FootnoteReference"/>
          <w:szCs w:val="22"/>
          <w:rtl/>
        </w:rPr>
        <w:t>)</w:t>
      </w:r>
      <w:r w:rsidR="00E04793" w:rsidRPr="000D5B62">
        <w:rPr>
          <w:rFonts w:hint="cs"/>
          <w:rtl/>
        </w:rPr>
        <w:t xml:space="preserve">. </w:t>
      </w:r>
      <w:r w:rsidRPr="000D5B62">
        <w:rPr>
          <w:rtl/>
        </w:rPr>
        <w:t>ويحق لملتمسي اللجوء والمهاجرين واللاجئين الاستفادة من المعونة القضائية في الدعاوى الجنائية متى وجه إليهم الاتهام بارتكاب فعل جرمي لإنهم يندرجون في نطاق تعريف الأشخاص المتهمين</w:t>
      </w:r>
      <w:r w:rsidRPr="000D5B62">
        <w:rPr>
          <w:rStyle w:val="FootnoteReference"/>
          <w:szCs w:val="22"/>
          <w:rtl/>
        </w:rPr>
        <w:t>(</w:t>
      </w:r>
      <w:r w:rsidRPr="000D5B62">
        <w:rPr>
          <w:rStyle w:val="FootnoteReference"/>
          <w:szCs w:val="22"/>
          <w:rtl/>
        </w:rPr>
        <w:footnoteReference w:id="63"/>
      </w:r>
      <w:r w:rsidRPr="000D5B62">
        <w:rPr>
          <w:rStyle w:val="FootnoteReference"/>
          <w:szCs w:val="22"/>
          <w:rtl/>
        </w:rPr>
        <w:t>)</w:t>
      </w:r>
      <w:r w:rsidR="00E04793" w:rsidRPr="000D5B62">
        <w:rPr>
          <w:rFonts w:hint="cs"/>
          <w:rtl/>
        </w:rPr>
        <w:t xml:space="preserve">، </w:t>
      </w:r>
      <w:r w:rsidRPr="000D5B62">
        <w:rPr>
          <w:rtl/>
        </w:rPr>
        <w:t>وبذلك، يجوز لهم الحصول على المشورة القانونية باعتبارهم أشخاصاً طبيعيين. وبمقتضى البند 19 من اللائحة، يجوز منح المعونة القضائية لمن يطلبها من ملتمسي اللجوء في الجمهورية أو يعتزم تقديم طلب اللجوء بموجب الفصل 3 أو 4 من قانون اللاجئين لعام 1998</w:t>
      </w:r>
      <w:r w:rsidRPr="000D5B62">
        <w:rPr>
          <w:rStyle w:val="FootnoteReference"/>
          <w:szCs w:val="22"/>
          <w:rtl/>
        </w:rPr>
        <w:t>(</w:t>
      </w:r>
      <w:r w:rsidRPr="000D5B62">
        <w:rPr>
          <w:rStyle w:val="FootnoteReference"/>
          <w:szCs w:val="22"/>
          <w:rtl/>
        </w:rPr>
        <w:footnoteReference w:id="64"/>
      </w:r>
      <w:r w:rsidRPr="000D5B62">
        <w:rPr>
          <w:rStyle w:val="FootnoteReference"/>
          <w:szCs w:val="22"/>
          <w:rtl/>
        </w:rPr>
        <w:t>)</w:t>
      </w:r>
      <w:r w:rsidR="00E04793" w:rsidRPr="000D5B62">
        <w:rPr>
          <w:rFonts w:hint="cs"/>
          <w:rtl/>
        </w:rPr>
        <w:t xml:space="preserve">. </w:t>
      </w:r>
      <w:r w:rsidRPr="000D5B62">
        <w:rPr>
          <w:rtl/>
        </w:rPr>
        <w:t>ووفقاً للبند 10(1) من اللائحة يجوز توفير المعونة القضائية من أجل حماية الحقوق الدستورية. ويقصد بالحقوق الدستورية، المنصوص عليها في شرعة الحقوق، الحقوق اللغوية والثقافية وحق الجماعات المحلية الثقافية والدينية واللغوية في الحماية والحقوق الاجتماعية والاقتصادية. ولدى البت في قرارات تقديم المعونة القضائية في إطار حماية الحقوق الدستورية، تسترشد هيئة المعونة القضائية في جنوب أفريقيا ببعض المعايير قبل أن تقدم على توفير تلك المعونة</w:t>
      </w:r>
      <w:r w:rsidRPr="000D5B62">
        <w:rPr>
          <w:rStyle w:val="FootnoteReference"/>
          <w:szCs w:val="22"/>
          <w:rtl/>
        </w:rPr>
        <w:t>(</w:t>
      </w:r>
      <w:r w:rsidRPr="000D5B62">
        <w:rPr>
          <w:rStyle w:val="FootnoteReference"/>
          <w:szCs w:val="22"/>
          <w:rtl/>
        </w:rPr>
        <w:footnoteReference w:id="65"/>
      </w:r>
      <w:r w:rsidRPr="000D5B62">
        <w:rPr>
          <w:rStyle w:val="FootnoteReference"/>
          <w:szCs w:val="22"/>
          <w:rtl/>
        </w:rPr>
        <w:t>)</w:t>
      </w:r>
      <w:r w:rsidR="00FB096D" w:rsidRPr="000D5B62">
        <w:rPr>
          <w:rFonts w:hint="cs"/>
          <w:rtl/>
        </w:rPr>
        <w:t>.</w:t>
      </w:r>
      <w:r w:rsidRPr="000D5B62">
        <w:rPr>
          <w:rtl/>
        </w:rPr>
        <w:t xml:space="preserve"> فقد ترفع الهيئة دعوى أو تتخذ إجراءات قانونية أخرى يمكن أن تؤثر إيجاباً في حياة عدد كبير من المعوزين أو تقدم التمويل اللازم لرفعها</w:t>
      </w:r>
      <w:r w:rsidRPr="000D5B62">
        <w:rPr>
          <w:rStyle w:val="FootnoteReference"/>
          <w:szCs w:val="22"/>
          <w:rtl/>
        </w:rPr>
        <w:t>(</w:t>
      </w:r>
      <w:r w:rsidRPr="000D5B62">
        <w:rPr>
          <w:rStyle w:val="FootnoteReference"/>
          <w:szCs w:val="22"/>
          <w:rtl/>
        </w:rPr>
        <w:footnoteReference w:id="66"/>
      </w:r>
      <w:r w:rsidRPr="000D5B62">
        <w:rPr>
          <w:rStyle w:val="FootnoteReference"/>
          <w:szCs w:val="22"/>
          <w:rtl/>
        </w:rPr>
        <w:t>)</w:t>
      </w:r>
      <w:r w:rsidR="00E04793" w:rsidRPr="000D5B62">
        <w:rPr>
          <w:rFonts w:hint="cs"/>
          <w:rtl/>
        </w:rPr>
        <w:t xml:space="preserve">. </w:t>
      </w:r>
      <w:r w:rsidRPr="000D5B62">
        <w:rPr>
          <w:rtl/>
        </w:rPr>
        <w:t>وفي سياق العمل على تعزيز حقوق ملتمسي اللجوء وحمايتها، دخلت الهيئة طرفا</w:t>
      </w:r>
      <w:r w:rsidR="00FB096D" w:rsidRPr="000D5B62">
        <w:rPr>
          <w:rFonts w:hint="cs"/>
          <w:rtl/>
        </w:rPr>
        <w:t>ً</w:t>
      </w:r>
      <w:r w:rsidRPr="000D5B62">
        <w:rPr>
          <w:rtl/>
        </w:rPr>
        <w:t xml:space="preserve"> في عدد من دعاوى التقاضي الاستراتيجي بغرض كفالة حماية حقوق غير المواطنين</w:t>
      </w:r>
      <w:r w:rsidRPr="000D5B62">
        <w:rPr>
          <w:rStyle w:val="FootnoteReference"/>
          <w:szCs w:val="22"/>
          <w:rtl/>
        </w:rPr>
        <w:t>(</w:t>
      </w:r>
      <w:r w:rsidRPr="000D5B62">
        <w:rPr>
          <w:rStyle w:val="FootnoteReference"/>
          <w:szCs w:val="22"/>
          <w:rtl/>
        </w:rPr>
        <w:footnoteReference w:id="67"/>
      </w:r>
      <w:r w:rsidRPr="000D5B62">
        <w:rPr>
          <w:rStyle w:val="FootnoteReference"/>
          <w:szCs w:val="22"/>
          <w:rtl/>
        </w:rPr>
        <w:t>)</w:t>
      </w:r>
      <w:r w:rsidR="00E04793" w:rsidRPr="000D5B62">
        <w:rPr>
          <w:rStyle w:val="FootnoteReference"/>
          <w:rFonts w:hint="cs"/>
          <w:szCs w:val="22"/>
          <w:vertAlign w:val="baseline"/>
          <w:rtl/>
        </w:rPr>
        <w:t>.</w:t>
      </w:r>
    </w:p>
    <w:p w14:paraId="7E2E485B" w14:textId="4D81ED6C" w:rsidR="00803069" w:rsidRPr="000D5B62" w:rsidRDefault="00803069" w:rsidP="00313F43">
      <w:pPr>
        <w:pStyle w:val="SingleTxtGA"/>
        <w:rPr>
          <w:rStyle w:val="FootnoteReference"/>
          <w:rFonts w:eastAsiaTheme="minorEastAsia"/>
          <w:spacing w:val="-4"/>
          <w:szCs w:val="22"/>
          <w:rtl/>
          <w:lang w:val="en-US" w:eastAsia="zh-TW" w:bidi="en-GB"/>
        </w:rPr>
      </w:pPr>
      <w:r w:rsidRPr="000D5B62">
        <w:rPr>
          <w:spacing w:val="-4"/>
          <w:rtl/>
        </w:rPr>
        <w:t>79-</w:t>
      </w:r>
      <w:r w:rsidRPr="000D5B62">
        <w:rPr>
          <w:spacing w:val="-4"/>
          <w:rtl/>
        </w:rPr>
        <w:tab/>
        <w:t>وتشارك هيئة المعونة القضائية في العمل على تعزيز الحقوق الاجتماعية والاقتصادية مع التركيز على الفقراء والفئات الضعيفة في مجتمعنا. وتتعلق قضايا عديدة بالحق في الحصول على السكن اللائق</w:t>
      </w:r>
      <w:r w:rsidRPr="000D5B62">
        <w:rPr>
          <w:rStyle w:val="FootnoteReference"/>
          <w:spacing w:val="-4"/>
          <w:szCs w:val="22"/>
          <w:rtl/>
        </w:rPr>
        <w:t>(</w:t>
      </w:r>
      <w:r w:rsidRPr="000D5B62">
        <w:rPr>
          <w:rStyle w:val="FootnoteReference"/>
          <w:spacing w:val="-4"/>
          <w:szCs w:val="22"/>
          <w:rtl/>
        </w:rPr>
        <w:footnoteReference w:id="68"/>
      </w:r>
      <w:r w:rsidRPr="000D5B62">
        <w:rPr>
          <w:rStyle w:val="FootnoteReference"/>
          <w:spacing w:val="-4"/>
          <w:szCs w:val="22"/>
          <w:rtl/>
        </w:rPr>
        <w:t>)</w:t>
      </w:r>
      <w:r w:rsidR="00706D34" w:rsidRPr="000D5B62">
        <w:rPr>
          <w:rFonts w:hint="cs"/>
          <w:spacing w:val="-4"/>
          <w:rtl/>
        </w:rPr>
        <w:t xml:space="preserve">. </w:t>
      </w:r>
      <w:r w:rsidRPr="000D5B62">
        <w:rPr>
          <w:spacing w:val="-4"/>
          <w:rtl/>
        </w:rPr>
        <w:t xml:space="preserve">وفيما يخص حماية الحقوق الثقافية، رفعت الهيئة دعوى قضائية في قضية </w:t>
      </w:r>
      <w:r w:rsidRPr="000D5B62">
        <w:rPr>
          <w:i/>
          <w:iCs/>
          <w:spacing w:val="-4"/>
          <w:rtl/>
        </w:rPr>
        <w:t>أمفيفو ماريا نغوينيا ضد مودجاجي فلورا مايلين</w:t>
      </w:r>
      <w:r w:rsidRPr="000D5B62">
        <w:rPr>
          <w:spacing w:val="-4"/>
          <w:rtl/>
        </w:rPr>
        <w:t xml:space="preserve"> نيابة عن موكلة من أجل حماية حقوق المرأة المتزوجة وفقاً للقانون العرفي والتقاليد</w:t>
      </w:r>
      <w:r w:rsidRPr="000D5B62">
        <w:rPr>
          <w:rStyle w:val="FootnoteReference"/>
          <w:spacing w:val="-4"/>
          <w:szCs w:val="22"/>
          <w:rtl/>
        </w:rPr>
        <w:t>(</w:t>
      </w:r>
      <w:r w:rsidRPr="000D5B62">
        <w:rPr>
          <w:rStyle w:val="FootnoteReference"/>
          <w:spacing w:val="-4"/>
          <w:szCs w:val="22"/>
          <w:rtl/>
        </w:rPr>
        <w:footnoteReference w:id="69"/>
      </w:r>
      <w:r w:rsidRPr="000D5B62">
        <w:rPr>
          <w:rStyle w:val="FootnoteReference"/>
          <w:spacing w:val="-4"/>
          <w:szCs w:val="22"/>
          <w:rtl/>
        </w:rPr>
        <w:t>)</w:t>
      </w:r>
      <w:r w:rsidR="00E04793" w:rsidRPr="000D5B62">
        <w:rPr>
          <w:rStyle w:val="FootnoteReference"/>
          <w:rFonts w:hint="cs"/>
          <w:spacing w:val="-4"/>
          <w:szCs w:val="22"/>
          <w:vertAlign w:val="baseline"/>
          <w:rtl/>
        </w:rPr>
        <w:t>.</w:t>
      </w:r>
    </w:p>
    <w:p w14:paraId="509AC63D" w14:textId="77777777" w:rsidR="00803069" w:rsidRPr="000D5B62" w:rsidRDefault="00803069" w:rsidP="00313F43">
      <w:pPr>
        <w:pStyle w:val="H23GA"/>
        <w:rPr>
          <w:rtl/>
          <w:lang w:val="ar-SA" w:eastAsia="zh-TW" w:bidi="en-GB"/>
        </w:rPr>
      </w:pPr>
      <w:r w:rsidRPr="000D5B62">
        <w:rPr>
          <w:rtl/>
        </w:rPr>
        <w:tab/>
      </w:r>
      <w:r w:rsidRPr="000D5B62">
        <w:rPr>
          <w:rtl/>
        </w:rPr>
        <w:tab/>
        <w:t>المديرية المستقلة لإجراء التحقيقات المتعلقة بجهاز الشرطة والمفتشية القضائية للمؤسسات الإصلاحية</w:t>
      </w:r>
    </w:p>
    <w:p w14:paraId="5CB403AD" w14:textId="1177E89F" w:rsidR="00803069" w:rsidRPr="000D5B62" w:rsidRDefault="00803069" w:rsidP="00313F43">
      <w:pPr>
        <w:pStyle w:val="SingleTxtGA"/>
        <w:rPr>
          <w:rStyle w:val="FootnoteReference"/>
          <w:rFonts w:eastAsiaTheme="minorEastAsia"/>
          <w:szCs w:val="22"/>
          <w:rtl/>
          <w:lang w:val="ar-SA" w:eastAsia="zh-TW" w:bidi="en-GB"/>
        </w:rPr>
      </w:pPr>
      <w:r w:rsidRPr="000D5B62">
        <w:rPr>
          <w:rtl/>
        </w:rPr>
        <w:t>80-</w:t>
      </w:r>
      <w:r w:rsidRPr="000D5B62">
        <w:rPr>
          <w:rtl/>
        </w:rPr>
        <w:tab/>
        <w:t>أنشئت المديرية المستقلة لإجراء التحقيقات المتعلقة بجهاز الشرطة بموجب القانون الصادر في هذا الشأن في عام 2011</w:t>
      </w:r>
      <w:r w:rsidRPr="000D5B62">
        <w:rPr>
          <w:rStyle w:val="FootnoteReference"/>
          <w:szCs w:val="22"/>
          <w:rtl/>
        </w:rPr>
        <w:t>(</w:t>
      </w:r>
      <w:r w:rsidRPr="000D5B62">
        <w:rPr>
          <w:rStyle w:val="FootnoteReference"/>
          <w:szCs w:val="22"/>
          <w:rtl/>
        </w:rPr>
        <w:footnoteReference w:id="70"/>
      </w:r>
      <w:r w:rsidRPr="000D5B62">
        <w:rPr>
          <w:rStyle w:val="FootnoteReference"/>
          <w:szCs w:val="22"/>
          <w:rtl/>
        </w:rPr>
        <w:t>)</w:t>
      </w:r>
      <w:r w:rsidR="00706D34" w:rsidRPr="000D5B62">
        <w:rPr>
          <w:rFonts w:hint="cs"/>
          <w:rtl/>
        </w:rPr>
        <w:t xml:space="preserve">. </w:t>
      </w:r>
      <w:r w:rsidRPr="000D5B62">
        <w:rPr>
          <w:rtl/>
        </w:rPr>
        <w:t>وتحل المديرية محل المديرية المستقلة المعنية بالشكاوى. وينص قانون الشرطة في جنوب أفريقيا لعام 1995</w:t>
      </w:r>
      <w:r w:rsidRPr="000D5B62">
        <w:rPr>
          <w:rStyle w:val="FootnoteReference"/>
          <w:szCs w:val="22"/>
          <w:rtl/>
        </w:rPr>
        <w:t>(</w:t>
      </w:r>
      <w:r w:rsidRPr="000D5B62">
        <w:rPr>
          <w:rStyle w:val="FootnoteReference"/>
          <w:szCs w:val="22"/>
          <w:rtl/>
        </w:rPr>
        <w:footnoteReference w:id="71"/>
      </w:r>
      <w:r w:rsidRPr="000D5B62">
        <w:rPr>
          <w:rStyle w:val="FootnoteReference"/>
          <w:szCs w:val="22"/>
          <w:rtl/>
        </w:rPr>
        <w:t>)</w:t>
      </w:r>
      <w:r w:rsidRPr="000D5B62">
        <w:rPr>
          <w:rtl/>
        </w:rPr>
        <w:t xml:space="preserve"> على صلاحيات المديرية المستقلة المعنية بالشكاوى ومهامها. وتنص المادة 206(6) من الدستور على إنشاء هيئة مستقلة معنية بالشكاوى المقدمة ضد الشرطة. وهي تعمل بشكل مستقل عن دائرة الشرطة في جنوب أفريقيا وشرطة البلديات. وتتمثل ولاية المديرية المستقلة في إجراء تحقيقات مستقلة ونزيهة في أفعال جرمية معينة قد ترتكب على يد الشرطة المحلية التابعة لدائرة شرطة جنوب أفريقيا. ويتعين على المديرية أن تقوم في جملة أمور، بالتحقيق فيما يلي: حالات الوفاة في أثناء الاحتجاز لدى الشرطة؛ وحالات الوفاة الناتجة عن ممارسات الشرطة؛ وأي شكوى تتصل باستخدام ضابط شرطة لسلاح ناري رسمي؛ والاغتصاب الذي يرتكبه ضابط شرطة سواء أكان ذلك في وقت الخدمة أو خارجه؛ واغتصاب أي شخص في أثناء احتجازه لدى الشرطة؛ وأي شكوى تتعلق بالتعرض للتعذيب أو للاعتداء في أثناء أداء ضابط/ضابطة الشرطة لمهامه/مهامها. وفي الفترة 2016/2017، أتمت المديرية 449</w:t>
      </w:r>
      <w:r w:rsidR="0065136D" w:rsidRPr="000D5B62">
        <w:rPr>
          <w:rFonts w:hint="cs"/>
          <w:rtl/>
        </w:rPr>
        <w:t xml:space="preserve"> 3</w:t>
      </w:r>
      <w:r w:rsidRPr="000D5B62">
        <w:rPr>
          <w:rtl/>
        </w:rPr>
        <w:t xml:space="preserve"> تحقيقاً، مما يمثل 49 في المائة من مجموع الحالات التي تلقت شكاوى بشأنها. ويشمل بعض من تلك الحالات: 140 حالة وفاة في الاحتجاز لدى الشرطة و115 حالة وفاة نتيجة ممارسات الشرطة و61 واقعة اغتصاب يدعى أن الشرطة ضالعة فيها؛ و5 حالات اغتصاب أثناء الاحتجاز لدى الشرطة؛ و66 حالة فساد في الشرطة. وعلاوة على ذلك، نظمت المديرية على صعيد المقاطعات جميعها ما مجموعه 98 حملة توعية وتم توزيع مواد إعلامية على أفراد الجماعات المحلية</w:t>
      </w:r>
      <w:r w:rsidRPr="000D5B62">
        <w:rPr>
          <w:rStyle w:val="FootnoteReference"/>
          <w:szCs w:val="22"/>
          <w:rtl/>
        </w:rPr>
        <w:t>(</w:t>
      </w:r>
      <w:r w:rsidRPr="000D5B62">
        <w:rPr>
          <w:rStyle w:val="FootnoteReference"/>
          <w:szCs w:val="22"/>
          <w:rtl/>
        </w:rPr>
        <w:footnoteReference w:id="72"/>
      </w:r>
      <w:r w:rsidRPr="000D5B62">
        <w:rPr>
          <w:rStyle w:val="FootnoteReference"/>
          <w:szCs w:val="22"/>
          <w:rtl/>
        </w:rPr>
        <w:t>)</w:t>
      </w:r>
      <w:r w:rsidR="0065136D" w:rsidRPr="000D5B62">
        <w:rPr>
          <w:rStyle w:val="FootnoteReference"/>
          <w:rFonts w:hint="cs"/>
          <w:szCs w:val="22"/>
          <w:vertAlign w:val="baseline"/>
          <w:rtl/>
        </w:rPr>
        <w:t>.</w:t>
      </w:r>
    </w:p>
    <w:p w14:paraId="00FDE4CF" w14:textId="5DF4AD86" w:rsidR="00803069" w:rsidRPr="000D5B62" w:rsidRDefault="00803069" w:rsidP="00313F43">
      <w:pPr>
        <w:pStyle w:val="SingleTxtGA"/>
        <w:rPr>
          <w:rtl/>
          <w:lang w:val="ar-SA" w:eastAsia="zh-TW" w:bidi="en-GB"/>
        </w:rPr>
      </w:pPr>
      <w:r w:rsidRPr="000D5B62">
        <w:rPr>
          <w:rtl/>
        </w:rPr>
        <w:t>81-</w:t>
      </w:r>
      <w:r w:rsidRPr="000D5B62">
        <w:rPr>
          <w:rtl/>
        </w:rPr>
        <w:tab/>
        <w:t>أما القانون المتعلق بالسجون لعام 1998</w:t>
      </w:r>
      <w:r w:rsidRPr="000D5B62">
        <w:rPr>
          <w:rStyle w:val="FootnoteReference"/>
          <w:szCs w:val="22"/>
          <w:rtl/>
        </w:rPr>
        <w:t>(</w:t>
      </w:r>
      <w:r w:rsidRPr="000D5B62">
        <w:rPr>
          <w:rStyle w:val="FootnoteReference"/>
          <w:szCs w:val="22"/>
          <w:rtl/>
        </w:rPr>
        <w:footnoteReference w:id="73"/>
      </w:r>
      <w:r w:rsidRPr="000D5B62">
        <w:rPr>
          <w:rStyle w:val="FootnoteReference"/>
          <w:szCs w:val="22"/>
          <w:rtl/>
        </w:rPr>
        <w:t>)</w:t>
      </w:r>
      <w:r w:rsidRPr="000D5B62">
        <w:rPr>
          <w:rtl/>
        </w:rPr>
        <w:t xml:space="preserve"> فيجسد الضمان الدستوري لحق الأشخاص المحرومين من حريتهم في المعاملة الرحيمة، مما يشمل الحق في عدم التعرض للتعذيب. وقد ألغى قانون عام 2008</w:t>
      </w:r>
      <w:r w:rsidRPr="000D5B62">
        <w:rPr>
          <w:rStyle w:val="FootnoteReference"/>
          <w:szCs w:val="22"/>
          <w:rtl/>
        </w:rPr>
        <w:t>(</w:t>
      </w:r>
      <w:r w:rsidRPr="000D5B62">
        <w:rPr>
          <w:rStyle w:val="FootnoteReference"/>
          <w:szCs w:val="22"/>
          <w:rtl/>
        </w:rPr>
        <w:footnoteReference w:id="74"/>
      </w:r>
      <w:r w:rsidRPr="000D5B62">
        <w:rPr>
          <w:rStyle w:val="FootnoteReference"/>
          <w:szCs w:val="22"/>
          <w:rtl/>
        </w:rPr>
        <w:t>)</w:t>
      </w:r>
      <w:r w:rsidRPr="000D5B62">
        <w:rPr>
          <w:rtl/>
        </w:rPr>
        <w:t xml:space="preserve"> المعدل للقانون المتعلق بالسجون مفهوم الحبس الانفرادي وألغي تطبيقه في جميع مرافق السجون في جنوب أفريقيا وألزم أيضاً جميع ضباط السجون بالإبلاغ فوراً عن أي حالة تقيد فيها حركة السجين بتكبيل يديه بالأغلال أو ساقيه بسلاسل حديدية. وينص القانون على إنشاء آلية لكشف أعمال التعذيب في السجون والمعاقبة عليها. ويمكن لأي شخص يدعي التعرض للتعذيب، ذكراً كان أو أنثى، تقديم شكوى إلى دائرة شرطة جنوب أفريقيا أو المديرية المستقلة لإجراء التحقيقات المتعلقة بجهاز الشرطة أو المفتشية القضائية للمؤسسات الإصلاحية أو مكتب المحامي العام أو مفوضية جنوب أفريقيا لحقوق الإنسان. وإضافة إلى ذلك، تتبنى جنوب أفريقيا قواعد نيلسون مانديلا التي أسهمت في ترويجها في الأمم المتحدة. وأقر مجلس الوزراء هذه القواعد في آذار/مارس 2018. وتمثل القواعد المشار إليها مجموعة من المعايير الدنيا المعترف بها عالمياً يسترشد بها في معاملة السجناء وجددت الدول الأعضاء في الأمم المتحدة التزامها بها في كانون الأول/ديسمبر 2017. ومن جملة ما تنص عليه قواعد نيلسون مانديلا، عدم التمييز؛ واحترام المعتقدات الدينية والمبادئ الأخلاقية للسجناء؛ وإلزامية توفير التمثيل والحماية القانونيين للفئات الضعيفة من بين نزلاء السجون.</w:t>
      </w:r>
    </w:p>
    <w:p w14:paraId="273F8E53" w14:textId="672DC548" w:rsidR="00803069" w:rsidRPr="000D5B62" w:rsidRDefault="00803069" w:rsidP="00313F43">
      <w:pPr>
        <w:pStyle w:val="SingleTxtGA"/>
        <w:rPr>
          <w:spacing w:val="-4"/>
          <w:rtl/>
          <w:lang w:val="ar-SA" w:eastAsia="zh-TW" w:bidi="en-GB"/>
        </w:rPr>
      </w:pPr>
      <w:r w:rsidRPr="000D5B62">
        <w:rPr>
          <w:spacing w:val="-4"/>
          <w:rtl/>
        </w:rPr>
        <w:t>82-</w:t>
      </w:r>
      <w:r w:rsidRPr="000D5B62">
        <w:rPr>
          <w:spacing w:val="-4"/>
          <w:rtl/>
        </w:rPr>
        <w:tab/>
        <w:t>وبمقتضى قانون منع ومناهضة تعذيب الأشخاص لعام 2013</w:t>
      </w:r>
      <w:r w:rsidRPr="000D5B62">
        <w:rPr>
          <w:rStyle w:val="FootnoteReference"/>
          <w:spacing w:val="-4"/>
          <w:szCs w:val="22"/>
          <w:rtl/>
        </w:rPr>
        <w:t>(</w:t>
      </w:r>
      <w:r w:rsidRPr="000D5B62">
        <w:rPr>
          <w:rStyle w:val="FootnoteReference"/>
          <w:spacing w:val="-4"/>
          <w:szCs w:val="22"/>
          <w:rtl/>
        </w:rPr>
        <w:footnoteReference w:id="75"/>
      </w:r>
      <w:r w:rsidRPr="000D5B62">
        <w:rPr>
          <w:rStyle w:val="FootnoteReference"/>
          <w:spacing w:val="-4"/>
          <w:szCs w:val="22"/>
          <w:rtl/>
        </w:rPr>
        <w:t>)</w:t>
      </w:r>
      <w:r w:rsidRPr="000D5B62">
        <w:rPr>
          <w:spacing w:val="-4"/>
          <w:rtl/>
        </w:rPr>
        <w:t xml:space="preserve"> أصبح للالتزامات التي تعهدت بها جنوب أفريقيا بموجب اتفاقية مناهضة التعذيب وغيره من ضروب المعاملة أو العقوبة القاسية أو اللاإنسانية أو</w:t>
      </w:r>
      <w:r w:rsidR="0034591C" w:rsidRPr="000D5B62">
        <w:rPr>
          <w:rFonts w:hint="cs"/>
          <w:spacing w:val="-4"/>
          <w:rtl/>
        </w:rPr>
        <w:t> </w:t>
      </w:r>
      <w:r w:rsidRPr="000D5B62">
        <w:rPr>
          <w:spacing w:val="-4"/>
          <w:rtl/>
        </w:rPr>
        <w:t>المهينة أثر قانوني. ويذكر أن جنوب أفريقيا وقعت الاتفاقية في 29 كانون الثاني/يناير 1993 وصدقت عليها في 10 كانون الأول/ديسمبر 1998.</w:t>
      </w:r>
    </w:p>
    <w:p w14:paraId="4C43D7AD" w14:textId="354BC58C" w:rsidR="00803069" w:rsidRPr="000D5B62" w:rsidRDefault="00803069" w:rsidP="00313F43">
      <w:pPr>
        <w:pStyle w:val="SingleTxtGA"/>
        <w:rPr>
          <w:rtl/>
          <w:lang w:val="ar-SA" w:eastAsia="zh-TW" w:bidi="en-GB"/>
        </w:rPr>
      </w:pPr>
      <w:r w:rsidRPr="000D5B62">
        <w:rPr>
          <w:rtl/>
        </w:rPr>
        <w:t>83-</w:t>
      </w:r>
      <w:r w:rsidRPr="000D5B62">
        <w:rPr>
          <w:rtl/>
        </w:rPr>
        <w:tab/>
        <w:t>وورد في ديباجة قانون منع ومناهضة تعذيب الأشخاص إن جمهورية جنوب أفريقيا، إذ تضع في اعتبارها التاريخ المشين الحافل بانتهاكات جسيمة لحقوق الإنسان، من بينها التعذيب، تلتزم منذ عام</w:t>
      </w:r>
      <w:r w:rsidR="005F2563" w:rsidRPr="000D5B62">
        <w:rPr>
          <w:rFonts w:hint="cs"/>
          <w:rtl/>
        </w:rPr>
        <w:t> </w:t>
      </w:r>
      <w:r w:rsidRPr="000D5B62">
        <w:rPr>
          <w:rtl/>
        </w:rPr>
        <w:t>1994 بمنع ومناهضة تعذيب الأشخاص. وعلاوة على ذلك، يعترف القانون بالحقوق المتساوية وغير القابلة للتصرف لجميع الأشخاص كأساس للحرية والكرامة والعدالة والسلام في العالم. وهي تسلم بأن تعزيز الاحترام العالمي لحقوق الإنسان وحماية الكرامة الإنسانية أمران بالغا الأهمية؛ وتسعى إلى ضمان عدم تعرض أي شخص لأعمال التعذيب.</w:t>
      </w:r>
    </w:p>
    <w:p w14:paraId="61B5DECD" w14:textId="348876BA" w:rsidR="00803069" w:rsidRPr="000D5B62" w:rsidRDefault="00803069" w:rsidP="00313F43">
      <w:pPr>
        <w:pStyle w:val="SingleTxtGA"/>
        <w:rPr>
          <w:rStyle w:val="FootnoteReference"/>
          <w:rFonts w:eastAsiaTheme="minorEastAsia"/>
          <w:szCs w:val="22"/>
          <w:rtl/>
          <w:lang w:val="ar-SA" w:eastAsia="zh-TW" w:bidi="en-GB"/>
        </w:rPr>
      </w:pPr>
      <w:r w:rsidRPr="000D5B62">
        <w:rPr>
          <w:rtl/>
        </w:rPr>
        <w:t>84-</w:t>
      </w:r>
      <w:r w:rsidRPr="000D5B62">
        <w:rPr>
          <w:rtl/>
        </w:rPr>
        <w:tab/>
        <w:t>ويقضي القانون المذكور بمحاكمة الأشخاص الذين يرتكبون جرائم التعذيب وينص على العقوبات المناسبة في هذا الصدد، ومن بينها السجن مدى الحياة. وينص القانون كذلك على حظر التعذيب ومكافحته؛ وعلى التدابير الرامية إلى منع التعذيب؛ وكذلك على تدريب الأشخاص الذين يمكن أن يكونوا معنيين باحتجاز شخص يخضع لشكل من أشكال الاعتقال أو الاحتجاز أو السجن أو باستجوابه أو</w:t>
      </w:r>
      <w:r w:rsidR="0034591C" w:rsidRPr="000D5B62">
        <w:rPr>
          <w:rFonts w:hint="cs"/>
          <w:rtl/>
        </w:rPr>
        <w:t> </w:t>
      </w:r>
      <w:r w:rsidRPr="000D5B62">
        <w:rPr>
          <w:rtl/>
        </w:rPr>
        <w:t>معاملته. ومن التدابير الأخرى التي اتخذت منعاً للتعذيب، وضع برامج لتوعية الجمهور بموضوع التعذيب وتدابير مناهضته. وقبل إصدار قانون منع ومناهضة تعذيب الأشخاص لعام 2013، اتخذ عدد من التدابير التشريعية وتدابير أخرى للتصدي لسائر ضروب المعاملة أو العقوبة القاسية أو اللاإنسانية أو</w:t>
      </w:r>
      <w:r w:rsidR="0034591C" w:rsidRPr="000D5B62">
        <w:rPr>
          <w:rFonts w:hint="cs"/>
          <w:rtl/>
        </w:rPr>
        <w:t> </w:t>
      </w:r>
      <w:r w:rsidRPr="000D5B62">
        <w:rPr>
          <w:rtl/>
        </w:rPr>
        <w:t>المهينة. وتشمل تلك التدابير إصدار قانون عام 2008 المعدل للقانون المتعلق بالسجون</w:t>
      </w:r>
      <w:r w:rsidRPr="000D5B62">
        <w:rPr>
          <w:rStyle w:val="FootnoteReference"/>
          <w:szCs w:val="22"/>
          <w:rtl/>
        </w:rPr>
        <w:t>(</w:t>
      </w:r>
      <w:r w:rsidRPr="000D5B62">
        <w:rPr>
          <w:rStyle w:val="FootnoteReference"/>
          <w:szCs w:val="22"/>
          <w:rtl/>
        </w:rPr>
        <w:footnoteReference w:id="76"/>
      </w:r>
      <w:r w:rsidRPr="000D5B62">
        <w:rPr>
          <w:rStyle w:val="FootnoteReference"/>
          <w:szCs w:val="22"/>
          <w:rtl/>
        </w:rPr>
        <w:t>)</w:t>
      </w:r>
      <w:r w:rsidR="00911912" w:rsidRPr="000D5B62">
        <w:rPr>
          <w:rStyle w:val="FootnoteReference"/>
          <w:rFonts w:hint="cs"/>
          <w:szCs w:val="22"/>
          <w:vertAlign w:val="baseline"/>
          <w:rtl/>
        </w:rPr>
        <w:t>.</w:t>
      </w:r>
    </w:p>
    <w:p w14:paraId="193143A1" w14:textId="5B7D80AE" w:rsidR="00803069" w:rsidRPr="000D5B62" w:rsidRDefault="00803069" w:rsidP="00313F43">
      <w:pPr>
        <w:pStyle w:val="SingleTxtGA"/>
        <w:rPr>
          <w:rtl/>
          <w:lang w:val="ar-SA" w:eastAsia="zh-TW" w:bidi="en-GB"/>
        </w:rPr>
      </w:pPr>
      <w:r w:rsidRPr="000D5B62">
        <w:rPr>
          <w:rtl/>
        </w:rPr>
        <w:t>85-</w:t>
      </w:r>
      <w:r w:rsidRPr="000D5B62">
        <w:rPr>
          <w:rtl/>
        </w:rPr>
        <w:tab/>
        <w:t>وتعد المفتشية القضائية للمؤسسات الإصلاحية هيئة رقابية حيوية تهدف إلى كفالة احترام حقوق السجناء المنصوص عليها في الدستور وفي التشريعات والسياسات الموضوعة في هذا الصدد وحمايتها والنهوض بها وإعمالها. وتنص المادة 85(1) من القانون المتعلق بالسجون لعام 1998</w:t>
      </w:r>
      <w:r w:rsidRPr="000D5B62">
        <w:rPr>
          <w:rStyle w:val="FootnoteReference"/>
          <w:szCs w:val="22"/>
          <w:rtl/>
        </w:rPr>
        <w:t>(</w:t>
      </w:r>
      <w:r w:rsidRPr="000D5B62">
        <w:rPr>
          <w:rStyle w:val="FootnoteReference"/>
          <w:szCs w:val="22"/>
          <w:rtl/>
        </w:rPr>
        <w:footnoteReference w:id="77"/>
      </w:r>
      <w:r w:rsidRPr="000D5B62">
        <w:rPr>
          <w:rStyle w:val="FootnoteReference"/>
          <w:szCs w:val="22"/>
          <w:rtl/>
        </w:rPr>
        <w:t>)</w:t>
      </w:r>
      <w:r w:rsidRPr="000D5B62">
        <w:rPr>
          <w:rtl/>
        </w:rPr>
        <w:t xml:space="preserve"> على إنشاء مكتب مستقل، هو المفتشية القضائية للمؤسسات الإصلاحية، يرأسه قاضي تفتيش. وتتمثل مهمة المكتب في تيسير عملية تفتيش المؤسسات الإصلاحية بحيث يتسنى لقاضي التفتيش الإبلاغ عن كيفية معاملة النزلاء وعن أحوالهم.</w:t>
      </w:r>
    </w:p>
    <w:p w14:paraId="11FC3336" w14:textId="77777777" w:rsidR="00803069" w:rsidRPr="000D5B62" w:rsidRDefault="00803069" w:rsidP="00313F43">
      <w:pPr>
        <w:pStyle w:val="H23GA"/>
        <w:rPr>
          <w:lang w:val="en-US" w:eastAsia="zh-TW" w:bidi="en-GB"/>
        </w:rPr>
      </w:pPr>
      <w:r w:rsidRPr="000D5B62">
        <w:rPr>
          <w:rtl/>
        </w:rPr>
        <w:tab/>
      </w:r>
      <w:r w:rsidRPr="000D5B62">
        <w:rPr>
          <w:rtl/>
        </w:rPr>
        <w:tab/>
        <w:t>السجون</w:t>
      </w:r>
    </w:p>
    <w:p w14:paraId="1345492E" w14:textId="77777777" w:rsidR="00803069" w:rsidRPr="000D5B62" w:rsidRDefault="00803069" w:rsidP="00313F43">
      <w:pPr>
        <w:pStyle w:val="SingleTxtGA"/>
        <w:rPr>
          <w:rtl/>
          <w:lang w:val="ar-SA" w:eastAsia="zh-TW" w:bidi="en-GB"/>
        </w:rPr>
      </w:pPr>
      <w:r w:rsidRPr="000D5B62">
        <w:rPr>
          <w:rtl/>
        </w:rPr>
        <w:t>86-</w:t>
      </w:r>
      <w:r w:rsidRPr="000D5B62">
        <w:rPr>
          <w:rtl/>
        </w:rPr>
        <w:tab/>
        <w:t>لا يزال الاكتظاظ في مرافق السجون يمثل أحد التحديات. وتنفذ، في هذا الصدد، استراتيجية من ثمانية محاور تشمل العناصر التالية:</w:t>
      </w:r>
    </w:p>
    <w:p w14:paraId="641523C7" w14:textId="77777777" w:rsidR="00803069" w:rsidRPr="000D5B62" w:rsidRDefault="00803069" w:rsidP="00313F43">
      <w:pPr>
        <w:pStyle w:val="Bullet1GA"/>
        <w:rPr>
          <w:rtl/>
          <w:lang w:val="ar-SA" w:bidi="en-GB"/>
        </w:rPr>
      </w:pPr>
      <w:r w:rsidRPr="000D5B62">
        <w:rPr>
          <w:rtl/>
        </w:rPr>
        <w:t xml:space="preserve">التحكم في معدلات الاحتجاز لدى الشرطة بالاستعانة بفرقة العمل المعنية بإدارة القضايا والتابعة لنظام العدالة المتكامل واللجنة المشتركة بين القطاعات المعنية بقضاء الأحداث واللجان المعنية بزيادة الكفاءة على صعيد المقاطعات واللجنة المعنية بزيادة الكفاءة على الصعيد الوطني ولجنة التشغيل الوطنية؛ </w:t>
      </w:r>
    </w:p>
    <w:p w14:paraId="1A0A80BB" w14:textId="77777777" w:rsidR="00803069" w:rsidRPr="000D5B62" w:rsidRDefault="00803069" w:rsidP="00313F43">
      <w:pPr>
        <w:pStyle w:val="Bullet1GA"/>
        <w:rPr>
          <w:rtl/>
          <w:lang w:val="ar-SA" w:bidi="en-GB"/>
        </w:rPr>
      </w:pPr>
      <w:r w:rsidRPr="000D5B62">
        <w:rPr>
          <w:rtl/>
        </w:rPr>
        <w:t>التحكم في أعداد النزلاء المحكوم عليهم عن طريق تحسين الاستخدام الفعال والمناسب لإجراء تحويل عقوبة السجن إلى الرقابة الإصلاحية المجتمعية ونظام الإفراج المشروط ونقل السجناء من سجن إلى آخر في محاولة لتحقيق قدر من التوازن في معدل الاكتظاظ؛</w:t>
      </w:r>
    </w:p>
    <w:p w14:paraId="1FF94DF1" w14:textId="77777777" w:rsidR="00803069" w:rsidRPr="000D5B62" w:rsidRDefault="00803069" w:rsidP="00313F43">
      <w:pPr>
        <w:pStyle w:val="Bullet1GA"/>
        <w:rPr>
          <w:rtl/>
          <w:lang w:val="ar-SA" w:bidi="en-GB"/>
        </w:rPr>
      </w:pPr>
      <w:r w:rsidRPr="000D5B62">
        <w:rPr>
          <w:rtl/>
        </w:rPr>
        <w:t>ضمان التقدم في تنفيذ برنامج إدارة السجون لتحديث مرافق السجون وبناء سجون جديدة أكثر فعالية من حيث التكلفة وأكثر توجهاً نحو التأهيل؛ و</w:t>
      </w:r>
    </w:p>
    <w:p w14:paraId="3A2FDF62" w14:textId="77777777" w:rsidR="00803069" w:rsidRPr="000D5B62" w:rsidRDefault="00803069" w:rsidP="00313F43">
      <w:pPr>
        <w:pStyle w:val="Bullet1GA"/>
        <w:rPr>
          <w:rtl/>
          <w:lang w:val="ar-SA" w:bidi="en-GB"/>
        </w:rPr>
      </w:pPr>
      <w:r w:rsidRPr="000D5B62">
        <w:rPr>
          <w:rtl/>
        </w:rPr>
        <w:t>تشجيع النقاش في جنوب أفريقيا بشأن فكرة موجبات الحبس كعقوبة والتشجيع على اتباع نهج يتوخى فيه فرض عقوبات مناسبة محورها تيسير التأهيل؛</w:t>
      </w:r>
    </w:p>
    <w:p w14:paraId="59997B5B" w14:textId="77777777" w:rsidR="00803069" w:rsidRPr="000D5B62" w:rsidRDefault="00803069" w:rsidP="00313F43">
      <w:pPr>
        <w:pStyle w:val="SingleTxtGA"/>
        <w:rPr>
          <w:rtl/>
          <w:lang w:val="ar-SA" w:eastAsia="zh-TW" w:bidi="en-GB"/>
        </w:rPr>
      </w:pPr>
      <w:r w:rsidRPr="000D5B62">
        <w:rPr>
          <w:rtl/>
        </w:rPr>
        <w:t>87-</w:t>
      </w:r>
      <w:r w:rsidRPr="000D5B62">
        <w:rPr>
          <w:rtl/>
        </w:rPr>
        <w:tab/>
        <w:t>ويرد في الجدول أدناه بيان مجموع عدد نزلاء السجون حتى 31 آذار/مارس 2018.</w:t>
      </w:r>
    </w:p>
    <w:p w14:paraId="701E3A35" w14:textId="00AAC9DF" w:rsidR="00803069" w:rsidRPr="000D5B62" w:rsidRDefault="00803069" w:rsidP="00313F43">
      <w:pPr>
        <w:pStyle w:val="SingleTxtGA"/>
        <w:rPr>
          <w:b/>
          <w:bCs/>
          <w:rtl/>
          <w:lang w:val="ar-SA" w:eastAsia="zh-TW" w:bidi="en-GB"/>
        </w:rPr>
      </w:pPr>
      <w:r w:rsidRPr="000D5B62">
        <w:rPr>
          <w:rtl/>
        </w:rPr>
        <w:t>الجدول 22</w:t>
      </w:r>
      <w:r w:rsidR="00313F43" w:rsidRPr="000D5B62">
        <w:rPr>
          <w:rtl/>
        </w:rPr>
        <w:tab/>
      </w:r>
      <w:r w:rsidR="00313F43" w:rsidRPr="000D5B62">
        <w:rPr>
          <w:rtl/>
        </w:rPr>
        <w:br/>
      </w:r>
      <w:r w:rsidRPr="000D5B62">
        <w:rPr>
          <w:b/>
          <w:bCs/>
          <w:rtl/>
        </w:rPr>
        <w:t>نزلاء السجون (31 آذار/مارس 2018)</w:t>
      </w:r>
    </w:p>
    <w:tbl>
      <w:tblPr>
        <w:bidiVisual/>
        <w:tblW w:w="8504" w:type="dxa"/>
        <w:tblInd w:w="1134" w:type="dxa"/>
        <w:tblBorders>
          <w:top w:val="single" w:sz="4" w:space="0" w:color="auto"/>
          <w:bottom w:val="single" w:sz="12" w:space="0" w:color="auto"/>
        </w:tblBorders>
        <w:tblLayout w:type="fixed"/>
        <w:tblLook w:val="04A0" w:firstRow="1" w:lastRow="0" w:firstColumn="1" w:lastColumn="0" w:noHBand="0" w:noVBand="1"/>
      </w:tblPr>
      <w:tblGrid>
        <w:gridCol w:w="1823"/>
        <w:gridCol w:w="1455"/>
        <w:gridCol w:w="1680"/>
        <w:gridCol w:w="1274"/>
        <w:gridCol w:w="1078"/>
        <w:gridCol w:w="1194"/>
      </w:tblGrid>
      <w:tr w:rsidR="00803069" w:rsidRPr="000D5B62" w14:paraId="6E0E087D" w14:textId="77777777" w:rsidTr="00313F43">
        <w:trPr>
          <w:tblHeader/>
        </w:trPr>
        <w:tc>
          <w:tcPr>
            <w:tcW w:w="1823" w:type="dxa"/>
            <w:tcBorders>
              <w:top w:val="single" w:sz="4" w:space="0" w:color="auto"/>
              <w:bottom w:val="single" w:sz="12" w:space="0" w:color="auto"/>
            </w:tcBorders>
            <w:shd w:val="clear" w:color="auto" w:fill="auto"/>
            <w:vAlign w:val="bottom"/>
          </w:tcPr>
          <w:p w14:paraId="52ABEF86" w14:textId="77777777"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الإقليم</w:t>
            </w:r>
          </w:p>
        </w:tc>
        <w:tc>
          <w:tcPr>
            <w:tcW w:w="1455" w:type="dxa"/>
            <w:tcBorders>
              <w:top w:val="single" w:sz="4" w:space="0" w:color="auto"/>
              <w:bottom w:val="single" w:sz="12" w:space="0" w:color="auto"/>
            </w:tcBorders>
            <w:shd w:val="clear" w:color="auto" w:fill="auto"/>
            <w:vAlign w:val="bottom"/>
          </w:tcPr>
          <w:p w14:paraId="2910D3A7" w14:textId="77777777"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الحيز الموافق على تخصيصه للأسرّة</w:t>
            </w:r>
          </w:p>
        </w:tc>
        <w:tc>
          <w:tcPr>
            <w:tcW w:w="1680" w:type="dxa"/>
            <w:tcBorders>
              <w:top w:val="single" w:sz="4" w:space="0" w:color="auto"/>
              <w:bottom w:val="single" w:sz="12" w:space="0" w:color="auto"/>
            </w:tcBorders>
            <w:shd w:val="clear" w:color="auto" w:fill="auto"/>
            <w:vAlign w:val="bottom"/>
          </w:tcPr>
          <w:p w14:paraId="05947DB2" w14:textId="77777777"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غير المحكوم عليهم</w:t>
            </w:r>
          </w:p>
        </w:tc>
        <w:tc>
          <w:tcPr>
            <w:tcW w:w="1274" w:type="dxa"/>
            <w:tcBorders>
              <w:top w:val="single" w:sz="4" w:space="0" w:color="auto"/>
              <w:bottom w:val="single" w:sz="12" w:space="0" w:color="auto"/>
            </w:tcBorders>
            <w:shd w:val="clear" w:color="auto" w:fill="auto"/>
            <w:vAlign w:val="bottom"/>
          </w:tcPr>
          <w:p w14:paraId="2CA6C8D7" w14:textId="77777777"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المحكوم عليهم</w:t>
            </w:r>
          </w:p>
        </w:tc>
        <w:tc>
          <w:tcPr>
            <w:tcW w:w="1078" w:type="dxa"/>
            <w:tcBorders>
              <w:top w:val="single" w:sz="4" w:space="0" w:color="auto"/>
              <w:bottom w:val="single" w:sz="12" w:space="0" w:color="auto"/>
            </w:tcBorders>
            <w:shd w:val="clear" w:color="auto" w:fill="auto"/>
            <w:vAlign w:val="bottom"/>
          </w:tcPr>
          <w:p w14:paraId="1573BC45" w14:textId="5BE8C6F8"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المجموع</w:t>
            </w:r>
          </w:p>
        </w:tc>
        <w:tc>
          <w:tcPr>
            <w:tcW w:w="1194" w:type="dxa"/>
            <w:tcBorders>
              <w:top w:val="single" w:sz="4" w:space="0" w:color="auto"/>
              <w:bottom w:val="single" w:sz="12" w:space="0" w:color="auto"/>
            </w:tcBorders>
            <w:shd w:val="clear" w:color="auto" w:fill="auto"/>
            <w:vAlign w:val="bottom"/>
          </w:tcPr>
          <w:p w14:paraId="140A6694" w14:textId="68B8D4CE" w:rsidR="00803069" w:rsidRPr="000D5B62" w:rsidRDefault="00803069" w:rsidP="00911912">
            <w:pPr>
              <w:spacing w:before="40" w:after="40" w:line="280" w:lineRule="exact"/>
              <w:jc w:val="left"/>
              <w:textDirection w:val="tbRlV"/>
              <w:rPr>
                <w:rFonts w:eastAsiaTheme="minorEastAsia"/>
                <w:i/>
                <w:szCs w:val="20"/>
                <w:rtl/>
                <w:lang w:val="ar-SA" w:eastAsia="zh-TW" w:bidi="en-GB"/>
              </w:rPr>
            </w:pPr>
            <w:r w:rsidRPr="000D5B62">
              <w:rPr>
                <w:rFonts w:eastAsiaTheme="minorEastAsia"/>
                <w:i/>
                <w:iCs/>
                <w:szCs w:val="20"/>
                <w:rtl/>
              </w:rPr>
              <w:t>الإشغال بالنسبة المئوية</w:t>
            </w:r>
          </w:p>
        </w:tc>
      </w:tr>
      <w:tr w:rsidR="00803069" w:rsidRPr="000D5B62" w14:paraId="52F1D57C" w14:textId="77777777" w:rsidTr="00D8475F">
        <w:tc>
          <w:tcPr>
            <w:tcW w:w="1823" w:type="dxa"/>
            <w:tcBorders>
              <w:top w:val="single" w:sz="12" w:space="0" w:color="auto"/>
            </w:tcBorders>
            <w:shd w:val="clear" w:color="auto" w:fill="auto"/>
          </w:tcPr>
          <w:p w14:paraId="2B68A39D"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غاوتنغ</w:t>
            </w:r>
          </w:p>
        </w:tc>
        <w:tc>
          <w:tcPr>
            <w:tcW w:w="1455" w:type="dxa"/>
            <w:tcBorders>
              <w:top w:val="single" w:sz="12" w:space="0" w:color="auto"/>
            </w:tcBorders>
            <w:shd w:val="clear" w:color="auto" w:fill="auto"/>
          </w:tcPr>
          <w:p w14:paraId="68598FC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421 25</w:t>
            </w:r>
          </w:p>
        </w:tc>
        <w:tc>
          <w:tcPr>
            <w:tcW w:w="1680" w:type="dxa"/>
            <w:tcBorders>
              <w:top w:val="single" w:sz="12" w:space="0" w:color="auto"/>
            </w:tcBorders>
            <w:shd w:val="clear" w:color="auto" w:fill="auto"/>
          </w:tcPr>
          <w:p w14:paraId="4EEDCC03"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117 11</w:t>
            </w:r>
          </w:p>
        </w:tc>
        <w:tc>
          <w:tcPr>
            <w:tcW w:w="1274" w:type="dxa"/>
            <w:tcBorders>
              <w:top w:val="single" w:sz="12" w:space="0" w:color="auto"/>
            </w:tcBorders>
            <w:shd w:val="clear" w:color="auto" w:fill="auto"/>
          </w:tcPr>
          <w:p w14:paraId="13B87F8F"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000 26</w:t>
            </w:r>
          </w:p>
        </w:tc>
        <w:tc>
          <w:tcPr>
            <w:tcW w:w="1078" w:type="dxa"/>
            <w:tcBorders>
              <w:top w:val="single" w:sz="12" w:space="0" w:color="auto"/>
            </w:tcBorders>
            <w:shd w:val="clear" w:color="auto" w:fill="auto"/>
          </w:tcPr>
          <w:p w14:paraId="28025D14" w14:textId="77777777" w:rsidR="00803069" w:rsidRPr="000D5B62" w:rsidRDefault="00803069" w:rsidP="00911912">
            <w:pPr>
              <w:spacing w:before="40" w:after="40" w:line="280" w:lineRule="exact"/>
              <w:jc w:val="left"/>
              <w:textDirection w:val="tbRlV"/>
              <w:rPr>
                <w:rFonts w:eastAsiaTheme="minorEastAsia"/>
                <w:szCs w:val="20"/>
                <w:lang w:eastAsia="zh-TW" w:bidi="en-GB"/>
              </w:rPr>
            </w:pPr>
            <w:r w:rsidRPr="000D5B62">
              <w:rPr>
                <w:rFonts w:eastAsiaTheme="minorEastAsia"/>
                <w:szCs w:val="20"/>
                <w:rtl/>
              </w:rPr>
              <w:t>117 37</w:t>
            </w:r>
          </w:p>
        </w:tc>
        <w:tc>
          <w:tcPr>
            <w:tcW w:w="1194" w:type="dxa"/>
            <w:tcBorders>
              <w:top w:val="single" w:sz="12" w:space="0" w:color="auto"/>
            </w:tcBorders>
            <w:shd w:val="clear" w:color="auto" w:fill="auto"/>
          </w:tcPr>
          <w:p w14:paraId="7DB990B8" w14:textId="4DBA5C20"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146,01 </w:t>
            </w:r>
            <w:r w:rsidR="008B0906" w:rsidRPr="000D5B62">
              <w:rPr>
                <w:rFonts w:eastAsiaTheme="minorEastAsia"/>
                <w:szCs w:val="20"/>
                <w:rtl/>
              </w:rPr>
              <w:t>٪</w:t>
            </w:r>
          </w:p>
        </w:tc>
      </w:tr>
      <w:tr w:rsidR="00803069" w:rsidRPr="000D5B62" w14:paraId="22ECBE9F" w14:textId="77777777" w:rsidTr="00D8475F">
        <w:tc>
          <w:tcPr>
            <w:tcW w:w="1823" w:type="dxa"/>
            <w:shd w:val="clear" w:color="auto" w:fill="auto"/>
          </w:tcPr>
          <w:p w14:paraId="2297CC97"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الكيب الغربية</w:t>
            </w:r>
          </w:p>
        </w:tc>
        <w:tc>
          <w:tcPr>
            <w:tcW w:w="1455" w:type="dxa"/>
            <w:shd w:val="clear" w:color="auto" w:fill="auto"/>
          </w:tcPr>
          <w:p w14:paraId="34908ED4"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509 20</w:t>
            </w:r>
          </w:p>
        </w:tc>
        <w:tc>
          <w:tcPr>
            <w:tcW w:w="1680" w:type="dxa"/>
            <w:shd w:val="clear" w:color="auto" w:fill="auto"/>
          </w:tcPr>
          <w:p w14:paraId="28C429E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000 12</w:t>
            </w:r>
          </w:p>
        </w:tc>
        <w:tc>
          <w:tcPr>
            <w:tcW w:w="1274" w:type="dxa"/>
            <w:shd w:val="clear" w:color="auto" w:fill="auto"/>
          </w:tcPr>
          <w:p w14:paraId="0888DA1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157 18</w:t>
            </w:r>
          </w:p>
        </w:tc>
        <w:tc>
          <w:tcPr>
            <w:tcW w:w="1078" w:type="dxa"/>
            <w:shd w:val="clear" w:color="auto" w:fill="auto"/>
          </w:tcPr>
          <w:p w14:paraId="052457CA"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157 30</w:t>
            </w:r>
          </w:p>
        </w:tc>
        <w:tc>
          <w:tcPr>
            <w:tcW w:w="1194" w:type="dxa"/>
            <w:shd w:val="clear" w:color="auto" w:fill="auto"/>
          </w:tcPr>
          <w:p w14:paraId="5E489E46" w14:textId="53D02B09"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147,04 </w:t>
            </w:r>
            <w:r w:rsidR="008B0906" w:rsidRPr="000D5B62">
              <w:rPr>
                <w:rFonts w:eastAsiaTheme="minorEastAsia"/>
                <w:szCs w:val="20"/>
                <w:rtl/>
              </w:rPr>
              <w:t>٪</w:t>
            </w:r>
          </w:p>
        </w:tc>
      </w:tr>
      <w:tr w:rsidR="00803069" w:rsidRPr="000D5B62" w14:paraId="1F8BD2D6" w14:textId="77777777" w:rsidTr="00D8475F">
        <w:tc>
          <w:tcPr>
            <w:tcW w:w="1823" w:type="dxa"/>
            <w:shd w:val="clear" w:color="auto" w:fill="auto"/>
          </w:tcPr>
          <w:p w14:paraId="6F598F68" w14:textId="50329B53"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كوازولو ناتال</w:t>
            </w:r>
          </w:p>
        </w:tc>
        <w:tc>
          <w:tcPr>
            <w:tcW w:w="1455" w:type="dxa"/>
            <w:shd w:val="clear" w:color="auto" w:fill="auto"/>
          </w:tcPr>
          <w:p w14:paraId="59DF8B15"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054 20</w:t>
            </w:r>
          </w:p>
        </w:tc>
        <w:tc>
          <w:tcPr>
            <w:tcW w:w="1680" w:type="dxa"/>
            <w:shd w:val="clear" w:color="auto" w:fill="auto"/>
          </w:tcPr>
          <w:p w14:paraId="6FE779A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220 6</w:t>
            </w:r>
          </w:p>
        </w:tc>
        <w:tc>
          <w:tcPr>
            <w:tcW w:w="1274" w:type="dxa"/>
            <w:shd w:val="clear" w:color="auto" w:fill="auto"/>
          </w:tcPr>
          <w:p w14:paraId="1E339B8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712 21</w:t>
            </w:r>
          </w:p>
        </w:tc>
        <w:tc>
          <w:tcPr>
            <w:tcW w:w="1078" w:type="dxa"/>
            <w:shd w:val="clear" w:color="auto" w:fill="auto"/>
          </w:tcPr>
          <w:p w14:paraId="3CE2F83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932 27</w:t>
            </w:r>
          </w:p>
        </w:tc>
        <w:tc>
          <w:tcPr>
            <w:tcW w:w="1194" w:type="dxa"/>
            <w:shd w:val="clear" w:color="auto" w:fill="auto"/>
          </w:tcPr>
          <w:p w14:paraId="6A5A26B5" w14:textId="1E3B96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139,28 </w:t>
            </w:r>
            <w:r w:rsidR="008B0906" w:rsidRPr="000D5B62">
              <w:rPr>
                <w:rFonts w:eastAsiaTheme="minorEastAsia"/>
                <w:szCs w:val="20"/>
                <w:rtl/>
              </w:rPr>
              <w:t>٪</w:t>
            </w:r>
          </w:p>
        </w:tc>
      </w:tr>
      <w:tr w:rsidR="00803069" w:rsidRPr="000D5B62" w14:paraId="322EC757" w14:textId="77777777" w:rsidTr="00D8475F">
        <w:tc>
          <w:tcPr>
            <w:tcW w:w="1823" w:type="dxa"/>
            <w:shd w:val="clear" w:color="auto" w:fill="auto"/>
          </w:tcPr>
          <w:p w14:paraId="5224107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فري ستيت والكيب الشمالية</w:t>
            </w:r>
          </w:p>
        </w:tc>
        <w:tc>
          <w:tcPr>
            <w:tcW w:w="1455" w:type="dxa"/>
            <w:shd w:val="clear" w:color="auto" w:fill="auto"/>
          </w:tcPr>
          <w:p w14:paraId="4C9986D1"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550 20</w:t>
            </w:r>
          </w:p>
        </w:tc>
        <w:tc>
          <w:tcPr>
            <w:tcW w:w="1680" w:type="dxa"/>
            <w:shd w:val="clear" w:color="auto" w:fill="auto"/>
          </w:tcPr>
          <w:p w14:paraId="38D5DFFC"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052 5</w:t>
            </w:r>
          </w:p>
        </w:tc>
        <w:tc>
          <w:tcPr>
            <w:tcW w:w="1274" w:type="dxa"/>
            <w:shd w:val="clear" w:color="auto" w:fill="auto"/>
          </w:tcPr>
          <w:p w14:paraId="7FFE9B23"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125 18</w:t>
            </w:r>
          </w:p>
        </w:tc>
        <w:tc>
          <w:tcPr>
            <w:tcW w:w="1078" w:type="dxa"/>
            <w:shd w:val="clear" w:color="auto" w:fill="auto"/>
          </w:tcPr>
          <w:p w14:paraId="659290B0"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177 23</w:t>
            </w:r>
          </w:p>
        </w:tc>
        <w:tc>
          <w:tcPr>
            <w:tcW w:w="1194" w:type="dxa"/>
            <w:shd w:val="clear" w:color="auto" w:fill="auto"/>
          </w:tcPr>
          <w:p w14:paraId="42C59D42" w14:textId="245D43C1"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112,78 </w:t>
            </w:r>
            <w:r w:rsidR="008B0906" w:rsidRPr="000D5B62">
              <w:rPr>
                <w:rFonts w:eastAsiaTheme="minorEastAsia"/>
                <w:szCs w:val="20"/>
                <w:rtl/>
              </w:rPr>
              <w:t>٪</w:t>
            </w:r>
          </w:p>
        </w:tc>
      </w:tr>
      <w:tr w:rsidR="00803069" w:rsidRPr="000D5B62" w14:paraId="561195E2" w14:textId="77777777" w:rsidTr="00D8475F">
        <w:tc>
          <w:tcPr>
            <w:tcW w:w="1823" w:type="dxa"/>
            <w:shd w:val="clear" w:color="auto" w:fill="auto"/>
          </w:tcPr>
          <w:p w14:paraId="47A230B1"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الكيب الشرقية</w:t>
            </w:r>
          </w:p>
        </w:tc>
        <w:tc>
          <w:tcPr>
            <w:tcW w:w="1455" w:type="dxa"/>
            <w:shd w:val="clear" w:color="auto" w:fill="auto"/>
          </w:tcPr>
          <w:p w14:paraId="3432D935"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081 13</w:t>
            </w:r>
          </w:p>
        </w:tc>
        <w:tc>
          <w:tcPr>
            <w:tcW w:w="1680" w:type="dxa"/>
            <w:shd w:val="clear" w:color="auto" w:fill="auto"/>
          </w:tcPr>
          <w:p w14:paraId="1DC3971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290 5</w:t>
            </w:r>
          </w:p>
        </w:tc>
        <w:tc>
          <w:tcPr>
            <w:tcW w:w="1274" w:type="dxa"/>
            <w:shd w:val="clear" w:color="auto" w:fill="auto"/>
          </w:tcPr>
          <w:p w14:paraId="738899E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547 15</w:t>
            </w:r>
          </w:p>
        </w:tc>
        <w:tc>
          <w:tcPr>
            <w:tcW w:w="1078" w:type="dxa"/>
            <w:shd w:val="clear" w:color="auto" w:fill="auto"/>
          </w:tcPr>
          <w:p w14:paraId="5A8554D6"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837 20</w:t>
            </w:r>
          </w:p>
        </w:tc>
        <w:tc>
          <w:tcPr>
            <w:tcW w:w="1194" w:type="dxa"/>
            <w:shd w:val="clear" w:color="auto" w:fill="auto"/>
          </w:tcPr>
          <w:p w14:paraId="481483D0" w14:textId="0B8CD088"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159,29 </w:t>
            </w:r>
            <w:r w:rsidR="008B0906" w:rsidRPr="000D5B62">
              <w:rPr>
                <w:rFonts w:eastAsiaTheme="minorEastAsia"/>
                <w:szCs w:val="20"/>
                <w:rtl/>
              </w:rPr>
              <w:t>٪</w:t>
            </w:r>
          </w:p>
        </w:tc>
      </w:tr>
      <w:tr w:rsidR="00803069" w:rsidRPr="000D5B62" w14:paraId="1613B549" w14:textId="77777777" w:rsidTr="00D8475F">
        <w:tc>
          <w:tcPr>
            <w:tcW w:w="1823" w:type="dxa"/>
            <w:shd w:val="clear" w:color="auto" w:fill="auto"/>
          </w:tcPr>
          <w:p w14:paraId="7BAFD856"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pacing w:val="-5"/>
                <w:szCs w:val="20"/>
                <w:rtl/>
              </w:rPr>
              <w:t>ليمبوبو ومبومالانغا والمنطقة</w:t>
            </w:r>
            <w:r w:rsidRPr="000D5B62">
              <w:rPr>
                <w:rFonts w:eastAsiaTheme="minorEastAsia"/>
                <w:szCs w:val="20"/>
                <w:rtl/>
              </w:rPr>
              <w:t xml:space="preserve"> الشمالية الغربية</w:t>
            </w:r>
          </w:p>
        </w:tc>
        <w:tc>
          <w:tcPr>
            <w:tcW w:w="1455" w:type="dxa"/>
            <w:shd w:val="clear" w:color="auto" w:fill="auto"/>
          </w:tcPr>
          <w:p w14:paraId="240B6842" w14:textId="77777777" w:rsidR="00803069" w:rsidRPr="000D5B62" w:rsidRDefault="00803069" w:rsidP="00911912">
            <w:pPr>
              <w:spacing w:before="40" w:after="40" w:line="280" w:lineRule="exact"/>
              <w:jc w:val="left"/>
              <w:textDirection w:val="tbRlV"/>
              <w:rPr>
                <w:rFonts w:eastAsiaTheme="minorEastAsia"/>
                <w:szCs w:val="20"/>
                <w:lang w:eastAsia="zh-TW" w:bidi="en-GB"/>
              </w:rPr>
            </w:pPr>
            <w:r w:rsidRPr="000D5B62">
              <w:rPr>
                <w:rFonts w:eastAsiaTheme="minorEastAsia"/>
                <w:szCs w:val="20"/>
                <w:rtl/>
              </w:rPr>
              <w:t>296 18</w:t>
            </w:r>
          </w:p>
        </w:tc>
        <w:tc>
          <w:tcPr>
            <w:tcW w:w="1680" w:type="dxa"/>
            <w:shd w:val="clear" w:color="auto" w:fill="auto"/>
          </w:tcPr>
          <w:p w14:paraId="64AB801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576 6</w:t>
            </w:r>
          </w:p>
        </w:tc>
        <w:tc>
          <w:tcPr>
            <w:tcW w:w="1274" w:type="dxa"/>
            <w:shd w:val="clear" w:color="auto" w:fill="auto"/>
          </w:tcPr>
          <w:p w14:paraId="225EFE6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339 18</w:t>
            </w:r>
          </w:p>
        </w:tc>
        <w:tc>
          <w:tcPr>
            <w:tcW w:w="1078" w:type="dxa"/>
            <w:shd w:val="clear" w:color="auto" w:fill="auto"/>
          </w:tcPr>
          <w:p w14:paraId="31537B4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915 24</w:t>
            </w:r>
          </w:p>
        </w:tc>
        <w:tc>
          <w:tcPr>
            <w:tcW w:w="1194" w:type="dxa"/>
            <w:shd w:val="clear" w:color="auto" w:fill="auto"/>
          </w:tcPr>
          <w:p w14:paraId="6AAD5145" w14:textId="1639048D"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136,18 </w:t>
            </w:r>
            <w:r w:rsidR="008B0906" w:rsidRPr="000D5B62">
              <w:rPr>
                <w:rFonts w:eastAsiaTheme="minorEastAsia"/>
                <w:szCs w:val="20"/>
                <w:rtl/>
              </w:rPr>
              <w:t>٪</w:t>
            </w:r>
          </w:p>
        </w:tc>
      </w:tr>
      <w:tr w:rsidR="00803069" w:rsidRPr="000D5B62" w14:paraId="4E617972" w14:textId="77777777" w:rsidTr="00D8475F">
        <w:tc>
          <w:tcPr>
            <w:tcW w:w="1823" w:type="dxa"/>
            <w:shd w:val="clear" w:color="auto" w:fill="auto"/>
          </w:tcPr>
          <w:p w14:paraId="0D1E769B"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وطني</w:t>
            </w:r>
          </w:p>
        </w:tc>
        <w:tc>
          <w:tcPr>
            <w:tcW w:w="1455" w:type="dxa"/>
            <w:shd w:val="clear" w:color="auto" w:fill="auto"/>
          </w:tcPr>
          <w:p w14:paraId="64B8DDEA"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 xml:space="preserve">911 117 </w:t>
            </w:r>
          </w:p>
        </w:tc>
        <w:tc>
          <w:tcPr>
            <w:tcW w:w="1680" w:type="dxa"/>
            <w:shd w:val="clear" w:color="auto" w:fill="auto"/>
          </w:tcPr>
          <w:p w14:paraId="23265066"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255 46</w:t>
            </w:r>
          </w:p>
        </w:tc>
        <w:tc>
          <w:tcPr>
            <w:tcW w:w="1274" w:type="dxa"/>
            <w:shd w:val="clear" w:color="auto" w:fill="auto"/>
          </w:tcPr>
          <w:p w14:paraId="0FE70C3C"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880 117</w:t>
            </w:r>
          </w:p>
        </w:tc>
        <w:tc>
          <w:tcPr>
            <w:tcW w:w="1078" w:type="dxa"/>
            <w:shd w:val="clear" w:color="auto" w:fill="auto"/>
          </w:tcPr>
          <w:p w14:paraId="2DCD0F99" w14:textId="77777777"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135 164</w:t>
            </w:r>
          </w:p>
        </w:tc>
        <w:tc>
          <w:tcPr>
            <w:tcW w:w="1194" w:type="dxa"/>
            <w:shd w:val="clear" w:color="auto" w:fill="auto"/>
          </w:tcPr>
          <w:p w14:paraId="2EDC2418" w14:textId="064522CD" w:rsidR="00803069" w:rsidRPr="000D5B62" w:rsidRDefault="00803069" w:rsidP="00911912">
            <w:pPr>
              <w:spacing w:before="40" w:after="40" w:line="280" w:lineRule="exact"/>
              <w:textDirection w:val="tbRlV"/>
              <w:rPr>
                <w:rFonts w:eastAsiaTheme="minorEastAsia"/>
                <w:szCs w:val="20"/>
                <w:rtl/>
                <w:lang w:val="ar-SA" w:eastAsia="zh-TW" w:bidi="en-GB"/>
              </w:rPr>
            </w:pPr>
            <w:r w:rsidRPr="000D5B62">
              <w:rPr>
                <w:rFonts w:eastAsiaTheme="minorEastAsia"/>
                <w:szCs w:val="20"/>
                <w:rtl/>
              </w:rPr>
              <w:t>137,77 </w:t>
            </w:r>
            <w:r w:rsidR="008B0906" w:rsidRPr="000D5B62">
              <w:rPr>
                <w:rFonts w:eastAsiaTheme="minorEastAsia"/>
                <w:szCs w:val="20"/>
                <w:rtl/>
              </w:rPr>
              <w:t>٪</w:t>
            </w:r>
          </w:p>
        </w:tc>
      </w:tr>
    </w:tbl>
    <w:p w14:paraId="0C7CE442" w14:textId="1DB95B3F" w:rsidR="00803069" w:rsidRPr="000D5B62" w:rsidRDefault="00803069" w:rsidP="00803069">
      <w:pPr>
        <w:pStyle w:val="H23G"/>
        <w:bidi/>
        <w:spacing w:line="276" w:lineRule="auto"/>
        <w:textDirection w:val="tbRlV"/>
        <w:rPr>
          <w:rFonts w:eastAsiaTheme="minorEastAsia"/>
          <w:b w:val="0"/>
          <w:bCs/>
          <w:sz w:val="22"/>
          <w:szCs w:val="22"/>
          <w:rtl/>
          <w:lang w:val="ar-SA" w:eastAsia="zh-TW" w:bidi="en-GB"/>
        </w:rPr>
      </w:pPr>
      <w:r w:rsidRPr="000D5B62">
        <w:rPr>
          <w:rFonts w:eastAsiaTheme="minorEastAsia"/>
          <w:sz w:val="22"/>
          <w:szCs w:val="22"/>
          <w:rtl/>
        </w:rPr>
        <w:tab/>
      </w:r>
      <w:r w:rsidRPr="000D5B62">
        <w:rPr>
          <w:rFonts w:eastAsiaTheme="minorEastAsia"/>
          <w:sz w:val="22"/>
          <w:szCs w:val="22"/>
          <w:rtl/>
        </w:rPr>
        <w:tab/>
        <w:t>الجدول 23</w:t>
      </w:r>
      <w:r w:rsidR="00313F43" w:rsidRPr="000D5B62">
        <w:rPr>
          <w:rFonts w:eastAsiaTheme="minorEastAsia"/>
          <w:sz w:val="22"/>
          <w:szCs w:val="22"/>
          <w:rtl/>
        </w:rPr>
        <w:br/>
      </w:r>
      <w:r w:rsidRPr="000D5B62">
        <w:rPr>
          <w:rFonts w:eastAsiaTheme="minorEastAsia"/>
          <w:b w:val="0"/>
          <w:bCs/>
          <w:sz w:val="22"/>
          <w:szCs w:val="22"/>
          <w:rtl/>
        </w:rPr>
        <w:t>عدد المجرمين المحكوم عليهم حسب فئة الجريمة (نوع الجريمة)، 31 كانون الأول/ ديسمبر 2017</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52"/>
        <w:gridCol w:w="1218"/>
      </w:tblGrid>
      <w:tr w:rsidR="00803069" w:rsidRPr="000D5B62" w14:paraId="69E6C0E8" w14:textId="77777777" w:rsidTr="00313F43">
        <w:trPr>
          <w:tblHeader/>
        </w:trPr>
        <w:tc>
          <w:tcPr>
            <w:tcW w:w="7370"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2E4D6349" w14:textId="77777777" w:rsidR="00803069" w:rsidRPr="000D5B62" w:rsidRDefault="00803069" w:rsidP="00911912">
            <w:pPr>
              <w:spacing w:before="40" w:after="40" w:line="280" w:lineRule="exact"/>
              <w:textDirection w:val="tbRlV"/>
              <w:rPr>
                <w:rFonts w:eastAsiaTheme="minorEastAsia"/>
                <w:bCs/>
                <w:i/>
                <w:sz w:val="22"/>
                <w:rtl/>
                <w:lang w:val="ar-SA" w:eastAsia="zh-TW" w:bidi="en-GB"/>
              </w:rPr>
            </w:pPr>
            <w:r w:rsidRPr="000D5B62">
              <w:rPr>
                <w:rFonts w:eastAsiaTheme="minorEastAsia"/>
                <w:i/>
                <w:iCs/>
                <w:sz w:val="22"/>
                <w:rtl/>
              </w:rPr>
              <w:t>عدد المجرمين المحكوم عليهم حسب فئة الجريمة (نوع الجريمة) حتى 31 كانون الأول/ديسمبر 2017</w:t>
            </w:r>
          </w:p>
        </w:tc>
      </w:tr>
      <w:tr w:rsidR="00803069" w:rsidRPr="000D5B62" w14:paraId="49C9012E" w14:textId="77777777" w:rsidTr="00313F43">
        <w:tc>
          <w:tcPr>
            <w:tcW w:w="6152"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48378DE" w14:textId="77777777" w:rsidR="00803069" w:rsidRPr="000D5B62" w:rsidRDefault="00803069" w:rsidP="00911912">
            <w:pPr>
              <w:spacing w:before="40" w:after="40" w:line="280" w:lineRule="exact"/>
              <w:textDirection w:val="tbRlV"/>
              <w:rPr>
                <w:rFonts w:eastAsiaTheme="minorEastAsia"/>
                <w:bCs/>
                <w:i/>
                <w:sz w:val="22"/>
                <w:rtl/>
                <w:lang w:val="ar-SA" w:eastAsia="zh-TW" w:bidi="en-GB"/>
              </w:rPr>
            </w:pPr>
            <w:r w:rsidRPr="000D5B62">
              <w:rPr>
                <w:rFonts w:eastAsiaTheme="minorEastAsia"/>
                <w:i/>
                <w:iCs/>
                <w:sz w:val="22"/>
                <w:rtl/>
              </w:rPr>
              <w:t>فئة الجريمة</w:t>
            </w:r>
          </w:p>
        </w:tc>
        <w:tc>
          <w:tcPr>
            <w:tcW w:w="1218"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2C0CEC3" w14:textId="77777777" w:rsidR="00803069" w:rsidRPr="000D5B62" w:rsidRDefault="00803069" w:rsidP="00911912">
            <w:pPr>
              <w:spacing w:before="40" w:after="40" w:line="280" w:lineRule="exact"/>
              <w:textDirection w:val="tbRlV"/>
              <w:rPr>
                <w:rFonts w:eastAsiaTheme="minorEastAsia"/>
                <w:bCs/>
                <w:i/>
                <w:sz w:val="22"/>
                <w:rtl/>
                <w:lang w:val="ar-SA" w:eastAsia="zh-TW" w:bidi="en-GB"/>
              </w:rPr>
            </w:pPr>
            <w:r w:rsidRPr="000D5B62">
              <w:rPr>
                <w:rFonts w:eastAsiaTheme="minorEastAsia"/>
                <w:i/>
                <w:iCs/>
                <w:sz w:val="22"/>
                <w:rtl/>
              </w:rPr>
              <w:t>المجموع:</w:t>
            </w:r>
          </w:p>
        </w:tc>
      </w:tr>
      <w:tr w:rsidR="00803069" w:rsidRPr="000D5B62" w14:paraId="62C6294D" w14:textId="77777777" w:rsidTr="00313F43">
        <w:tc>
          <w:tcPr>
            <w:tcW w:w="6152" w:type="dxa"/>
            <w:tcBorders>
              <w:top w:val="single" w:sz="12" w:space="0" w:color="auto"/>
              <w:bottom w:val="nil"/>
            </w:tcBorders>
            <w:shd w:val="clear" w:color="auto" w:fill="auto"/>
            <w:noWrap/>
            <w:tcMar>
              <w:top w:w="0" w:type="dxa"/>
              <w:left w:w="108" w:type="dxa"/>
              <w:bottom w:w="0" w:type="dxa"/>
              <w:right w:w="108" w:type="dxa"/>
            </w:tcMar>
            <w:hideMark/>
          </w:tcPr>
          <w:p w14:paraId="3F3F2298"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عدوانية</w:t>
            </w:r>
          </w:p>
        </w:tc>
        <w:tc>
          <w:tcPr>
            <w:tcW w:w="1218" w:type="dxa"/>
            <w:tcBorders>
              <w:top w:val="single" w:sz="12" w:space="0" w:color="auto"/>
              <w:bottom w:val="nil"/>
            </w:tcBorders>
            <w:shd w:val="clear" w:color="auto" w:fill="auto"/>
            <w:noWrap/>
            <w:tcMar>
              <w:top w:w="0" w:type="dxa"/>
              <w:left w:w="108" w:type="dxa"/>
              <w:bottom w:w="0" w:type="dxa"/>
              <w:right w:w="108" w:type="dxa"/>
            </w:tcMar>
            <w:hideMark/>
          </w:tcPr>
          <w:p w14:paraId="741EF5BC"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795 64</w:t>
            </w:r>
          </w:p>
        </w:tc>
      </w:tr>
      <w:tr w:rsidR="00803069" w:rsidRPr="000D5B62" w14:paraId="4DACFDA3" w14:textId="77777777" w:rsidTr="00313F43">
        <w:tc>
          <w:tcPr>
            <w:tcW w:w="6152" w:type="dxa"/>
            <w:tcBorders>
              <w:top w:val="nil"/>
            </w:tcBorders>
            <w:shd w:val="clear" w:color="auto" w:fill="auto"/>
            <w:noWrap/>
            <w:tcMar>
              <w:top w:w="0" w:type="dxa"/>
              <w:left w:w="108" w:type="dxa"/>
              <w:bottom w:w="0" w:type="dxa"/>
              <w:right w:w="108" w:type="dxa"/>
            </w:tcMar>
            <w:hideMark/>
          </w:tcPr>
          <w:p w14:paraId="672B607D"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اقتصادية</w:t>
            </w:r>
          </w:p>
        </w:tc>
        <w:tc>
          <w:tcPr>
            <w:tcW w:w="1218" w:type="dxa"/>
            <w:tcBorders>
              <w:top w:val="nil"/>
            </w:tcBorders>
            <w:shd w:val="clear" w:color="auto" w:fill="auto"/>
            <w:noWrap/>
            <w:tcMar>
              <w:top w:w="0" w:type="dxa"/>
              <w:left w:w="108" w:type="dxa"/>
              <w:bottom w:w="0" w:type="dxa"/>
              <w:right w:w="108" w:type="dxa"/>
            </w:tcMar>
            <w:hideMark/>
          </w:tcPr>
          <w:p w14:paraId="06217C5F"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415 22</w:t>
            </w:r>
          </w:p>
        </w:tc>
      </w:tr>
      <w:tr w:rsidR="00803069" w:rsidRPr="000D5B62" w14:paraId="5581B401" w14:textId="77777777" w:rsidTr="00313F43">
        <w:tc>
          <w:tcPr>
            <w:tcW w:w="6152" w:type="dxa"/>
            <w:shd w:val="clear" w:color="auto" w:fill="auto"/>
            <w:noWrap/>
            <w:tcMar>
              <w:top w:w="0" w:type="dxa"/>
              <w:left w:w="108" w:type="dxa"/>
              <w:bottom w:w="0" w:type="dxa"/>
              <w:right w:w="108" w:type="dxa"/>
            </w:tcMar>
            <w:hideMark/>
          </w:tcPr>
          <w:p w14:paraId="008B27BE"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مخدرات</w:t>
            </w:r>
          </w:p>
        </w:tc>
        <w:tc>
          <w:tcPr>
            <w:tcW w:w="1218" w:type="dxa"/>
            <w:shd w:val="clear" w:color="auto" w:fill="auto"/>
            <w:noWrap/>
            <w:tcMar>
              <w:top w:w="0" w:type="dxa"/>
              <w:left w:w="108" w:type="dxa"/>
              <w:bottom w:w="0" w:type="dxa"/>
              <w:right w:w="108" w:type="dxa"/>
            </w:tcMar>
            <w:hideMark/>
          </w:tcPr>
          <w:p w14:paraId="7580491C"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804 2</w:t>
            </w:r>
          </w:p>
        </w:tc>
      </w:tr>
      <w:tr w:rsidR="00803069" w:rsidRPr="000D5B62" w14:paraId="3F0A6AAA" w14:textId="77777777" w:rsidTr="00313F43">
        <w:tc>
          <w:tcPr>
            <w:tcW w:w="6152" w:type="dxa"/>
            <w:shd w:val="clear" w:color="auto" w:fill="auto"/>
            <w:noWrap/>
            <w:tcMar>
              <w:top w:w="0" w:type="dxa"/>
              <w:left w:w="108" w:type="dxa"/>
              <w:bottom w:w="0" w:type="dxa"/>
              <w:right w:w="108" w:type="dxa"/>
            </w:tcMar>
            <w:hideMark/>
          </w:tcPr>
          <w:p w14:paraId="6BE360E7"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جنسية</w:t>
            </w:r>
          </w:p>
        </w:tc>
        <w:tc>
          <w:tcPr>
            <w:tcW w:w="1218" w:type="dxa"/>
            <w:shd w:val="clear" w:color="auto" w:fill="auto"/>
            <w:noWrap/>
            <w:tcMar>
              <w:top w:w="0" w:type="dxa"/>
              <w:left w:w="108" w:type="dxa"/>
              <w:bottom w:w="0" w:type="dxa"/>
              <w:right w:w="108" w:type="dxa"/>
            </w:tcMar>
            <w:hideMark/>
          </w:tcPr>
          <w:p w14:paraId="0D097642"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364 21</w:t>
            </w:r>
          </w:p>
        </w:tc>
      </w:tr>
      <w:tr w:rsidR="00803069" w:rsidRPr="000D5B62" w14:paraId="20D309AB" w14:textId="77777777" w:rsidTr="00313F43">
        <w:tc>
          <w:tcPr>
            <w:tcW w:w="6152" w:type="dxa"/>
            <w:tcBorders>
              <w:bottom w:val="single" w:sz="4" w:space="0" w:color="auto"/>
            </w:tcBorders>
            <w:shd w:val="clear" w:color="auto" w:fill="auto"/>
            <w:noWrap/>
            <w:tcMar>
              <w:top w:w="0" w:type="dxa"/>
              <w:left w:w="108" w:type="dxa"/>
              <w:bottom w:w="0" w:type="dxa"/>
              <w:right w:w="108" w:type="dxa"/>
            </w:tcMar>
            <w:hideMark/>
          </w:tcPr>
          <w:p w14:paraId="0DAAC770"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استخدامات أخرى</w:t>
            </w:r>
          </w:p>
        </w:tc>
        <w:tc>
          <w:tcPr>
            <w:tcW w:w="1218" w:type="dxa"/>
            <w:tcBorders>
              <w:bottom w:val="single" w:sz="4" w:space="0" w:color="auto"/>
            </w:tcBorders>
            <w:shd w:val="clear" w:color="auto" w:fill="auto"/>
            <w:noWrap/>
            <w:tcMar>
              <w:top w:w="0" w:type="dxa"/>
              <w:left w:w="108" w:type="dxa"/>
              <w:bottom w:w="0" w:type="dxa"/>
              <w:right w:w="108" w:type="dxa"/>
            </w:tcMar>
            <w:hideMark/>
          </w:tcPr>
          <w:p w14:paraId="6BB1D8B2" w14:textId="77777777" w:rsidR="00803069" w:rsidRPr="000D5B62" w:rsidRDefault="00803069" w:rsidP="00911912">
            <w:pPr>
              <w:spacing w:before="40" w:after="40" w:line="280" w:lineRule="exact"/>
              <w:textDirection w:val="tbRlV"/>
              <w:rPr>
                <w:rFonts w:eastAsiaTheme="minorEastAsia"/>
                <w:sz w:val="22"/>
                <w:rtl/>
                <w:lang w:val="ar-SA" w:eastAsia="zh-TW" w:bidi="en-GB"/>
              </w:rPr>
            </w:pPr>
            <w:r w:rsidRPr="000D5B62">
              <w:rPr>
                <w:rFonts w:eastAsiaTheme="minorEastAsia"/>
                <w:sz w:val="22"/>
                <w:rtl/>
              </w:rPr>
              <w:t>61 34</w:t>
            </w:r>
          </w:p>
        </w:tc>
      </w:tr>
      <w:tr w:rsidR="00803069" w:rsidRPr="000D5B62" w14:paraId="0CDEAA56" w14:textId="77777777" w:rsidTr="00313F43">
        <w:tc>
          <w:tcPr>
            <w:tcW w:w="6152"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B26B944" w14:textId="7B5A9AF0" w:rsidR="00803069" w:rsidRPr="000D5B62" w:rsidRDefault="00803069" w:rsidP="00911912">
            <w:pPr>
              <w:spacing w:before="40" w:after="40" w:line="280" w:lineRule="exact"/>
              <w:ind w:left="219"/>
              <w:textDirection w:val="tbRlV"/>
              <w:rPr>
                <w:rFonts w:eastAsiaTheme="minorEastAsia"/>
                <w:b/>
                <w:sz w:val="22"/>
                <w:rtl/>
                <w:lang w:val="ar-SA" w:eastAsia="zh-TW" w:bidi="en-GB"/>
              </w:rPr>
            </w:pPr>
            <w:r w:rsidRPr="000D5B62">
              <w:rPr>
                <w:rFonts w:eastAsiaTheme="minorEastAsia"/>
                <w:b/>
                <w:bCs/>
                <w:sz w:val="22"/>
                <w:rtl/>
              </w:rPr>
              <w:t>المجموع</w:t>
            </w:r>
          </w:p>
        </w:tc>
        <w:tc>
          <w:tcPr>
            <w:tcW w:w="1218"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779E3EDD" w14:textId="77777777" w:rsidR="00803069" w:rsidRPr="000D5B62" w:rsidRDefault="00803069" w:rsidP="00911912">
            <w:pPr>
              <w:spacing w:before="40" w:after="40" w:line="280" w:lineRule="exact"/>
              <w:textDirection w:val="tbRlV"/>
              <w:rPr>
                <w:rFonts w:eastAsiaTheme="minorEastAsia"/>
                <w:b/>
                <w:sz w:val="22"/>
                <w:rtl/>
                <w:lang w:val="ar-SA" w:eastAsia="zh-TW" w:bidi="en-GB"/>
              </w:rPr>
            </w:pPr>
            <w:r w:rsidRPr="000D5B62">
              <w:rPr>
                <w:rFonts w:eastAsiaTheme="minorEastAsia"/>
                <w:b/>
                <w:bCs/>
                <w:sz w:val="22"/>
                <w:rtl/>
              </w:rPr>
              <w:t>512 117</w:t>
            </w:r>
          </w:p>
        </w:tc>
      </w:tr>
    </w:tbl>
    <w:p w14:paraId="55395712" w14:textId="77777777" w:rsidR="00803069" w:rsidRPr="000D5B62" w:rsidRDefault="00803069" w:rsidP="00911912">
      <w:pPr>
        <w:pStyle w:val="SingleTxtG"/>
        <w:bidi/>
        <w:spacing w:after="0" w:line="20" w:lineRule="exact"/>
        <w:jc w:val="left"/>
        <w:rPr>
          <w:rFonts w:eastAsiaTheme="minorEastAsia"/>
          <w:sz w:val="22"/>
          <w:szCs w:val="22"/>
          <w:rtl/>
        </w:rPr>
      </w:pPr>
    </w:p>
    <w:tbl>
      <w:tblPr>
        <w:bidiVisual/>
        <w:tblW w:w="7370" w:type="dxa"/>
        <w:tblInd w:w="1134" w:type="dxa"/>
        <w:tblLayout w:type="fixed"/>
        <w:tblCellMar>
          <w:left w:w="0" w:type="dxa"/>
          <w:right w:w="0" w:type="dxa"/>
        </w:tblCellMar>
        <w:tblLook w:val="04A0" w:firstRow="1" w:lastRow="0" w:firstColumn="1" w:lastColumn="0" w:noHBand="0" w:noVBand="1"/>
      </w:tblPr>
      <w:tblGrid>
        <w:gridCol w:w="3429"/>
        <w:gridCol w:w="2421"/>
        <w:gridCol w:w="1520"/>
      </w:tblGrid>
      <w:tr w:rsidR="00803069" w:rsidRPr="000D5B62" w14:paraId="6595F3BF" w14:textId="77777777" w:rsidTr="00803069">
        <w:trPr>
          <w:tblHeader/>
        </w:trPr>
        <w:tc>
          <w:tcPr>
            <w:tcW w:w="8201" w:type="dxa"/>
            <w:gridSpan w:val="3"/>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13CE1F5D" w14:textId="77777777" w:rsidR="00803069" w:rsidRPr="000D5B62" w:rsidRDefault="00803069" w:rsidP="00313F43">
            <w:pPr>
              <w:spacing w:before="40" w:after="40" w:line="300" w:lineRule="exact"/>
              <w:textDirection w:val="tbRlV"/>
              <w:rPr>
                <w:rFonts w:eastAsiaTheme="minorEastAsia"/>
                <w:bCs/>
                <w:i/>
                <w:sz w:val="22"/>
                <w:rtl/>
                <w:lang w:val="ar-SA" w:eastAsia="zh-TW" w:bidi="en-GB"/>
              </w:rPr>
            </w:pPr>
            <w:r w:rsidRPr="000D5B62">
              <w:rPr>
                <w:rFonts w:eastAsiaTheme="minorEastAsia"/>
                <w:i/>
                <w:iCs/>
                <w:sz w:val="22"/>
                <w:rtl/>
              </w:rPr>
              <w:t>عدد المجرمين حسب فئة العقوبة</w:t>
            </w:r>
          </w:p>
        </w:tc>
      </w:tr>
      <w:tr w:rsidR="00803069" w:rsidRPr="000D5B62" w14:paraId="3A51AED1" w14:textId="77777777" w:rsidTr="00803069">
        <w:tc>
          <w:tcPr>
            <w:tcW w:w="3827"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44B4D2BC" w14:textId="77777777" w:rsidR="00803069" w:rsidRPr="000D5B62" w:rsidRDefault="00803069" w:rsidP="00313F43">
            <w:pPr>
              <w:spacing w:before="40" w:after="40" w:line="300" w:lineRule="exact"/>
              <w:textDirection w:val="tbRlV"/>
              <w:rPr>
                <w:rFonts w:eastAsiaTheme="minorEastAsia"/>
                <w:bCs/>
                <w:i/>
                <w:sz w:val="22"/>
                <w:rtl/>
                <w:lang w:val="ar-SA" w:eastAsia="zh-TW" w:bidi="en-GB"/>
              </w:rPr>
            </w:pPr>
            <w:r w:rsidRPr="000D5B62">
              <w:rPr>
                <w:rFonts w:eastAsiaTheme="minorEastAsia"/>
                <w:i/>
                <w:iCs/>
                <w:sz w:val="22"/>
                <w:rtl/>
              </w:rPr>
              <w:t>فئة العقوبة</w:t>
            </w:r>
          </w:p>
        </w:tc>
        <w:tc>
          <w:tcPr>
            <w:tcW w:w="2694"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680542CC" w14:textId="77777777" w:rsidR="00803069" w:rsidRPr="000D5B62" w:rsidRDefault="00803069" w:rsidP="00313F43">
            <w:pPr>
              <w:spacing w:before="40" w:after="40" w:line="300" w:lineRule="exact"/>
              <w:textDirection w:val="tbRlV"/>
              <w:rPr>
                <w:rFonts w:eastAsiaTheme="minorEastAsia"/>
                <w:bCs/>
                <w:i/>
                <w:sz w:val="22"/>
                <w:rtl/>
                <w:lang w:val="ar-SA" w:eastAsia="zh-TW" w:bidi="en-GB"/>
              </w:rPr>
            </w:pPr>
            <w:r w:rsidRPr="000D5B62">
              <w:rPr>
                <w:rFonts w:eastAsiaTheme="minorEastAsia"/>
                <w:i/>
                <w:iCs/>
                <w:sz w:val="22"/>
                <w:rtl/>
              </w:rPr>
              <w:t>المجاميع 2016</w:t>
            </w:r>
          </w:p>
        </w:tc>
        <w:tc>
          <w:tcPr>
            <w:tcW w:w="1680"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2CE07768" w14:textId="77777777" w:rsidR="00803069" w:rsidRPr="000D5B62" w:rsidRDefault="00803069" w:rsidP="00313F43">
            <w:pPr>
              <w:spacing w:before="40" w:after="40" w:line="300" w:lineRule="exact"/>
              <w:textDirection w:val="tbRlV"/>
              <w:rPr>
                <w:rFonts w:eastAsiaTheme="minorEastAsia"/>
                <w:bCs/>
                <w:i/>
                <w:sz w:val="22"/>
                <w:rtl/>
                <w:lang w:val="ar-SA" w:eastAsia="zh-TW" w:bidi="en-GB"/>
              </w:rPr>
            </w:pPr>
            <w:r w:rsidRPr="000D5B62">
              <w:rPr>
                <w:rFonts w:eastAsiaTheme="minorEastAsia"/>
                <w:i/>
                <w:iCs/>
                <w:sz w:val="22"/>
                <w:rtl/>
              </w:rPr>
              <w:t>المجاميع 2017</w:t>
            </w:r>
          </w:p>
        </w:tc>
      </w:tr>
      <w:tr w:rsidR="00803069" w:rsidRPr="000D5B62" w14:paraId="1735B02C" w14:textId="77777777" w:rsidTr="00803069">
        <w:tc>
          <w:tcPr>
            <w:tcW w:w="3827" w:type="dxa"/>
            <w:tcBorders>
              <w:top w:val="single" w:sz="12" w:space="0" w:color="auto"/>
            </w:tcBorders>
            <w:shd w:val="clear" w:color="auto" w:fill="auto"/>
            <w:noWrap/>
            <w:tcMar>
              <w:top w:w="0" w:type="dxa"/>
              <w:left w:w="108" w:type="dxa"/>
              <w:bottom w:w="0" w:type="dxa"/>
              <w:right w:w="108" w:type="dxa"/>
            </w:tcMar>
            <w:hideMark/>
          </w:tcPr>
          <w:p w14:paraId="6AAC6030"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صفر - 6 أشهر</w:t>
            </w:r>
          </w:p>
        </w:tc>
        <w:tc>
          <w:tcPr>
            <w:tcW w:w="2694" w:type="dxa"/>
            <w:tcBorders>
              <w:top w:val="single" w:sz="12" w:space="0" w:color="auto"/>
            </w:tcBorders>
            <w:shd w:val="clear" w:color="auto" w:fill="auto"/>
            <w:noWrap/>
            <w:tcMar>
              <w:top w:w="0" w:type="dxa"/>
              <w:left w:w="108" w:type="dxa"/>
              <w:bottom w:w="0" w:type="dxa"/>
              <w:right w:w="108" w:type="dxa"/>
            </w:tcMar>
            <w:hideMark/>
          </w:tcPr>
          <w:p w14:paraId="71F31097"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594 4</w:t>
            </w:r>
          </w:p>
        </w:tc>
        <w:tc>
          <w:tcPr>
            <w:tcW w:w="1680" w:type="dxa"/>
            <w:tcBorders>
              <w:top w:val="single" w:sz="12" w:space="0" w:color="auto"/>
            </w:tcBorders>
            <w:shd w:val="clear" w:color="auto" w:fill="auto"/>
            <w:noWrap/>
            <w:tcMar>
              <w:top w:w="0" w:type="dxa"/>
              <w:left w:w="108" w:type="dxa"/>
              <w:bottom w:w="0" w:type="dxa"/>
              <w:right w:w="108" w:type="dxa"/>
            </w:tcMar>
            <w:hideMark/>
          </w:tcPr>
          <w:p w14:paraId="14D05410"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278 4</w:t>
            </w:r>
          </w:p>
        </w:tc>
      </w:tr>
      <w:tr w:rsidR="00803069" w:rsidRPr="000D5B62" w14:paraId="69F6962D" w14:textId="77777777" w:rsidTr="00803069">
        <w:tc>
          <w:tcPr>
            <w:tcW w:w="3827" w:type="dxa"/>
            <w:shd w:val="clear" w:color="auto" w:fill="auto"/>
            <w:noWrap/>
            <w:tcMar>
              <w:top w:w="0" w:type="dxa"/>
              <w:left w:w="108" w:type="dxa"/>
              <w:bottom w:w="0" w:type="dxa"/>
              <w:right w:w="108" w:type="dxa"/>
            </w:tcMar>
            <w:hideMark/>
          </w:tcPr>
          <w:p w14:paraId="01B450F8" w14:textId="57845A81"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 6 أشهر - 12 شهرا</w:t>
            </w:r>
            <w:r w:rsidR="0000563E" w:rsidRPr="000D5B62">
              <w:rPr>
                <w:rFonts w:eastAsiaTheme="minorEastAsia" w:hint="cs"/>
                <w:sz w:val="22"/>
                <w:rtl/>
              </w:rPr>
              <w:t>ً</w:t>
            </w:r>
          </w:p>
        </w:tc>
        <w:tc>
          <w:tcPr>
            <w:tcW w:w="2694" w:type="dxa"/>
            <w:shd w:val="clear" w:color="auto" w:fill="auto"/>
            <w:noWrap/>
            <w:tcMar>
              <w:top w:w="0" w:type="dxa"/>
              <w:left w:w="108" w:type="dxa"/>
              <w:bottom w:w="0" w:type="dxa"/>
              <w:right w:w="108" w:type="dxa"/>
            </w:tcMar>
            <w:hideMark/>
          </w:tcPr>
          <w:p w14:paraId="7D92EA6B"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041 3</w:t>
            </w:r>
          </w:p>
        </w:tc>
        <w:tc>
          <w:tcPr>
            <w:tcW w:w="1680" w:type="dxa"/>
            <w:shd w:val="clear" w:color="auto" w:fill="auto"/>
            <w:noWrap/>
            <w:tcMar>
              <w:top w:w="0" w:type="dxa"/>
              <w:left w:w="108" w:type="dxa"/>
              <w:bottom w:w="0" w:type="dxa"/>
              <w:right w:w="108" w:type="dxa"/>
            </w:tcMar>
            <w:hideMark/>
          </w:tcPr>
          <w:p w14:paraId="08381126"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871 2</w:t>
            </w:r>
          </w:p>
        </w:tc>
      </w:tr>
      <w:tr w:rsidR="00803069" w:rsidRPr="000D5B62" w14:paraId="5D2872AA" w14:textId="77777777" w:rsidTr="00803069">
        <w:tc>
          <w:tcPr>
            <w:tcW w:w="3827" w:type="dxa"/>
            <w:shd w:val="clear" w:color="auto" w:fill="auto"/>
            <w:noWrap/>
            <w:tcMar>
              <w:top w:w="0" w:type="dxa"/>
              <w:left w:w="108" w:type="dxa"/>
              <w:bottom w:w="0" w:type="dxa"/>
              <w:right w:w="108" w:type="dxa"/>
            </w:tcMar>
            <w:hideMark/>
          </w:tcPr>
          <w:p w14:paraId="33EC1F1B" w14:textId="143F27C1" w:rsidR="00803069" w:rsidRPr="000D5B62" w:rsidRDefault="00803069" w:rsidP="00313F43">
            <w:pPr>
              <w:spacing w:before="40" w:after="40" w:line="300" w:lineRule="exact"/>
              <w:textDirection w:val="tbRlV"/>
              <w:rPr>
                <w:rFonts w:eastAsiaTheme="minorEastAsia"/>
                <w:sz w:val="22"/>
                <w:lang w:eastAsia="zh-TW" w:bidi="en-GB"/>
              </w:rPr>
            </w:pPr>
            <w:r w:rsidRPr="000D5B62">
              <w:rPr>
                <w:rFonts w:eastAsiaTheme="minorEastAsia"/>
                <w:sz w:val="22"/>
                <w:rtl/>
              </w:rPr>
              <w:t>&gt; 12-&lt;24 شهرا</w:t>
            </w:r>
            <w:r w:rsidR="0000563E" w:rsidRPr="000D5B62">
              <w:rPr>
                <w:rFonts w:eastAsiaTheme="minorEastAsia"/>
                <w:sz w:val="22"/>
                <w:lang w:eastAsia="zh-TW" w:bidi="en-GB"/>
              </w:rPr>
              <w:t>W</w:t>
            </w:r>
          </w:p>
        </w:tc>
        <w:tc>
          <w:tcPr>
            <w:tcW w:w="2694" w:type="dxa"/>
            <w:shd w:val="clear" w:color="auto" w:fill="auto"/>
            <w:noWrap/>
            <w:tcMar>
              <w:top w:w="0" w:type="dxa"/>
              <w:left w:w="108" w:type="dxa"/>
              <w:bottom w:w="0" w:type="dxa"/>
              <w:right w:w="108" w:type="dxa"/>
            </w:tcMar>
            <w:hideMark/>
          </w:tcPr>
          <w:p w14:paraId="047211B9"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775 2</w:t>
            </w:r>
          </w:p>
        </w:tc>
        <w:tc>
          <w:tcPr>
            <w:tcW w:w="1680" w:type="dxa"/>
            <w:shd w:val="clear" w:color="auto" w:fill="auto"/>
            <w:noWrap/>
            <w:tcMar>
              <w:top w:w="0" w:type="dxa"/>
              <w:left w:w="108" w:type="dxa"/>
              <w:bottom w:w="0" w:type="dxa"/>
              <w:right w:w="108" w:type="dxa"/>
            </w:tcMar>
            <w:hideMark/>
          </w:tcPr>
          <w:p w14:paraId="271EA18D"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650 2</w:t>
            </w:r>
          </w:p>
        </w:tc>
      </w:tr>
      <w:tr w:rsidR="00803069" w:rsidRPr="000D5B62" w14:paraId="23731111" w14:textId="77777777" w:rsidTr="00803069">
        <w:tc>
          <w:tcPr>
            <w:tcW w:w="3827" w:type="dxa"/>
            <w:shd w:val="clear" w:color="auto" w:fill="auto"/>
            <w:noWrap/>
            <w:tcMar>
              <w:top w:w="0" w:type="dxa"/>
              <w:left w:w="108" w:type="dxa"/>
              <w:bottom w:w="0" w:type="dxa"/>
              <w:right w:w="108" w:type="dxa"/>
            </w:tcMar>
            <w:hideMark/>
          </w:tcPr>
          <w:p w14:paraId="73C3D8CB"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سنتان</w:t>
            </w:r>
          </w:p>
        </w:tc>
        <w:tc>
          <w:tcPr>
            <w:tcW w:w="2694" w:type="dxa"/>
            <w:shd w:val="clear" w:color="auto" w:fill="auto"/>
            <w:noWrap/>
            <w:tcMar>
              <w:top w:w="0" w:type="dxa"/>
              <w:left w:w="108" w:type="dxa"/>
              <w:bottom w:w="0" w:type="dxa"/>
              <w:right w:w="108" w:type="dxa"/>
            </w:tcMar>
            <w:hideMark/>
          </w:tcPr>
          <w:p w14:paraId="3B60D94F"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مدرجة في الفئة أكثر من سنتين - 3 سنوات</w:t>
            </w:r>
          </w:p>
        </w:tc>
        <w:tc>
          <w:tcPr>
            <w:tcW w:w="1680" w:type="dxa"/>
            <w:shd w:val="clear" w:color="auto" w:fill="auto"/>
            <w:noWrap/>
            <w:tcMar>
              <w:top w:w="0" w:type="dxa"/>
              <w:left w:w="108" w:type="dxa"/>
              <w:bottom w:w="0" w:type="dxa"/>
              <w:right w:w="108" w:type="dxa"/>
            </w:tcMar>
            <w:hideMark/>
          </w:tcPr>
          <w:p w14:paraId="0D7D8564"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771 1</w:t>
            </w:r>
          </w:p>
        </w:tc>
      </w:tr>
      <w:tr w:rsidR="00803069" w:rsidRPr="000D5B62" w14:paraId="45A167F3" w14:textId="77777777" w:rsidTr="00803069">
        <w:tc>
          <w:tcPr>
            <w:tcW w:w="3827" w:type="dxa"/>
            <w:shd w:val="clear" w:color="auto" w:fill="auto"/>
            <w:noWrap/>
            <w:tcMar>
              <w:top w:w="0" w:type="dxa"/>
              <w:left w:w="108" w:type="dxa"/>
              <w:bottom w:w="0" w:type="dxa"/>
              <w:right w:w="108" w:type="dxa"/>
            </w:tcMar>
            <w:hideMark/>
          </w:tcPr>
          <w:p w14:paraId="10627473"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أكثر من سنتين - 3 سنوات</w:t>
            </w:r>
          </w:p>
        </w:tc>
        <w:tc>
          <w:tcPr>
            <w:tcW w:w="2694" w:type="dxa"/>
            <w:shd w:val="clear" w:color="auto" w:fill="auto"/>
            <w:noWrap/>
            <w:tcMar>
              <w:top w:w="0" w:type="dxa"/>
              <w:left w:w="108" w:type="dxa"/>
              <w:bottom w:w="0" w:type="dxa"/>
              <w:right w:w="108" w:type="dxa"/>
            </w:tcMar>
            <w:hideMark/>
          </w:tcPr>
          <w:p w14:paraId="2C1A06E4"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584 8</w:t>
            </w:r>
          </w:p>
        </w:tc>
        <w:tc>
          <w:tcPr>
            <w:tcW w:w="1680" w:type="dxa"/>
            <w:shd w:val="clear" w:color="auto" w:fill="auto"/>
            <w:noWrap/>
            <w:tcMar>
              <w:top w:w="0" w:type="dxa"/>
              <w:left w:w="108" w:type="dxa"/>
              <w:bottom w:w="0" w:type="dxa"/>
              <w:right w:w="108" w:type="dxa"/>
            </w:tcMar>
            <w:hideMark/>
          </w:tcPr>
          <w:p w14:paraId="7D872B9F"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655 7</w:t>
            </w:r>
          </w:p>
        </w:tc>
      </w:tr>
      <w:tr w:rsidR="00803069" w:rsidRPr="000D5B62" w14:paraId="2268E02F" w14:textId="77777777" w:rsidTr="00803069">
        <w:tc>
          <w:tcPr>
            <w:tcW w:w="3827" w:type="dxa"/>
            <w:shd w:val="clear" w:color="auto" w:fill="auto"/>
            <w:noWrap/>
            <w:tcMar>
              <w:top w:w="0" w:type="dxa"/>
              <w:left w:w="108" w:type="dxa"/>
              <w:bottom w:w="0" w:type="dxa"/>
              <w:right w:w="108" w:type="dxa"/>
            </w:tcMar>
            <w:hideMark/>
          </w:tcPr>
          <w:p w14:paraId="5C1DB269" w14:textId="29903FEA"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&gt;3-5 سنوات</w:t>
            </w:r>
          </w:p>
        </w:tc>
        <w:tc>
          <w:tcPr>
            <w:tcW w:w="2694" w:type="dxa"/>
            <w:shd w:val="clear" w:color="auto" w:fill="auto"/>
            <w:noWrap/>
            <w:tcMar>
              <w:top w:w="0" w:type="dxa"/>
              <w:left w:w="108" w:type="dxa"/>
              <w:bottom w:w="0" w:type="dxa"/>
              <w:right w:w="108" w:type="dxa"/>
            </w:tcMar>
            <w:hideMark/>
          </w:tcPr>
          <w:p w14:paraId="7A525DE0"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030 12</w:t>
            </w:r>
          </w:p>
        </w:tc>
        <w:tc>
          <w:tcPr>
            <w:tcW w:w="1680" w:type="dxa"/>
            <w:shd w:val="clear" w:color="auto" w:fill="auto"/>
            <w:noWrap/>
            <w:tcMar>
              <w:top w:w="0" w:type="dxa"/>
              <w:left w:w="108" w:type="dxa"/>
              <w:bottom w:w="0" w:type="dxa"/>
              <w:right w:w="108" w:type="dxa"/>
            </w:tcMar>
            <w:hideMark/>
          </w:tcPr>
          <w:p w14:paraId="44E8649E"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288 11</w:t>
            </w:r>
          </w:p>
        </w:tc>
      </w:tr>
      <w:tr w:rsidR="00803069" w:rsidRPr="000D5B62" w14:paraId="5BBC5D00" w14:textId="77777777" w:rsidTr="00803069">
        <w:tc>
          <w:tcPr>
            <w:tcW w:w="3827" w:type="dxa"/>
            <w:shd w:val="clear" w:color="auto" w:fill="auto"/>
            <w:noWrap/>
            <w:tcMar>
              <w:top w:w="0" w:type="dxa"/>
              <w:left w:w="108" w:type="dxa"/>
              <w:bottom w:w="0" w:type="dxa"/>
              <w:right w:w="108" w:type="dxa"/>
            </w:tcMar>
            <w:hideMark/>
          </w:tcPr>
          <w:p w14:paraId="2C6D3C4C" w14:textId="65FFB18C"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&gt;5-7 سنوات</w:t>
            </w:r>
          </w:p>
        </w:tc>
        <w:tc>
          <w:tcPr>
            <w:tcW w:w="2694" w:type="dxa"/>
            <w:shd w:val="clear" w:color="auto" w:fill="auto"/>
            <w:noWrap/>
            <w:tcMar>
              <w:top w:w="0" w:type="dxa"/>
              <w:left w:w="108" w:type="dxa"/>
              <w:bottom w:w="0" w:type="dxa"/>
              <w:right w:w="108" w:type="dxa"/>
            </w:tcMar>
            <w:hideMark/>
          </w:tcPr>
          <w:p w14:paraId="75AF058D"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636 8</w:t>
            </w:r>
          </w:p>
        </w:tc>
        <w:tc>
          <w:tcPr>
            <w:tcW w:w="1680" w:type="dxa"/>
            <w:shd w:val="clear" w:color="auto" w:fill="auto"/>
            <w:noWrap/>
            <w:tcMar>
              <w:top w:w="0" w:type="dxa"/>
              <w:left w:w="108" w:type="dxa"/>
              <w:bottom w:w="0" w:type="dxa"/>
              <w:right w:w="108" w:type="dxa"/>
            </w:tcMar>
            <w:hideMark/>
          </w:tcPr>
          <w:p w14:paraId="5674D92C"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146 8</w:t>
            </w:r>
          </w:p>
        </w:tc>
      </w:tr>
      <w:tr w:rsidR="00803069" w:rsidRPr="000D5B62" w14:paraId="7B620B2E" w14:textId="77777777" w:rsidTr="00803069">
        <w:tc>
          <w:tcPr>
            <w:tcW w:w="3827" w:type="dxa"/>
            <w:shd w:val="clear" w:color="auto" w:fill="auto"/>
            <w:noWrap/>
            <w:tcMar>
              <w:top w:w="0" w:type="dxa"/>
              <w:left w:w="108" w:type="dxa"/>
              <w:bottom w:w="0" w:type="dxa"/>
              <w:right w:w="108" w:type="dxa"/>
            </w:tcMar>
            <w:hideMark/>
          </w:tcPr>
          <w:p w14:paraId="6448B80B" w14:textId="7E9065DC"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&gt;7-10 سنوات</w:t>
            </w:r>
          </w:p>
        </w:tc>
        <w:tc>
          <w:tcPr>
            <w:tcW w:w="2694" w:type="dxa"/>
            <w:shd w:val="clear" w:color="auto" w:fill="auto"/>
            <w:noWrap/>
            <w:tcMar>
              <w:top w:w="0" w:type="dxa"/>
              <w:left w:w="108" w:type="dxa"/>
              <w:bottom w:w="0" w:type="dxa"/>
              <w:right w:w="108" w:type="dxa"/>
            </w:tcMar>
            <w:hideMark/>
          </w:tcPr>
          <w:p w14:paraId="54C95F2D"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849 16</w:t>
            </w:r>
          </w:p>
        </w:tc>
        <w:tc>
          <w:tcPr>
            <w:tcW w:w="1680" w:type="dxa"/>
            <w:shd w:val="clear" w:color="auto" w:fill="auto"/>
            <w:noWrap/>
            <w:tcMar>
              <w:top w:w="0" w:type="dxa"/>
              <w:left w:w="108" w:type="dxa"/>
              <w:bottom w:w="0" w:type="dxa"/>
              <w:right w:w="108" w:type="dxa"/>
            </w:tcMar>
            <w:hideMark/>
          </w:tcPr>
          <w:p w14:paraId="4C5531BD"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585 16</w:t>
            </w:r>
          </w:p>
        </w:tc>
      </w:tr>
      <w:tr w:rsidR="00803069" w:rsidRPr="000D5B62" w14:paraId="2F89BEEF" w14:textId="77777777" w:rsidTr="00803069">
        <w:tc>
          <w:tcPr>
            <w:tcW w:w="3827" w:type="dxa"/>
            <w:shd w:val="clear" w:color="auto" w:fill="auto"/>
            <w:noWrap/>
            <w:tcMar>
              <w:top w:w="0" w:type="dxa"/>
              <w:left w:w="108" w:type="dxa"/>
              <w:bottom w:w="0" w:type="dxa"/>
              <w:right w:w="108" w:type="dxa"/>
            </w:tcMar>
            <w:hideMark/>
          </w:tcPr>
          <w:p w14:paraId="7B53D6A6" w14:textId="04A0AF33"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&gt;10 سنوات - 15 سنة</w:t>
            </w:r>
          </w:p>
        </w:tc>
        <w:tc>
          <w:tcPr>
            <w:tcW w:w="2694" w:type="dxa"/>
            <w:shd w:val="clear" w:color="auto" w:fill="auto"/>
            <w:noWrap/>
            <w:tcMar>
              <w:top w:w="0" w:type="dxa"/>
              <w:left w:w="108" w:type="dxa"/>
              <w:bottom w:w="0" w:type="dxa"/>
              <w:right w:w="108" w:type="dxa"/>
            </w:tcMar>
            <w:hideMark/>
          </w:tcPr>
          <w:p w14:paraId="5A5E90B8"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966 22</w:t>
            </w:r>
          </w:p>
        </w:tc>
        <w:tc>
          <w:tcPr>
            <w:tcW w:w="1680" w:type="dxa"/>
            <w:shd w:val="clear" w:color="auto" w:fill="auto"/>
            <w:noWrap/>
            <w:tcMar>
              <w:top w:w="0" w:type="dxa"/>
              <w:left w:w="108" w:type="dxa"/>
              <w:bottom w:w="0" w:type="dxa"/>
              <w:right w:w="108" w:type="dxa"/>
            </w:tcMar>
            <w:hideMark/>
          </w:tcPr>
          <w:p w14:paraId="78E2CAC4"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973 21</w:t>
            </w:r>
          </w:p>
        </w:tc>
      </w:tr>
      <w:tr w:rsidR="00803069" w:rsidRPr="000D5B62" w14:paraId="2978E9E9" w14:textId="77777777" w:rsidTr="00803069">
        <w:tc>
          <w:tcPr>
            <w:tcW w:w="3827" w:type="dxa"/>
            <w:shd w:val="clear" w:color="auto" w:fill="auto"/>
            <w:noWrap/>
            <w:tcMar>
              <w:top w:w="0" w:type="dxa"/>
              <w:left w:w="108" w:type="dxa"/>
              <w:bottom w:w="0" w:type="dxa"/>
              <w:right w:w="108" w:type="dxa"/>
            </w:tcMar>
            <w:hideMark/>
          </w:tcPr>
          <w:p w14:paraId="526EA8DF" w14:textId="61F6E9A6"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&gt;15-20 سنة</w:t>
            </w:r>
          </w:p>
        </w:tc>
        <w:tc>
          <w:tcPr>
            <w:tcW w:w="2694" w:type="dxa"/>
            <w:shd w:val="clear" w:color="auto" w:fill="auto"/>
            <w:noWrap/>
            <w:tcMar>
              <w:top w:w="0" w:type="dxa"/>
              <w:left w:w="108" w:type="dxa"/>
              <w:bottom w:w="0" w:type="dxa"/>
              <w:right w:w="108" w:type="dxa"/>
            </w:tcMar>
            <w:hideMark/>
          </w:tcPr>
          <w:p w14:paraId="7A5148E0"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584 13</w:t>
            </w:r>
          </w:p>
        </w:tc>
        <w:tc>
          <w:tcPr>
            <w:tcW w:w="1680" w:type="dxa"/>
            <w:shd w:val="clear" w:color="auto" w:fill="auto"/>
            <w:noWrap/>
            <w:tcMar>
              <w:top w:w="0" w:type="dxa"/>
              <w:left w:w="108" w:type="dxa"/>
              <w:bottom w:w="0" w:type="dxa"/>
              <w:right w:w="108" w:type="dxa"/>
            </w:tcMar>
            <w:hideMark/>
          </w:tcPr>
          <w:p w14:paraId="1B65BFB9"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120 13</w:t>
            </w:r>
          </w:p>
        </w:tc>
      </w:tr>
      <w:tr w:rsidR="00803069" w:rsidRPr="000D5B62" w14:paraId="5CCBB8B7" w14:textId="77777777" w:rsidTr="00803069">
        <w:tc>
          <w:tcPr>
            <w:tcW w:w="3827" w:type="dxa"/>
            <w:shd w:val="clear" w:color="auto" w:fill="auto"/>
            <w:noWrap/>
            <w:tcMar>
              <w:top w:w="0" w:type="dxa"/>
              <w:left w:w="108" w:type="dxa"/>
              <w:bottom w:w="0" w:type="dxa"/>
              <w:right w:w="108" w:type="dxa"/>
            </w:tcMar>
            <w:hideMark/>
          </w:tcPr>
          <w:p w14:paraId="1EB250FC" w14:textId="586E66B6"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&gt;20 سنة</w:t>
            </w:r>
          </w:p>
        </w:tc>
        <w:tc>
          <w:tcPr>
            <w:tcW w:w="2694" w:type="dxa"/>
            <w:shd w:val="clear" w:color="auto" w:fill="auto"/>
            <w:noWrap/>
            <w:tcMar>
              <w:top w:w="0" w:type="dxa"/>
              <w:left w:w="108" w:type="dxa"/>
              <w:bottom w:w="0" w:type="dxa"/>
              <w:right w:w="108" w:type="dxa"/>
            </w:tcMar>
            <w:hideMark/>
          </w:tcPr>
          <w:p w14:paraId="39D99602"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689 10</w:t>
            </w:r>
          </w:p>
        </w:tc>
        <w:tc>
          <w:tcPr>
            <w:tcW w:w="1680" w:type="dxa"/>
            <w:shd w:val="clear" w:color="auto" w:fill="auto"/>
            <w:noWrap/>
            <w:tcMar>
              <w:top w:w="0" w:type="dxa"/>
              <w:left w:w="108" w:type="dxa"/>
              <w:bottom w:w="0" w:type="dxa"/>
              <w:right w:w="108" w:type="dxa"/>
            </w:tcMar>
            <w:hideMark/>
          </w:tcPr>
          <w:p w14:paraId="6B5CA8FC"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433 11</w:t>
            </w:r>
          </w:p>
        </w:tc>
      </w:tr>
      <w:tr w:rsidR="00803069" w:rsidRPr="000D5B62" w14:paraId="296686EE" w14:textId="77777777" w:rsidTr="00803069">
        <w:tc>
          <w:tcPr>
            <w:tcW w:w="3827" w:type="dxa"/>
            <w:shd w:val="clear" w:color="auto" w:fill="auto"/>
            <w:noWrap/>
            <w:tcMar>
              <w:top w:w="0" w:type="dxa"/>
              <w:left w:w="108" w:type="dxa"/>
              <w:bottom w:w="0" w:type="dxa"/>
              <w:right w:w="108" w:type="dxa"/>
            </w:tcMar>
            <w:hideMark/>
          </w:tcPr>
          <w:p w14:paraId="0E7A3759"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عقوبة معتادي الإجرام</w:t>
            </w:r>
          </w:p>
        </w:tc>
        <w:tc>
          <w:tcPr>
            <w:tcW w:w="2694" w:type="dxa"/>
            <w:shd w:val="clear" w:color="auto" w:fill="auto"/>
            <w:noWrap/>
            <w:tcMar>
              <w:top w:w="0" w:type="dxa"/>
              <w:left w:w="108" w:type="dxa"/>
              <w:bottom w:w="0" w:type="dxa"/>
              <w:right w:w="108" w:type="dxa"/>
            </w:tcMar>
            <w:hideMark/>
          </w:tcPr>
          <w:p w14:paraId="01AA1645" w14:textId="1E67330E"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مدرجة في الفئة &gt;10 سنوات - 15 سنة</w:t>
            </w:r>
          </w:p>
        </w:tc>
        <w:tc>
          <w:tcPr>
            <w:tcW w:w="1680" w:type="dxa"/>
            <w:shd w:val="clear" w:color="auto" w:fill="auto"/>
            <w:noWrap/>
            <w:tcMar>
              <w:top w:w="0" w:type="dxa"/>
              <w:left w:w="108" w:type="dxa"/>
              <w:bottom w:w="0" w:type="dxa"/>
              <w:right w:w="108" w:type="dxa"/>
            </w:tcMar>
            <w:hideMark/>
          </w:tcPr>
          <w:p w14:paraId="75250CBC"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181</w:t>
            </w:r>
          </w:p>
        </w:tc>
      </w:tr>
      <w:tr w:rsidR="00803069" w:rsidRPr="000D5B62" w14:paraId="6EABD3AC" w14:textId="77777777" w:rsidTr="00803069">
        <w:tc>
          <w:tcPr>
            <w:tcW w:w="3827" w:type="dxa"/>
            <w:shd w:val="clear" w:color="auto" w:fill="auto"/>
            <w:noWrap/>
            <w:tcMar>
              <w:top w:w="0" w:type="dxa"/>
              <w:left w:w="108" w:type="dxa"/>
              <w:bottom w:w="0" w:type="dxa"/>
              <w:right w:w="108" w:type="dxa"/>
            </w:tcMar>
            <w:hideMark/>
          </w:tcPr>
          <w:p w14:paraId="5D53166D"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السجن المؤبد</w:t>
            </w:r>
          </w:p>
        </w:tc>
        <w:tc>
          <w:tcPr>
            <w:tcW w:w="2694" w:type="dxa"/>
            <w:shd w:val="clear" w:color="auto" w:fill="auto"/>
            <w:noWrap/>
            <w:tcMar>
              <w:top w:w="0" w:type="dxa"/>
              <w:left w:w="108" w:type="dxa"/>
              <w:bottom w:w="0" w:type="dxa"/>
              <w:right w:w="108" w:type="dxa"/>
            </w:tcMar>
            <w:hideMark/>
          </w:tcPr>
          <w:p w14:paraId="579035C1"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820 13</w:t>
            </w:r>
          </w:p>
        </w:tc>
        <w:tc>
          <w:tcPr>
            <w:tcW w:w="1680" w:type="dxa"/>
            <w:shd w:val="clear" w:color="auto" w:fill="auto"/>
            <w:noWrap/>
            <w:tcMar>
              <w:top w:w="0" w:type="dxa"/>
              <w:left w:w="108" w:type="dxa"/>
              <w:bottom w:w="0" w:type="dxa"/>
              <w:right w:w="108" w:type="dxa"/>
            </w:tcMar>
            <w:hideMark/>
          </w:tcPr>
          <w:p w14:paraId="526B0501"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539 15</w:t>
            </w:r>
          </w:p>
        </w:tc>
      </w:tr>
      <w:tr w:rsidR="00803069" w:rsidRPr="000D5B62" w14:paraId="05483339" w14:textId="77777777" w:rsidTr="00803069">
        <w:tc>
          <w:tcPr>
            <w:tcW w:w="3827" w:type="dxa"/>
            <w:tcBorders>
              <w:bottom w:val="single" w:sz="4" w:space="0" w:color="auto"/>
            </w:tcBorders>
            <w:shd w:val="clear" w:color="auto" w:fill="auto"/>
            <w:noWrap/>
            <w:tcMar>
              <w:top w:w="0" w:type="dxa"/>
              <w:left w:w="108" w:type="dxa"/>
              <w:bottom w:w="0" w:type="dxa"/>
              <w:right w:w="108" w:type="dxa"/>
            </w:tcMar>
            <w:hideMark/>
          </w:tcPr>
          <w:p w14:paraId="50E4654B"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العقوبة الصادرة عن المحكمة ضد من تعتبرهم مجرمين خطرين</w:t>
            </w:r>
          </w:p>
        </w:tc>
        <w:tc>
          <w:tcPr>
            <w:tcW w:w="2694" w:type="dxa"/>
            <w:tcBorders>
              <w:bottom w:val="single" w:sz="4" w:space="0" w:color="auto"/>
            </w:tcBorders>
            <w:shd w:val="clear" w:color="auto" w:fill="auto"/>
            <w:noWrap/>
            <w:tcMar>
              <w:top w:w="0" w:type="dxa"/>
              <w:left w:w="108" w:type="dxa"/>
              <w:bottom w:w="0" w:type="dxa"/>
              <w:right w:w="108" w:type="dxa"/>
            </w:tcMar>
            <w:hideMark/>
          </w:tcPr>
          <w:p w14:paraId="650ED92B" w14:textId="781E58E1"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مدرجة في الفئة &gt;10 سنوات - 15 سنة</w:t>
            </w:r>
          </w:p>
        </w:tc>
        <w:tc>
          <w:tcPr>
            <w:tcW w:w="1680" w:type="dxa"/>
            <w:tcBorders>
              <w:bottom w:val="single" w:sz="4" w:space="0" w:color="auto"/>
            </w:tcBorders>
            <w:shd w:val="clear" w:color="auto" w:fill="auto"/>
            <w:noWrap/>
            <w:tcMar>
              <w:top w:w="0" w:type="dxa"/>
              <w:left w:w="108" w:type="dxa"/>
              <w:bottom w:w="0" w:type="dxa"/>
              <w:right w:w="108" w:type="dxa"/>
            </w:tcMar>
            <w:hideMark/>
          </w:tcPr>
          <w:p w14:paraId="05AE282E" w14:textId="77777777" w:rsidR="00803069" w:rsidRPr="000D5B62" w:rsidRDefault="00803069" w:rsidP="00313F43">
            <w:pPr>
              <w:spacing w:before="40" w:after="40" w:line="300" w:lineRule="exact"/>
              <w:textDirection w:val="tbRlV"/>
              <w:rPr>
                <w:rFonts w:eastAsiaTheme="minorEastAsia"/>
                <w:sz w:val="22"/>
                <w:rtl/>
                <w:lang w:val="ar-SA" w:eastAsia="zh-TW" w:bidi="en-GB"/>
              </w:rPr>
            </w:pPr>
            <w:r w:rsidRPr="000D5B62">
              <w:rPr>
                <w:rFonts w:eastAsiaTheme="minorEastAsia"/>
                <w:sz w:val="22"/>
                <w:rtl/>
              </w:rPr>
              <w:t>22</w:t>
            </w:r>
          </w:p>
        </w:tc>
      </w:tr>
      <w:tr w:rsidR="00803069" w:rsidRPr="000D5B62" w14:paraId="26BF959D" w14:textId="77777777" w:rsidTr="00803069">
        <w:tc>
          <w:tcPr>
            <w:tcW w:w="3827"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3DE1C243" w14:textId="77777777" w:rsidR="00803069" w:rsidRPr="000D5B62" w:rsidRDefault="00803069" w:rsidP="00911912">
            <w:pPr>
              <w:spacing w:before="40" w:after="40" w:line="300" w:lineRule="exact"/>
              <w:ind w:left="221"/>
              <w:textDirection w:val="tbRlV"/>
              <w:rPr>
                <w:rFonts w:eastAsiaTheme="minorEastAsia"/>
                <w:b/>
                <w:bCs/>
                <w:sz w:val="22"/>
                <w:rtl/>
                <w:lang w:val="ar-SA" w:eastAsia="zh-TW" w:bidi="en-GB"/>
              </w:rPr>
            </w:pPr>
            <w:r w:rsidRPr="000D5B62">
              <w:rPr>
                <w:rFonts w:eastAsiaTheme="minorEastAsia"/>
                <w:b/>
                <w:bCs/>
                <w:sz w:val="22"/>
                <w:rtl/>
              </w:rPr>
              <w:t>المجموع</w:t>
            </w:r>
          </w:p>
        </w:tc>
        <w:tc>
          <w:tcPr>
            <w:tcW w:w="2694"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18E652CB" w14:textId="77777777" w:rsidR="00803069" w:rsidRPr="000D5B62" w:rsidRDefault="00803069" w:rsidP="00313F43">
            <w:pPr>
              <w:spacing w:before="40" w:after="40" w:line="300" w:lineRule="exact"/>
              <w:textDirection w:val="tbRlV"/>
              <w:rPr>
                <w:rFonts w:eastAsiaTheme="minorEastAsia"/>
                <w:b/>
                <w:bCs/>
                <w:sz w:val="22"/>
                <w:rtl/>
                <w:lang w:val="ar-SA" w:eastAsia="zh-TW" w:bidi="en-GB"/>
              </w:rPr>
            </w:pPr>
            <w:r w:rsidRPr="000D5B62">
              <w:rPr>
                <w:rFonts w:eastAsiaTheme="minorEastAsia"/>
                <w:b/>
                <w:bCs/>
                <w:sz w:val="22"/>
                <w:rtl/>
              </w:rPr>
              <w:t>568 117</w:t>
            </w:r>
          </w:p>
        </w:tc>
        <w:tc>
          <w:tcPr>
            <w:tcW w:w="1680"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702F00A" w14:textId="77777777" w:rsidR="00803069" w:rsidRPr="000D5B62" w:rsidRDefault="00803069" w:rsidP="00313F43">
            <w:pPr>
              <w:spacing w:before="40" w:after="40" w:line="300" w:lineRule="exact"/>
              <w:textDirection w:val="tbRlV"/>
              <w:rPr>
                <w:rFonts w:eastAsiaTheme="minorEastAsia"/>
                <w:b/>
                <w:bCs/>
                <w:sz w:val="22"/>
                <w:rtl/>
                <w:lang w:val="ar-SA" w:eastAsia="zh-TW" w:bidi="en-GB"/>
              </w:rPr>
            </w:pPr>
            <w:r w:rsidRPr="000D5B62">
              <w:rPr>
                <w:rFonts w:eastAsiaTheme="minorEastAsia"/>
                <w:b/>
                <w:bCs/>
                <w:sz w:val="22"/>
                <w:rtl/>
              </w:rPr>
              <w:t>512 117</w:t>
            </w:r>
          </w:p>
        </w:tc>
      </w:tr>
    </w:tbl>
    <w:p w14:paraId="1EDB63AE" w14:textId="480D610E" w:rsidR="00803069" w:rsidRPr="000D5B62" w:rsidRDefault="00803069" w:rsidP="005F2563">
      <w:pPr>
        <w:pStyle w:val="SingleTxtGA"/>
        <w:spacing w:before="240"/>
        <w:rPr>
          <w:rtl/>
          <w:lang w:val="ar-SA" w:eastAsia="zh-TW" w:bidi="en-GB"/>
        </w:rPr>
      </w:pPr>
      <w:r w:rsidRPr="000D5B62">
        <w:rPr>
          <w:rtl/>
        </w:rPr>
        <w:t>88-</w:t>
      </w:r>
      <w:r w:rsidRPr="000D5B62">
        <w:rPr>
          <w:rtl/>
        </w:rPr>
        <w:tab/>
        <w:t>حتى حزيران/يونيه 2017، كان هناك نحو</w:t>
      </w:r>
      <w:r w:rsidR="0000563E" w:rsidRPr="000D5B62">
        <w:rPr>
          <w:rFonts w:hint="cs"/>
          <w:rtl/>
        </w:rPr>
        <w:t xml:space="preserve"> 842 11</w:t>
      </w:r>
      <w:r w:rsidRPr="000D5B62">
        <w:rPr>
          <w:rtl/>
        </w:rPr>
        <w:t xml:space="preserve"> من غير المواطنين محتجزين في مرافق إصلاحية في جنوب أفريقيا. ومن بين هؤلاء، حكم على 345 7 شخصا</w:t>
      </w:r>
      <w:r w:rsidR="0000563E" w:rsidRPr="000D5B62">
        <w:rPr>
          <w:rFonts w:hint="cs"/>
          <w:rtl/>
        </w:rPr>
        <w:t>ً</w:t>
      </w:r>
      <w:r w:rsidRPr="000D5B62">
        <w:rPr>
          <w:rtl/>
        </w:rPr>
        <w:t>، وينتظر 497 4 شخصا</w:t>
      </w:r>
      <w:r w:rsidR="0000563E" w:rsidRPr="000D5B62">
        <w:rPr>
          <w:rFonts w:hint="cs"/>
          <w:rtl/>
        </w:rPr>
        <w:t>ً</w:t>
      </w:r>
      <w:r w:rsidRPr="000D5B62">
        <w:rPr>
          <w:rtl/>
        </w:rPr>
        <w:t xml:space="preserve"> المحاكمة، وحوكم 380 1 شخصا</w:t>
      </w:r>
      <w:r w:rsidR="0000563E" w:rsidRPr="000D5B62">
        <w:rPr>
          <w:rFonts w:hint="cs"/>
          <w:rtl/>
        </w:rPr>
        <w:t>ً</w:t>
      </w:r>
      <w:r w:rsidRPr="000D5B62">
        <w:rPr>
          <w:rtl/>
        </w:rPr>
        <w:t xml:space="preserve"> لبقائهم في البلد بصورة غير قانونية.</w:t>
      </w:r>
    </w:p>
    <w:p w14:paraId="618BD42A" w14:textId="77777777" w:rsidR="00803069" w:rsidRPr="000D5B62" w:rsidRDefault="00803069" w:rsidP="00313F43">
      <w:pPr>
        <w:pStyle w:val="SingleTxtGA"/>
        <w:rPr>
          <w:rtl/>
          <w:lang w:val="ar-SA" w:eastAsia="zh-TW" w:bidi="en-GB"/>
        </w:rPr>
      </w:pPr>
      <w:r w:rsidRPr="000D5B62">
        <w:rPr>
          <w:rtl/>
        </w:rPr>
        <w:t>89-</w:t>
      </w:r>
      <w:r w:rsidRPr="000D5B62">
        <w:rPr>
          <w:rtl/>
        </w:rPr>
        <w:tab/>
        <w:t>وتعزى معظم الوفيات في المراكز الإصلاحية إلى أسباب طبيعية؛ غير أن ثمة وفيات أخرى تحدث أثناء الاحتجاز لأسباب غير طبيعية. وتنحصر حالات الوفاة تلك عموماً في ثلاث فئات هي: القتل والحوادث العارضة والانتحار. وفي الفترة 2015/2016، أُبلغ عن 62 حالة وفاة غير طبيعية في الحبس وأبلغ عن 52 حالة من هذا القبيل خلال الفترة من نيسان/أبريل 2016 إلى نيسان/أبريل 2017 و61 حالة خلال الفترة 2017/2018.</w:t>
      </w:r>
    </w:p>
    <w:p w14:paraId="4C5733D0" w14:textId="77777777" w:rsidR="00803069" w:rsidRPr="000D5B62" w:rsidRDefault="00803069" w:rsidP="00313F43">
      <w:pPr>
        <w:pStyle w:val="H23GA"/>
        <w:rPr>
          <w:lang w:val="en-US" w:eastAsia="zh-TW" w:bidi="en-GB"/>
        </w:rPr>
      </w:pPr>
      <w:r w:rsidRPr="000D5B62">
        <w:rPr>
          <w:rtl/>
        </w:rPr>
        <w:tab/>
      </w:r>
      <w:r w:rsidRPr="000D5B62">
        <w:rPr>
          <w:rtl/>
        </w:rPr>
        <w:tab/>
        <w:t>قضاء الأحداث</w:t>
      </w:r>
    </w:p>
    <w:p w14:paraId="486B8343" w14:textId="502C8E61" w:rsidR="00803069" w:rsidRPr="000D5B62" w:rsidRDefault="00803069" w:rsidP="00313F43">
      <w:pPr>
        <w:pStyle w:val="SingleTxtGA"/>
        <w:rPr>
          <w:rtl/>
          <w:lang w:val="ar-SA" w:eastAsia="zh-TW" w:bidi="en-GB"/>
        </w:rPr>
      </w:pPr>
      <w:r w:rsidRPr="000D5B62">
        <w:rPr>
          <w:rtl/>
        </w:rPr>
        <w:t>90-</w:t>
      </w:r>
      <w:r w:rsidRPr="000D5B62">
        <w:rPr>
          <w:rtl/>
        </w:rPr>
        <w:tab/>
        <w:t>دخل قانون قضاء الأحداث لعام 2008</w:t>
      </w:r>
      <w:r w:rsidRPr="000D5B62">
        <w:rPr>
          <w:rStyle w:val="FootnoteReference"/>
          <w:szCs w:val="22"/>
          <w:rtl/>
        </w:rPr>
        <w:t>(</w:t>
      </w:r>
      <w:r w:rsidRPr="000D5B62">
        <w:rPr>
          <w:rStyle w:val="FootnoteReference"/>
          <w:szCs w:val="22"/>
          <w:rtl/>
        </w:rPr>
        <w:footnoteReference w:id="78"/>
      </w:r>
      <w:r w:rsidRPr="000D5B62">
        <w:rPr>
          <w:rStyle w:val="FootnoteReference"/>
          <w:szCs w:val="22"/>
          <w:rtl/>
        </w:rPr>
        <w:t>)</w:t>
      </w:r>
      <w:r w:rsidRPr="000D5B62">
        <w:rPr>
          <w:rtl/>
        </w:rPr>
        <w:t xml:space="preserve"> حيز التنفيذ في عام 2010 لإنشاء نظام لقضاء الأحداث يحمي حقوق الأطفال المخالفين للقانون، وفقا</w:t>
      </w:r>
      <w:r w:rsidR="00B03BF8" w:rsidRPr="000D5B62">
        <w:rPr>
          <w:rFonts w:hint="cs"/>
          <w:rtl/>
        </w:rPr>
        <w:t>ً</w:t>
      </w:r>
      <w:r w:rsidRPr="000D5B62">
        <w:rPr>
          <w:rtl/>
        </w:rPr>
        <w:t xml:space="preserve"> للقيم التي يقوم عليها الدستور. وهو يشمل غرس الروح الإنسانية، تبعاً لمذهب أوبونتو الفلسفي، في نظام قضاء الأحداث، وذلك بتنمية حس الكرامة لدى الأطفال وشعورهم بقيمتهم وترسيخ احترام حقوق الإنسان والحريات الأساسية الواجبة للغير في وجدانهم وهو ما يتحقق بمساءلتهم عن أفعالهم وصون مصالح الضحايا والمجتمع المحلي. </w:t>
      </w:r>
    </w:p>
    <w:p w14:paraId="5F976CDE" w14:textId="77777777" w:rsidR="00803069" w:rsidRPr="000D5B62" w:rsidRDefault="00803069" w:rsidP="00313F43">
      <w:pPr>
        <w:pStyle w:val="SingleTxtGA"/>
        <w:rPr>
          <w:rtl/>
          <w:lang w:val="ar-SA" w:eastAsia="zh-TW" w:bidi="en-GB"/>
        </w:rPr>
      </w:pPr>
      <w:r w:rsidRPr="000D5B62">
        <w:rPr>
          <w:rtl/>
        </w:rPr>
        <w:t>91-</w:t>
      </w:r>
      <w:r w:rsidRPr="000D5B62">
        <w:rPr>
          <w:rtl/>
        </w:rPr>
        <w:tab/>
        <w:t>ويجري دعم المصالحة من خلال برامج العدالة التصالحية، كما يجري تشجيع الوالدين والأسرة والضحايا وأفراد المجتمع المحلي المتضررين من الجريمة، حسب الاقتضاء، على المشاركة في العمل على كفالة إعادة إدماج الأطفال في أسرهم ومجتمعاتهم المحلية. ويستلزم تنفيذ القانون ورصد التقدم المحرز في هذا الصدد التعاون بين قطاعات متعددة وتعاون عدد من الإدارات والمؤسسات - مثل الإدارة المعنية بإقامة العدل وتطوير النظام الدستوري وهيئة الادعاء الوطنية وشرطة جنوب أفريقيا وإدارة السجون ووزارة التنمية الاجتماعية وإدارة التعليم الأساسي ووزارة الصحة. وتؤدي هيئة المعونة القضائية في جنوب أفريقيا أيضاً دوراً أساسياً في تنفيذ القانون من خلال حماية حقوق الأطفال المخالفين للقانون.</w:t>
      </w:r>
    </w:p>
    <w:p w14:paraId="4F385E15" w14:textId="77777777" w:rsidR="00803069" w:rsidRPr="000D5B62" w:rsidRDefault="00803069" w:rsidP="00313F43">
      <w:pPr>
        <w:pStyle w:val="SingleTxtGA"/>
        <w:rPr>
          <w:rtl/>
          <w:lang w:val="ar-SA" w:eastAsia="zh-TW" w:bidi="en-GB"/>
        </w:rPr>
      </w:pPr>
      <w:r w:rsidRPr="000D5B62">
        <w:rPr>
          <w:rtl/>
        </w:rPr>
        <w:t>92-</w:t>
      </w:r>
      <w:r w:rsidRPr="000D5B62">
        <w:rPr>
          <w:rtl/>
        </w:rPr>
        <w:tab/>
        <w:t>وبمقتضى القانون المذكور آنفاً، أُرسي إطار للسياسات العامة الوطنية لضمان اتباع جميع الإدارات الحكومية وأجهزة الدولة ومؤسساتها نهجاً موحداً ومنسقاً والنهوض بالتعاون مع القطاع غير الحكومي والمجتمع المدني وكفالة إقامة شراكات فعالة تعزز نظام قضاء الأحداث. وقد اعتمد أول إطار للسياسات العامة الوطنية في عام 2010، ويقضي القانون بأن يستعرض الوزير الإطار المشار إليه في غضون 3 سنوات من نشره ثم مرة واحدة على الأقل كل خمس سنوات. وقد طُرح إطار السياسة الوطنية المعدل لعام 2018 في أيار/مايو 2018. وهو يتضمن مبادئ توجيهية تتعلق بالمجالات الرئيسية ذات الأولوية، ومن بينها مجالات بناء القدرات في قطاع قضاء الأحداث وتأمين حضور الأطفال التحقيقات الأولية وكفالة تقييم الخدمات المقدمة للأطفال والخدمات التي يجري توفيرها في فترة ما قبل المحاكمة والخدمات المتصلة بحالات الإفراج بكفالة وبتحديد الأماكن التي سينقل الأطفال إليها والخدمات المتصلة بالمحاكمات وبالأحكام الصادرة وتحويل المسار، ويتضمن الإطار كذلك مبادئ توجيهية بشأن إدارة المراكز الجامعة للخدمات المتصلة بنظام قضاء الأحداث ومراكز رعاية الطفل والشباب (المقصود بها أيضاً مراكز الرعاية الآمنة) والإصلاحيات التي يودع بها الأطفال.</w:t>
      </w:r>
    </w:p>
    <w:p w14:paraId="407E38E0" w14:textId="77777777" w:rsidR="00803069" w:rsidRPr="000D5B62" w:rsidRDefault="00803069" w:rsidP="00313F43">
      <w:pPr>
        <w:pStyle w:val="SingleTxtGA"/>
        <w:rPr>
          <w:rtl/>
          <w:lang w:val="ar-SA" w:eastAsia="zh-TW" w:bidi="en-GB"/>
        </w:rPr>
      </w:pPr>
      <w:r w:rsidRPr="000D5B62">
        <w:rPr>
          <w:rtl/>
        </w:rPr>
        <w:t>93-</w:t>
      </w:r>
      <w:r w:rsidRPr="000D5B62">
        <w:rPr>
          <w:rtl/>
        </w:rPr>
        <w:tab/>
        <w:t>ويرد في الجدول أدناه بيان عدد الأطفال المودعين في الإصلاحيات في عام 2018:</w:t>
      </w:r>
    </w:p>
    <w:p w14:paraId="4558BCC5" w14:textId="5F285ED2" w:rsidR="00803069" w:rsidRPr="000D5B62" w:rsidRDefault="00803069" w:rsidP="00313F43">
      <w:pPr>
        <w:pStyle w:val="SingleTxtGA"/>
        <w:rPr>
          <w:b/>
          <w:bCs/>
          <w:rtl/>
          <w:lang w:val="ar-SA" w:eastAsia="zh-TW" w:bidi="en-GB"/>
        </w:rPr>
      </w:pPr>
      <w:r w:rsidRPr="000D5B62">
        <w:rPr>
          <w:rtl/>
        </w:rPr>
        <w:t>الجدول 24</w:t>
      </w:r>
      <w:r w:rsidR="00313F43" w:rsidRPr="000D5B62">
        <w:rPr>
          <w:rtl/>
        </w:rPr>
        <w:tab/>
      </w:r>
      <w:r w:rsidR="00313F43" w:rsidRPr="000D5B62">
        <w:rPr>
          <w:rtl/>
        </w:rPr>
        <w:br/>
      </w:r>
      <w:r w:rsidRPr="000D5B62">
        <w:rPr>
          <w:b/>
          <w:bCs/>
          <w:rtl/>
        </w:rPr>
        <w:t>عدد الأطفال المحكوم عليهم المودعين في الإصلاحيات (أيار/مايو 2018)</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2666"/>
        <w:gridCol w:w="1870"/>
        <w:gridCol w:w="1546"/>
        <w:gridCol w:w="1288"/>
      </w:tblGrid>
      <w:tr w:rsidR="00803069" w:rsidRPr="000D5B62" w14:paraId="0235E2BC" w14:textId="77777777" w:rsidTr="005F2563">
        <w:trPr>
          <w:tblHeader/>
        </w:trPr>
        <w:tc>
          <w:tcPr>
            <w:tcW w:w="2666" w:type="dxa"/>
            <w:tcBorders>
              <w:top w:val="single" w:sz="4" w:space="0" w:color="auto"/>
              <w:bottom w:val="single" w:sz="12" w:space="0" w:color="auto"/>
            </w:tcBorders>
            <w:shd w:val="clear" w:color="auto" w:fill="auto"/>
            <w:vAlign w:val="bottom"/>
            <w:hideMark/>
          </w:tcPr>
          <w:p w14:paraId="784EB1C5" w14:textId="77777777" w:rsidR="00803069" w:rsidRPr="000D5B62" w:rsidRDefault="00803069" w:rsidP="005F2563">
            <w:pPr>
              <w:spacing w:before="40" w:after="40" w:line="280" w:lineRule="exact"/>
              <w:textDirection w:val="tbRlV"/>
              <w:rPr>
                <w:rFonts w:eastAsiaTheme="minorEastAsia"/>
                <w:bCs/>
                <w:i/>
                <w:szCs w:val="20"/>
                <w:rtl/>
                <w:lang w:val="ar-SA" w:eastAsia="zh-TW" w:bidi="en-GB"/>
              </w:rPr>
            </w:pPr>
            <w:r w:rsidRPr="000D5B62">
              <w:rPr>
                <w:rFonts w:eastAsiaTheme="minorEastAsia"/>
                <w:i/>
                <w:iCs/>
                <w:szCs w:val="20"/>
                <w:rtl/>
              </w:rPr>
              <w:t>الإقليم</w:t>
            </w:r>
          </w:p>
        </w:tc>
        <w:tc>
          <w:tcPr>
            <w:tcW w:w="1870" w:type="dxa"/>
            <w:tcBorders>
              <w:top w:val="single" w:sz="4" w:space="0" w:color="auto"/>
              <w:bottom w:val="single" w:sz="12" w:space="0" w:color="auto"/>
            </w:tcBorders>
            <w:shd w:val="clear" w:color="auto" w:fill="auto"/>
            <w:vAlign w:val="bottom"/>
            <w:hideMark/>
          </w:tcPr>
          <w:p w14:paraId="7E06DB75" w14:textId="77777777" w:rsidR="00803069" w:rsidRPr="000D5B62" w:rsidRDefault="00803069" w:rsidP="005F2563">
            <w:pPr>
              <w:spacing w:before="40" w:after="40" w:line="280" w:lineRule="exact"/>
              <w:jc w:val="left"/>
              <w:textDirection w:val="tbRlV"/>
              <w:rPr>
                <w:rFonts w:eastAsiaTheme="minorEastAsia"/>
                <w:bCs/>
                <w:i/>
                <w:szCs w:val="20"/>
                <w:rtl/>
                <w:lang w:val="ar-SA" w:eastAsia="zh-TW" w:bidi="en-GB"/>
              </w:rPr>
            </w:pPr>
            <w:r w:rsidRPr="000D5B62">
              <w:rPr>
                <w:rFonts w:eastAsiaTheme="minorEastAsia"/>
                <w:i/>
                <w:iCs/>
                <w:szCs w:val="20"/>
                <w:rtl/>
              </w:rPr>
              <w:t>متوسط العدد المرجعي في آذار/مارس 2018</w:t>
            </w:r>
          </w:p>
        </w:tc>
        <w:tc>
          <w:tcPr>
            <w:tcW w:w="1546" w:type="dxa"/>
            <w:tcBorders>
              <w:top w:val="single" w:sz="4" w:space="0" w:color="auto"/>
              <w:bottom w:val="single" w:sz="12" w:space="0" w:color="auto"/>
            </w:tcBorders>
            <w:shd w:val="clear" w:color="auto" w:fill="auto"/>
            <w:vAlign w:val="bottom"/>
            <w:hideMark/>
          </w:tcPr>
          <w:p w14:paraId="681E124F" w14:textId="77777777" w:rsidR="00803069" w:rsidRPr="000D5B62" w:rsidRDefault="00803069" w:rsidP="005F2563">
            <w:pPr>
              <w:spacing w:before="40" w:after="40" w:line="280" w:lineRule="exact"/>
              <w:textDirection w:val="tbRlV"/>
              <w:rPr>
                <w:rFonts w:eastAsiaTheme="minorEastAsia"/>
                <w:bCs/>
                <w:i/>
                <w:szCs w:val="20"/>
                <w:rtl/>
                <w:lang w:val="ar-SA" w:eastAsia="zh-TW" w:bidi="en-GB"/>
              </w:rPr>
            </w:pPr>
            <w:r w:rsidRPr="000D5B62">
              <w:rPr>
                <w:rFonts w:eastAsiaTheme="minorEastAsia"/>
                <w:i/>
                <w:iCs/>
                <w:szCs w:val="20"/>
                <w:rtl/>
              </w:rPr>
              <w:t>نيسان/أبريل 2018</w:t>
            </w:r>
          </w:p>
        </w:tc>
        <w:tc>
          <w:tcPr>
            <w:tcW w:w="1288" w:type="dxa"/>
            <w:tcBorders>
              <w:top w:val="single" w:sz="4" w:space="0" w:color="auto"/>
              <w:bottom w:val="single" w:sz="12" w:space="0" w:color="auto"/>
            </w:tcBorders>
            <w:shd w:val="clear" w:color="auto" w:fill="auto"/>
            <w:vAlign w:val="bottom"/>
            <w:hideMark/>
          </w:tcPr>
          <w:p w14:paraId="64B155CF" w14:textId="77777777" w:rsidR="00803069" w:rsidRPr="000D5B62" w:rsidRDefault="00803069" w:rsidP="005F2563">
            <w:pPr>
              <w:spacing w:before="40" w:after="40" w:line="280" w:lineRule="exact"/>
              <w:textDirection w:val="tbRlV"/>
              <w:rPr>
                <w:rFonts w:eastAsiaTheme="minorEastAsia"/>
                <w:bCs/>
                <w:i/>
                <w:szCs w:val="20"/>
                <w:rtl/>
                <w:lang w:val="ar-SA" w:eastAsia="zh-TW" w:bidi="en-GB"/>
              </w:rPr>
            </w:pPr>
            <w:r w:rsidRPr="000D5B62">
              <w:rPr>
                <w:rFonts w:eastAsiaTheme="minorEastAsia"/>
                <w:i/>
                <w:iCs/>
                <w:szCs w:val="20"/>
                <w:rtl/>
              </w:rPr>
              <w:t>أيار/مايو 2018</w:t>
            </w:r>
          </w:p>
        </w:tc>
      </w:tr>
      <w:tr w:rsidR="00803069" w:rsidRPr="000D5B62" w14:paraId="22561461" w14:textId="77777777" w:rsidTr="00911912">
        <w:tc>
          <w:tcPr>
            <w:tcW w:w="2666" w:type="dxa"/>
            <w:tcBorders>
              <w:top w:val="single" w:sz="12" w:space="0" w:color="auto"/>
            </w:tcBorders>
            <w:shd w:val="clear" w:color="auto" w:fill="auto"/>
            <w:hideMark/>
          </w:tcPr>
          <w:p w14:paraId="6847F56D"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غاوتنغ</w:t>
            </w:r>
          </w:p>
        </w:tc>
        <w:tc>
          <w:tcPr>
            <w:tcW w:w="1870" w:type="dxa"/>
            <w:tcBorders>
              <w:top w:val="single" w:sz="12" w:space="0" w:color="auto"/>
            </w:tcBorders>
            <w:shd w:val="clear" w:color="auto" w:fill="auto"/>
            <w:hideMark/>
          </w:tcPr>
          <w:p w14:paraId="2B9F3A1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7</w:t>
            </w:r>
          </w:p>
        </w:tc>
        <w:tc>
          <w:tcPr>
            <w:tcW w:w="1546" w:type="dxa"/>
            <w:tcBorders>
              <w:top w:val="single" w:sz="12" w:space="0" w:color="auto"/>
            </w:tcBorders>
            <w:shd w:val="clear" w:color="auto" w:fill="auto"/>
            <w:hideMark/>
          </w:tcPr>
          <w:p w14:paraId="1684F0AF"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6</w:t>
            </w:r>
          </w:p>
        </w:tc>
        <w:tc>
          <w:tcPr>
            <w:tcW w:w="1288" w:type="dxa"/>
            <w:tcBorders>
              <w:top w:val="single" w:sz="12" w:space="0" w:color="auto"/>
            </w:tcBorders>
            <w:shd w:val="clear" w:color="auto" w:fill="auto"/>
            <w:hideMark/>
          </w:tcPr>
          <w:p w14:paraId="05121902"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w:t>
            </w:r>
          </w:p>
        </w:tc>
      </w:tr>
      <w:tr w:rsidR="00803069" w:rsidRPr="000D5B62" w14:paraId="5F95C60B" w14:textId="77777777" w:rsidTr="00911912">
        <w:tc>
          <w:tcPr>
            <w:tcW w:w="2666" w:type="dxa"/>
            <w:shd w:val="clear" w:color="auto" w:fill="auto"/>
            <w:hideMark/>
          </w:tcPr>
          <w:p w14:paraId="5B589EFC"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الكيب الغربية</w:t>
            </w:r>
          </w:p>
        </w:tc>
        <w:tc>
          <w:tcPr>
            <w:tcW w:w="1870" w:type="dxa"/>
            <w:shd w:val="clear" w:color="auto" w:fill="auto"/>
            <w:hideMark/>
          </w:tcPr>
          <w:p w14:paraId="71D809E7"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12</w:t>
            </w:r>
          </w:p>
        </w:tc>
        <w:tc>
          <w:tcPr>
            <w:tcW w:w="1546" w:type="dxa"/>
            <w:shd w:val="clear" w:color="auto" w:fill="auto"/>
            <w:hideMark/>
          </w:tcPr>
          <w:p w14:paraId="0800D364"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10</w:t>
            </w:r>
          </w:p>
        </w:tc>
        <w:tc>
          <w:tcPr>
            <w:tcW w:w="1288" w:type="dxa"/>
            <w:shd w:val="clear" w:color="auto" w:fill="auto"/>
            <w:hideMark/>
          </w:tcPr>
          <w:p w14:paraId="22BA492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10</w:t>
            </w:r>
          </w:p>
        </w:tc>
      </w:tr>
      <w:tr w:rsidR="00803069" w:rsidRPr="000D5B62" w14:paraId="36D52620" w14:textId="77777777" w:rsidTr="00911912">
        <w:tc>
          <w:tcPr>
            <w:tcW w:w="2666" w:type="dxa"/>
            <w:shd w:val="clear" w:color="auto" w:fill="auto"/>
            <w:hideMark/>
          </w:tcPr>
          <w:p w14:paraId="0FDB8285"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كوا زولو ناتال</w:t>
            </w:r>
          </w:p>
        </w:tc>
        <w:tc>
          <w:tcPr>
            <w:tcW w:w="1870" w:type="dxa"/>
            <w:shd w:val="clear" w:color="auto" w:fill="auto"/>
            <w:hideMark/>
          </w:tcPr>
          <w:p w14:paraId="732AD8B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46</w:t>
            </w:r>
          </w:p>
        </w:tc>
        <w:tc>
          <w:tcPr>
            <w:tcW w:w="1546" w:type="dxa"/>
            <w:shd w:val="clear" w:color="auto" w:fill="auto"/>
            <w:hideMark/>
          </w:tcPr>
          <w:p w14:paraId="4DC8F1B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49</w:t>
            </w:r>
          </w:p>
        </w:tc>
        <w:tc>
          <w:tcPr>
            <w:tcW w:w="1288" w:type="dxa"/>
            <w:shd w:val="clear" w:color="auto" w:fill="auto"/>
            <w:hideMark/>
          </w:tcPr>
          <w:p w14:paraId="30EE08D2"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51</w:t>
            </w:r>
          </w:p>
        </w:tc>
      </w:tr>
      <w:tr w:rsidR="00803069" w:rsidRPr="000D5B62" w14:paraId="1839398A" w14:textId="77777777" w:rsidTr="00911912">
        <w:tc>
          <w:tcPr>
            <w:tcW w:w="2666" w:type="dxa"/>
            <w:shd w:val="clear" w:color="auto" w:fill="auto"/>
            <w:hideMark/>
          </w:tcPr>
          <w:p w14:paraId="2A245831"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فري ستيت والكيب الشمالية</w:t>
            </w:r>
          </w:p>
        </w:tc>
        <w:tc>
          <w:tcPr>
            <w:tcW w:w="1870" w:type="dxa"/>
            <w:shd w:val="clear" w:color="auto" w:fill="auto"/>
            <w:hideMark/>
          </w:tcPr>
          <w:p w14:paraId="4F581CFA"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39</w:t>
            </w:r>
          </w:p>
        </w:tc>
        <w:tc>
          <w:tcPr>
            <w:tcW w:w="1546" w:type="dxa"/>
            <w:shd w:val="clear" w:color="auto" w:fill="auto"/>
            <w:hideMark/>
          </w:tcPr>
          <w:p w14:paraId="025C801C"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42</w:t>
            </w:r>
          </w:p>
        </w:tc>
        <w:tc>
          <w:tcPr>
            <w:tcW w:w="1288" w:type="dxa"/>
            <w:shd w:val="clear" w:color="auto" w:fill="auto"/>
            <w:hideMark/>
          </w:tcPr>
          <w:p w14:paraId="31AB6B1E"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41</w:t>
            </w:r>
          </w:p>
        </w:tc>
      </w:tr>
      <w:tr w:rsidR="00803069" w:rsidRPr="000D5B62" w14:paraId="6B31E703" w14:textId="77777777" w:rsidTr="00911912">
        <w:tc>
          <w:tcPr>
            <w:tcW w:w="2666" w:type="dxa"/>
            <w:shd w:val="clear" w:color="auto" w:fill="auto"/>
            <w:hideMark/>
          </w:tcPr>
          <w:p w14:paraId="6661333B"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الكيب الشرقية</w:t>
            </w:r>
          </w:p>
        </w:tc>
        <w:tc>
          <w:tcPr>
            <w:tcW w:w="1870" w:type="dxa"/>
            <w:shd w:val="clear" w:color="auto" w:fill="auto"/>
            <w:hideMark/>
          </w:tcPr>
          <w:p w14:paraId="39F73EF1"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11</w:t>
            </w:r>
          </w:p>
        </w:tc>
        <w:tc>
          <w:tcPr>
            <w:tcW w:w="1546" w:type="dxa"/>
            <w:shd w:val="clear" w:color="auto" w:fill="auto"/>
            <w:hideMark/>
          </w:tcPr>
          <w:p w14:paraId="5D367B97"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12</w:t>
            </w:r>
          </w:p>
        </w:tc>
        <w:tc>
          <w:tcPr>
            <w:tcW w:w="1288" w:type="dxa"/>
            <w:shd w:val="clear" w:color="auto" w:fill="auto"/>
            <w:hideMark/>
          </w:tcPr>
          <w:p w14:paraId="0E303A1B"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10</w:t>
            </w:r>
          </w:p>
        </w:tc>
      </w:tr>
      <w:tr w:rsidR="00803069" w:rsidRPr="000D5B62" w14:paraId="7576D0D5" w14:textId="77777777" w:rsidTr="00911912">
        <w:tc>
          <w:tcPr>
            <w:tcW w:w="2666" w:type="dxa"/>
            <w:shd w:val="clear" w:color="auto" w:fill="auto"/>
            <w:hideMark/>
          </w:tcPr>
          <w:p w14:paraId="747849AF"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ليمبوبو، مبومالانغا،</w:t>
            </w:r>
          </w:p>
          <w:p w14:paraId="45AFB87C"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الشمال الغربي</w:t>
            </w:r>
          </w:p>
        </w:tc>
        <w:tc>
          <w:tcPr>
            <w:tcW w:w="1870" w:type="dxa"/>
            <w:shd w:val="clear" w:color="auto" w:fill="auto"/>
            <w:hideMark/>
          </w:tcPr>
          <w:p w14:paraId="014534E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6</w:t>
            </w:r>
          </w:p>
        </w:tc>
        <w:tc>
          <w:tcPr>
            <w:tcW w:w="1546" w:type="dxa"/>
            <w:shd w:val="clear" w:color="auto" w:fill="auto"/>
            <w:hideMark/>
          </w:tcPr>
          <w:p w14:paraId="570B632C"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6</w:t>
            </w:r>
          </w:p>
        </w:tc>
        <w:tc>
          <w:tcPr>
            <w:tcW w:w="1288" w:type="dxa"/>
            <w:shd w:val="clear" w:color="auto" w:fill="auto"/>
            <w:hideMark/>
          </w:tcPr>
          <w:p w14:paraId="6AE88658" w14:textId="77777777" w:rsidR="00803069" w:rsidRPr="000D5B62" w:rsidRDefault="00803069" w:rsidP="00911912">
            <w:pPr>
              <w:spacing w:before="40" w:after="40" w:line="280" w:lineRule="exact"/>
              <w:jc w:val="left"/>
              <w:textDirection w:val="tbRlV"/>
              <w:rPr>
                <w:rFonts w:eastAsiaTheme="minorEastAsia"/>
                <w:szCs w:val="20"/>
                <w:rtl/>
                <w:lang w:val="ar-SA" w:eastAsia="zh-TW" w:bidi="en-GB"/>
              </w:rPr>
            </w:pPr>
            <w:r w:rsidRPr="000D5B62">
              <w:rPr>
                <w:rFonts w:eastAsiaTheme="minorEastAsia"/>
                <w:szCs w:val="20"/>
                <w:rtl/>
              </w:rPr>
              <w:t>7</w:t>
            </w:r>
          </w:p>
        </w:tc>
      </w:tr>
      <w:tr w:rsidR="00803069" w:rsidRPr="000D5B62" w14:paraId="484A95F7" w14:textId="77777777" w:rsidTr="00911912">
        <w:tc>
          <w:tcPr>
            <w:tcW w:w="2666" w:type="dxa"/>
            <w:shd w:val="clear" w:color="auto" w:fill="auto"/>
            <w:hideMark/>
          </w:tcPr>
          <w:p w14:paraId="6A3666C0"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المتوسط الوطني لعدد المحكوم عليهم</w:t>
            </w:r>
          </w:p>
        </w:tc>
        <w:tc>
          <w:tcPr>
            <w:tcW w:w="1870" w:type="dxa"/>
            <w:shd w:val="clear" w:color="auto" w:fill="auto"/>
            <w:hideMark/>
          </w:tcPr>
          <w:p w14:paraId="4410B8D4"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121</w:t>
            </w:r>
          </w:p>
        </w:tc>
        <w:tc>
          <w:tcPr>
            <w:tcW w:w="1546" w:type="dxa"/>
            <w:shd w:val="clear" w:color="auto" w:fill="auto"/>
            <w:hideMark/>
          </w:tcPr>
          <w:p w14:paraId="508F7821"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125</w:t>
            </w:r>
          </w:p>
        </w:tc>
        <w:tc>
          <w:tcPr>
            <w:tcW w:w="1288" w:type="dxa"/>
            <w:shd w:val="clear" w:color="auto" w:fill="auto"/>
            <w:hideMark/>
          </w:tcPr>
          <w:p w14:paraId="2B005F09"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124</w:t>
            </w:r>
          </w:p>
        </w:tc>
      </w:tr>
      <w:tr w:rsidR="00803069" w:rsidRPr="000D5B62" w14:paraId="37ECFE11" w14:textId="77777777" w:rsidTr="00911912">
        <w:tc>
          <w:tcPr>
            <w:tcW w:w="2666" w:type="dxa"/>
            <w:shd w:val="clear" w:color="auto" w:fill="auto"/>
            <w:hideMark/>
          </w:tcPr>
          <w:p w14:paraId="7067F952"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المتوسط الشهري لعدد المحكوم عليهم</w:t>
            </w:r>
          </w:p>
        </w:tc>
        <w:tc>
          <w:tcPr>
            <w:tcW w:w="1870" w:type="dxa"/>
            <w:shd w:val="clear" w:color="auto" w:fill="auto"/>
            <w:hideMark/>
          </w:tcPr>
          <w:p w14:paraId="5FD4C1C3" w14:textId="77777777" w:rsidR="00803069" w:rsidRPr="000D5B62" w:rsidRDefault="00803069" w:rsidP="00911912">
            <w:pPr>
              <w:spacing w:before="40" w:after="40" w:line="280" w:lineRule="exact"/>
              <w:jc w:val="left"/>
              <w:textDirection w:val="tbRlV"/>
              <w:rPr>
                <w:rFonts w:eastAsiaTheme="minorEastAsia"/>
                <w:bCs/>
                <w:szCs w:val="20"/>
                <w:lang w:eastAsia="zh-TW" w:bidi="en-GB"/>
              </w:rPr>
            </w:pPr>
            <w:r w:rsidRPr="000D5B62">
              <w:rPr>
                <w:rFonts w:eastAsiaTheme="minorEastAsia"/>
                <w:szCs w:val="20"/>
                <w:rtl/>
              </w:rPr>
              <w:t>067 118</w:t>
            </w:r>
          </w:p>
        </w:tc>
        <w:tc>
          <w:tcPr>
            <w:tcW w:w="1546" w:type="dxa"/>
            <w:shd w:val="clear" w:color="auto" w:fill="auto"/>
            <w:hideMark/>
          </w:tcPr>
          <w:p w14:paraId="001A432A" w14:textId="3C27B7C3" w:rsidR="00803069" w:rsidRPr="000D5B62" w:rsidRDefault="00B03BF8" w:rsidP="00911912">
            <w:pPr>
              <w:spacing w:before="40" w:after="40" w:line="280" w:lineRule="exact"/>
              <w:jc w:val="left"/>
              <w:textDirection w:val="tbRlV"/>
              <w:rPr>
                <w:rFonts w:eastAsiaTheme="minorEastAsia"/>
                <w:bCs/>
                <w:szCs w:val="20"/>
                <w:lang w:eastAsia="zh-TW" w:bidi="en-GB"/>
              </w:rPr>
            </w:pPr>
            <w:r w:rsidRPr="000D5B62">
              <w:rPr>
                <w:rFonts w:eastAsiaTheme="minorEastAsia" w:hint="cs"/>
                <w:szCs w:val="20"/>
                <w:rtl/>
              </w:rPr>
              <w:t>788 117</w:t>
            </w:r>
          </w:p>
        </w:tc>
        <w:tc>
          <w:tcPr>
            <w:tcW w:w="1288" w:type="dxa"/>
            <w:shd w:val="clear" w:color="auto" w:fill="auto"/>
            <w:hideMark/>
          </w:tcPr>
          <w:p w14:paraId="0A8F5643" w14:textId="5AC18596" w:rsidR="00803069" w:rsidRPr="000D5B62" w:rsidRDefault="00803069" w:rsidP="00911912">
            <w:pPr>
              <w:spacing w:before="40" w:after="40" w:line="280" w:lineRule="exact"/>
              <w:jc w:val="left"/>
              <w:rPr>
                <w:rFonts w:eastAsiaTheme="minorEastAsia"/>
                <w:bCs/>
                <w:szCs w:val="20"/>
                <w:rtl/>
                <w:lang w:eastAsia="en-ZA"/>
              </w:rPr>
            </w:pPr>
          </w:p>
        </w:tc>
      </w:tr>
      <w:tr w:rsidR="00803069" w:rsidRPr="000D5B62" w14:paraId="0849369D" w14:textId="77777777" w:rsidTr="00911912">
        <w:tc>
          <w:tcPr>
            <w:tcW w:w="2666" w:type="dxa"/>
            <w:shd w:val="clear" w:color="auto" w:fill="auto"/>
            <w:hideMark/>
          </w:tcPr>
          <w:p w14:paraId="19DB9D19"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 xml:space="preserve">جميع النزلاء </w:t>
            </w:r>
          </w:p>
        </w:tc>
        <w:tc>
          <w:tcPr>
            <w:tcW w:w="1870" w:type="dxa"/>
            <w:shd w:val="clear" w:color="auto" w:fill="auto"/>
            <w:hideMark/>
          </w:tcPr>
          <w:p w14:paraId="192684DA" w14:textId="77777777" w:rsidR="00803069" w:rsidRPr="000D5B62" w:rsidRDefault="00803069" w:rsidP="00911912">
            <w:pPr>
              <w:spacing w:before="40" w:after="40" w:line="280" w:lineRule="exact"/>
              <w:jc w:val="left"/>
              <w:textDirection w:val="tbRlV"/>
              <w:rPr>
                <w:rFonts w:eastAsiaTheme="minorEastAsia"/>
                <w:bCs/>
                <w:szCs w:val="20"/>
                <w:lang w:eastAsia="zh-TW" w:bidi="en-GB"/>
              </w:rPr>
            </w:pPr>
            <w:r w:rsidRPr="000D5B62">
              <w:rPr>
                <w:rFonts w:eastAsiaTheme="minorEastAsia"/>
                <w:szCs w:val="20"/>
                <w:rtl/>
              </w:rPr>
              <w:t>111 164</w:t>
            </w:r>
          </w:p>
        </w:tc>
        <w:tc>
          <w:tcPr>
            <w:tcW w:w="1546" w:type="dxa"/>
            <w:shd w:val="clear" w:color="auto" w:fill="auto"/>
            <w:hideMark/>
          </w:tcPr>
          <w:p w14:paraId="75C35E95" w14:textId="35A10397" w:rsidR="00803069" w:rsidRPr="000D5B62" w:rsidRDefault="00B03BF8" w:rsidP="00911912">
            <w:pPr>
              <w:spacing w:before="40" w:after="40" w:line="280" w:lineRule="exact"/>
              <w:jc w:val="left"/>
              <w:textDirection w:val="tbRlV"/>
              <w:rPr>
                <w:rFonts w:eastAsiaTheme="minorEastAsia"/>
                <w:bCs/>
                <w:szCs w:val="20"/>
                <w:lang w:eastAsia="zh-TW" w:bidi="en-GB"/>
              </w:rPr>
            </w:pPr>
            <w:r w:rsidRPr="000D5B62">
              <w:rPr>
                <w:rFonts w:eastAsiaTheme="minorEastAsia" w:hint="cs"/>
                <w:szCs w:val="20"/>
                <w:rtl/>
              </w:rPr>
              <w:t>518 163</w:t>
            </w:r>
          </w:p>
        </w:tc>
        <w:tc>
          <w:tcPr>
            <w:tcW w:w="1288" w:type="dxa"/>
            <w:shd w:val="clear" w:color="auto" w:fill="auto"/>
            <w:hideMark/>
          </w:tcPr>
          <w:p w14:paraId="63106D97" w14:textId="4D2EABD9" w:rsidR="00803069" w:rsidRPr="000D5B62" w:rsidRDefault="00803069" w:rsidP="00911912">
            <w:pPr>
              <w:spacing w:before="40" w:after="40" w:line="280" w:lineRule="exact"/>
              <w:jc w:val="left"/>
              <w:rPr>
                <w:rFonts w:eastAsiaTheme="minorEastAsia"/>
                <w:bCs/>
                <w:szCs w:val="20"/>
                <w:rtl/>
                <w:lang w:eastAsia="en-ZA"/>
              </w:rPr>
            </w:pPr>
          </w:p>
        </w:tc>
      </w:tr>
      <w:tr w:rsidR="00803069" w:rsidRPr="000D5B62" w14:paraId="00E21D17" w14:textId="77777777" w:rsidTr="00911912">
        <w:tc>
          <w:tcPr>
            <w:tcW w:w="2666" w:type="dxa"/>
            <w:shd w:val="clear" w:color="auto" w:fill="auto"/>
            <w:hideMark/>
          </w:tcPr>
          <w:p w14:paraId="7BC0E911"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 xml:space="preserve">نسبة الأطفال إلى جميع المجرمين المحكوم عليهم </w:t>
            </w:r>
          </w:p>
        </w:tc>
        <w:tc>
          <w:tcPr>
            <w:tcW w:w="1870" w:type="dxa"/>
            <w:shd w:val="clear" w:color="auto" w:fill="auto"/>
            <w:hideMark/>
          </w:tcPr>
          <w:p w14:paraId="32BA2EAF"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0,10</w:t>
            </w:r>
          </w:p>
        </w:tc>
        <w:tc>
          <w:tcPr>
            <w:tcW w:w="1546" w:type="dxa"/>
            <w:shd w:val="clear" w:color="auto" w:fill="auto"/>
            <w:hideMark/>
          </w:tcPr>
          <w:p w14:paraId="2B9DACA4"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0,11</w:t>
            </w:r>
          </w:p>
        </w:tc>
        <w:tc>
          <w:tcPr>
            <w:tcW w:w="1288" w:type="dxa"/>
            <w:shd w:val="clear" w:color="auto" w:fill="auto"/>
            <w:hideMark/>
          </w:tcPr>
          <w:p w14:paraId="5AF4EAD7" w14:textId="1283944D" w:rsidR="00803069" w:rsidRPr="000D5B62" w:rsidRDefault="00803069" w:rsidP="00911912">
            <w:pPr>
              <w:spacing w:before="40" w:after="40" w:line="280" w:lineRule="exact"/>
              <w:jc w:val="left"/>
              <w:rPr>
                <w:rFonts w:eastAsiaTheme="minorEastAsia"/>
                <w:bCs/>
                <w:szCs w:val="20"/>
                <w:rtl/>
                <w:lang w:eastAsia="en-ZA"/>
              </w:rPr>
            </w:pPr>
          </w:p>
        </w:tc>
      </w:tr>
      <w:tr w:rsidR="00803069" w:rsidRPr="000D5B62" w14:paraId="7B2823AE" w14:textId="77777777" w:rsidTr="00911912">
        <w:tc>
          <w:tcPr>
            <w:tcW w:w="2666" w:type="dxa"/>
            <w:shd w:val="clear" w:color="auto" w:fill="auto"/>
            <w:hideMark/>
          </w:tcPr>
          <w:p w14:paraId="7D82ACCE" w14:textId="77777777" w:rsidR="00803069" w:rsidRPr="000D5B62" w:rsidRDefault="00803069" w:rsidP="005F2563">
            <w:pPr>
              <w:spacing w:before="40" w:after="40" w:line="280" w:lineRule="exact"/>
              <w:ind w:right="113"/>
              <w:textDirection w:val="tbRlV"/>
              <w:rPr>
                <w:rFonts w:eastAsiaTheme="minorEastAsia"/>
                <w:szCs w:val="20"/>
                <w:rtl/>
                <w:lang w:val="ar-SA" w:eastAsia="zh-TW" w:bidi="en-GB"/>
              </w:rPr>
            </w:pPr>
            <w:r w:rsidRPr="000D5B62">
              <w:rPr>
                <w:rFonts w:eastAsiaTheme="minorEastAsia"/>
                <w:szCs w:val="20"/>
                <w:rtl/>
              </w:rPr>
              <w:t>نسبة الأطفال إلى جميع النزلاء</w:t>
            </w:r>
          </w:p>
        </w:tc>
        <w:tc>
          <w:tcPr>
            <w:tcW w:w="1870" w:type="dxa"/>
            <w:shd w:val="clear" w:color="auto" w:fill="auto"/>
            <w:hideMark/>
          </w:tcPr>
          <w:p w14:paraId="192C568C"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0,07</w:t>
            </w:r>
          </w:p>
        </w:tc>
        <w:tc>
          <w:tcPr>
            <w:tcW w:w="1546" w:type="dxa"/>
            <w:shd w:val="clear" w:color="auto" w:fill="auto"/>
            <w:hideMark/>
          </w:tcPr>
          <w:p w14:paraId="5500F3AD" w14:textId="77777777" w:rsidR="00803069" w:rsidRPr="000D5B62" w:rsidRDefault="00803069" w:rsidP="00911912">
            <w:pPr>
              <w:spacing w:before="40" w:after="40" w:line="280" w:lineRule="exact"/>
              <w:jc w:val="left"/>
              <w:textDirection w:val="tbRlV"/>
              <w:rPr>
                <w:rFonts w:eastAsiaTheme="minorEastAsia"/>
                <w:bCs/>
                <w:szCs w:val="20"/>
                <w:rtl/>
                <w:lang w:val="ar-SA" w:eastAsia="zh-TW" w:bidi="en-GB"/>
              </w:rPr>
            </w:pPr>
            <w:r w:rsidRPr="000D5B62">
              <w:rPr>
                <w:rFonts w:eastAsiaTheme="minorEastAsia"/>
                <w:szCs w:val="20"/>
                <w:rtl/>
              </w:rPr>
              <w:t>0,08</w:t>
            </w:r>
          </w:p>
        </w:tc>
        <w:tc>
          <w:tcPr>
            <w:tcW w:w="1288" w:type="dxa"/>
            <w:shd w:val="clear" w:color="auto" w:fill="auto"/>
            <w:hideMark/>
          </w:tcPr>
          <w:p w14:paraId="2091243E" w14:textId="5CDD1A19" w:rsidR="00803069" w:rsidRPr="000D5B62" w:rsidRDefault="00803069" w:rsidP="00911912">
            <w:pPr>
              <w:spacing w:before="40" w:after="40" w:line="280" w:lineRule="exact"/>
              <w:jc w:val="left"/>
              <w:rPr>
                <w:rFonts w:eastAsiaTheme="minorEastAsia"/>
                <w:bCs/>
                <w:szCs w:val="20"/>
                <w:rtl/>
                <w:lang w:eastAsia="en-ZA"/>
              </w:rPr>
            </w:pPr>
          </w:p>
        </w:tc>
      </w:tr>
    </w:tbl>
    <w:p w14:paraId="4DEDBD27" w14:textId="77777777" w:rsidR="00803069" w:rsidRPr="000D5B62" w:rsidRDefault="00803069" w:rsidP="00B157F1">
      <w:pPr>
        <w:pStyle w:val="H23GA"/>
        <w:rPr>
          <w:rtl/>
          <w:lang w:val="ar-SA" w:eastAsia="zh-TW" w:bidi="en-GB"/>
        </w:rPr>
      </w:pPr>
      <w:r w:rsidRPr="000D5B62">
        <w:rPr>
          <w:rtl/>
        </w:rPr>
        <w:tab/>
      </w:r>
      <w:r w:rsidRPr="000D5B62">
        <w:rPr>
          <w:rtl/>
        </w:rPr>
        <w:tab/>
        <w:t>المؤسسات الحكومية الداعمة للنظام الديمقراطي الدستوري</w:t>
      </w:r>
    </w:p>
    <w:p w14:paraId="347E4D39" w14:textId="4F45F92F" w:rsidR="00803069" w:rsidRPr="000D5B62" w:rsidRDefault="00803069" w:rsidP="00B157F1">
      <w:pPr>
        <w:pStyle w:val="SingleTxtGA"/>
        <w:rPr>
          <w:rtl/>
          <w:lang w:val="ar-SA" w:eastAsia="zh-TW" w:bidi="en-GB"/>
        </w:rPr>
      </w:pPr>
      <w:r w:rsidRPr="000D5B62">
        <w:rPr>
          <w:rtl/>
        </w:rPr>
        <w:t>94-</w:t>
      </w:r>
      <w:r w:rsidRPr="000D5B62">
        <w:rPr>
          <w:rtl/>
        </w:rPr>
        <w:tab/>
        <w:t>يشير الفصل 9 من الدستور إلى المؤسسات الحكومية التالية التي أنشئت لتعزيز الديمقراطية الدستورية في جنوب أفريقيا. وهي مكتب المحامي العام ومفوضية جنوب أفريقيا لحقوق الإنسان واللجنة</w:t>
      </w:r>
      <w:r w:rsidR="007B10EC" w:rsidRPr="000D5B62">
        <w:rPr>
          <w:rFonts w:hint="cs"/>
          <w:rtl/>
        </w:rPr>
        <w:t> </w:t>
      </w:r>
      <w:r w:rsidRPr="000D5B62">
        <w:rPr>
          <w:rtl/>
        </w:rPr>
        <w:t>المعنية بتعزيز وحماية حقوق الجماعات المحلية الثقافية والدينية واللغوية ولجنة المساواة بين الجنسين ومراجع الحسابات العام واللجنة الانتخابية وهيئة الاتصال المستقلة في جنوب أفريقيا. وينص الدستور على أن هذه المؤسسات مؤسسات مستقلة لا تخضع في عملها إلا للدستور والقانون. وتخول المادة</w:t>
      </w:r>
      <w:r w:rsidR="005F2563" w:rsidRPr="000D5B62">
        <w:rPr>
          <w:rFonts w:hint="cs"/>
          <w:rtl/>
        </w:rPr>
        <w:t> </w:t>
      </w:r>
      <w:r w:rsidRPr="000D5B62">
        <w:rPr>
          <w:rtl/>
        </w:rPr>
        <w:t>181(2) من الدستور لتلك المؤسسات إمكانية التصرف بحياد من دون خوف أو محاباة أو تحيز. ولا يجوز لأي شخص أو أي جهاز من أجهزة الدولة التدخل في اضطلاع المؤسسات المذكورة بعملها وهي تخضع للمساءلة أمام الجمعية الوطنية.</w:t>
      </w:r>
    </w:p>
    <w:p w14:paraId="6C654531" w14:textId="00A1282E" w:rsidR="00803069" w:rsidRPr="000D5B62" w:rsidRDefault="00803069" w:rsidP="00B157F1">
      <w:pPr>
        <w:pStyle w:val="SingleTxtGA"/>
        <w:rPr>
          <w:rtl/>
          <w:lang w:val="ar-SA" w:eastAsia="zh-TW" w:bidi="en-GB"/>
        </w:rPr>
      </w:pPr>
      <w:r w:rsidRPr="000D5B62">
        <w:rPr>
          <w:rtl/>
        </w:rPr>
        <w:t>95-</w:t>
      </w:r>
      <w:r w:rsidRPr="000D5B62">
        <w:rPr>
          <w:rtl/>
        </w:rPr>
        <w:tab/>
        <w:t>وقد أنشئت مفوضية جنوب أفريقيا لحقوق الإنسان لدعم النظام الديمقراطي الدستوري من خلال تعزيز حقوق الإنسان الواجبة لكل شخص في جنوب أفريقيا وحمايتها ورصد إعمالها بمنأى عن الخوف أو</w:t>
      </w:r>
      <w:r w:rsidR="007B10EC" w:rsidRPr="000D5B62">
        <w:rPr>
          <w:rFonts w:hint="cs"/>
          <w:rtl/>
        </w:rPr>
        <w:t> </w:t>
      </w:r>
      <w:r w:rsidRPr="000D5B62">
        <w:rPr>
          <w:rtl/>
        </w:rPr>
        <w:t>المحاباة أو التحيز. وولاية اللجنة العليا لحقوق الإنسان محددة في المادة 184 من الدستور. وهي تحظى بالاعتراف على الصعيد الدولي من مفوضية الأمم المتحدة لحقوق الإنسان بوصفها مؤسسة وطنية لحقوق الإنسان من الفئة (ألف)، وعليه، فإن المفوضية تلتزم بمبادئ باريس التي تشدد على استقلال المؤسسات الوطنية لحقوق الإنسان والطريقة التي يجب على المفوضية اتباعها في تسيير أعمالها. وفي عام</w:t>
      </w:r>
      <w:r w:rsidR="005F2563" w:rsidRPr="000D5B62">
        <w:rPr>
          <w:rFonts w:hint="cs"/>
          <w:rtl/>
        </w:rPr>
        <w:t> </w:t>
      </w:r>
      <w:r w:rsidRPr="000D5B62">
        <w:rPr>
          <w:rtl/>
        </w:rPr>
        <w:t>2017/2018، ردت المفوضية على شكاوى تلقتها بشأن انتهاكات لحقوق الإنسان، تتعلق أبرز خمسة منها بما يلي: المساواة (14 في المائة)؛ والرعاية الصحية والأمن الغذائي والمائي والضمان الاجتماعي (9 في المائة)؛ وعدالة الإجراءات الإدارية (9 في المائة)؛ وعلاقات العمل (8 في المائة)؛ وكرامة الإنسان (8 في المائة). كما أدت المفوضية دوراً محورياً في رفع دعاوى التقاضي الاستراتيجي</w:t>
      </w:r>
      <w:r w:rsidRPr="000D5B62">
        <w:rPr>
          <w:rStyle w:val="FootnoteReference"/>
          <w:szCs w:val="22"/>
          <w:rtl/>
        </w:rPr>
        <w:t>(</w:t>
      </w:r>
      <w:r w:rsidRPr="000D5B62">
        <w:rPr>
          <w:rStyle w:val="FootnoteReference"/>
          <w:szCs w:val="22"/>
          <w:rtl/>
        </w:rPr>
        <w:footnoteReference w:id="79"/>
      </w:r>
      <w:r w:rsidRPr="000D5B62">
        <w:rPr>
          <w:rStyle w:val="FootnoteReference"/>
          <w:szCs w:val="22"/>
          <w:rtl/>
        </w:rPr>
        <w:t>)</w:t>
      </w:r>
      <w:r w:rsidR="00B157F1" w:rsidRPr="000D5B62">
        <w:rPr>
          <w:rFonts w:hint="cs"/>
          <w:rtl/>
        </w:rPr>
        <w:t>.</w:t>
      </w:r>
    </w:p>
    <w:p w14:paraId="041C5F91" w14:textId="46683C92" w:rsidR="00803069" w:rsidRPr="000D5B62" w:rsidRDefault="00803069" w:rsidP="00B157F1">
      <w:pPr>
        <w:pStyle w:val="SingleTxtGA"/>
        <w:rPr>
          <w:rtl/>
          <w:lang w:val="ar-SA" w:eastAsia="zh-TW" w:bidi="en-GB"/>
        </w:rPr>
      </w:pPr>
      <w:r w:rsidRPr="000D5B62">
        <w:rPr>
          <w:rtl/>
        </w:rPr>
        <w:t>96-</w:t>
      </w:r>
      <w:r w:rsidRPr="000D5B62">
        <w:rPr>
          <w:rtl/>
        </w:rPr>
        <w:tab/>
        <w:t>وأجرت المفوضية أيضاً تحقيقات في ادعاءات شتى تتصل بانتهاك الحق في المساواة والكرامة وبخطاب الكراهية. وفي 20 آذار/مارس 2018، أصدرت المفوضية تقريرها عن جلسة الاستماع التي عقدت على الصعيد الوطني بشأن حالة حقوق الإنسان لجماعتي الخوي والسان في جنوب أفريقيا</w:t>
      </w:r>
      <w:r w:rsidRPr="000D5B62">
        <w:rPr>
          <w:rStyle w:val="FootnoteReference"/>
          <w:szCs w:val="22"/>
          <w:rtl/>
        </w:rPr>
        <w:t>(</w:t>
      </w:r>
      <w:r w:rsidRPr="000D5B62">
        <w:rPr>
          <w:rStyle w:val="FootnoteReference"/>
          <w:szCs w:val="22"/>
          <w:rtl/>
        </w:rPr>
        <w:footnoteReference w:id="80"/>
      </w:r>
      <w:r w:rsidRPr="000D5B62">
        <w:rPr>
          <w:rStyle w:val="FootnoteReference"/>
          <w:szCs w:val="22"/>
          <w:rtl/>
        </w:rPr>
        <w:t>)</w:t>
      </w:r>
      <w:r w:rsidR="00911912" w:rsidRPr="000D5B62">
        <w:rPr>
          <w:rFonts w:hint="cs"/>
          <w:rtl/>
        </w:rPr>
        <w:t xml:space="preserve">. </w:t>
      </w:r>
      <w:r w:rsidRPr="000D5B62">
        <w:rPr>
          <w:rtl/>
        </w:rPr>
        <w:t>ويتناول التقرير وقائع جلسات الاستماع إلى أقوال الشهود التي عقدتها المفوضية في مقاطعات غاوتنغ والكيب الغربية والكيب الشمالية في الفترة بين عامي 2015 و2017 في إطار التحري عن حالة حقوق الإنسان الواجبة لجماعتي الخوي والسان</w:t>
      </w:r>
      <w:r w:rsidRPr="000D5B62">
        <w:rPr>
          <w:rStyle w:val="FootnoteReference"/>
          <w:szCs w:val="22"/>
          <w:rtl/>
        </w:rPr>
        <w:t>(</w:t>
      </w:r>
      <w:r w:rsidRPr="000D5B62">
        <w:rPr>
          <w:rStyle w:val="FootnoteReference"/>
          <w:szCs w:val="22"/>
          <w:rtl/>
        </w:rPr>
        <w:footnoteReference w:id="81"/>
      </w:r>
      <w:r w:rsidRPr="000D5B62">
        <w:rPr>
          <w:rStyle w:val="FootnoteReference"/>
          <w:szCs w:val="22"/>
          <w:rtl/>
        </w:rPr>
        <w:t>)</w:t>
      </w:r>
      <w:r w:rsidR="00911912" w:rsidRPr="000D5B62">
        <w:rPr>
          <w:rFonts w:hint="cs"/>
          <w:rtl/>
        </w:rPr>
        <w:t xml:space="preserve">. </w:t>
      </w:r>
      <w:r w:rsidRPr="000D5B62">
        <w:rPr>
          <w:rtl/>
        </w:rPr>
        <w:t>وعقدت المفوضية على الصعيد الوطني وعلى صعيد المقاطعات، عدداً من جلسات الاستماع تخص مجالات معينة تدعو إلى القلق. ففي 14-15 تشرين الثاني/نوفمبر 2017، عقدت جلسة استماع على الصعيد الوطني للتحري عن حالة العناية بالصحة العقلية في جنوب أفريقيا؛ في 7-8 شباط/فبراير 2018، عقدت جلسة استماع على الصعيد الوطني للتحري عن مدى قوة اللُحمة الاجتماعية والحالة فيما يتصل بكراهية الأجانب والهجرة؛ وفي 19-20 آذار/</w:t>
      </w:r>
      <w:r w:rsidR="007B10EC" w:rsidRPr="000D5B62">
        <w:rPr>
          <w:rFonts w:hint="cs"/>
          <w:rtl/>
        </w:rPr>
        <w:t xml:space="preserve"> </w:t>
      </w:r>
      <w:r w:rsidRPr="000D5B62">
        <w:rPr>
          <w:rtl/>
        </w:rPr>
        <w:t xml:space="preserve">مارس 2018، عقدت على صعيد المقاطعات جلسة استماع في المقاطعة الغربية الشمالية بشأن انعدام التدابير الأمنية في مدارس ذوي الاحتياجات الخاصة في المقاطعة؛ وفي 28 آذار/مارس 2018، عقدت جلسة عامة رفيعة المستوى للاستعلام عن استغلال الأراضي وأثر استغلال الأراضي الزراعية وأنماط الملكية في حقوق الإنسان على اعتبار أن إصلاح الأراضي في الريف يعد أيضاً عنصراً رئيسياً من عناصر إعمال حقوق الإنسان بالتدريج. </w:t>
      </w:r>
    </w:p>
    <w:p w14:paraId="4F8AED68" w14:textId="3330FD1F" w:rsidR="00803069" w:rsidRPr="000D5B62" w:rsidRDefault="00803069" w:rsidP="00B157F1">
      <w:pPr>
        <w:pStyle w:val="SingleTxtGA"/>
        <w:rPr>
          <w:rStyle w:val="FootnoteReference"/>
          <w:rFonts w:eastAsiaTheme="minorEastAsia"/>
          <w:spacing w:val="-2"/>
          <w:szCs w:val="22"/>
          <w:rtl/>
          <w:lang w:val="ar-SA" w:eastAsia="zh-TW" w:bidi="en-GB"/>
        </w:rPr>
      </w:pPr>
      <w:r w:rsidRPr="000D5B62">
        <w:rPr>
          <w:spacing w:val="-2"/>
          <w:rtl/>
        </w:rPr>
        <w:t>97-</w:t>
      </w:r>
      <w:r w:rsidRPr="000D5B62">
        <w:rPr>
          <w:spacing w:val="-2"/>
          <w:rtl/>
        </w:rPr>
        <w:tab/>
        <w:t>ومن ناحية أخرى، أنشئت اللجنة المعنية بالمساواة بين الجنسين بموجب المادة 187 من الدستور لتعمل على كفالة احترام مبدأ المساواة بين الجنسين وحمايته وبلورته وتحقيقه. وتتمثل ولاية اللجنة في العمل على ضمان احترام مبدأ المساواة بين الجنسين وحمايته وبلورته وتحقيقه، ومن ثم يتوجب عليها متابعة القضايا المتعلقة بالمساواة بين الجنسين والتحقيق فيها وإجراء بحوث بشأنها والتوعية بها وممارسة الضغط لنصرتها وإسداء المشورة للبرلمان بشأنها وتقديم تقارير عنها ورصد الامتثال للاتفاقيات الإقليمية والدولية. وتستمد اللجنة كذلك ولايتها من قانون المساواة لعام 2000</w:t>
      </w:r>
      <w:r w:rsidRPr="000D5B62">
        <w:rPr>
          <w:rStyle w:val="FootnoteReference"/>
          <w:spacing w:val="-2"/>
          <w:szCs w:val="22"/>
          <w:rtl/>
        </w:rPr>
        <w:t>(</w:t>
      </w:r>
      <w:r w:rsidRPr="000D5B62">
        <w:rPr>
          <w:rStyle w:val="FootnoteReference"/>
          <w:spacing w:val="-2"/>
          <w:szCs w:val="22"/>
          <w:rtl/>
        </w:rPr>
        <w:footnoteReference w:id="82"/>
      </w:r>
      <w:r w:rsidRPr="000D5B62">
        <w:rPr>
          <w:rStyle w:val="FootnoteReference"/>
          <w:spacing w:val="-2"/>
          <w:szCs w:val="22"/>
          <w:rtl/>
        </w:rPr>
        <w:t>)</w:t>
      </w:r>
      <w:r w:rsidRPr="000D5B62">
        <w:rPr>
          <w:spacing w:val="-2"/>
          <w:rtl/>
        </w:rPr>
        <w:t>، مما يتيح لها مساعدة أصحاب الشكاوى على رفع الدعاوى في المحكمة المختصة بالفصل في دعاوى المساواة وإجراء تحقيقات في المخالفات الثابتة لقانون تحقيق المساواة ومنع التمييز من دون وجه حق وتقديم توصيات في هذا الصدد</w:t>
      </w:r>
      <w:r w:rsidRPr="000D5B62">
        <w:rPr>
          <w:rStyle w:val="FootnoteReference"/>
          <w:spacing w:val="-2"/>
          <w:szCs w:val="22"/>
          <w:rtl/>
        </w:rPr>
        <w:t>(</w:t>
      </w:r>
      <w:r w:rsidRPr="000D5B62">
        <w:rPr>
          <w:rStyle w:val="FootnoteReference"/>
          <w:spacing w:val="-2"/>
          <w:szCs w:val="22"/>
          <w:rtl/>
        </w:rPr>
        <w:footnoteReference w:id="83"/>
      </w:r>
      <w:r w:rsidRPr="000D5B62">
        <w:rPr>
          <w:rStyle w:val="FootnoteReference"/>
          <w:spacing w:val="-2"/>
          <w:szCs w:val="22"/>
          <w:rtl/>
        </w:rPr>
        <w:t>)</w:t>
      </w:r>
      <w:r w:rsidR="00911912" w:rsidRPr="000D5B62">
        <w:rPr>
          <w:rStyle w:val="FootnoteReference"/>
          <w:rFonts w:hint="cs"/>
          <w:spacing w:val="-2"/>
          <w:szCs w:val="22"/>
          <w:vertAlign w:val="baseline"/>
          <w:rtl/>
        </w:rPr>
        <w:t>.</w:t>
      </w:r>
    </w:p>
    <w:p w14:paraId="1FC27D4F" w14:textId="7E20DCE4" w:rsidR="00803069" w:rsidRPr="000D5B62" w:rsidRDefault="00803069" w:rsidP="00B157F1">
      <w:pPr>
        <w:pStyle w:val="SingleTxtGA"/>
        <w:rPr>
          <w:rtl/>
          <w:lang w:val="ar-SA" w:eastAsia="zh-TW" w:bidi="en-GB"/>
        </w:rPr>
      </w:pPr>
      <w:r w:rsidRPr="000D5B62">
        <w:rPr>
          <w:rtl/>
        </w:rPr>
        <w:t>98-</w:t>
      </w:r>
      <w:r w:rsidRPr="000D5B62">
        <w:rPr>
          <w:rtl/>
        </w:rPr>
        <w:tab/>
        <w:t xml:space="preserve">وفي الفترة </w:t>
      </w:r>
      <w:r w:rsidRPr="000D5B62">
        <w:t>2017/2016</w:t>
      </w:r>
      <w:r w:rsidRPr="000D5B62">
        <w:rPr>
          <w:rtl/>
        </w:rPr>
        <w:t>، قامت اللجنة بإعداد تقرير استقصائي واحد عن التحول الجنساني في مؤسسات القطاع الخاص، وعقدت جلسات استماع عن التحول الجنساني في جامعات كوا - زولو ناتال وكيب تاون ويتواترسراند، وأصدرت تقريرا</w:t>
      </w:r>
      <w:r w:rsidR="00D671DF" w:rsidRPr="000D5B62">
        <w:rPr>
          <w:rFonts w:hint="cs"/>
          <w:rtl/>
        </w:rPr>
        <w:t>ً</w:t>
      </w:r>
      <w:r w:rsidRPr="000D5B62">
        <w:rPr>
          <w:rtl/>
        </w:rPr>
        <w:t xml:space="preserve"> عن حالة السياسات والممارسات الجنسانية باستخدام مقياس نوع الجنس والتركيز على قطاع التعدين؛ وقدمت مدخلات بشأن 16 ورقة معلومات؛ وأعدت تقارير تقييمية عن تمثيل المرأة في الأحزاب السياسية على صعيد الحكومات المحلية، وتنفيذ خطة العمل الوطنية لمكافحة العنف الجنساني، وتنفيذ ميثاق الضحايا</w:t>
      </w:r>
      <w:r w:rsidRPr="000D5B62">
        <w:rPr>
          <w:rStyle w:val="FootnoteReference"/>
          <w:szCs w:val="22"/>
          <w:rtl/>
        </w:rPr>
        <w:t>(</w:t>
      </w:r>
      <w:r w:rsidRPr="000D5B62">
        <w:rPr>
          <w:rStyle w:val="FootnoteReference"/>
          <w:szCs w:val="22"/>
          <w:rtl/>
        </w:rPr>
        <w:footnoteReference w:id="84"/>
      </w:r>
      <w:r w:rsidRPr="000D5B62">
        <w:rPr>
          <w:rStyle w:val="FootnoteReference"/>
          <w:szCs w:val="22"/>
          <w:rtl/>
        </w:rPr>
        <w:t>)</w:t>
      </w:r>
      <w:r w:rsidR="00D671DF" w:rsidRPr="000D5B62">
        <w:rPr>
          <w:rtl/>
        </w:rPr>
        <w:t>.</w:t>
      </w:r>
      <w:r w:rsidRPr="000D5B62">
        <w:rPr>
          <w:rtl/>
        </w:rPr>
        <w:t xml:space="preserve"> وتناولت اللجنة، في الفترة ذاتها، 756 شكوى تتعلق بانتهاك مبدأ المساواة بين الجنسين ونظمت في جميع أنحاء البلد ما مجموعه 136 دورة للتوعية والدعوة وإسداء المشورة القانونية. وأجرت أيضاً تحقيقات ركزت فيها على التحول الذي تشهده الهيئة القضائية وعلى صحة الأم (في أثناء الحمل والوضع وفترة النفاس) وعلى إلغاء تجريم الاشتغال بالجنس وعلى مدى تغير المواقف حيال المساواة بين الجنسين في قطاع التعدين. وشاركت اللجنة أيضاً في برامج منسقة بالاشتراك مع قطاع المثليات والمثليين ومزدوجي الميل الجنسي ومغايري الهوية الجنسانية وحاملي صفات الجنسين والمؤسسات الأخرى الداعمة للنظام الديمقراطي الدستوري. </w:t>
      </w:r>
    </w:p>
    <w:p w14:paraId="048F311F" w14:textId="7690A23D" w:rsidR="00803069" w:rsidRPr="000D5B62" w:rsidRDefault="00803069" w:rsidP="00B157F1">
      <w:pPr>
        <w:pStyle w:val="SingleTxtGA"/>
        <w:rPr>
          <w:lang w:val="ar-SA" w:eastAsia="zh-TW" w:bidi="en-GB"/>
        </w:rPr>
      </w:pPr>
      <w:r w:rsidRPr="000D5B62">
        <w:rPr>
          <w:rtl/>
        </w:rPr>
        <w:t>99-</w:t>
      </w:r>
      <w:r w:rsidRPr="000D5B62">
        <w:rPr>
          <w:rtl/>
        </w:rPr>
        <w:tab/>
        <w:t>وتنص المادة 185 من الدستور على أن الأهداف الرئيسية للجنة المعنية بتعزيز وحماية حقوق الجماعات الثقافية والدينية واللغوية هي كفالة احترام حقوق هذه الجماعات ونشر وتعزيز السلام والعلاقات</w:t>
      </w:r>
      <w:r w:rsidR="00D671DF" w:rsidRPr="000D5B62">
        <w:rPr>
          <w:rFonts w:hint="cs"/>
          <w:rtl/>
        </w:rPr>
        <w:t> </w:t>
      </w:r>
      <w:r w:rsidRPr="000D5B62">
        <w:rPr>
          <w:rtl/>
        </w:rPr>
        <w:t xml:space="preserve">الودية والإنسانية والتسامح والوحدة الوطنية فيما بينها على أساس المساواة وعدم التمييز وحرية تكوين الجمعيات؛ والتوصية بإنشاء مجلس ثقافي أو أي مجلس آخر أو مجالس أخرى لجماعة محلية ما </w:t>
      </w:r>
      <w:r w:rsidRPr="000D5B62">
        <w:rPr>
          <w:spacing w:val="-2"/>
          <w:rtl/>
        </w:rPr>
        <w:t>أو جماعات محلية أخرى في جنوب أفريقيا أو الاعتراف بذلك المجلس أو تلك المجالس، في حال وجودها</w:t>
      </w:r>
      <w:r w:rsidRPr="000D5B62">
        <w:rPr>
          <w:rtl/>
        </w:rPr>
        <w:t xml:space="preserve">، </w:t>
      </w:r>
      <w:r w:rsidRPr="000D5B62">
        <w:rPr>
          <w:spacing w:val="-2"/>
          <w:rtl/>
        </w:rPr>
        <w:t>وفقاً للتشريعات الوطنية. وتملك اللجنة السلطة اللازمة لتحقيق أهدافها الرئيسية وهي سلطة تنظمها التشريعات</w:t>
      </w:r>
      <w:r w:rsidRPr="000D5B62">
        <w:rPr>
          <w:rtl/>
        </w:rPr>
        <w:t xml:space="preserve"> الوطنية، وتشمل سلطة متابعة القضايا المتعلقة بحقوق الجماعات الثقافية والدينية واللغوية والتحقيق فيها وإجراء بحوث بشأنها والتوعية بها والضغط لنصرتها وإسداء المشورة بشأنها وتقديم تقارير عنها. ويجوز</w:t>
      </w:r>
      <w:r w:rsidR="00D671DF" w:rsidRPr="000D5B62">
        <w:rPr>
          <w:rFonts w:hint="cs"/>
          <w:rtl/>
        </w:rPr>
        <w:t> </w:t>
      </w:r>
      <w:r w:rsidRPr="000D5B62">
        <w:rPr>
          <w:rtl/>
        </w:rPr>
        <w:t>للجنة أن تحيل أي مسألة تندرج في نطاق سلطاتها ومهامها إلى مفوضية جنوب أفريقيا لحقوق الإنسان للتحقيق فيها. وتباشر اللجنة السلطات والمهام الإضافية المنصوص عليها في التشريعات الوطنية. وفي عام 2016/2017، أصدرت اللجنة تقريرها المتعلق بالمتاجرة بالدين واستغلال منظومات العقائد التي يعتنقها الناس في التربح، وعرض التقرير على لجنة برلمانية. وأثارت ردود الفعل إزاء التقرير مخاوف شتى، وما برحت اللجنة تنتظر قرار المحكمة الدستورية بشأن مدى دستورية توصياتها.</w:t>
      </w:r>
    </w:p>
    <w:p w14:paraId="045C1209" w14:textId="7776553D" w:rsidR="00803069" w:rsidRPr="000D5B62" w:rsidRDefault="00803069" w:rsidP="00B157F1">
      <w:pPr>
        <w:pStyle w:val="SingleTxtGA"/>
        <w:rPr>
          <w:lang w:val="ar-SA" w:eastAsia="zh-TW" w:bidi="en-GB"/>
        </w:rPr>
      </w:pPr>
      <w:r w:rsidRPr="000D5B62">
        <w:rPr>
          <w:rtl/>
        </w:rPr>
        <w:t>100-</w:t>
      </w:r>
      <w:r w:rsidRPr="000D5B62">
        <w:rPr>
          <w:rtl/>
        </w:rPr>
        <w:tab/>
        <w:t>وتنص المادة 182 على إنشاء مكتب المحامي العام الذي يباشر، على النحو المبين في التشريعات الوطنية، سلطة التحقيق في أي سلوك يبدر في سياق تصريف شؤون الدولة أو في إدارة الشؤون العامة في أي مجال من مجالات الحكم، يُدّعى أنه سلوك غير لائق أو أن من شأنه أن يفضي إلى اعوجاج ما أو ضرر ما أو يشتبه في أنه كذلك، والإبلاغ عن ذلك السلوك واتخاذ الإجراء التصحيحي المناسب. ويباشر المحامي العام السلطات والمهام الإضافية المنصوص عليها في التشريعات الوطنية. ولا</w:t>
      </w:r>
      <w:r w:rsidR="00D671DF" w:rsidRPr="000D5B62">
        <w:rPr>
          <w:rFonts w:hint="cs"/>
          <w:rtl/>
        </w:rPr>
        <w:t> </w:t>
      </w:r>
      <w:r w:rsidRPr="000D5B62">
        <w:rPr>
          <w:rtl/>
        </w:rPr>
        <w:t>يجوز للمحامي العام الاستفسار عن قرارات المحاكم. ومن المفروض أن تتاح لجميع الأشخاص والجماعات المحلية إمكانية اللجوء إليه.</w:t>
      </w:r>
    </w:p>
    <w:p w14:paraId="5B2C9758" w14:textId="77777777" w:rsidR="00803069" w:rsidRPr="000D5B62" w:rsidRDefault="00803069" w:rsidP="00B157F1">
      <w:pPr>
        <w:pStyle w:val="SingleTxtGA"/>
        <w:rPr>
          <w:spacing w:val="-2"/>
          <w:lang w:val="ar-SA" w:eastAsia="zh-TW" w:bidi="en-GB"/>
        </w:rPr>
      </w:pPr>
      <w:r w:rsidRPr="000D5B62">
        <w:rPr>
          <w:rtl/>
        </w:rPr>
        <w:t>101-</w:t>
      </w:r>
      <w:r w:rsidRPr="000D5B62">
        <w:rPr>
          <w:rtl/>
        </w:rPr>
        <w:tab/>
      </w:r>
      <w:r w:rsidRPr="000D5B62">
        <w:rPr>
          <w:spacing w:val="-2"/>
          <w:rtl/>
        </w:rPr>
        <w:t>ويعين الرئيس المحامي العام بناءً على توصية الجمعية الوطنية. ولما كانت التحقيقات التي يجريها المكتب تتناول، بحكم طبيعتها، شخصيات رفيعة المستوى فقد أوجدت تحديات قانونية كثيرة، ومن ذلك مثلاً تقرير الفساد السياسي الذي يغوص في الادعاءات القائلة بفساد الدولة. وفي الفترة 2016/2017، أتم مكتب المحامي العام النظر في 787 10 شكوى من 397 16 شكوى قدمت إليه. ومن بين الشكاوى التي انتهى النظر فيها 606 شكاوى لا تندرج في نطاق ولايته و929 شكوى أحيلت إلى مؤسسات أخرى مختصة للفصل فيها. وجاءت نتائج التحقيقات في صالح مقدمي الشكاوى في 49 في المائة من القضايا التي فُصل فيها. وصدر سبعة عشر تقريراً بشأن التحقيقات تناولت مسائل من قبيل: إيذاء المبلغين عن المخالفات ومشاكل تتعلق بتعويضات العمال والأمور المتعلقة بالحوكمة التي تشكل بالنسبة لأجهزة الحكم المحلي مصدراً للإزعاج ومحنة مؤسسات الأعمال الصغيرة.</w:t>
      </w:r>
    </w:p>
    <w:p w14:paraId="58B6EE06" w14:textId="77777777" w:rsidR="00803069" w:rsidRPr="000D5B62" w:rsidRDefault="00803069" w:rsidP="00B157F1">
      <w:pPr>
        <w:pStyle w:val="H23GA"/>
        <w:rPr>
          <w:lang w:val="ar-SA" w:eastAsia="zh-TW" w:bidi="en-GB"/>
        </w:rPr>
      </w:pPr>
      <w:r w:rsidRPr="000D5B62">
        <w:rPr>
          <w:rtl/>
        </w:rPr>
        <w:tab/>
      </w:r>
      <w:r w:rsidRPr="000D5B62">
        <w:rPr>
          <w:rtl/>
        </w:rPr>
        <w:tab/>
        <w:t>جهات فاعلة أخرى هامة (الإعلام والمجتمع المدني)</w:t>
      </w:r>
    </w:p>
    <w:p w14:paraId="7CD63AF6" w14:textId="77777777" w:rsidR="00803069" w:rsidRPr="000D5B62" w:rsidRDefault="00803069" w:rsidP="00B157F1">
      <w:pPr>
        <w:pStyle w:val="SingleTxtGA"/>
        <w:rPr>
          <w:lang w:val="ar-SA" w:eastAsia="zh-TW" w:bidi="en-GB"/>
        </w:rPr>
      </w:pPr>
      <w:r w:rsidRPr="000D5B62">
        <w:rPr>
          <w:rtl/>
        </w:rPr>
        <w:t>102-</w:t>
      </w:r>
      <w:r w:rsidRPr="000D5B62">
        <w:rPr>
          <w:rtl/>
        </w:rPr>
        <w:tab/>
        <w:t>يعتبر المجتمع المدني من الجهات الهامة صاحبة المصلحة في أي بلد يسعى إلى ترسيخ دعائم الديمقراطية. وبحكم تعريفه كجهة تعمل خارج الإطار الحكومي وبمعزل عن السوق، غالباً ما يشار إليه باعتباره القطاع الثالث. وتتباين منظمات المجتمع المدني في طابعها ومقاصدها، إلا أن هناك خيطاً يربط بينها جميعاً ألا وهو أنها موجودة في الحياة العامة من أجل النهوض بالصالح العام. والواقع أن مدى رسوخ الديمقراطية في بلد ما غالباً ما يقاس بمدى قوة المجتمع المدني في ذلك البلد. وتُعرَّف منظمات المجتمع المدني بأنها المجتمع المدني المنظم ويمكن أن تتخذ أشكالاً عديدة، ليكون بعضها كيانات غير رسمية والبعض الآخر كيانات رسمية، من قبيل المنظمات غير الحكومية والمنظمات المجتمعية والمنظمات الدينية، وغير ذلك من الأشكال، كأن تلتف مجموعة من الأفراد حول قصد مشترك، في إطار السعي إلى الوفاء بمهمة محددة تلبية لحاجة ما. وتوجد في مختلف القطاعات في جنوب أفريقيا منظمات المجتمع المدني النشطة والمفعمة بالحيوية.</w:t>
      </w:r>
    </w:p>
    <w:p w14:paraId="41A0E6F4" w14:textId="4DB9C436" w:rsidR="00803069" w:rsidRPr="000D5B62" w:rsidRDefault="00803069" w:rsidP="00B157F1">
      <w:pPr>
        <w:pStyle w:val="SingleTxtGA"/>
        <w:rPr>
          <w:lang w:val="fr-CH" w:eastAsia="zh-TW" w:bidi="en-GB"/>
        </w:rPr>
      </w:pPr>
      <w:r w:rsidRPr="000D5B62">
        <w:rPr>
          <w:rtl/>
        </w:rPr>
        <w:t>103</w:t>
      </w:r>
      <w:r w:rsidRPr="000D5B62">
        <w:rPr>
          <w:spacing w:val="-2"/>
          <w:rtl/>
        </w:rPr>
        <w:t>-</w:t>
      </w:r>
      <w:r w:rsidRPr="000D5B62">
        <w:rPr>
          <w:spacing w:val="-2"/>
          <w:rtl/>
        </w:rPr>
        <w:tab/>
        <w:t xml:space="preserve">حرية التعبير في جنوب أفريقيا مكرسة في المادة 16 من الدستور. وكقاعدة عامة، لا يمكن </w:t>
      </w:r>
      <w:r w:rsidR="00D671DF" w:rsidRPr="000D5B62">
        <w:rPr>
          <w:rFonts w:hint="cs"/>
          <w:spacing w:val="-2"/>
          <w:rtl/>
        </w:rPr>
        <w:t>تقييد</w:t>
      </w:r>
      <w:r w:rsidRPr="000D5B62">
        <w:rPr>
          <w:rtl/>
        </w:rPr>
        <w:t xml:space="preserve"> </w:t>
      </w:r>
      <w:r w:rsidRPr="000D5B62">
        <w:rPr>
          <w:spacing w:val="-2"/>
          <w:rtl/>
        </w:rPr>
        <w:t>حرية التعبير إلا بقانون يراعى فيه التقيد حرفياً بأحكام المادة 36 من الدستور (البند التقييدي) وعدم المغالاة</w:t>
      </w:r>
      <w:r w:rsidRPr="000D5B62">
        <w:rPr>
          <w:rtl/>
        </w:rPr>
        <w:t xml:space="preserve"> في الانتقاص من أهمية الحق لإبطاله. وتعد وسائط الإعلام من الآليات الرئيسية المعنية بالترويج لحقوق الإنسان وبتحديد الانتهاكات والتعريف بمن يُقْدمون عليها وبالنهوض، بوجه عام، بقضية حقوق الإنسان. ووسائط الإعلام في جنوب أفريقيا، بما فيها وسائل التواصل الاجتماعي، نشطة للغاية وتتناول يومياً مختلف حقوق الإنسان، بما فيها الحقوق الاجتماعية والاقتصادية والثقافية بمختلف جوانبها</w:t>
      </w:r>
      <w:r w:rsidRPr="000D5B62">
        <w:rPr>
          <w:rStyle w:val="FootnoteReference"/>
          <w:szCs w:val="22"/>
          <w:rtl/>
        </w:rPr>
        <w:t>(</w:t>
      </w:r>
      <w:r w:rsidRPr="000D5B62">
        <w:rPr>
          <w:rStyle w:val="FootnoteReference"/>
          <w:szCs w:val="22"/>
          <w:rtl/>
        </w:rPr>
        <w:footnoteReference w:id="85"/>
      </w:r>
      <w:r w:rsidRPr="000D5B62">
        <w:rPr>
          <w:rStyle w:val="FootnoteReference"/>
          <w:szCs w:val="22"/>
          <w:rtl/>
        </w:rPr>
        <w:t>)</w:t>
      </w:r>
      <w:r w:rsidRPr="000D5B62">
        <w:rPr>
          <w:rtl/>
        </w:rPr>
        <w:t>.</w:t>
      </w:r>
    </w:p>
    <w:p w14:paraId="54C8F495" w14:textId="35987BF3" w:rsidR="00803069" w:rsidRPr="000D5B62" w:rsidRDefault="00803069" w:rsidP="00B157F1">
      <w:pPr>
        <w:pStyle w:val="SingleTxtGA"/>
        <w:rPr>
          <w:lang w:val="ar-SA" w:eastAsia="zh-TW" w:bidi="en-GB"/>
        </w:rPr>
      </w:pPr>
      <w:r w:rsidRPr="000D5B62">
        <w:rPr>
          <w:rtl/>
        </w:rPr>
        <w:t>104-</w:t>
      </w:r>
      <w:r w:rsidRPr="000D5B62">
        <w:rPr>
          <w:rtl/>
        </w:rPr>
        <w:tab/>
        <w:t>وتوجد ثلاثة أنواع من المحطات الإذاعية هي: محطة الإذاعة العامة؛ المحطات الإذاعية التجارية الخاصة؛ المحطات الإذاعية المجتمعية. وتهيمن هيئة إذاعة جنوب أفريقيا على قطاع الإذاعة من حيث عدد المحطات الإذاعية التابعة لها ويبلغ 19 محطة إذاعية</w:t>
      </w:r>
      <w:r w:rsidRPr="000D5B62">
        <w:rPr>
          <w:rStyle w:val="FootnoteReference"/>
          <w:szCs w:val="22"/>
          <w:rtl/>
        </w:rPr>
        <w:t>(</w:t>
      </w:r>
      <w:r w:rsidRPr="000D5B62">
        <w:rPr>
          <w:rStyle w:val="FootnoteReference"/>
          <w:szCs w:val="22"/>
          <w:rtl/>
        </w:rPr>
        <w:footnoteReference w:id="86"/>
      </w:r>
      <w:r w:rsidRPr="000D5B62">
        <w:rPr>
          <w:rStyle w:val="FootnoteReference"/>
          <w:szCs w:val="22"/>
          <w:rtl/>
        </w:rPr>
        <w:t>)</w:t>
      </w:r>
      <w:r w:rsidRPr="000D5B62">
        <w:rPr>
          <w:rtl/>
        </w:rPr>
        <w:t xml:space="preserve">. ولقد أدى ازدياد البرامج التي تبث باللغات المحلية، ولا سيما في الحيز المخصص للإذاعات المجتمعية إلى طفرة في هذا القطاع. ووفقاً للاستقصاء المتعلق بجميع وسائط الإعلام والمنتجات الإعلامية الذي أجري في عام 2015، مثلت المحطات الإذاعية المجتمعية 25,6 في المائة من إجمالي حصة السوق الإذاعية. وفي عام 2013، أفادت هيئة الاتصالات المستقلة بأن عدد التراخيص التي صدرت في جنوب أفريقيا لإنشاء محطات إذاعية مجتمعية يبلغ 193 ترخيصاً، ولكن لم يبق من تلك المحطات في الخدمة سوى 164 محطة. ويوجد في جنوب أفريقيا 11,1 مليون أسرة معيشية لديها أجهزة تلفزيونية وثلاثة أنواع من المحطات التلفزيونية هي: المحطات التلفزيونية العامة والمحطات التلفزيونية التجارية الخاصة ومحطات الإذاعة والتلفزيون المجتمعية. وتملك هيئة إذاعة جنوب أفريقيا ثلاث قنوات تلفزيونية أرضية (القنوات 1 و2 و3) يبلغ مجموع مشاهديها 000 472 33 مشاهد أي ما نسبته 69,3 في المائة من مجموع مشاهدي التلفزيون. وتعد محطة </w:t>
      </w:r>
      <w:r w:rsidRPr="000D5B62">
        <w:t>E.tv</w:t>
      </w:r>
      <w:r w:rsidRPr="000D5B62">
        <w:rPr>
          <w:rtl/>
        </w:rPr>
        <w:t xml:space="preserve"> التلفزيونية الأرضية المحطة التجارية الخاصة الوحيدة التي تبث برامجها مجاناً ويبلغ عدد مشاهديها 000 073 26 مشاهد، مما يمثل 22,3 في المائة من مجموع المشاهدين. وتعد شركة مالتي تشويس </w:t>
      </w:r>
      <w:r w:rsidRPr="000D5B62">
        <w:t>MultiChoice</w:t>
      </w:r>
      <w:r w:rsidRPr="000D5B62">
        <w:rPr>
          <w:rtl/>
        </w:rPr>
        <w:t xml:space="preserve"> الجهة الرئيسية التي توفر خدمات تلفزيونية وخدمات بث عبر السواتل مقابل اشتراكات مالية، وهي تملك شركة إم - نت </w:t>
      </w:r>
      <w:r w:rsidRPr="000D5B62">
        <w:t>M-Net</w:t>
      </w:r>
      <w:r w:rsidRPr="000D5B62">
        <w:rPr>
          <w:rtl/>
        </w:rPr>
        <w:t xml:space="preserve"> المحدودة التي تبث برامجها عبر محطات أرضية وشبكة إم - نت للقنوات المتميزة والخدمات المجتمعية التي توجه برامجها للجماعات ذات الاهتمامات الخاصة وتركز على البرامج الرياضية وباقة المحطات التلفزيونية الرقمية التي تبث برامجها عبر السواتل. ويبلغ عدد مشاهدي إم - نت 1,97 مليون شخص ويبلغ عدد المشتركين في باقة المحطات المذكورة 4,76 ملايين شخص. وتوجد في جنوب أفريقيا خمس محطات تلفزيونية مجتمعية مرخص لها بالبث هي: سويتو تي في </w:t>
      </w:r>
      <w:r w:rsidRPr="000D5B62">
        <w:t>Soweto TV</w:t>
      </w:r>
      <w:r w:rsidRPr="000D5B62">
        <w:rPr>
          <w:rtl/>
        </w:rPr>
        <w:t xml:space="preserve"> (000 774 2 مشاهد) و</w:t>
      </w:r>
      <w:r w:rsidRPr="000D5B62">
        <w:t>IKZNTV</w:t>
      </w:r>
      <w:r w:rsidRPr="000D5B62">
        <w:rPr>
          <w:rtl/>
        </w:rPr>
        <w:t xml:space="preserve"> (</w:t>
      </w:r>
      <w:r w:rsidRPr="000D5B62">
        <w:t>806 000</w:t>
      </w:r>
      <w:r w:rsidRPr="000D5B62">
        <w:rPr>
          <w:rtl/>
        </w:rPr>
        <w:t xml:space="preserve"> مشاهد) وتشوين تي في </w:t>
      </w:r>
      <w:r w:rsidRPr="000D5B62">
        <w:t>Tshwane TV</w:t>
      </w:r>
      <w:r w:rsidRPr="000D5B62">
        <w:rPr>
          <w:rtl/>
        </w:rPr>
        <w:t xml:space="preserve"> (</w:t>
      </w:r>
      <w:r w:rsidRPr="000D5B62">
        <w:t>518 000</w:t>
      </w:r>
      <w:r w:rsidRPr="000D5B62">
        <w:rPr>
          <w:rtl/>
        </w:rPr>
        <w:t xml:space="preserve"> مشاهد) وباي تي في </w:t>
      </w:r>
      <w:r w:rsidRPr="000D5B62">
        <w:t>Bay TV</w:t>
      </w:r>
      <w:r w:rsidRPr="000D5B62">
        <w:rPr>
          <w:rtl/>
        </w:rPr>
        <w:t xml:space="preserve"> (</w:t>
      </w:r>
      <w:r w:rsidRPr="000D5B62">
        <w:t>449 000</w:t>
      </w:r>
      <w:r w:rsidRPr="000D5B62">
        <w:rPr>
          <w:rtl/>
        </w:rPr>
        <w:t xml:space="preserve"> مشاهد) وسي</w:t>
      </w:r>
      <w:r w:rsidR="006B736E" w:rsidRPr="000D5B62">
        <w:rPr>
          <w:rFonts w:hint="cs"/>
          <w:rtl/>
        </w:rPr>
        <w:t> </w:t>
      </w:r>
      <w:r w:rsidRPr="000D5B62">
        <w:rPr>
          <w:rtl/>
        </w:rPr>
        <w:t>تي في CTV (299 000 مشاهد).</w:t>
      </w:r>
    </w:p>
    <w:p w14:paraId="3C5BDF15" w14:textId="77777777" w:rsidR="00803069" w:rsidRPr="000D5B62" w:rsidRDefault="00803069" w:rsidP="00B157F1">
      <w:pPr>
        <w:pStyle w:val="SingleTxtGA"/>
        <w:rPr>
          <w:lang w:val="ar-SA" w:eastAsia="zh-TW" w:bidi="en-GB"/>
        </w:rPr>
      </w:pPr>
      <w:r w:rsidRPr="000D5B62">
        <w:rPr>
          <w:rtl/>
        </w:rPr>
        <w:t>105-</w:t>
      </w:r>
      <w:r w:rsidRPr="000D5B62">
        <w:rPr>
          <w:rtl/>
        </w:rPr>
        <w:tab/>
        <w:t xml:space="preserve">وفيما يتعلق بملكية الصحف والمجلات، يهيمن على قطاع وسائط الإعلام المطبوعة عدد ضئيل من الشركات الكبيرة التي تملك وتدير عدداً كبيراً من الصحف الوطنية والصحف والمجلات المحلية على نطاق البلد. وتوجد عدة صحف مستقلة وإن كانت تملك معظمَها 4 شركات نشر كبيرة هي: شركة تيسو بلاكستار </w:t>
      </w:r>
      <w:r w:rsidRPr="000D5B62">
        <w:t>Tiso Blackstar</w:t>
      </w:r>
      <w:r w:rsidRPr="000D5B62">
        <w:rPr>
          <w:rtl/>
        </w:rPr>
        <w:t xml:space="preserve"> وناسبرز (ميديا 24) </w:t>
      </w:r>
      <w:r w:rsidRPr="000D5B62">
        <w:t>Naspers (Media 24)</w:t>
      </w:r>
      <w:r w:rsidRPr="000D5B62">
        <w:rPr>
          <w:rtl/>
        </w:rPr>
        <w:t xml:space="preserve"> وإندبندنت نيوز أند ميديا </w:t>
      </w:r>
      <w:r w:rsidRPr="000D5B62">
        <w:t>Independent News and Media</w:t>
      </w:r>
      <w:r w:rsidRPr="000D5B62">
        <w:rPr>
          <w:rtl/>
        </w:rPr>
        <w:t xml:space="preserve"> وكاكستون/سي تي بي </w:t>
      </w:r>
      <w:r w:rsidRPr="000D5B62">
        <w:t>Caxton/CTP</w:t>
      </w:r>
      <w:r w:rsidRPr="000D5B62">
        <w:rPr>
          <w:rtl/>
        </w:rPr>
        <w:t>. ويبلغ عدد قراء الصحف على الصعيد الوطني 17,5 مليون شخص ويبلغ عدد قراء المجلات الآن 18,1 مليون شخص.</w:t>
      </w:r>
    </w:p>
    <w:p w14:paraId="2B89F223" w14:textId="77777777" w:rsidR="00803069" w:rsidRPr="000D5B62" w:rsidRDefault="00803069" w:rsidP="005B41CD">
      <w:pPr>
        <w:pStyle w:val="HChGA"/>
        <w:pageBreakBefore/>
        <w:spacing w:before="120"/>
        <w:rPr>
          <w:lang w:val="fr-CH" w:eastAsia="zh-TW" w:bidi="en-GB"/>
        </w:rPr>
      </w:pPr>
      <w:r w:rsidRPr="000D5B62">
        <w:rPr>
          <w:rtl/>
          <w:lang w:bidi="ar-DZ"/>
        </w:rPr>
        <w:tab/>
      </w:r>
      <w:r w:rsidRPr="000D5B62">
        <w:rPr>
          <w:rtl/>
        </w:rPr>
        <w:t>ثانياً-</w:t>
      </w:r>
      <w:r w:rsidRPr="000D5B62">
        <w:rPr>
          <w:rtl/>
        </w:rPr>
        <w:tab/>
        <w:t xml:space="preserve">الإطار العام لتعزيز حقوق الإنسان وحمايتها </w:t>
      </w:r>
    </w:p>
    <w:p w14:paraId="661AE375" w14:textId="77777777" w:rsidR="00803069" w:rsidRPr="000D5B62" w:rsidRDefault="00803069" w:rsidP="00B157F1">
      <w:pPr>
        <w:pStyle w:val="H1GA"/>
        <w:rPr>
          <w:lang w:val="fr-CH" w:eastAsia="zh-TW" w:bidi="en-GB"/>
        </w:rPr>
      </w:pPr>
      <w:r w:rsidRPr="000D5B62">
        <w:rPr>
          <w:rtl/>
          <w:lang w:bidi="ar-DZ"/>
        </w:rPr>
        <w:tab/>
      </w:r>
      <w:r w:rsidRPr="000D5B62">
        <w:rPr>
          <w:rtl/>
        </w:rPr>
        <w:t>ألف-</w:t>
      </w:r>
      <w:r w:rsidRPr="000D5B62">
        <w:rPr>
          <w:rtl/>
        </w:rPr>
        <w:tab/>
        <w:t>قبول المعايير الدولية لحقوق الإنسان</w:t>
      </w:r>
    </w:p>
    <w:p w14:paraId="3094E8EE" w14:textId="77777777" w:rsidR="00803069" w:rsidRPr="000D5B62" w:rsidRDefault="00803069" w:rsidP="00B157F1">
      <w:pPr>
        <w:pStyle w:val="SingleTxtGA"/>
        <w:rPr>
          <w:lang w:val="ar-SA" w:eastAsia="zh-TW" w:bidi="en-GB"/>
        </w:rPr>
      </w:pPr>
      <w:r w:rsidRPr="000D5B62">
        <w:rPr>
          <w:rtl/>
        </w:rPr>
        <w:t>106-</w:t>
      </w:r>
      <w:r w:rsidRPr="000D5B62">
        <w:rPr>
          <w:rtl/>
        </w:rPr>
        <w:tab/>
        <w:t xml:space="preserve">جنوب أفريقيا طرف في معظم اتفاقيات الأمم المتحدة الرئيسية المتعلقة بحقوق الإنسان، ومن بينها 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واتفاقية حقوق الأشخاص ذوي الإعاقة. </w:t>
      </w:r>
    </w:p>
    <w:p w14:paraId="5BB8BBBD" w14:textId="77777777" w:rsidR="00803069" w:rsidRPr="000D5B62" w:rsidRDefault="00803069" w:rsidP="00B157F1">
      <w:pPr>
        <w:pStyle w:val="SingleTxtGA"/>
        <w:rPr>
          <w:lang w:val="en-US" w:eastAsia="zh-TW" w:bidi="en-GB"/>
        </w:rPr>
      </w:pPr>
      <w:r w:rsidRPr="000D5B62">
        <w:rPr>
          <w:rtl/>
        </w:rPr>
        <w:t>107-</w:t>
      </w:r>
      <w:r w:rsidRPr="000D5B62">
        <w:rPr>
          <w:rtl/>
        </w:rPr>
        <w:tab/>
        <w:t xml:space="preserve">وتقع على عاتق جنوب أفريقيا أيضاً التزامات دولية بموافاة هيئات المعاهدات بتقارير بموجب اتفاقات دولية شتى. </w:t>
      </w:r>
    </w:p>
    <w:p w14:paraId="59073439" w14:textId="4A848EEB" w:rsidR="00803069" w:rsidRPr="000D5B62" w:rsidRDefault="00803069" w:rsidP="00B157F1">
      <w:pPr>
        <w:pStyle w:val="SingleTxtGA"/>
        <w:rPr>
          <w:rStyle w:val="FootnoteReference"/>
          <w:rFonts w:eastAsiaTheme="minorEastAsia"/>
          <w:szCs w:val="22"/>
          <w:lang w:val="ar-SA" w:eastAsia="zh-TW" w:bidi="en-GB"/>
        </w:rPr>
      </w:pPr>
      <w:r w:rsidRPr="000D5B62">
        <w:rPr>
          <w:b/>
          <w:rtl/>
        </w:rPr>
        <w:t>108</w:t>
      </w:r>
      <w:r w:rsidRPr="000D5B62">
        <w:rPr>
          <w:rtl/>
        </w:rPr>
        <w:t>-</w:t>
      </w:r>
      <w:r w:rsidRPr="000D5B62">
        <w:rPr>
          <w:rtl/>
        </w:rPr>
        <w:tab/>
        <w:t>وفيما يتعلق بالاتفاقات الدولية، ينص الدستور على أن التفاوض بشأن تلك الاتفاقات والتوقيع عليها يندرجان في نطاق مسؤولية السلطة التنفيذية الوطنية</w:t>
      </w:r>
      <w:r w:rsidRPr="000D5B62">
        <w:rPr>
          <w:rStyle w:val="FootnoteReference"/>
          <w:szCs w:val="22"/>
          <w:rtl/>
        </w:rPr>
        <w:t>(</w:t>
      </w:r>
      <w:r w:rsidRPr="000D5B62">
        <w:rPr>
          <w:rStyle w:val="FootnoteReference"/>
          <w:szCs w:val="22"/>
          <w:rtl/>
        </w:rPr>
        <w:footnoteReference w:id="87"/>
      </w:r>
      <w:r w:rsidRPr="000D5B62">
        <w:rPr>
          <w:rStyle w:val="FootnoteReference"/>
          <w:szCs w:val="22"/>
          <w:rtl/>
        </w:rPr>
        <w:t>)</w:t>
      </w:r>
      <w:r w:rsidRPr="000D5B62">
        <w:rPr>
          <w:rtl/>
        </w:rPr>
        <w:t>. وكيما يصبح لأي اتفاق دولي قوة القانون في جمهورية جنوب أفريقيا، لا بد من سنّ تشريع وطني يدمج بموجبه في القوانين الوطنية. وينص الدستور كذلك على أن القانون الدولي العرفي يعتبر قانوناً في جمهورية جنوب أفريقيا ما لم يكن مخالفاً للدستور أو لقانون البرلمان، ويوعز إلى المحاكم بأن تعطي الأفضلية، لدى تفسير أي تشريع، لأي تفسير معقول يتسق مع القانون الدولي على أي تفسير بديل لا يتسق مع القانون الدولي</w:t>
      </w:r>
      <w:r w:rsidRPr="000D5B62">
        <w:rPr>
          <w:rStyle w:val="FootnoteReference"/>
          <w:szCs w:val="22"/>
          <w:rtl/>
        </w:rPr>
        <w:t>(</w:t>
      </w:r>
      <w:r w:rsidRPr="000D5B62">
        <w:rPr>
          <w:rStyle w:val="FootnoteReference"/>
          <w:szCs w:val="22"/>
          <w:rtl/>
        </w:rPr>
        <w:footnoteReference w:id="88"/>
      </w:r>
      <w:r w:rsidRPr="000D5B62">
        <w:rPr>
          <w:rStyle w:val="FootnoteReference"/>
          <w:szCs w:val="22"/>
          <w:rtl/>
        </w:rPr>
        <w:t>)</w:t>
      </w:r>
      <w:r w:rsidRPr="000D5B62">
        <w:rPr>
          <w:rtl/>
        </w:rPr>
        <w:t>.</w:t>
      </w:r>
    </w:p>
    <w:p w14:paraId="046B6480" w14:textId="77777777" w:rsidR="00803069" w:rsidRPr="000D5B62" w:rsidRDefault="00803069" w:rsidP="00B157F1">
      <w:pPr>
        <w:pStyle w:val="SingleTxtGA"/>
        <w:rPr>
          <w:lang w:val="fr-CH" w:eastAsia="zh-TW" w:bidi="en-GB"/>
        </w:rPr>
      </w:pPr>
      <w:r w:rsidRPr="000D5B62">
        <w:rPr>
          <w:rtl/>
        </w:rPr>
        <w:t>109-</w:t>
      </w:r>
      <w:r w:rsidRPr="000D5B62">
        <w:rPr>
          <w:rtl/>
        </w:rPr>
        <w:tab/>
        <w:t>وتستعرض جنوب أفريقيا بصفة منتظمة ما صدر عنها من تحفظات و/أو إعلانات بشأن صكوك الأمم المتحدة الرئيسية في مجال حقوق الإنسان. وترد في الجدول أدناه قائمة بالاتفاقيات والبروتوكولات الدولية الرئيسية المتعلقة بحقوق الإنسان.</w:t>
      </w:r>
    </w:p>
    <w:p w14:paraId="0BAC2804" w14:textId="7042C945" w:rsidR="00803069" w:rsidRPr="000D5B62" w:rsidRDefault="00803069" w:rsidP="00B157F1">
      <w:pPr>
        <w:pStyle w:val="SingleTxtGA"/>
        <w:rPr>
          <w:rFonts w:eastAsiaTheme="minorEastAsia"/>
          <w:lang w:val="ar-SA" w:eastAsia="zh-TW" w:bidi="en-GB"/>
        </w:rPr>
      </w:pPr>
      <w:r w:rsidRPr="000D5B62">
        <w:rPr>
          <w:rtl/>
        </w:rPr>
        <w:t>الجدول 25</w:t>
      </w:r>
      <w:r w:rsidR="00B157F1" w:rsidRPr="000D5B62">
        <w:rPr>
          <w:rtl/>
        </w:rPr>
        <w:tab/>
      </w:r>
      <w:r w:rsidR="00B157F1" w:rsidRPr="000D5B62">
        <w:rPr>
          <w:rtl/>
        </w:rPr>
        <w:br/>
      </w:r>
      <w:r w:rsidRPr="000D5B62">
        <w:rPr>
          <w:rFonts w:eastAsiaTheme="minorEastAsia"/>
          <w:bCs/>
          <w:rtl/>
        </w:rPr>
        <w:t>الاتفاقيات والبروتوكولات الدولية الرئيسية المتعلقة بحقوق الإنسان مشفوعة بالتحفظات/الإعلانات</w:t>
      </w:r>
    </w:p>
    <w:tbl>
      <w:tblPr>
        <w:bidiVisual/>
        <w:tblW w:w="8505" w:type="dxa"/>
        <w:tblInd w:w="1134" w:type="dxa"/>
        <w:tblLayout w:type="fixed"/>
        <w:tblLook w:val="04A0" w:firstRow="1" w:lastRow="0" w:firstColumn="1" w:lastColumn="0" w:noHBand="0" w:noVBand="1"/>
      </w:tblPr>
      <w:tblGrid>
        <w:gridCol w:w="2645"/>
        <w:gridCol w:w="1441"/>
        <w:gridCol w:w="4419"/>
      </w:tblGrid>
      <w:tr w:rsidR="00803069" w:rsidRPr="000D5B62" w14:paraId="5B36D787" w14:textId="77777777" w:rsidTr="00B157F1">
        <w:trPr>
          <w:tblHeader/>
        </w:trPr>
        <w:tc>
          <w:tcPr>
            <w:tcW w:w="2645" w:type="dxa"/>
            <w:tcBorders>
              <w:top w:val="single" w:sz="4" w:space="0" w:color="auto"/>
              <w:bottom w:val="single" w:sz="12" w:space="0" w:color="auto"/>
            </w:tcBorders>
            <w:shd w:val="clear" w:color="auto" w:fill="auto"/>
            <w:vAlign w:val="bottom"/>
          </w:tcPr>
          <w:p w14:paraId="6687E1F7" w14:textId="77777777" w:rsidR="00803069" w:rsidRPr="000D5B62" w:rsidRDefault="00803069" w:rsidP="00B157F1">
            <w:pPr>
              <w:spacing w:before="40" w:after="40" w:line="300" w:lineRule="exact"/>
              <w:textDirection w:val="tbRlV"/>
              <w:rPr>
                <w:rFonts w:eastAsiaTheme="minorEastAsia"/>
                <w:i/>
                <w:spacing w:val="-4"/>
                <w:szCs w:val="20"/>
                <w:lang w:val="ar-SA" w:eastAsia="zh-TW" w:bidi="en-GB"/>
              </w:rPr>
            </w:pPr>
            <w:r w:rsidRPr="000D5B62">
              <w:rPr>
                <w:rFonts w:eastAsiaTheme="minorEastAsia"/>
                <w:i/>
                <w:iCs/>
                <w:spacing w:val="-4"/>
                <w:szCs w:val="20"/>
                <w:rtl/>
              </w:rPr>
              <w:t>الاتفاقية</w:t>
            </w:r>
          </w:p>
        </w:tc>
        <w:tc>
          <w:tcPr>
            <w:tcW w:w="1441" w:type="dxa"/>
            <w:tcBorders>
              <w:top w:val="single" w:sz="4" w:space="0" w:color="auto"/>
              <w:bottom w:val="single" w:sz="12" w:space="0" w:color="auto"/>
            </w:tcBorders>
            <w:shd w:val="clear" w:color="auto" w:fill="auto"/>
            <w:vAlign w:val="bottom"/>
          </w:tcPr>
          <w:p w14:paraId="05F4A9A2" w14:textId="77777777" w:rsidR="00803069" w:rsidRPr="000D5B62" w:rsidRDefault="00803069" w:rsidP="00B157F1">
            <w:pPr>
              <w:spacing w:before="40" w:after="40" w:line="300" w:lineRule="exact"/>
              <w:ind w:left="113"/>
              <w:textDirection w:val="tbRlV"/>
              <w:rPr>
                <w:rFonts w:eastAsiaTheme="minorEastAsia"/>
                <w:i/>
                <w:spacing w:val="-4"/>
                <w:szCs w:val="20"/>
                <w:lang w:val="ar-SA" w:eastAsia="zh-TW" w:bidi="en-GB"/>
              </w:rPr>
            </w:pPr>
            <w:r w:rsidRPr="000D5B62">
              <w:rPr>
                <w:rFonts w:eastAsiaTheme="minorEastAsia"/>
                <w:i/>
                <w:iCs/>
                <w:spacing w:val="-4"/>
                <w:szCs w:val="20"/>
                <w:rtl/>
              </w:rPr>
              <w:t>تاريخ التصديق</w:t>
            </w:r>
          </w:p>
        </w:tc>
        <w:tc>
          <w:tcPr>
            <w:tcW w:w="4419" w:type="dxa"/>
            <w:tcBorders>
              <w:top w:val="single" w:sz="4" w:space="0" w:color="auto"/>
              <w:bottom w:val="single" w:sz="12" w:space="0" w:color="auto"/>
            </w:tcBorders>
            <w:shd w:val="clear" w:color="auto" w:fill="auto"/>
            <w:vAlign w:val="bottom"/>
          </w:tcPr>
          <w:p w14:paraId="161C6AB8" w14:textId="77777777" w:rsidR="00803069" w:rsidRPr="000D5B62" w:rsidRDefault="00803069" w:rsidP="00B157F1">
            <w:pPr>
              <w:spacing w:before="40" w:after="40" w:line="300" w:lineRule="exact"/>
              <w:ind w:left="113"/>
              <w:textDirection w:val="tbRlV"/>
              <w:rPr>
                <w:rFonts w:eastAsiaTheme="minorEastAsia"/>
                <w:i/>
                <w:spacing w:val="-4"/>
                <w:szCs w:val="20"/>
                <w:lang w:val="ar-SA" w:eastAsia="zh-TW" w:bidi="en-GB"/>
              </w:rPr>
            </w:pPr>
            <w:r w:rsidRPr="000D5B62">
              <w:rPr>
                <w:rFonts w:eastAsiaTheme="minorEastAsia"/>
                <w:i/>
                <w:iCs/>
                <w:spacing w:val="-4"/>
                <w:szCs w:val="20"/>
                <w:rtl/>
              </w:rPr>
              <w:t>التحفظات/الإعلانات</w:t>
            </w:r>
          </w:p>
        </w:tc>
      </w:tr>
      <w:tr w:rsidR="00803069" w:rsidRPr="000D5B62" w14:paraId="47719F8D" w14:textId="77777777" w:rsidTr="00B157F1">
        <w:trPr>
          <w:trHeight w:hRule="exact" w:val="113"/>
        </w:trPr>
        <w:tc>
          <w:tcPr>
            <w:tcW w:w="2645" w:type="dxa"/>
            <w:tcBorders>
              <w:top w:val="single" w:sz="12" w:space="0" w:color="auto"/>
            </w:tcBorders>
            <w:shd w:val="clear" w:color="auto" w:fill="auto"/>
          </w:tcPr>
          <w:p w14:paraId="61F74935" w14:textId="77777777" w:rsidR="00803069" w:rsidRPr="000D5B62" w:rsidRDefault="00803069" w:rsidP="00B157F1">
            <w:pPr>
              <w:spacing w:before="40" w:after="40" w:line="300" w:lineRule="exact"/>
              <w:rPr>
                <w:rFonts w:eastAsiaTheme="minorEastAsia"/>
                <w:spacing w:val="-4"/>
                <w:szCs w:val="20"/>
                <w:lang w:eastAsia="en-GB"/>
              </w:rPr>
            </w:pPr>
          </w:p>
        </w:tc>
        <w:tc>
          <w:tcPr>
            <w:tcW w:w="1441" w:type="dxa"/>
            <w:tcBorders>
              <w:top w:val="single" w:sz="12" w:space="0" w:color="auto"/>
            </w:tcBorders>
            <w:shd w:val="clear" w:color="auto" w:fill="auto"/>
          </w:tcPr>
          <w:p w14:paraId="66C0570F" w14:textId="77777777" w:rsidR="00803069" w:rsidRPr="000D5B62" w:rsidRDefault="00803069" w:rsidP="00B157F1">
            <w:pPr>
              <w:spacing w:before="40" w:after="40" w:line="300" w:lineRule="exact"/>
              <w:ind w:left="113"/>
              <w:rPr>
                <w:rFonts w:eastAsiaTheme="minorEastAsia"/>
                <w:spacing w:val="-4"/>
                <w:szCs w:val="20"/>
                <w:lang w:eastAsia="en-GB"/>
              </w:rPr>
            </w:pPr>
          </w:p>
        </w:tc>
        <w:tc>
          <w:tcPr>
            <w:tcW w:w="4419" w:type="dxa"/>
            <w:tcBorders>
              <w:top w:val="single" w:sz="12" w:space="0" w:color="auto"/>
            </w:tcBorders>
            <w:shd w:val="clear" w:color="auto" w:fill="auto"/>
          </w:tcPr>
          <w:p w14:paraId="7BD8CE5C" w14:textId="77777777" w:rsidR="00803069" w:rsidRPr="000D5B62" w:rsidRDefault="00803069" w:rsidP="00B157F1">
            <w:pPr>
              <w:spacing w:before="40" w:after="40" w:line="300" w:lineRule="exact"/>
              <w:ind w:left="113"/>
              <w:rPr>
                <w:rFonts w:eastAsiaTheme="minorEastAsia"/>
                <w:spacing w:val="-4"/>
                <w:szCs w:val="20"/>
                <w:lang w:eastAsia="en-GB"/>
              </w:rPr>
            </w:pPr>
          </w:p>
        </w:tc>
      </w:tr>
      <w:tr w:rsidR="00803069" w:rsidRPr="000D5B62" w14:paraId="32EE7BBE" w14:textId="77777777" w:rsidTr="00B157F1">
        <w:tc>
          <w:tcPr>
            <w:tcW w:w="2645" w:type="dxa"/>
            <w:shd w:val="clear" w:color="auto" w:fill="auto"/>
          </w:tcPr>
          <w:p w14:paraId="6D02AF13" w14:textId="77777777" w:rsidR="00803069" w:rsidRPr="000D5B62" w:rsidRDefault="00803069" w:rsidP="005B41CD">
            <w:pPr>
              <w:spacing w:before="40" w:after="40" w:line="300" w:lineRule="exact"/>
              <w:textDirection w:val="tbRlV"/>
              <w:rPr>
                <w:rFonts w:eastAsiaTheme="minorEastAsia"/>
                <w:spacing w:val="-4"/>
                <w:szCs w:val="20"/>
                <w:lang w:eastAsia="zh-TW" w:bidi="en-GB"/>
              </w:rPr>
            </w:pPr>
            <w:r w:rsidRPr="000D5B62">
              <w:rPr>
                <w:rFonts w:eastAsiaTheme="minorEastAsia"/>
                <w:spacing w:val="-4"/>
                <w:szCs w:val="20"/>
                <w:rtl/>
              </w:rPr>
              <w:t>العهد الدولي الخاص بالحقوق المدنية والسياسية</w:t>
            </w:r>
          </w:p>
        </w:tc>
        <w:tc>
          <w:tcPr>
            <w:tcW w:w="1441" w:type="dxa"/>
            <w:shd w:val="clear" w:color="auto" w:fill="auto"/>
          </w:tcPr>
          <w:p w14:paraId="1B03575A" w14:textId="7777777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10/12/1998</w:t>
            </w:r>
          </w:p>
        </w:tc>
        <w:tc>
          <w:tcPr>
            <w:tcW w:w="4419" w:type="dxa"/>
            <w:shd w:val="clear" w:color="auto" w:fill="auto"/>
          </w:tcPr>
          <w:p w14:paraId="6A3ADD74" w14:textId="7777777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w:t>
            </w:r>
          </w:p>
          <w:p w14:paraId="6F4E8919" w14:textId="272C7AD5"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 xml:space="preserve">المادة 41: </w:t>
            </w:r>
            <w:r w:rsidR="00D823A4" w:rsidRPr="000D5B62">
              <w:rPr>
                <w:rFonts w:eastAsiaTheme="minorEastAsia" w:hint="cs"/>
                <w:spacing w:val="-4"/>
                <w:szCs w:val="20"/>
                <w:rtl/>
              </w:rPr>
              <w:t>”</w:t>
            </w:r>
            <w:r w:rsidRPr="000D5B62">
              <w:rPr>
                <w:rFonts w:eastAsiaTheme="minorEastAsia"/>
                <w:spacing w:val="-4"/>
                <w:szCs w:val="20"/>
                <w:rtl/>
              </w:rPr>
              <w:t>تعلن جمهورية جنوب أفريقيا أنها تقر، لأغراض المادة 41 من العهد، باختصاص اللجنة المعنية بحقوق الإنسان في تلقي ودراسة أي بلاغات تنطوي على ادعاء دولة طرف بأن دولة طرفاً أخرى لا</w:t>
            </w:r>
            <w:r w:rsidR="00D823A4" w:rsidRPr="000D5B62">
              <w:rPr>
                <w:rFonts w:eastAsiaTheme="minorEastAsia" w:hint="cs"/>
                <w:spacing w:val="-4"/>
                <w:szCs w:val="20"/>
                <w:rtl/>
              </w:rPr>
              <w:t> </w:t>
            </w:r>
            <w:r w:rsidRPr="000D5B62">
              <w:rPr>
                <w:rFonts w:eastAsiaTheme="minorEastAsia"/>
                <w:spacing w:val="-4"/>
                <w:szCs w:val="20"/>
                <w:rtl/>
              </w:rPr>
              <w:t>تفي بالتزاماتها بموجب العهد</w:t>
            </w:r>
            <w:r w:rsidR="005B754C" w:rsidRPr="000D5B62">
              <w:rPr>
                <w:rFonts w:eastAsiaTheme="minorEastAsia" w:hint="cs"/>
                <w:spacing w:val="-4"/>
                <w:szCs w:val="20"/>
                <w:rtl/>
              </w:rPr>
              <w:t>“</w:t>
            </w:r>
            <w:r w:rsidRPr="000D5B62">
              <w:rPr>
                <w:rFonts w:eastAsiaTheme="minorEastAsia"/>
                <w:spacing w:val="-4"/>
                <w:szCs w:val="20"/>
                <w:rtl/>
              </w:rPr>
              <w:t>.</w:t>
            </w:r>
          </w:p>
        </w:tc>
      </w:tr>
      <w:tr w:rsidR="00803069" w:rsidRPr="000D5B62" w14:paraId="41942C70" w14:textId="77777777" w:rsidTr="00B157F1">
        <w:tc>
          <w:tcPr>
            <w:tcW w:w="2645" w:type="dxa"/>
            <w:shd w:val="clear" w:color="auto" w:fill="auto"/>
          </w:tcPr>
          <w:p w14:paraId="020E0503" w14:textId="77777777" w:rsidR="00803069" w:rsidRPr="000D5B62" w:rsidRDefault="00803069" w:rsidP="005B41CD">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البروتوكولان الاختياريان الأول والثاني الملحقان بالعهد الدولي الخاص بالحقوق المدنية والسياسية</w:t>
            </w:r>
          </w:p>
        </w:tc>
        <w:tc>
          <w:tcPr>
            <w:tcW w:w="1441" w:type="dxa"/>
            <w:shd w:val="clear" w:color="auto" w:fill="auto"/>
          </w:tcPr>
          <w:p w14:paraId="6EE30786" w14:textId="7777777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10/12/1998</w:t>
            </w:r>
          </w:p>
        </w:tc>
        <w:tc>
          <w:tcPr>
            <w:tcW w:w="4419" w:type="dxa"/>
            <w:shd w:val="clear" w:color="auto" w:fill="auto"/>
          </w:tcPr>
          <w:p w14:paraId="16A48BCE" w14:textId="77777777" w:rsidR="00803069" w:rsidRPr="000D5B62" w:rsidRDefault="00803069" w:rsidP="005B41CD">
            <w:pPr>
              <w:spacing w:before="40" w:after="40" w:line="300" w:lineRule="exact"/>
              <w:ind w:left="113"/>
              <w:textDirection w:val="tbRlV"/>
              <w:rPr>
                <w:rFonts w:eastAsiaTheme="minorEastAsia"/>
                <w:spacing w:val="-4"/>
                <w:szCs w:val="20"/>
                <w:rtl/>
                <w:lang w:val="ar-SA" w:eastAsia="zh-TW" w:bidi="ar-DZ"/>
              </w:rPr>
            </w:pPr>
            <w:r w:rsidRPr="000D5B62">
              <w:rPr>
                <w:rFonts w:eastAsiaTheme="minorEastAsia"/>
                <w:spacing w:val="-4"/>
                <w:szCs w:val="20"/>
                <w:rtl/>
              </w:rPr>
              <w:t>لا ينطبق</w:t>
            </w:r>
          </w:p>
        </w:tc>
      </w:tr>
      <w:tr w:rsidR="00803069" w:rsidRPr="000D5B62" w14:paraId="6BC85A26" w14:textId="77777777" w:rsidTr="00B157F1">
        <w:tc>
          <w:tcPr>
            <w:tcW w:w="2645" w:type="dxa"/>
            <w:shd w:val="clear" w:color="auto" w:fill="auto"/>
          </w:tcPr>
          <w:p w14:paraId="6C798CEA" w14:textId="77777777" w:rsidR="00803069" w:rsidRPr="000D5B62" w:rsidRDefault="00803069" w:rsidP="005B41CD">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 xml:space="preserve">‎‎الاتفاقية الدولية للقضاء على جميع أشكال التمييز العنصري‏ </w:t>
            </w:r>
          </w:p>
        </w:tc>
        <w:tc>
          <w:tcPr>
            <w:tcW w:w="1441" w:type="dxa"/>
            <w:shd w:val="clear" w:color="auto" w:fill="auto"/>
          </w:tcPr>
          <w:p w14:paraId="0E1FF11C" w14:textId="7777777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10/12/1998</w:t>
            </w:r>
          </w:p>
        </w:tc>
        <w:tc>
          <w:tcPr>
            <w:tcW w:w="4419" w:type="dxa"/>
            <w:shd w:val="clear" w:color="auto" w:fill="auto"/>
          </w:tcPr>
          <w:p w14:paraId="7A717BA3" w14:textId="7777777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w:t>
            </w:r>
          </w:p>
          <w:p w14:paraId="6EA10C74" w14:textId="77777777" w:rsidR="00803069" w:rsidRPr="000D5B62" w:rsidRDefault="00803069" w:rsidP="005B754C">
            <w:pPr>
              <w:tabs>
                <w:tab w:val="right" w:pos="901"/>
              </w:tabs>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”إن جمهورية جنوب أفريقيا:</w:t>
            </w:r>
          </w:p>
          <w:p w14:paraId="3367C23E" w14:textId="77777777" w:rsidR="00803069" w:rsidRPr="000D5B62" w:rsidRDefault="00803069" w:rsidP="005B41CD">
            <w:pPr>
              <w:spacing w:before="40" w:after="40" w:line="300" w:lineRule="exact"/>
              <w:ind w:left="113"/>
              <w:textDirection w:val="tbRlV"/>
              <w:rPr>
                <w:rFonts w:eastAsiaTheme="minorEastAsia"/>
                <w:szCs w:val="20"/>
                <w:rtl/>
                <w:lang w:val="fr-CH" w:eastAsia="zh-TW" w:bidi="ar-DZ"/>
              </w:rPr>
            </w:pPr>
            <w:r w:rsidRPr="000D5B62">
              <w:rPr>
                <w:rFonts w:eastAsiaTheme="minorEastAsia"/>
                <w:szCs w:val="20"/>
                <w:rtl/>
              </w:rPr>
              <w:t xml:space="preserve">(أ) تعلن أنها تقر، لأغراض الفقرة 1 من المادة 14 من الاتفاقية، باختصاص لجنة القضاء على التمييز العنصري في تلقي ودراسة أي بلاغات مقدمة من أفراد أو مجموعات أفراد خاضعين للولاية القضائية للجمهورية يدعون أنهم ضحايا انتهاك الجمهورية لأي من الحقوق المنصوص عليها في الاتفاقية بعد استنفاذ جميع سبل الانتصاف المحلية؛ </w:t>
            </w:r>
          </w:p>
          <w:p w14:paraId="2E9380FE" w14:textId="4595F637" w:rsidR="00803069" w:rsidRPr="000D5B62" w:rsidRDefault="00803069" w:rsidP="005B41CD">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(ب) تشير، لأغراض الفقرة 2 من المادة 14 من الاتفاقية، إلى أن مفوضية جنوب أفريقيا لحقوق الإنسان هي الهيئة المختصة، في إطار النظام القانوني الوطني في الجمهورية، بتلقي ودراسة الالتماسات التي</w:t>
            </w:r>
            <w:r w:rsidR="00D823A4" w:rsidRPr="000D5B62">
              <w:rPr>
                <w:rFonts w:eastAsiaTheme="minorEastAsia" w:hint="cs"/>
                <w:spacing w:val="-4"/>
                <w:szCs w:val="20"/>
                <w:rtl/>
              </w:rPr>
              <w:t> </w:t>
            </w:r>
            <w:r w:rsidRPr="000D5B62">
              <w:rPr>
                <w:rFonts w:eastAsiaTheme="minorEastAsia"/>
                <w:spacing w:val="-4"/>
                <w:szCs w:val="20"/>
                <w:rtl/>
              </w:rPr>
              <w:t>يقدمها أفراد أو مجموعات أفراد خاضعين للولاية القضائية للجمهورية يدعون أنهم ضحايا انتهاك أي من الحقوق المنصوص عليها في الاتفاقية</w:t>
            </w:r>
            <w:r w:rsidR="00D823A4" w:rsidRPr="000D5B62">
              <w:rPr>
                <w:rFonts w:eastAsiaTheme="minorEastAsia" w:hint="cs"/>
                <w:spacing w:val="-4"/>
                <w:szCs w:val="20"/>
                <w:rtl/>
              </w:rPr>
              <w:t>“</w:t>
            </w:r>
            <w:r w:rsidRPr="000D5B62">
              <w:rPr>
                <w:rFonts w:eastAsiaTheme="minorEastAsia"/>
                <w:spacing w:val="-4"/>
                <w:szCs w:val="20"/>
                <w:rtl/>
              </w:rPr>
              <w:t>.</w:t>
            </w:r>
          </w:p>
        </w:tc>
      </w:tr>
      <w:tr w:rsidR="00803069" w:rsidRPr="000D5B62" w14:paraId="3637E20E" w14:textId="77777777" w:rsidTr="00B157F1">
        <w:tc>
          <w:tcPr>
            <w:tcW w:w="2645" w:type="dxa"/>
            <w:shd w:val="clear" w:color="auto" w:fill="auto"/>
          </w:tcPr>
          <w:p w14:paraId="003767C2"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اتفاقية القضاء على جميع أشكال التمييز ضد المرأة</w:t>
            </w:r>
          </w:p>
        </w:tc>
        <w:tc>
          <w:tcPr>
            <w:tcW w:w="1441" w:type="dxa"/>
            <w:shd w:val="clear" w:color="auto" w:fill="auto"/>
          </w:tcPr>
          <w:p w14:paraId="68942C01"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15/12/1995</w:t>
            </w:r>
          </w:p>
        </w:tc>
        <w:tc>
          <w:tcPr>
            <w:tcW w:w="4419" w:type="dxa"/>
            <w:shd w:val="clear" w:color="auto" w:fill="auto"/>
          </w:tcPr>
          <w:p w14:paraId="17691ADA"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r>
      <w:tr w:rsidR="00803069" w:rsidRPr="000D5B62" w14:paraId="661E0CBA" w14:textId="77777777" w:rsidTr="00B157F1">
        <w:tc>
          <w:tcPr>
            <w:tcW w:w="2645" w:type="dxa"/>
            <w:shd w:val="clear" w:color="auto" w:fill="auto"/>
          </w:tcPr>
          <w:p w14:paraId="18E80A28"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 الاختياري الملحق باتفاقية القضاء على جميع أشكال التمييز ضد المرأة</w:t>
            </w:r>
          </w:p>
        </w:tc>
        <w:tc>
          <w:tcPr>
            <w:tcW w:w="1441" w:type="dxa"/>
            <w:shd w:val="clear" w:color="auto" w:fill="auto"/>
          </w:tcPr>
          <w:p w14:paraId="18DA568F"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06/05/2002</w:t>
            </w:r>
          </w:p>
        </w:tc>
        <w:tc>
          <w:tcPr>
            <w:tcW w:w="4419" w:type="dxa"/>
            <w:shd w:val="clear" w:color="auto" w:fill="auto"/>
          </w:tcPr>
          <w:p w14:paraId="0B375E01"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r>
      <w:tr w:rsidR="00803069" w:rsidRPr="000D5B62" w14:paraId="377A01AB" w14:textId="77777777" w:rsidTr="00B157F1">
        <w:tc>
          <w:tcPr>
            <w:tcW w:w="2645" w:type="dxa"/>
            <w:shd w:val="clear" w:color="auto" w:fill="auto"/>
          </w:tcPr>
          <w:p w14:paraId="29DB1689"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اتفاقية مناهضة التعذيب وغيره من ضروب المعاملة أو العقوبة القاسية أو اللاإنسانية أو المهينة</w:t>
            </w:r>
          </w:p>
        </w:tc>
        <w:tc>
          <w:tcPr>
            <w:tcW w:w="1441" w:type="dxa"/>
            <w:shd w:val="clear" w:color="auto" w:fill="auto"/>
          </w:tcPr>
          <w:p w14:paraId="54FC4CE0"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10/12/1998</w:t>
            </w:r>
          </w:p>
        </w:tc>
        <w:tc>
          <w:tcPr>
            <w:tcW w:w="4419" w:type="dxa"/>
            <w:shd w:val="clear" w:color="auto" w:fill="auto"/>
          </w:tcPr>
          <w:p w14:paraId="6E1E15AC"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w:t>
            </w:r>
          </w:p>
          <w:p w14:paraId="133261B2" w14:textId="3BC00619" w:rsidR="00803069" w:rsidRPr="000D5B62" w:rsidRDefault="00803069" w:rsidP="00B157F1">
            <w:pPr>
              <w:spacing w:before="40" w:after="40" w:line="300" w:lineRule="exact"/>
              <w:ind w:left="113"/>
              <w:textDirection w:val="tbRlV"/>
              <w:rPr>
                <w:rFonts w:eastAsiaTheme="minorEastAsia"/>
                <w:spacing w:val="-4"/>
                <w:szCs w:val="20"/>
                <w:lang w:val="ar-SA" w:eastAsia="zh-TW" w:bidi="ar-DZ"/>
              </w:rPr>
            </w:pPr>
            <w:r w:rsidRPr="000D5B62">
              <w:rPr>
                <w:rFonts w:eastAsiaTheme="minorEastAsia"/>
                <w:spacing w:val="-4"/>
                <w:szCs w:val="20"/>
                <w:rtl/>
              </w:rPr>
              <w:t>”[تعلن جمهورية جنوب أفريقيا] أنها تقر، لأغراض المادة 30 من الاتفاقية، باختصاص محكمة العدل الدولية في تسوية أي نزاع بين دولتين أو أكثر من الدول الأطراف يتعلق بتفسير أو تطبيق الاتفاقية، على التوالي</w:t>
            </w:r>
            <w:r w:rsidR="005B754C" w:rsidRPr="000D5B62">
              <w:rPr>
                <w:rFonts w:eastAsiaTheme="minorEastAsia" w:hint="cs"/>
                <w:spacing w:val="-4"/>
                <w:szCs w:val="20"/>
                <w:rtl/>
              </w:rPr>
              <w:t>“</w:t>
            </w:r>
            <w:r w:rsidRPr="000D5B62">
              <w:rPr>
                <w:rFonts w:eastAsiaTheme="minorEastAsia"/>
                <w:spacing w:val="-4"/>
                <w:szCs w:val="20"/>
                <w:rtl/>
              </w:rPr>
              <w:t>.</w:t>
            </w:r>
          </w:p>
          <w:p w14:paraId="0EDAA709"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إعلانان بشأن المادتين 21 و22</w:t>
            </w:r>
          </w:p>
          <w:p w14:paraId="7546AEAD"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”تعلن جمهورية جنوب أفريقيا أنها:</w:t>
            </w:r>
          </w:p>
          <w:p w14:paraId="33A81BB5" w14:textId="77777777" w:rsidR="00803069" w:rsidRPr="000D5B62" w:rsidRDefault="00803069" w:rsidP="00B157F1">
            <w:pPr>
              <w:pStyle w:val="Bullet1G"/>
              <w:numPr>
                <w:ilvl w:val="0"/>
                <w:numId w:val="28"/>
              </w:numPr>
              <w:tabs>
                <w:tab w:val="clear" w:pos="1701"/>
                <w:tab w:val="num" w:pos="631"/>
              </w:tabs>
              <w:bidi/>
              <w:spacing w:before="40" w:after="40" w:line="300" w:lineRule="exact"/>
              <w:ind w:left="622" w:right="0" w:hanging="322"/>
              <w:textDirection w:val="tbRlV"/>
              <w:rPr>
                <w:rFonts w:eastAsiaTheme="minorEastAsia"/>
                <w:spacing w:val="-4"/>
                <w:sz w:val="20"/>
                <w:szCs w:val="20"/>
                <w:lang w:val="ar-SA" w:eastAsia="zh-TW" w:bidi="en-GB"/>
              </w:rPr>
            </w:pPr>
            <w:r w:rsidRPr="000D5B62">
              <w:rPr>
                <w:rFonts w:eastAsiaTheme="minorEastAsia"/>
                <w:spacing w:val="-4"/>
                <w:sz w:val="20"/>
                <w:szCs w:val="20"/>
                <w:rtl/>
              </w:rPr>
              <w:t>تقر، لأغراض المادة 21 من الاتفاقية، باختصاص لجنة مناهضة التعذيب في تلقي ودراسة أي بلاغات تفيد بأن دولة طرفاً ما تدعي أن دولة طرفاً أخرى لا تفي بالتزاماتها بموجب الاتفاقية؛</w:t>
            </w:r>
          </w:p>
          <w:p w14:paraId="533BC824" w14:textId="0C1A3E84" w:rsidR="00803069" w:rsidRPr="000D5B62" w:rsidRDefault="00803069" w:rsidP="00B157F1">
            <w:pPr>
              <w:pStyle w:val="Bullet1G"/>
              <w:numPr>
                <w:ilvl w:val="0"/>
                <w:numId w:val="28"/>
              </w:numPr>
              <w:tabs>
                <w:tab w:val="clear" w:pos="1701"/>
                <w:tab w:val="num" w:pos="631"/>
              </w:tabs>
              <w:bidi/>
              <w:spacing w:before="40" w:after="40" w:line="300" w:lineRule="exact"/>
              <w:ind w:left="622" w:right="0" w:hanging="322"/>
              <w:textDirection w:val="tbRlV"/>
              <w:rPr>
                <w:rFonts w:eastAsiaTheme="minorEastAsia"/>
                <w:spacing w:val="-4"/>
                <w:sz w:val="20"/>
                <w:szCs w:val="20"/>
                <w:lang w:val="ar-SA" w:eastAsia="zh-TW" w:bidi="en-GB"/>
              </w:rPr>
            </w:pPr>
            <w:r w:rsidRPr="000D5B62">
              <w:rPr>
                <w:rFonts w:eastAsiaTheme="minorEastAsia"/>
                <w:spacing w:val="-4"/>
                <w:sz w:val="20"/>
                <w:szCs w:val="20"/>
                <w:rtl/>
              </w:rPr>
              <w:t>تقر، لأغراض المادة 22 من الاتفاقية، باختصاص لجنة مناهضة التعذيب في تلقي ودراسة أي بلاغات ترد من أفراد أو تقدم باسم أفراد يدعون أنهم ضحايا تعذيب تمارسه دولة طرف</w:t>
            </w:r>
            <w:r w:rsidR="005B754C" w:rsidRPr="000D5B62">
              <w:rPr>
                <w:rFonts w:eastAsiaTheme="minorEastAsia" w:hint="cs"/>
                <w:spacing w:val="-4"/>
                <w:sz w:val="20"/>
                <w:szCs w:val="20"/>
                <w:rtl/>
              </w:rPr>
              <w:t>“</w:t>
            </w:r>
            <w:r w:rsidRPr="000D5B62">
              <w:rPr>
                <w:rFonts w:eastAsiaTheme="minorEastAsia"/>
                <w:spacing w:val="-4"/>
                <w:sz w:val="20"/>
                <w:szCs w:val="20"/>
                <w:rtl/>
              </w:rPr>
              <w:t>.</w:t>
            </w:r>
          </w:p>
        </w:tc>
      </w:tr>
      <w:tr w:rsidR="00803069" w:rsidRPr="000D5B62" w14:paraId="0FEEB84A" w14:textId="77777777" w:rsidTr="00B157F1">
        <w:tc>
          <w:tcPr>
            <w:tcW w:w="2645" w:type="dxa"/>
            <w:shd w:val="clear" w:color="auto" w:fill="auto"/>
          </w:tcPr>
          <w:p w14:paraId="5E9EC8DF"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اتفاقية حقوق الطفل</w:t>
            </w:r>
          </w:p>
        </w:tc>
        <w:tc>
          <w:tcPr>
            <w:tcW w:w="1441" w:type="dxa"/>
            <w:shd w:val="clear" w:color="auto" w:fill="auto"/>
          </w:tcPr>
          <w:p w14:paraId="0C8D055B"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16/06/1998</w:t>
            </w:r>
          </w:p>
        </w:tc>
        <w:tc>
          <w:tcPr>
            <w:tcW w:w="4419" w:type="dxa"/>
            <w:shd w:val="clear" w:color="auto" w:fill="auto"/>
          </w:tcPr>
          <w:p w14:paraId="19132E95"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r>
      <w:tr w:rsidR="00803069" w:rsidRPr="000D5B62" w14:paraId="096A2DA6" w14:textId="77777777" w:rsidTr="00B157F1">
        <w:tc>
          <w:tcPr>
            <w:tcW w:w="2645" w:type="dxa"/>
            <w:shd w:val="clear" w:color="auto" w:fill="auto"/>
          </w:tcPr>
          <w:p w14:paraId="54209E29"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 الاختياري الملحق باتفاقية حقوق الطفل بشأن بيع الأطفال واستغلال الأطفال في البغاء وفي المواد الإباحية</w:t>
            </w:r>
          </w:p>
          <w:p w14:paraId="02607C57"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 الاختياري لاتفاقية حقوق الطفل بشأن اشتراك الأطفال في المنازعات المسلحة</w:t>
            </w:r>
          </w:p>
        </w:tc>
        <w:tc>
          <w:tcPr>
            <w:tcW w:w="1441" w:type="dxa"/>
            <w:shd w:val="clear" w:color="auto" w:fill="auto"/>
          </w:tcPr>
          <w:p w14:paraId="4A8EC93B"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30/06/2003</w:t>
            </w:r>
          </w:p>
          <w:p w14:paraId="62CABC0B"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24/09/2009</w:t>
            </w:r>
          </w:p>
        </w:tc>
        <w:tc>
          <w:tcPr>
            <w:tcW w:w="4419" w:type="dxa"/>
            <w:shd w:val="clear" w:color="auto" w:fill="auto"/>
          </w:tcPr>
          <w:p w14:paraId="169CDA26"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 بشأن اتفاقية حقوق الطفل:</w:t>
            </w:r>
          </w:p>
          <w:p w14:paraId="1A69A9B7" w14:textId="12758489"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”(أ) قوة الدفاع الوطني في جنوب أفريقيا هي قوة تطوعية، ومن ثم لا</w:t>
            </w:r>
            <w:r w:rsidR="00E474C9" w:rsidRPr="000D5B62">
              <w:rPr>
                <w:rFonts w:eastAsiaTheme="minorEastAsia" w:hint="cs"/>
                <w:spacing w:val="-4"/>
                <w:szCs w:val="20"/>
                <w:rtl/>
              </w:rPr>
              <w:t> </w:t>
            </w:r>
            <w:r w:rsidRPr="000D5B62">
              <w:rPr>
                <w:rFonts w:eastAsiaTheme="minorEastAsia"/>
                <w:spacing w:val="-4"/>
                <w:szCs w:val="20"/>
                <w:rtl/>
              </w:rPr>
              <w:t>محل للتجنيد الإجباري فيها؛</w:t>
            </w:r>
          </w:p>
          <w:p w14:paraId="62A09703"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ب) تبدأ عملية التجنيد في قوة الدفاع الوطني في جنوب أفريقيا من خلال إعلانات في الصحف الوطنية ويشترط في القانون ألا يقل السن عن 18 عاماً كحد أدنى؛</w:t>
            </w:r>
          </w:p>
          <w:p w14:paraId="45CE3D82"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(ج) يتم إلحاق جميع المجندين في الأماكن العامة؛</w:t>
            </w:r>
          </w:p>
          <w:p w14:paraId="141A81E4" w14:textId="22A8E9CB" w:rsidR="00803069" w:rsidRPr="000D5B62" w:rsidRDefault="00803069" w:rsidP="00B157F1">
            <w:pPr>
              <w:spacing w:before="40" w:after="40" w:line="300" w:lineRule="exact"/>
              <w:ind w:left="113"/>
              <w:textDirection w:val="tbRlV"/>
              <w:rPr>
                <w:rFonts w:eastAsiaTheme="minorEastAsia"/>
                <w:spacing w:val="-4"/>
                <w:szCs w:val="20"/>
                <w:rtl/>
                <w:lang w:eastAsia="zh-TW" w:bidi="ar-DZ"/>
              </w:rPr>
            </w:pPr>
            <w:r w:rsidRPr="000D5B62">
              <w:rPr>
                <w:rFonts w:eastAsiaTheme="minorEastAsia"/>
                <w:spacing w:val="-4"/>
                <w:szCs w:val="20"/>
                <w:rtl/>
              </w:rPr>
              <w:t>(د) يشترط على جميع المجندين تقديم وثيقة هوية وطنية مثبت فيها</w:t>
            </w:r>
            <w:r w:rsidR="00E474C9" w:rsidRPr="000D5B62">
              <w:rPr>
                <w:rFonts w:eastAsiaTheme="minorEastAsia" w:hint="cs"/>
                <w:spacing w:val="-4"/>
                <w:szCs w:val="20"/>
                <w:rtl/>
              </w:rPr>
              <w:t> </w:t>
            </w:r>
            <w:r w:rsidRPr="000D5B62">
              <w:rPr>
                <w:rFonts w:eastAsiaTheme="minorEastAsia"/>
                <w:spacing w:val="-4"/>
                <w:szCs w:val="20"/>
                <w:rtl/>
              </w:rPr>
              <w:t xml:space="preserve">تاريخ ميلادهم ويشترط عليهم حسب الاقتضاء تقديم سجلاتهم التعليمية؛ </w:t>
            </w:r>
          </w:p>
          <w:p w14:paraId="57F5BD40" w14:textId="6D5B4A4D" w:rsidR="00803069" w:rsidRPr="000D5B62" w:rsidRDefault="00E474C9" w:rsidP="00B157F1">
            <w:pPr>
              <w:spacing w:before="40" w:after="40" w:line="300" w:lineRule="exact"/>
              <w:ind w:left="113"/>
              <w:textDirection w:val="tbRlV"/>
              <w:rPr>
                <w:rFonts w:eastAsiaTheme="minorEastAsia"/>
                <w:spacing w:val="-4"/>
                <w:szCs w:val="20"/>
                <w:lang w:val="fr-CH" w:eastAsia="zh-TW" w:bidi="en-GB"/>
              </w:rPr>
            </w:pPr>
            <w:r w:rsidRPr="000D5B62">
              <w:rPr>
                <w:rFonts w:eastAsiaTheme="minorEastAsia"/>
                <w:spacing w:val="-4"/>
                <w:szCs w:val="20"/>
                <w:rtl/>
              </w:rPr>
              <w:t>(</w:t>
            </w:r>
            <w:r w:rsidRPr="000D5B62">
              <w:rPr>
                <w:rFonts w:eastAsiaTheme="minorEastAsia" w:hint="cs"/>
                <w:spacing w:val="-4"/>
                <w:szCs w:val="20"/>
                <w:rtl/>
              </w:rPr>
              <w:t>ه</w:t>
            </w:r>
            <w:r w:rsidRPr="000D5B62">
              <w:rPr>
                <w:rFonts w:eastAsiaTheme="minorEastAsia"/>
                <w:spacing w:val="-4"/>
                <w:szCs w:val="20"/>
                <w:rtl/>
              </w:rPr>
              <w:t xml:space="preserve">) </w:t>
            </w:r>
            <w:r w:rsidR="00803069" w:rsidRPr="000D5B62">
              <w:rPr>
                <w:rFonts w:eastAsiaTheme="minorEastAsia"/>
                <w:spacing w:val="-4"/>
                <w:szCs w:val="20"/>
                <w:rtl/>
              </w:rPr>
              <w:t>يخضع جميع المجندين لفحص طبي دقيق يتيح ملاحظة بلوغهم المبكر وإذا ثبت أن أياً من المجندين دون السن المقررة فإنه يستبعد تلقائياً من التجنيد</w:t>
            </w:r>
            <w:r w:rsidR="005B754C" w:rsidRPr="000D5B62">
              <w:rPr>
                <w:rFonts w:eastAsiaTheme="minorEastAsia" w:hint="cs"/>
                <w:spacing w:val="-4"/>
                <w:szCs w:val="20"/>
                <w:rtl/>
              </w:rPr>
              <w:t>“</w:t>
            </w:r>
            <w:r w:rsidR="00803069" w:rsidRPr="000D5B62">
              <w:rPr>
                <w:rFonts w:eastAsiaTheme="minorEastAsia"/>
                <w:spacing w:val="-4"/>
                <w:szCs w:val="20"/>
                <w:rtl/>
              </w:rPr>
              <w:t>.</w:t>
            </w:r>
          </w:p>
        </w:tc>
      </w:tr>
      <w:tr w:rsidR="00803069" w:rsidRPr="000D5B62" w14:paraId="38CE6FC9" w14:textId="77777777" w:rsidTr="00B157F1">
        <w:tc>
          <w:tcPr>
            <w:tcW w:w="2645" w:type="dxa"/>
            <w:shd w:val="clear" w:color="auto" w:fill="auto"/>
          </w:tcPr>
          <w:p w14:paraId="4965F446" w14:textId="77777777" w:rsidR="00803069" w:rsidRPr="000D5B62" w:rsidRDefault="00803069" w:rsidP="00B157F1">
            <w:pPr>
              <w:spacing w:before="40" w:after="40" w:line="300" w:lineRule="exact"/>
              <w:textDirection w:val="tbRlV"/>
              <w:rPr>
                <w:rFonts w:eastAsiaTheme="minorEastAsia"/>
                <w:spacing w:val="-4"/>
                <w:szCs w:val="20"/>
                <w:lang w:val="fr-CH" w:eastAsia="zh-TW" w:bidi="en-GB"/>
              </w:rPr>
            </w:pPr>
            <w:r w:rsidRPr="000D5B62">
              <w:rPr>
                <w:rFonts w:eastAsiaTheme="minorEastAsia"/>
                <w:spacing w:val="-4"/>
                <w:szCs w:val="20"/>
                <w:rtl/>
              </w:rPr>
              <w:t>اتفاقية حقوق الأشخاص ذوي الإعاقة</w:t>
            </w:r>
          </w:p>
        </w:tc>
        <w:tc>
          <w:tcPr>
            <w:tcW w:w="1441" w:type="dxa"/>
            <w:shd w:val="clear" w:color="auto" w:fill="auto"/>
          </w:tcPr>
          <w:p w14:paraId="6758F965"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30/11/2007</w:t>
            </w:r>
          </w:p>
        </w:tc>
        <w:tc>
          <w:tcPr>
            <w:tcW w:w="4419" w:type="dxa"/>
            <w:shd w:val="clear" w:color="auto" w:fill="auto"/>
          </w:tcPr>
          <w:p w14:paraId="5B647AF8"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ar-DZ"/>
              </w:rPr>
            </w:pPr>
            <w:r w:rsidRPr="000D5B62">
              <w:rPr>
                <w:rFonts w:eastAsiaTheme="minorEastAsia"/>
                <w:spacing w:val="-4"/>
                <w:szCs w:val="20"/>
                <w:rtl/>
              </w:rPr>
              <w:t>لا ينطبق</w:t>
            </w:r>
          </w:p>
        </w:tc>
      </w:tr>
      <w:tr w:rsidR="00803069" w:rsidRPr="000D5B62" w14:paraId="117DDE20" w14:textId="77777777" w:rsidTr="00B157F1">
        <w:tc>
          <w:tcPr>
            <w:tcW w:w="2645" w:type="dxa"/>
            <w:shd w:val="clear" w:color="auto" w:fill="auto"/>
          </w:tcPr>
          <w:p w14:paraId="62A336E0"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 الاختياري لاتفاقية حقوق الأشخاص ذوي الإعاقة</w:t>
            </w:r>
          </w:p>
        </w:tc>
        <w:tc>
          <w:tcPr>
            <w:tcW w:w="1441" w:type="dxa"/>
            <w:shd w:val="clear" w:color="auto" w:fill="auto"/>
          </w:tcPr>
          <w:p w14:paraId="2A7D2CCE"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30/11/2007</w:t>
            </w:r>
          </w:p>
        </w:tc>
        <w:tc>
          <w:tcPr>
            <w:tcW w:w="4419" w:type="dxa"/>
            <w:shd w:val="clear" w:color="auto" w:fill="auto"/>
          </w:tcPr>
          <w:p w14:paraId="1F2CB73A"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r>
      <w:tr w:rsidR="00803069" w:rsidRPr="000D5B62" w14:paraId="1C9FC265" w14:textId="77777777" w:rsidTr="00B157F1">
        <w:tc>
          <w:tcPr>
            <w:tcW w:w="2645" w:type="dxa"/>
            <w:shd w:val="clear" w:color="auto" w:fill="auto"/>
          </w:tcPr>
          <w:p w14:paraId="24BF31FE" w14:textId="77777777" w:rsidR="00803069" w:rsidRPr="000D5B62" w:rsidRDefault="00803069" w:rsidP="00B157F1">
            <w:pPr>
              <w:spacing w:before="40" w:after="40" w:line="300" w:lineRule="exact"/>
              <w:textDirection w:val="tbRlV"/>
              <w:rPr>
                <w:rFonts w:eastAsiaTheme="minorEastAsia"/>
                <w:spacing w:val="-4"/>
                <w:szCs w:val="20"/>
                <w:lang w:val="ar-SA" w:eastAsia="zh-TW" w:bidi="ar-DZ"/>
              </w:rPr>
            </w:pPr>
            <w:r w:rsidRPr="000D5B62">
              <w:rPr>
                <w:rFonts w:eastAsiaTheme="minorEastAsia"/>
                <w:spacing w:val="-4"/>
                <w:szCs w:val="20"/>
                <w:rtl/>
              </w:rPr>
              <w:t>‎‎العهد الدولي الخاص بالحقوق الاقتصادية والاجتماعية والثقافية‏‏</w:t>
            </w:r>
          </w:p>
        </w:tc>
        <w:tc>
          <w:tcPr>
            <w:tcW w:w="1441" w:type="dxa"/>
            <w:shd w:val="clear" w:color="auto" w:fill="auto"/>
          </w:tcPr>
          <w:p w14:paraId="55ED91DF"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12/01/2015</w:t>
            </w:r>
          </w:p>
        </w:tc>
        <w:tc>
          <w:tcPr>
            <w:tcW w:w="4419" w:type="dxa"/>
            <w:shd w:val="clear" w:color="auto" w:fill="auto"/>
          </w:tcPr>
          <w:p w14:paraId="1602057C"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(إعلان)</w:t>
            </w:r>
          </w:p>
          <w:p w14:paraId="669927FB"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المادتان 13 و14</w:t>
            </w:r>
            <w:r w:rsidRPr="000D5B62">
              <w:rPr>
                <w:rFonts w:eastAsiaTheme="minorEastAsia"/>
                <w:spacing w:val="-4"/>
                <w:szCs w:val="20"/>
              </w:rPr>
              <w:t>:</w:t>
            </w:r>
            <w:r w:rsidRPr="000D5B62">
              <w:rPr>
                <w:rFonts w:eastAsiaTheme="minorEastAsia"/>
                <w:spacing w:val="-4"/>
                <w:szCs w:val="20"/>
                <w:rtl/>
              </w:rPr>
              <w:t xml:space="preserve"> سيُعمل في جنوب أفريقيا بالتدريج، في إطار سياستها التعليمية الوطنية وفي حدود الموارد المتاحة، الحق في التعليم على النحو المنصوص عليه في المادة 13(2)(أ) والمادة 14.</w:t>
            </w:r>
          </w:p>
        </w:tc>
      </w:tr>
      <w:tr w:rsidR="00803069" w:rsidRPr="000D5B62" w14:paraId="3C036F01" w14:textId="77777777" w:rsidTr="00B157F1">
        <w:tc>
          <w:tcPr>
            <w:tcW w:w="2645" w:type="dxa"/>
            <w:shd w:val="clear" w:color="auto" w:fill="auto"/>
          </w:tcPr>
          <w:p w14:paraId="37F159FC"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الاتفاقية الدولية لحماية حقوق جميع العمال المهاجرين وأفراد أسرهم</w:t>
            </w:r>
          </w:p>
        </w:tc>
        <w:tc>
          <w:tcPr>
            <w:tcW w:w="1441" w:type="dxa"/>
            <w:shd w:val="clear" w:color="auto" w:fill="auto"/>
          </w:tcPr>
          <w:p w14:paraId="4115E25A"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c>
          <w:tcPr>
            <w:tcW w:w="4419" w:type="dxa"/>
            <w:shd w:val="clear" w:color="auto" w:fill="auto"/>
          </w:tcPr>
          <w:p w14:paraId="7F996D4F"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ar-DZ"/>
              </w:rPr>
            </w:pPr>
            <w:r w:rsidRPr="000D5B62">
              <w:rPr>
                <w:rFonts w:eastAsiaTheme="minorEastAsia"/>
                <w:spacing w:val="-4"/>
                <w:szCs w:val="20"/>
                <w:rtl/>
              </w:rPr>
              <w:t>لا ينطبق</w:t>
            </w:r>
          </w:p>
        </w:tc>
      </w:tr>
      <w:tr w:rsidR="00803069" w:rsidRPr="000D5B62" w14:paraId="4D5092CE" w14:textId="77777777" w:rsidTr="00B157F1">
        <w:tc>
          <w:tcPr>
            <w:tcW w:w="2645" w:type="dxa"/>
            <w:tcBorders>
              <w:bottom w:val="single" w:sz="12" w:space="0" w:color="auto"/>
            </w:tcBorders>
            <w:shd w:val="clear" w:color="auto" w:fill="auto"/>
          </w:tcPr>
          <w:p w14:paraId="6AC64437" w14:textId="77777777" w:rsidR="00803069" w:rsidRPr="000D5B62" w:rsidRDefault="00803069" w:rsidP="00B157F1">
            <w:pPr>
              <w:spacing w:before="40" w:after="40" w:line="300" w:lineRule="exact"/>
              <w:textDirection w:val="tbRlV"/>
              <w:rPr>
                <w:rFonts w:eastAsiaTheme="minorEastAsia"/>
                <w:spacing w:val="-4"/>
                <w:szCs w:val="20"/>
                <w:lang w:val="ar-SA" w:eastAsia="zh-TW" w:bidi="en-GB"/>
              </w:rPr>
            </w:pPr>
            <w:r w:rsidRPr="000D5B62">
              <w:rPr>
                <w:rFonts w:eastAsiaTheme="minorEastAsia"/>
                <w:spacing w:val="-4"/>
                <w:szCs w:val="20"/>
                <w:rtl/>
              </w:rPr>
              <w:t>البروتوكول الاختياري الملحق باتفاقية مناهضة التعذيب وغيره من ضروب المعاملة أو العقوبة القاسية أو اللاإنسانية أو المهينة</w:t>
            </w:r>
          </w:p>
        </w:tc>
        <w:tc>
          <w:tcPr>
            <w:tcW w:w="1441" w:type="dxa"/>
            <w:tcBorders>
              <w:bottom w:val="single" w:sz="12" w:space="0" w:color="auto"/>
            </w:tcBorders>
            <w:shd w:val="clear" w:color="auto" w:fill="auto"/>
          </w:tcPr>
          <w:p w14:paraId="5333DD6D"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zCs w:val="20"/>
                <w:rtl/>
              </w:rPr>
              <w:t>استهلت إجراءات التصديق ومن المتوخى أن تنتهي في عام 2018/2019</w:t>
            </w:r>
          </w:p>
        </w:tc>
        <w:tc>
          <w:tcPr>
            <w:tcW w:w="4419" w:type="dxa"/>
            <w:tcBorders>
              <w:bottom w:val="single" w:sz="12" w:space="0" w:color="auto"/>
            </w:tcBorders>
            <w:shd w:val="clear" w:color="auto" w:fill="auto"/>
          </w:tcPr>
          <w:p w14:paraId="07C28AB9" w14:textId="77777777" w:rsidR="00803069" w:rsidRPr="000D5B62" w:rsidRDefault="00803069" w:rsidP="00B157F1">
            <w:pPr>
              <w:spacing w:before="40" w:after="40" w:line="300" w:lineRule="exact"/>
              <w:ind w:left="113"/>
              <w:textDirection w:val="tbRlV"/>
              <w:rPr>
                <w:rFonts w:eastAsiaTheme="minorEastAsia"/>
                <w:spacing w:val="-4"/>
                <w:szCs w:val="20"/>
                <w:lang w:val="ar-SA" w:eastAsia="zh-TW" w:bidi="en-GB"/>
              </w:rPr>
            </w:pPr>
            <w:r w:rsidRPr="000D5B62">
              <w:rPr>
                <w:rFonts w:eastAsiaTheme="minorEastAsia"/>
                <w:spacing w:val="-4"/>
                <w:szCs w:val="20"/>
                <w:rtl/>
              </w:rPr>
              <w:t>لا ينطبق</w:t>
            </w:r>
          </w:p>
        </w:tc>
      </w:tr>
    </w:tbl>
    <w:p w14:paraId="271CBA23" w14:textId="77777777" w:rsidR="00803069" w:rsidRPr="000D5B62" w:rsidRDefault="00803069" w:rsidP="005B41CD">
      <w:pPr>
        <w:pStyle w:val="SingleTxtGA"/>
        <w:spacing w:before="240"/>
        <w:rPr>
          <w:lang w:val="ar-SA" w:eastAsia="zh-TW" w:bidi="en-GB"/>
        </w:rPr>
      </w:pPr>
      <w:r w:rsidRPr="000D5B62">
        <w:rPr>
          <w:rtl/>
        </w:rPr>
        <w:t>110-</w:t>
      </w:r>
      <w:r w:rsidRPr="000D5B62">
        <w:rPr>
          <w:rtl/>
        </w:rPr>
        <w:tab/>
        <w:t xml:space="preserve">وصدقت جنوب أفريقيا بصفتها عضواً في منظمة العمل الدولية على 27 اتفاقية من اتفاقياتها، منها 25 سارية المفعول واتفاقيتان ألغي العمل بهما. </w:t>
      </w:r>
    </w:p>
    <w:p w14:paraId="141D8744" w14:textId="77777777" w:rsidR="00803069" w:rsidRPr="000D5B62" w:rsidRDefault="00803069" w:rsidP="00B157F1">
      <w:pPr>
        <w:pStyle w:val="H1GA"/>
        <w:rPr>
          <w:lang w:val="ar-SA" w:eastAsia="zh-TW" w:bidi="en-GB"/>
        </w:rPr>
      </w:pPr>
      <w:r w:rsidRPr="000D5B62">
        <w:rPr>
          <w:rtl/>
        </w:rPr>
        <w:tab/>
        <w:t>باء-</w:t>
      </w:r>
      <w:r w:rsidRPr="000D5B62">
        <w:rPr>
          <w:rtl/>
        </w:rPr>
        <w:tab/>
        <w:t>الإطار القانوني لحماية حقوق الإنسان على الصعيد الوطني</w:t>
      </w:r>
    </w:p>
    <w:p w14:paraId="4BDAF82B" w14:textId="614CF693" w:rsidR="00803069" w:rsidRPr="000D5B62" w:rsidRDefault="00803069" w:rsidP="00B157F1">
      <w:pPr>
        <w:pStyle w:val="SingleTxtGA"/>
        <w:rPr>
          <w:lang w:val="ar-SA" w:eastAsia="zh-TW" w:bidi="en-GB"/>
        </w:rPr>
      </w:pPr>
      <w:r w:rsidRPr="000D5B62">
        <w:rPr>
          <w:rtl/>
        </w:rPr>
        <w:t>111-</w:t>
      </w:r>
      <w:r w:rsidRPr="000D5B62">
        <w:rPr>
          <w:rtl/>
        </w:rPr>
        <w:tab/>
        <w:t>بالنظر إلى تاريخنا، تلتزم جنوب أفريقيا التزاماً راسخاً بحماية حقوق الإنسان وتعزيزها، ليس داخل بلدنا فحسب، بل وفي قارتنا أيضاً وفي العالم أجمع. فمن المهم بشدة بالنسبة لجنوب أفريقيا أن تؤدي دوراً نشطاً في تعزيز حقوق الإنسان على الصعيد العالمي، الأمر الذي يؤكده تمحور سياستنا الخارجية حول الهدف المتمثل في إيجاد جنوب أفريقيا أفضل في أفريقيا أفضل وفي عالم أفضل وأكثر أمانا</w:t>
      </w:r>
      <w:r w:rsidR="00E474C9" w:rsidRPr="000D5B62">
        <w:rPr>
          <w:rFonts w:hint="cs"/>
          <w:rtl/>
        </w:rPr>
        <w:t>ً</w:t>
      </w:r>
      <w:r w:rsidRPr="000D5B62">
        <w:rPr>
          <w:rtl/>
        </w:rPr>
        <w:t>. والواقع أن تكريس جهودنا لتعزيز حقوق الإنسان أمر يضرب بجذوره في الدستور وشرعة الحقوق ويحدونا على الالتزام بإقرار السلام وتحقيق العدالة وكفالة حقوق الإنسان وسيادة القانون.</w:t>
      </w:r>
    </w:p>
    <w:p w14:paraId="2A6F79DE" w14:textId="77777777" w:rsidR="00803069" w:rsidRPr="000D5B62" w:rsidRDefault="00803069" w:rsidP="00B157F1">
      <w:pPr>
        <w:pStyle w:val="SingleTxtGA"/>
        <w:rPr>
          <w:lang w:val="ar-SA" w:eastAsia="zh-TW" w:bidi="en-GB"/>
        </w:rPr>
      </w:pPr>
      <w:r w:rsidRPr="000D5B62">
        <w:rPr>
          <w:rtl/>
        </w:rPr>
        <w:t>112-</w:t>
      </w:r>
      <w:r w:rsidRPr="000D5B62">
        <w:rPr>
          <w:rtl/>
        </w:rPr>
        <w:tab/>
        <w:t xml:space="preserve">وتلتزم الحكومة بالنهوض بسيادة القانون لكفالة إعمال الحقوق المكرسة في الدستور. وتعمل محاكمنا على تعزيز القيم التي تأسست عليها جنوب أفريقيا، من قبيل صون كرامة الإنسان والمساواة وسمو الدستور على جميع القواعد القانونية. ولقد أحرزت جنوب أفريقيا تقدماً لا يستهان به في حماية وتعزيز الحقوق المدنية والسياسية والحقوق الاقتصادية والاجتماعية منذ أن حلت الديمقراطية. وبرهنت جنوب أفريقيا، منذ عام 1994، على التزامها حيال السلام والأمن والعدل في العالم. وتصدياً لتركة ماضينا، اتخذت جنوب أفريقيا عدداً من التدابير الإيجابية لتجاوز انقسامات الماضي وأرست دعائم مجتمع قوامه القيم الديمقراطية والعدالة الاجتماعية وحقوق الإنسان الأساسية. </w:t>
      </w:r>
    </w:p>
    <w:p w14:paraId="11A2F0E0" w14:textId="77777777" w:rsidR="00803069" w:rsidRPr="000D5B62" w:rsidRDefault="00803069" w:rsidP="00B157F1">
      <w:pPr>
        <w:pStyle w:val="SingleTxtGA"/>
        <w:rPr>
          <w:iCs/>
          <w:lang w:val="ar-SA" w:eastAsia="zh-TW" w:bidi="en-GB"/>
        </w:rPr>
      </w:pPr>
      <w:r w:rsidRPr="000D5B62">
        <w:rPr>
          <w:rtl/>
        </w:rPr>
        <w:t>113-</w:t>
      </w:r>
      <w:r w:rsidRPr="000D5B62">
        <w:rPr>
          <w:rtl/>
        </w:rPr>
        <w:tab/>
        <w:t>ونُفذت تدابير تشريعية وسياساتية وتدابير أخرى شتى لكفالة الإعمال الفعلي للحقوق المدنية والسياسية والحقوق الاجتماعية والاقتصادية والثقافية. إضافة إلى ذلك، ما برحت محاكمنا تصدر أحكاماً وترسي سوابق قضائية تعزز هذه الحقوق وتحميها وتوفر توجيهات يهتدى بها في تفسير هذه الحقوق. ولقد خطت جنوب أفريقيا خطوات كبيرة صوب هدم الأركان الرئيسية الثلاثة في تركة نظام الفصل العنصري، ألا وهي انعدام المساواة والبطالة والفقر. وتتبع الحكومة نهجاً قوامه التغيير الجذري لكفالة التمتع التام بجميع الحقوق المنصوص عليها في شرعة الحقوق التي استنتها الأمم المتحدة وفي دستور جمهورية أفريقيا بوجه خاص.</w:t>
      </w:r>
    </w:p>
    <w:p w14:paraId="32FF6FD5" w14:textId="77777777" w:rsidR="00803069" w:rsidRPr="000D5B62" w:rsidRDefault="00803069" w:rsidP="00B157F1">
      <w:pPr>
        <w:pStyle w:val="SingleTxtGA"/>
        <w:rPr>
          <w:iCs/>
          <w:lang w:val="ar-SA" w:eastAsia="zh-TW" w:bidi="en-GB"/>
        </w:rPr>
      </w:pPr>
      <w:r w:rsidRPr="000D5B62">
        <w:rPr>
          <w:rtl/>
        </w:rPr>
        <w:t>114-</w:t>
      </w:r>
      <w:r w:rsidRPr="000D5B62">
        <w:rPr>
          <w:rtl/>
        </w:rPr>
        <w:tab/>
        <w:t xml:space="preserve">وفي ظل إطار التغيير الجذري هذا الواسع النطاق، ينشد في المقام الأول بناء أمة جديدة ركيزتها القيم الأساسية التي ينهض عليها الدستور، ألا وهي صون كرامة الإنسان وتحقيق المساواة والنهوض بحقوق الإنسان والحريات ومنع العنصرية والتحيز الجنسي وكفالة سمو الدستور على ما عداه من قواعد قانونية وسيادة القانون. </w:t>
      </w:r>
    </w:p>
    <w:p w14:paraId="0C720989" w14:textId="64819408" w:rsidR="00803069" w:rsidRPr="000D5B62" w:rsidRDefault="00803069" w:rsidP="00B157F1">
      <w:pPr>
        <w:pStyle w:val="SingleTxtGA"/>
        <w:rPr>
          <w:rStyle w:val="FootnoteReference"/>
          <w:rFonts w:eastAsiaTheme="minorEastAsia"/>
          <w:szCs w:val="22"/>
          <w:lang w:val="fr-CH" w:eastAsia="zh-TW" w:bidi="en-GB"/>
        </w:rPr>
      </w:pPr>
      <w:r w:rsidRPr="000D5B62">
        <w:rPr>
          <w:rtl/>
        </w:rPr>
        <w:t>115-</w:t>
      </w:r>
      <w:r w:rsidRPr="000D5B62">
        <w:rPr>
          <w:rtl/>
        </w:rPr>
        <w:tab/>
        <w:t>ولقد أوليت عناية خاصة لتنمية الفئات التي عانت من الحرمان في السابق ولإعمال الحقوق الاجتماعية والاقتصادية التي يمكن بموجب الدستور أن تنظر فيها المحاكم. ومُنحت الأولوية لتنفيذ برنامج شامل للضمان الاجتماعي يوفر، في جملة أمور، السكن والمياه ومرافق الصرف الصحي والكهرباء لمن كانوا في السابق يعانون من الإقصاء. إضافة إلى ذلك، أُولي الاهتمام بالقدر نفسه لتوفير الرعاية الصحية الأساسية والتعليم والمساعدة الاجتماعية للملايين من شعبنا. واعتمدت جنوب أفريقيا عدداً من القوانين تنفيذاً للدستور</w:t>
      </w:r>
      <w:r w:rsidRPr="000D5B62">
        <w:rPr>
          <w:rStyle w:val="FootnoteReference"/>
          <w:szCs w:val="22"/>
          <w:rtl/>
        </w:rPr>
        <w:t>(</w:t>
      </w:r>
      <w:r w:rsidRPr="000D5B62">
        <w:rPr>
          <w:rStyle w:val="FootnoteReference"/>
          <w:szCs w:val="22"/>
          <w:rtl/>
        </w:rPr>
        <w:footnoteReference w:id="89"/>
      </w:r>
      <w:r w:rsidRPr="000D5B62">
        <w:rPr>
          <w:rStyle w:val="FootnoteReference"/>
          <w:szCs w:val="22"/>
          <w:rtl/>
        </w:rPr>
        <w:t>)</w:t>
      </w:r>
      <w:r w:rsidRPr="000D5B62">
        <w:rPr>
          <w:rtl/>
        </w:rPr>
        <w:t>.</w:t>
      </w:r>
    </w:p>
    <w:p w14:paraId="0DE4875E" w14:textId="6C0ACC3A" w:rsidR="00803069" w:rsidRPr="000D5B62" w:rsidRDefault="00803069" w:rsidP="00B157F1">
      <w:pPr>
        <w:pStyle w:val="SingleTxtGA"/>
        <w:rPr>
          <w:bCs/>
          <w:iCs/>
          <w:lang w:val="fr-CH" w:eastAsia="zh-TW" w:bidi="en-GB"/>
        </w:rPr>
      </w:pPr>
      <w:r w:rsidRPr="000D5B62">
        <w:rPr>
          <w:rtl/>
        </w:rPr>
        <w:t>116-</w:t>
      </w:r>
      <w:r w:rsidRPr="000D5B62">
        <w:rPr>
          <w:rtl/>
        </w:rPr>
        <w:tab/>
        <w:t>ويتضمن الفصل 2 من دستورنا شرعة الحقوق التي استنتها جنوب أفريقيا. وهذا الجزء من الدستور هو الجزء الذي استحوذ على الاهتمام إلى أقصى حد والذي كان له أكبر أثر في أهالي جنوب أفريقيا خلال السنوات القلائل الماضية. وتجدر الإشارة في هذا الصدد إلى أن الحق في المساواة وفي الحماية من التمييز حق راسخ في المادة 9 من دستورنا</w:t>
      </w:r>
      <w:r w:rsidRPr="000D5B62">
        <w:rPr>
          <w:rStyle w:val="FootnoteReference"/>
          <w:szCs w:val="22"/>
          <w:rtl/>
        </w:rPr>
        <w:t>(</w:t>
      </w:r>
      <w:r w:rsidRPr="000D5B62">
        <w:rPr>
          <w:rStyle w:val="FootnoteReference"/>
          <w:szCs w:val="22"/>
          <w:rtl/>
        </w:rPr>
        <w:footnoteReference w:id="90"/>
      </w:r>
      <w:r w:rsidRPr="000D5B62">
        <w:rPr>
          <w:rStyle w:val="FootnoteReference"/>
          <w:szCs w:val="22"/>
          <w:rtl/>
        </w:rPr>
        <w:t>)</w:t>
      </w:r>
      <w:r w:rsidRPr="000D5B62">
        <w:rPr>
          <w:rtl/>
        </w:rPr>
        <w:t xml:space="preserve"> التي تعتبر بنداً خاصاً بالمساواة، فهي تحظر التمييز دون وجه حق استناداً إلى بعض من ”الأسباب الوارد ذكرها“، مما يفترض معه أن التمييز بناء على أحد الأسباب المدرجة في المادة 9(3) يعتبر تمييزاً دون وجه حق لحين إثبات العكس. أما أسباب التمييز الوارد ذكرها في تلك المادة فهي الأصل العرقي واللون والانتماء الإثني والنوع الاجتماعي ونوع الجنس والحمل والميل الجنسي والوضع العائلي والسن والإعاقة والدين والرأي والعقيدة والثقافة واللغة والمنشأ والأصل الاجتماعي.</w:t>
      </w:r>
    </w:p>
    <w:p w14:paraId="1329D647" w14:textId="060DD12E" w:rsidR="00803069" w:rsidRPr="000D5B62" w:rsidRDefault="00803069" w:rsidP="00B157F1">
      <w:pPr>
        <w:pStyle w:val="SingleTxtGA"/>
        <w:rPr>
          <w:rStyle w:val="FootnoteReference"/>
          <w:rFonts w:eastAsiaTheme="minorEastAsia"/>
          <w:szCs w:val="22"/>
          <w:lang w:val="ar-SA" w:eastAsia="zh-TW" w:bidi="en-GB"/>
        </w:rPr>
      </w:pPr>
      <w:r w:rsidRPr="000D5B62">
        <w:rPr>
          <w:rtl/>
        </w:rPr>
        <w:t>117-</w:t>
      </w:r>
      <w:r w:rsidRPr="000D5B62">
        <w:rPr>
          <w:rtl/>
        </w:rPr>
        <w:tab/>
        <w:t>وتسري شرعة الحقوق على جميع القوانين، وهي ملزمة للسلطة التشريعية والسلطة التنفيذية والقضاء وجميع أجهزة الدولة. ويعتبر أي نص في شرعة الحقوق ملزماً لأي شخص طبيعي أو أي شخص قانوني، في حالة وبدرجة انطباقه، مع مراعاة طبيعة الحق وطبيعة أي واجب يترتب على هذا الحق</w:t>
      </w:r>
      <w:r w:rsidRPr="000D5B62">
        <w:rPr>
          <w:rStyle w:val="FootnoteReference"/>
          <w:szCs w:val="22"/>
          <w:rtl/>
        </w:rPr>
        <w:t>(</w:t>
      </w:r>
      <w:r w:rsidRPr="000D5B62">
        <w:rPr>
          <w:rStyle w:val="FootnoteReference"/>
          <w:szCs w:val="22"/>
          <w:rtl/>
        </w:rPr>
        <w:footnoteReference w:id="91"/>
      </w:r>
      <w:r w:rsidRPr="000D5B62">
        <w:rPr>
          <w:rStyle w:val="FootnoteReference"/>
          <w:szCs w:val="22"/>
          <w:rtl/>
        </w:rPr>
        <w:t>)</w:t>
      </w:r>
      <w:r w:rsidRPr="000D5B62">
        <w:rPr>
          <w:rtl/>
        </w:rPr>
        <w:t>. ويجب على أي محكمة أو أي هيئة للتقاضي أن تحرص لدى تفسير شرعة الحقوق على إبراز القيم المتأصلة في أي مجتمع ديمقراطي منفتح ينهض على صون كرامة الإنسان والمساواة والحرية وأن تولي الاعتبار للقانون الدولي ويجوز لها أن تولي الاعتبار للقوانين الأجنبية. وجدير بالذكر أن شرعة الحقوق لا</w:t>
      </w:r>
      <w:r w:rsidR="00B228F1" w:rsidRPr="000D5B62">
        <w:rPr>
          <w:rFonts w:hint="cs"/>
          <w:rtl/>
        </w:rPr>
        <w:t> </w:t>
      </w:r>
      <w:r w:rsidRPr="000D5B62">
        <w:rPr>
          <w:rtl/>
        </w:rPr>
        <w:t>تنفي وجود أي حقوق أو حريات أخرى معترف بها أو منصوص عليها في القانون العام أو في القوانين والتشريعات العرفية ما دامت متسقة مع شرعة الحقوق</w:t>
      </w:r>
      <w:r w:rsidRPr="000D5B62">
        <w:rPr>
          <w:rStyle w:val="FootnoteReference"/>
          <w:szCs w:val="22"/>
          <w:rtl/>
        </w:rPr>
        <w:t>(</w:t>
      </w:r>
      <w:r w:rsidRPr="000D5B62">
        <w:rPr>
          <w:rStyle w:val="FootnoteReference"/>
          <w:szCs w:val="22"/>
          <w:rtl/>
        </w:rPr>
        <w:footnoteReference w:id="92"/>
      </w:r>
      <w:r w:rsidRPr="000D5B62">
        <w:rPr>
          <w:rStyle w:val="FootnoteReference"/>
          <w:szCs w:val="22"/>
          <w:rtl/>
        </w:rPr>
        <w:t>)</w:t>
      </w:r>
      <w:r w:rsidRPr="000D5B62">
        <w:rPr>
          <w:rtl/>
        </w:rPr>
        <w:t>.</w:t>
      </w:r>
    </w:p>
    <w:p w14:paraId="470E0CF4" w14:textId="3A926F03" w:rsidR="00803069" w:rsidRPr="000D5B62" w:rsidRDefault="00803069" w:rsidP="00B157F1">
      <w:pPr>
        <w:pStyle w:val="SingleTxtGA"/>
        <w:rPr>
          <w:bCs/>
          <w:iCs/>
          <w:lang w:val="fr-CH" w:eastAsia="zh-TW" w:bidi="en-GB"/>
        </w:rPr>
      </w:pPr>
      <w:r w:rsidRPr="000D5B62">
        <w:rPr>
          <w:rtl/>
        </w:rPr>
        <w:t>118-</w:t>
      </w:r>
      <w:r w:rsidRPr="000D5B62">
        <w:rPr>
          <w:rtl/>
        </w:rPr>
        <w:tab/>
        <w:t>وتكفل شرعة الحقوق الحقوق المدنية والسياسية وكذلك الحقوق الاجتماعية والاقتصادية. أما عن الالتزامات الإيجابية المنوطة بالدولة فيما يخص الحقوق الاجتماعية والاقتصادية، فهي التزامات مشروطة حيث استخدمت في المادتين 26(2) و27(2) الجملة التي لا تلزم الدولة إلا باتخاذ خطوات ”في حدود مواردها المتاحة إعمالاً للحقوق بالتدريج“. ومن ثم، فالبعد الإيجابي هو إعمال الحق الاجتماعي والاقتصادي والوفاء به من خلال إجراءات تتخذها الدولة على امتداد فترة زمنية معينة (أي تدريجياً). والواقع أن اتخاذ الدولة فوراً خطوات في حدود مواردها المتاحة على أن تتخذ خطوات أخرى في أقرب وقت ممكن لا ينتقص من الالتزام المنوط بها. وهكذا يقع على الدولة عبء إثبات أنها تحرز تقدماً ما صوب الإعمال التام للحقوق المذكورة. ومما يحد كذلك من الحقوق الاجتماعية والاقتصادية شرط عدم إتاحتها إلا</w:t>
      </w:r>
      <w:r w:rsidR="00B228F1" w:rsidRPr="000D5B62">
        <w:rPr>
          <w:rFonts w:hint="cs"/>
          <w:rtl/>
        </w:rPr>
        <w:t> </w:t>
      </w:r>
      <w:r w:rsidRPr="000D5B62">
        <w:rPr>
          <w:rtl/>
        </w:rPr>
        <w:t>في حدود ما تسمح به موارد الدولة. ومن الجوانب المهمة المرتبطة بتلك الحقوق أن يكون بمقدور الدولة تبرير استخدامها للموارد على نحو وافٍ. ويجدر التأكيد أن شح الموارد لا يعفي الدولة من واجبها الذي يقتضي منها أن تفي بالحقوق بناء على معيار قوامه الاعتدال.</w:t>
      </w:r>
    </w:p>
    <w:p w14:paraId="0113B819" w14:textId="09CE6A57" w:rsidR="00803069" w:rsidRPr="000D5B62" w:rsidRDefault="00803069" w:rsidP="00B157F1">
      <w:pPr>
        <w:pStyle w:val="SingleTxtGA"/>
        <w:rPr>
          <w:rStyle w:val="FootnoteReference"/>
          <w:rFonts w:eastAsiaTheme="minorEastAsia"/>
          <w:spacing w:val="-4"/>
          <w:szCs w:val="22"/>
          <w:lang w:val="fr-CH" w:eastAsia="zh-TW" w:bidi="en-GB"/>
        </w:rPr>
      </w:pPr>
      <w:r w:rsidRPr="000D5B62">
        <w:rPr>
          <w:rtl/>
        </w:rPr>
        <w:t>119-</w:t>
      </w:r>
      <w:r w:rsidRPr="000D5B62">
        <w:rPr>
          <w:rtl/>
        </w:rPr>
        <w:tab/>
      </w:r>
      <w:r w:rsidRPr="000D5B62">
        <w:rPr>
          <w:spacing w:val="-4"/>
          <w:rtl/>
        </w:rPr>
        <w:t xml:space="preserve">ومن المهم التأكيد أن شرعة الحقوق الواردة في الدستور تنص على أن الحقوق مكفولة في معظمها </w:t>
      </w:r>
      <w:r w:rsidR="00911912" w:rsidRPr="000D5B62">
        <w:rPr>
          <w:rFonts w:ascii="Simplified Arabic" w:hAnsi="Simplified Arabic"/>
          <w:spacing w:val="-4"/>
          <w:rtl/>
        </w:rPr>
        <w:t>ﻟ</w:t>
      </w:r>
      <w:r w:rsidR="00B228F1" w:rsidRPr="000D5B62">
        <w:rPr>
          <w:rFonts w:hint="cs"/>
          <w:spacing w:val="-4"/>
          <w:rtl/>
        </w:rPr>
        <w:t> </w:t>
      </w:r>
      <w:r w:rsidRPr="000D5B62">
        <w:rPr>
          <w:spacing w:val="-4"/>
          <w:rtl/>
        </w:rPr>
        <w:t>”</w:t>
      </w:r>
      <w:r w:rsidR="00B228F1" w:rsidRPr="000D5B62">
        <w:rPr>
          <w:rFonts w:hint="cs"/>
          <w:spacing w:val="-4"/>
          <w:rtl/>
        </w:rPr>
        <w:t>ل</w:t>
      </w:r>
      <w:r w:rsidRPr="000D5B62">
        <w:rPr>
          <w:spacing w:val="-4"/>
          <w:rtl/>
        </w:rPr>
        <w:t>لجميع“ أي ليس لأبناء جنوب أفريقيا فحسب بل وأيضاً للرعايا الأجانب المقيمين داخل حدودها</w:t>
      </w:r>
      <w:r w:rsidRPr="000D5B62">
        <w:rPr>
          <w:rStyle w:val="FootnoteReference"/>
          <w:spacing w:val="-4"/>
          <w:szCs w:val="22"/>
          <w:rtl/>
        </w:rPr>
        <w:t>(</w:t>
      </w:r>
      <w:r w:rsidRPr="000D5B62">
        <w:rPr>
          <w:rStyle w:val="FootnoteReference"/>
          <w:spacing w:val="-4"/>
          <w:szCs w:val="22"/>
          <w:rtl/>
        </w:rPr>
        <w:footnoteReference w:id="93"/>
      </w:r>
      <w:r w:rsidRPr="000D5B62">
        <w:rPr>
          <w:rStyle w:val="FootnoteReference"/>
          <w:spacing w:val="-4"/>
          <w:szCs w:val="22"/>
          <w:rtl/>
        </w:rPr>
        <w:t>)</w:t>
      </w:r>
      <w:r w:rsidRPr="000D5B62">
        <w:rPr>
          <w:spacing w:val="-4"/>
          <w:rtl/>
        </w:rPr>
        <w:t>.</w:t>
      </w:r>
    </w:p>
    <w:p w14:paraId="6C8A472F" w14:textId="02D9F5CF" w:rsidR="00803069" w:rsidRPr="000D5B62" w:rsidRDefault="00803069" w:rsidP="00B157F1">
      <w:pPr>
        <w:pStyle w:val="SingleTxtGA"/>
        <w:rPr>
          <w:bCs/>
          <w:lang w:val="ar-SA" w:eastAsia="zh-TW" w:bidi="en-GB"/>
        </w:rPr>
      </w:pPr>
      <w:r w:rsidRPr="000D5B62">
        <w:rPr>
          <w:rtl/>
        </w:rPr>
        <w:t>120-</w:t>
      </w:r>
      <w:r w:rsidRPr="000D5B62">
        <w:rPr>
          <w:rtl/>
        </w:rPr>
        <w:tab/>
        <w:t xml:space="preserve">وما تعاظم مجموعة السوابق القضائية التي أرستها المحكمة الدستورية في جنوب أفريقيا إلا دليل على ممارسة جهاز القضاء للولاية المسندة إليه فيما يتعلق بتعزيز حقوق الإنسان وحمايتها. ولقد أصدرت المحكمة الدستورية أحكاماً كثيرة غير مسبوقة في كل من مجالي الحقوق المدنية والسياسية والحقوق الاجتماعية والاقتصادية. ففي دعوى </w:t>
      </w:r>
      <w:r w:rsidRPr="000D5B62">
        <w:rPr>
          <w:i/>
          <w:iCs/>
          <w:rtl/>
        </w:rPr>
        <w:t xml:space="preserve">إس ضد ماكوانيان </w:t>
      </w:r>
      <w:r w:rsidRPr="000D5B62">
        <w:rPr>
          <w:i/>
          <w:iCs/>
        </w:rPr>
        <w:t>S v Makwanyane</w:t>
      </w:r>
      <w:r w:rsidRPr="000D5B62">
        <w:rPr>
          <w:rStyle w:val="FootnoteReference"/>
          <w:szCs w:val="22"/>
          <w:rtl/>
        </w:rPr>
        <w:t>(</w:t>
      </w:r>
      <w:r w:rsidRPr="000D5B62">
        <w:rPr>
          <w:rStyle w:val="FootnoteReference"/>
          <w:szCs w:val="22"/>
          <w:rtl/>
        </w:rPr>
        <w:footnoteReference w:id="94"/>
      </w:r>
      <w:r w:rsidRPr="000D5B62">
        <w:rPr>
          <w:rStyle w:val="FootnoteReference"/>
          <w:szCs w:val="22"/>
          <w:rtl/>
        </w:rPr>
        <w:t>)</w:t>
      </w:r>
      <w:r w:rsidRPr="000D5B62">
        <w:rPr>
          <w:rtl/>
        </w:rPr>
        <w:t xml:space="preserve"> المتعلقة بمدى دستورية عقوبة الإعدام، وصفت المحكمة الحق في الحياة والكرامة بأنه ”أهم حق من حقوق الإنسان ومصدر جميع الحقوق الشخصية“ المنصوص عليها في شرعة الحقوق</w:t>
      </w:r>
      <w:r w:rsidRPr="000D5B62">
        <w:rPr>
          <w:rStyle w:val="FootnoteReference"/>
          <w:szCs w:val="22"/>
          <w:rtl/>
        </w:rPr>
        <w:t>(</w:t>
      </w:r>
      <w:r w:rsidRPr="000D5B62">
        <w:rPr>
          <w:rStyle w:val="FootnoteReference"/>
          <w:szCs w:val="22"/>
          <w:rtl/>
        </w:rPr>
        <w:footnoteReference w:id="95"/>
      </w:r>
      <w:r w:rsidRPr="000D5B62">
        <w:rPr>
          <w:rStyle w:val="FootnoteReference"/>
          <w:szCs w:val="22"/>
          <w:rtl/>
        </w:rPr>
        <w:t>)</w:t>
      </w:r>
      <w:r w:rsidRPr="000D5B62">
        <w:rPr>
          <w:rtl/>
        </w:rPr>
        <w:t xml:space="preserve">. وفي دعوى </w:t>
      </w:r>
      <w:r w:rsidRPr="000D5B62">
        <w:rPr>
          <w:i/>
          <w:iCs/>
          <w:rtl/>
        </w:rPr>
        <w:t xml:space="preserve">فيريرا ضد لفين </w:t>
      </w:r>
      <w:r w:rsidRPr="000D5B62">
        <w:rPr>
          <w:i/>
          <w:iCs/>
        </w:rPr>
        <w:t>Ferreira v</w:t>
      </w:r>
      <w:r w:rsidRPr="000D5B62">
        <w:rPr>
          <w:i/>
          <w:iCs/>
          <w:rtl/>
        </w:rPr>
        <w:t xml:space="preserve"> </w:t>
      </w:r>
      <w:r w:rsidRPr="000D5B62">
        <w:rPr>
          <w:i/>
          <w:iCs/>
        </w:rPr>
        <w:t>Levin NO</w:t>
      </w:r>
      <w:r w:rsidRPr="000D5B62">
        <w:rPr>
          <w:rStyle w:val="FootnoteReference"/>
          <w:szCs w:val="22"/>
          <w:rtl/>
        </w:rPr>
        <w:t>(</w:t>
      </w:r>
      <w:r w:rsidRPr="000D5B62">
        <w:rPr>
          <w:rStyle w:val="FootnoteReference"/>
          <w:szCs w:val="22"/>
          <w:rtl/>
        </w:rPr>
        <w:footnoteReference w:id="96"/>
      </w:r>
      <w:r w:rsidRPr="000D5B62">
        <w:rPr>
          <w:rStyle w:val="FootnoteReference"/>
          <w:szCs w:val="22"/>
          <w:rtl/>
        </w:rPr>
        <w:t>)</w:t>
      </w:r>
      <w:r w:rsidRPr="000D5B62">
        <w:rPr>
          <w:rtl/>
        </w:rPr>
        <w:t xml:space="preserve"> تناولت المحكمة حق الشخص في الحرية والأمن. وفي دعوى </w:t>
      </w:r>
      <w:r w:rsidRPr="000D5B62">
        <w:rPr>
          <w:i/>
          <w:iCs/>
          <w:rtl/>
        </w:rPr>
        <w:t xml:space="preserve">برنستين ضد بستر </w:t>
      </w:r>
      <w:r w:rsidRPr="000D5B62">
        <w:rPr>
          <w:i/>
          <w:iCs/>
        </w:rPr>
        <w:t>Bernstein v Bester NO</w:t>
      </w:r>
      <w:r w:rsidRPr="000D5B62">
        <w:rPr>
          <w:rStyle w:val="FootnoteReference"/>
          <w:szCs w:val="22"/>
          <w:rtl/>
        </w:rPr>
        <w:t>(</w:t>
      </w:r>
      <w:r w:rsidRPr="000D5B62">
        <w:rPr>
          <w:rStyle w:val="FootnoteReference"/>
          <w:szCs w:val="22"/>
          <w:rtl/>
        </w:rPr>
        <w:footnoteReference w:id="97"/>
      </w:r>
      <w:r w:rsidRPr="000D5B62">
        <w:rPr>
          <w:rStyle w:val="FootnoteReference"/>
          <w:szCs w:val="22"/>
          <w:rtl/>
        </w:rPr>
        <w:t>)</w:t>
      </w:r>
      <w:r w:rsidRPr="000D5B62">
        <w:rPr>
          <w:rtl/>
        </w:rPr>
        <w:t xml:space="preserve"> نظرت المحكمة في الحق في الخصوصية. وفي دعوى </w:t>
      </w:r>
      <w:r w:rsidRPr="000D5B62">
        <w:rPr>
          <w:i/>
          <w:iCs/>
          <w:rtl/>
        </w:rPr>
        <w:t>التحالف الوطني من أجل مساواة المثليين والمثليات ضد وزير الداخلية</w:t>
      </w:r>
      <w:r w:rsidRPr="000D5B62">
        <w:rPr>
          <w:rStyle w:val="FootnoteReference"/>
          <w:szCs w:val="22"/>
          <w:rtl/>
        </w:rPr>
        <w:t>(</w:t>
      </w:r>
      <w:r w:rsidRPr="000D5B62">
        <w:rPr>
          <w:rStyle w:val="FootnoteReference"/>
          <w:szCs w:val="22"/>
          <w:rtl/>
        </w:rPr>
        <w:footnoteReference w:id="98"/>
      </w:r>
      <w:r w:rsidRPr="000D5B62">
        <w:rPr>
          <w:rStyle w:val="FootnoteReference"/>
          <w:szCs w:val="22"/>
          <w:rtl/>
        </w:rPr>
        <w:t>)</w:t>
      </w:r>
      <w:r w:rsidRPr="000D5B62">
        <w:rPr>
          <w:rtl/>
        </w:rPr>
        <w:t xml:space="preserve"> قضت المحكمة الدستورية بأن من حق القرناء مثليي الجنس التمتع بنفس استحقاقات الهجرة الممنوحة للمتزوجين. ومن الأحكام التي تشكل علامة فارقة فيما يتصل بالحقوق الاجتماعية والاقتصادية الأحكام في دعاوى مثل دعوى </w:t>
      </w:r>
      <w:r w:rsidRPr="000D5B62">
        <w:rPr>
          <w:i/>
          <w:iCs/>
          <w:rtl/>
        </w:rPr>
        <w:t xml:space="preserve">حكومة جمهورية جنوب أفريقيا ضد غروتبوم </w:t>
      </w:r>
      <w:r w:rsidRPr="000D5B62">
        <w:rPr>
          <w:i/>
          <w:iCs/>
        </w:rPr>
        <w:t>Government of the Republic of South Africa v Grootboom</w:t>
      </w:r>
      <w:r w:rsidRPr="000D5B62">
        <w:rPr>
          <w:rStyle w:val="FootnoteReference"/>
          <w:szCs w:val="22"/>
          <w:rtl/>
        </w:rPr>
        <w:t>(</w:t>
      </w:r>
      <w:r w:rsidRPr="000D5B62">
        <w:rPr>
          <w:rStyle w:val="FootnoteReference"/>
          <w:szCs w:val="22"/>
          <w:rtl/>
        </w:rPr>
        <w:footnoteReference w:id="99"/>
      </w:r>
      <w:r w:rsidRPr="000D5B62">
        <w:rPr>
          <w:rStyle w:val="FootnoteReference"/>
          <w:szCs w:val="22"/>
          <w:rtl/>
        </w:rPr>
        <w:t>)</w:t>
      </w:r>
      <w:r w:rsidRPr="000D5B62">
        <w:rPr>
          <w:rtl/>
        </w:rPr>
        <w:t xml:space="preserve">، ودعوى </w:t>
      </w:r>
      <w:r w:rsidRPr="000D5B62">
        <w:rPr>
          <w:i/>
          <w:iCs/>
          <w:rtl/>
        </w:rPr>
        <w:t xml:space="preserve">سوبراماني ضد وزير الصحة، كوازولو - ناتال </w:t>
      </w:r>
      <w:r w:rsidRPr="000D5B62">
        <w:rPr>
          <w:bCs/>
          <w:i/>
        </w:rPr>
        <w:t>Soobramoney v Minister of Health, KwaZulu-Natal</w:t>
      </w:r>
      <w:r w:rsidRPr="000D5B62">
        <w:rPr>
          <w:rStyle w:val="FootnoteReference"/>
          <w:szCs w:val="22"/>
          <w:rtl/>
        </w:rPr>
        <w:t>(</w:t>
      </w:r>
      <w:r w:rsidRPr="000D5B62">
        <w:rPr>
          <w:rStyle w:val="FootnoteReference"/>
          <w:szCs w:val="22"/>
          <w:rtl/>
        </w:rPr>
        <w:footnoteReference w:id="100"/>
      </w:r>
      <w:r w:rsidRPr="000D5B62">
        <w:rPr>
          <w:rStyle w:val="FootnoteReference"/>
          <w:szCs w:val="22"/>
          <w:rtl/>
        </w:rPr>
        <w:t>)</w:t>
      </w:r>
      <w:r w:rsidRPr="000D5B62">
        <w:rPr>
          <w:rtl/>
        </w:rPr>
        <w:t xml:space="preserve">، ودعوى </w:t>
      </w:r>
      <w:r w:rsidRPr="000D5B62">
        <w:rPr>
          <w:i/>
          <w:iCs/>
          <w:rtl/>
        </w:rPr>
        <w:t xml:space="preserve">وزير الصحة ضد حملة العمل العلاجي </w:t>
      </w:r>
      <w:r w:rsidRPr="000D5B62">
        <w:rPr>
          <w:i/>
          <w:iCs/>
        </w:rPr>
        <w:t>Minister of Health v Treatment Action Campaign</w:t>
      </w:r>
      <w:r w:rsidRPr="000D5B62">
        <w:rPr>
          <w:rStyle w:val="FootnoteReference"/>
          <w:szCs w:val="22"/>
          <w:rtl/>
        </w:rPr>
        <w:t>(</w:t>
      </w:r>
      <w:r w:rsidRPr="000D5B62">
        <w:rPr>
          <w:rStyle w:val="FootnoteReference"/>
          <w:szCs w:val="22"/>
          <w:rtl/>
        </w:rPr>
        <w:footnoteReference w:id="101"/>
      </w:r>
      <w:r w:rsidRPr="000D5B62">
        <w:rPr>
          <w:rStyle w:val="FootnoteReference"/>
          <w:szCs w:val="22"/>
          <w:rtl/>
        </w:rPr>
        <w:t>)</w:t>
      </w:r>
      <w:r w:rsidRPr="000D5B62">
        <w:rPr>
          <w:rtl/>
        </w:rPr>
        <w:t xml:space="preserve"> ودعوى </w:t>
      </w:r>
      <w:r w:rsidRPr="000D5B62">
        <w:rPr>
          <w:i/>
          <w:iCs/>
          <w:rtl/>
        </w:rPr>
        <w:t xml:space="preserve">خوسا ضد وزير التنمية الاجتماعية </w:t>
      </w:r>
      <w:r w:rsidRPr="000D5B62">
        <w:rPr>
          <w:i/>
          <w:iCs/>
        </w:rPr>
        <w:t>Khosa v Minister of Social Development</w:t>
      </w:r>
      <w:r w:rsidRPr="000D5B62">
        <w:rPr>
          <w:rStyle w:val="FootnoteReference"/>
          <w:szCs w:val="22"/>
          <w:rtl/>
        </w:rPr>
        <w:t>(</w:t>
      </w:r>
      <w:r w:rsidRPr="000D5B62">
        <w:rPr>
          <w:rStyle w:val="FootnoteReference"/>
          <w:szCs w:val="22"/>
          <w:rtl/>
        </w:rPr>
        <w:footnoteReference w:id="102"/>
      </w:r>
      <w:r w:rsidRPr="000D5B62">
        <w:rPr>
          <w:rStyle w:val="FootnoteReference"/>
          <w:szCs w:val="22"/>
          <w:rtl/>
        </w:rPr>
        <w:t>)</w:t>
      </w:r>
      <w:r w:rsidRPr="000D5B62">
        <w:rPr>
          <w:rtl/>
        </w:rPr>
        <w:t xml:space="preserve"> ودعاوى أخرى كثيرة.</w:t>
      </w:r>
    </w:p>
    <w:p w14:paraId="0FD9C772" w14:textId="77777777" w:rsidR="00803069" w:rsidRPr="000D5B62" w:rsidRDefault="00803069" w:rsidP="00B157F1">
      <w:pPr>
        <w:pStyle w:val="SingleTxtGA"/>
        <w:rPr>
          <w:bCs/>
          <w:lang w:val="fr-CH" w:eastAsia="zh-TW" w:bidi="en-GB"/>
        </w:rPr>
      </w:pPr>
      <w:r w:rsidRPr="000D5B62">
        <w:rPr>
          <w:rtl/>
        </w:rPr>
        <w:t>121-</w:t>
      </w:r>
      <w:r w:rsidRPr="000D5B62">
        <w:rPr>
          <w:rtl/>
        </w:rPr>
        <w:tab/>
        <w:t>وفي حالة ثبوت انتهاك حق من حقوق الإنسان، تملك المحاكم سلطة فرض سبل انتصاف شتى، منها إعلان بطلان القانون الذي انطوى على مساس بذلك الحق أو السياسة التي انتهكت الحق محل الاهتمام أو التصرف الذي أفضى إليه، أو اتخاذ إجراء مستعجل رادع (تؤمر بموجبه الجهة التي أقدمت على الانتهاك باتخاذ خطوات تصحيحية تحت إشراف المحكمة)، أو إصدار حكم تفسيري.</w:t>
      </w:r>
    </w:p>
    <w:p w14:paraId="30C518B0" w14:textId="3D7DC1A4" w:rsidR="00803069" w:rsidRPr="000D5B62" w:rsidRDefault="00803069" w:rsidP="00B157F1">
      <w:pPr>
        <w:pStyle w:val="SingleTxtGA"/>
        <w:rPr>
          <w:lang w:val="ar-SA" w:eastAsia="zh-TW" w:bidi="en-GB"/>
        </w:rPr>
      </w:pPr>
      <w:r w:rsidRPr="000D5B62">
        <w:rPr>
          <w:rtl/>
        </w:rPr>
        <w:t>122-</w:t>
      </w:r>
      <w:r w:rsidRPr="000D5B62">
        <w:rPr>
          <w:rtl/>
        </w:rPr>
        <w:tab/>
        <w:t xml:space="preserve">ومن بين التشريعات الهامة الأخرى ثلاثة قوانين تتعلق </w:t>
      </w:r>
      <w:r w:rsidR="00911912" w:rsidRPr="000D5B62">
        <w:rPr>
          <w:rFonts w:ascii="Simplified Arabic" w:hAnsi="Simplified Arabic"/>
          <w:rtl/>
        </w:rPr>
        <w:t>ﺒ</w:t>
      </w:r>
      <w:r w:rsidRPr="000D5B62">
        <w:rPr>
          <w:rtl/>
        </w:rPr>
        <w:t xml:space="preserve"> ”حقوق الإنسان“، هي قانون تعزيز فرص الحصول على المعلومات</w:t>
      </w:r>
      <w:r w:rsidRPr="000D5B62">
        <w:rPr>
          <w:rStyle w:val="FootnoteReference"/>
          <w:szCs w:val="22"/>
          <w:rtl/>
        </w:rPr>
        <w:t>(</w:t>
      </w:r>
      <w:r w:rsidRPr="000D5B62">
        <w:rPr>
          <w:rStyle w:val="FootnoteReference"/>
          <w:szCs w:val="22"/>
          <w:rtl/>
        </w:rPr>
        <w:footnoteReference w:id="103"/>
      </w:r>
      <w:r w:rsidRPr="000D5B62">
        <w:rPr>
          <w:rStyle w:val="FootnoteReference"/>
          <w:szCs w:val="22"/>
          <w:rtl/>
        </w:rPr>
        <w:t>)</w:t>
      </w:r>
      <w:r w:rsidRPr="000D5B62">
        <w:rPr>
          <w:rtl/>
        </w:rPr>
        <w:t>؛ قانون تحقيق العدالة الإدارية</w:t>
      </w:r>
      <w:r w:rsidRPr="000D5B62">
        <w:rPr>
          <w:rStyle w:val="FootnoteReference"/>
          <w:szCs w:val="22"/>
          <w:rtl/>
        </w:rPr>
        <w:t>(</w:t>
      </w:r>
      <w:r w:rsidRPr="000D5B62">
        <w:rPr>
          <w:rStyle w:val="FootnoteReference"/>
          <w:szCs w:val="22"/>
          <w:rtl/>
        </w:rPr>
        <w:footnoteReference w:id="104"/>
      </w:r>
      <w:r w:rsidRPr="000D5B62">
        <w:rPr>
          <w:rStyle w:val="FootnoteReference"/>
          <w:szCs w:val="22"/>
          <w:rtl/>
        </w:rPr>
        <w:t>)</w:t>
      </w:r>
      <w:r w:rsidRPr="000D5B62">
        <w:rPr>
          <w:rtl/>
        </w:rPr>
        <w:t>؛ قانون تحقيق المساواة ومنع التمييز دون وجه حق. ولقد صدرت هذه التشريعات الثلاثة جميعها بمقتضى الدستور وبموجبها تسري الحقوق الدستورية المتعلقة بالعدالة الإدارية والحصول على المعلومات والمساواة.</w:t>
      </w:r>
    </w:p>
    <w:p w14:paraId="1450DB3A" w14:textId="77777777" w:rsidR="00803069" w:rsidRPr="000D5B62" w:rsidRDefault="00803069" w:rsidP="00B157F1">
      <w:pPr>
        <w:pStyle w:val="H1GA"/>
        <w:rPr>
          <w:lang w:val="ar-SA" w:eastAsia="zh-TW" w:bidi="en-GB"/>
        </w:rPr>
      </w:pPr>
      <w:r w:rsidRPr="000D5B62">
        <w:rPr>
          <w:rtl/>
        </w:rPr>
        <w:tab/>
        <w:t>جيم-</w:t>
      </w:r>
      <w:r w:rsidRPr="000D5B62">
        <w:rPr>
          <w:rtl/>
        </w:rPr>
        <w:tab/>
        <w:t>إطار تعزيز حقوق الإنسان على الصعيد الوطني</w:t>
      </w:r>
    </w:p>
    <w:p w14:paraId="7CF6F7E3" w14:textId="69EAE09E" w:rsidR="00803069" w:rsidRPr="000D5B62" w:rsidRDefault="00803069" w:rsidP="00B157F1">
      <w:pPr>
        <w:pStyle w:val="SingleTxtGA"/>
        <w:rPr>
          <w:lang w:val="ar-SA" w:eastAsia="zh-TW" w:bidi="en-GB"/>
        </w:rPr>
      </w:pPr>
      <w:r w:rsidRPr="000D5B62">
        <w:rPr>
          <w:rtl/>
        </w:rPr>
        <w:t>123-</w:t>
      </w:r>
      <w:r w:rsidRPr="000D5B62">
        <w:rPr>
          <w:rtl/>
        </w:rPr>
        <w:tab/>
        <w:t>مع إحلال الديمقراطية في جنوب أفريقيا في عام 1994، أصبحت ثقافة حقوق الإنسان حجر الزاوية في نظامنا الدستوري الجديد وأدرجت، في شرعة الحقوق، طائفة متنوعة من حقوق الإنسان تشمل الحقوق الاجتماعية والاقتصادية، وأدمجت في الدستور النهائي لعام 1996 وتكرر النص عليها فيه</w:t>
      </w:r>
      <w:r w:rsidRPr="000D5B62">
        <w:rPr>
          <w:rStyle w:val="FootnoteReference"/>
          <w:szCs w:val="22"/>
          <w:rtl/>
        </w:rPr>
        <w:t>(</w:t>
      </w:r>
      <w:r w:rsidRPr="000D5B62">
        <w:rPr>
          <w:rStyle w:val="FootnoteReference"/>
          <w:szCs w:val="22"/>
          <w:rtl/>
        </w:rPr>
        <w:footnoteReference w:id="105"/>
      </w:r>
      <w:r w:rsidRPr="000D5B62">
        <w:rPr>
          <w:rStyle w:val="FootnoteReference"/>
          <w:szCs w:val="22"/>
          <w:rtl/>
        </w:rPr>
        <w:t>)</w:t>
      </w:r>
      <w:r w:rsidRPr="000D5B62">
        <w:rPr>
          <w:rtl/>
        </w:rPr>
        <w:t xml:space="preserve">. ولقد كان إدراج الحقوق المدنية والسياسية وكذلك الحقوق الاجتماعية والاقتصادية الصالحة تماماً للعرض على المحاكم في دستورنا أهم عوامل كفالة الحرية والكرامة والمساواة. </w:t>
      </w:r>
    </w:p>
    <w:p w14:paraId="2990CC08" w14:textId="77777777" w:rsidR="00803069" w:rsidRPr="000D5B62" w:rsidRDefault="00803069" w:rsidP="00B157F1">
      <w:pPr>
        <w:pStyle w:val="SingleTxtGA"/>
        <w:rPr>
          <w:spacing w:val="-2"/>
          <w:lang w:val="ar-SA" w:eastAsia="zh-TW" w:bidi="en-GB"/>
        </w:rPr>
      </w:pPr>
      <w:r w:rsidRPr="000D5B62">
        <w:rPr>
          <w:spacing w:val="-2"/>
          <w:rtl/>
        </w:rPr>
        <w:t>124-</w:t>
      </w:r>
      <w:r w:rsidRPr="000D5B62">
        <w:rPr>
          <w:spacing w:val="-2"/>
          <w:rtl/>
        </w:rPr>
        <w:tab/>
        <w:t xml:space="preserve">وإضافة إلى الدستور، تنحو الحكومة في سياساتها إلى تجسيد مقتضيات النهج الشامل الوارد في خطة التنمية الوطنية التي وُضعت واستهلت في عام 2013، بحيث توفر منظوراً بعيد الأمد من أجل القضاء على الفقر والحد من انعدام المساواة بحلول عام 2030. ويشكل تحقيق الهدف المتمثل في إعمال الحقوق الاجتماعية والاقتصادية جزءاً حيوياً من خطة التنمية الوطنية. ويمثل الإطار الاستراتيجي الحالي المتوسط الأجل للفترة 2014-2019 أول مرحلة مدتها خمس سنوات من مراحل تنفيذ خطة التنمية الوطنية. </w:t>
      </w:r>
    </w:p>
    <w:p w14:paraId="32F01F75" w14:textId="77777777" w:rsidR="00803069" w:rsidRPr="000D5B62" w:rsidRDefault="00803069" w:rsidP="00B157F1">
      <w:pPr>
        <w:pStyle w:val="SingleTxtGA"/>
        <w:rPr>
          <w:lang w:val="ar-SA" w:eastAsia="zh-TW" w:bidi="en-GB"/>
        </w:rPr>
      </w:pPr>
      <w:r w:rsidRPr="000D5B62">
        <w:rPr>
          <w:rtl/>
        </w:rPr>
        <w:t>125-</w:t>
      </w:r>
      <w:r w:rsidRPr="000D5B62">
        <w:rPr>
          <w:rtl/>
        </w:rPr>
        <w:tab/>
        <w:t>ويتمحور الإطار الاستراتيجي المتوسط الأجل حول نواتج أوليت الأولوية لتحقيقها وعددها 14 ناتجاً تخص مجالات التركيز المحددة في خطة التنمية الوطنية وفي الولاية التي أسندها الناخبون إلى الحكومة، ألا وهي: التعليم والصحة والسلامة والأمن والنمو الاقتصادي والبطالة وتنمية المهارات والبنية التحتية والتنمية الريفية والمستوطنات البشرية والحكم المحلي والبيئة والعلاقات الدولية والقطاع العام والحماية الاجتماعية وبناء الأمة والتلاحم الاجتماعي.</w:t>
      </w:r>
    </w:p>
    <w:p w14:paraId="40F38918" w14:textId="77777777" w:rsidR="00803069" w:rsidRPr="000D5B62" w:rsidRDefault="00803069" w:rsidP="00B157F1">
      <w:pPr>
        <w:pStyle w:val="SingleTxtGA"/>
        <w:rPr>
          <w:iCs/>
          <w:lang w:val="ar-SA" w:eastAsia="zh-TW" w:bidi="en-GB"/>
        </w:rPr>
      </w:pPr>
      <w:r w:rsidRPr="000D5B62">
        <w:rPr>
          <w:rtl/>
        </w:rPr>
        <w:t>126-</w:t>
      </w:r>
      <w:r w:rsidRPr="000D5B62">
        <w:rPr>
          <w:rtl/>
        </w:rPr>
        <w:tab/>
        <w:t>وتولى مجالات حقوق الإنسان التالية اهتماماً خاصاً.</w:t>
      </w:r>
    </w:p>
    <w:p w14:paraId="59DF4365" w14:textId="77777777" w:rsidR="00803069" w:rsidRPr="000D5B62" w:rsidRDefault="00803069" w:rsidP="00B157F1">
      <w:pPr>
        <w:pStyle w:val="H23GA"/>
        <w:rPr>
          <w:lang w:val="ar-SA" w:eastAsia="zh-TW" w:bidi="en-GB"/>
        </w:rPr>
      </w:pPr>
      <w:r w:rsidRPr="000D5B62">
        <w:rPr>
          <w:rtl/>
        </w:rPr>
        <w:tab/>
      </w:r>
      <w:r w:rsidRPr="000D5B62">
        <w:rPr>
          <w:rtl/>
        </w:rPr>
        <w:tab/>
        <w:t>المهاجرون</w:t>
      </w:r>
    </w:p>
    <w:p w14:paraId="65296630" w14:textId="3D0CE3E2" w:rsidR="00803069" w:rsidRPr="000D5B62" w:rsidRDefault="00803069" w:rsidP="00B157F1">
      <w:pPr>
        <w:pStyle w:val="SingleTxtGA"/>
        <w:rPr>
          <w:lang w:val="ar-SA" w:eastAsia="zh-TW" w:bidi="en-GB"/>
        </w:rPr>
      </w:pPr>
      <w:r w:rsidRPr="000D5B62">
        <w:rPr>
          <w:rtl/>
        </w:rPr>
        <w:t>127-</w:t>
      </w:r>
      <w:r w:rsidRPr="000D5B62">
        <w:rPr>
          <w:rtl/>
        </w:rPr>
        <w:tab/>
        <w:t>ينص قانون اللاجئين لعام 1998</w:t>
      </w:r>
      <w:r w:rsidRPr="000D5B62">
        <w:rPr>
          <w:rStyle w:val="FootnoteReference"/>
          <w:szCs w:val="22"/>
          <w:rtl/>
        </w:rPr>
        <w:t>(</w:t>
      </w:r>
      <w:r w:rsidRPr="000D5B62">
        <w:rPr>
          <w:rStyle w:val="FootnoteReference"/>
          <w:szCs w:val="22"/>
          <w:rtl/>
        </w:rPr>
        <w:footnoteReference w:id="106"/>
      </w:r>
      <w:r w:rsidRPr="000D5B62">
        <w:rPr>
          <w:rStyle w:val="FootnoteReference"/>
          <w:szCs w:val="22"/>
          <w:rtl/>
        </w:rPr>
        <w:t>)</w:t>
      </w:r>
      <w:r w:rsidRPr="000D5B62">
        <w:rPr>
          <w:rtl/>
        </w:rPr>
        <w:t xml:space="preserve"> على استقبال اللاجئين وملتمسي اللجوء في جنوب أفريقيا وعلى حقوقهم والتزاماتهم. ويجوز لملتمسي اللجوء الحائزين تأشيرات صالحة التنقل بحرية في أثناء النظر في طلباتهم، ويحق لهم العمل والدراسة والاستفادة من الخدمات الصحية الأساسية. ومن حق اللاجئين التقدم بطلبات استخراج شهادات ميلاد لأبنائهم المولودين في جنوب أفريقيا ووثائق هوية ووثائق سفر محدودة الصلاحية حيث لا يسمح فيها بالسفر إلى بلدان المنشأ. ويحق كذلك لملتمس/ملتمسة اللجوء في أثناء وجوده/وجودها في أراضي جنوب أفريقيا ما يلي: الحصول على إقرار كتابي رسمي بأنه/أنها ملتمس/ملتمسة لجوء ينتظر/تنتظر الفصل في طلب اللجوء؛ البقاء في جنوب أفريقيا ريثما يُفصل في طلب اللجوء؛ عدم التعرض للاعتقال أو الاحتجاز بصورة غير قانونية؛ التمتع بالحقوق المنصوص عليها في الدستور بقدر ما تسري تلك الحقوق على أي شخص يلتمس اللجوء.</w:t>
      </w:r>
    </w:p>
    <w:p w14:paraId="004219E1" w14:textId="77777777" w:rsidR="00803069" w:rsidRPr="000D5B62" w:rsidRDefault="00803069" w:rsidP="00B157F1">
      <w:pPr>
        <w:pStyle w:val="H23GA"/>
        <w:rPr>
          <w:lang w:val="ar-SA" w:eastAsia="zh-TW" w:bidi="en-GB"/>
        </w:rPr>
      </w:pPr>
      <w:r w:rsidRPr="000D5B62">
        <w:rPr>
          <w:rtl/>
        </w:rPr>
        <w:tab/>
      </w:r>
      <w:r w:rsidRPr="000D5B62">
        <w:rPr>
          <w:rtl/>
        </w:rPr>
        <w:tab/>
        <w:t>الأطفال</w:t>
      </w:r>
    </w:p>
    <w:p w14:paraId="02E7896F" w14:textId="6133A35B" w:rsidR="00803069" w:rsidRPr="000D5B62" w:rsidRDefault="00803069" w:rsidP="00B157F1">
      <w:pPr>
        <w:pStyle w:val="SingleTxtGA"/>
        <w:rPr>
          <w:rStyle w:val="FootnoteReference"/>
          <w:rFonts w:eastAsiaTheme="minorEastAsia"/>
          <w:szCs w:val="22"/>
          <w:lang w:val="ar-SA" w:eastAsia="zh-TW" w:bidi="en-GB"/>
        </w:rPr>
      </w:pPr>
      <w:r w:rsidRPr="000D5B62">
        <w:rPr>
          <w:rtl/>
        </w:rPr>
        <w:t>128-</w:t>
      </w:r>
      <w:r w:rsidRPr="000D5B62">
        <w:rPr>
          <w:rtl/>
        </w:rPr>
        <w:tab/>
        <w:t>يرسخ القانون المتعلق بقضاء الأطفال لعام 2008</w:t>
      </w:r>
      <w:r w:rsidRPr="000D5B62">
        <w:rPr>
          <w:rStyle w:val="FootnoteReference"/>
          <w:szCs w:val="22"/>
          <w:rtl/>
        </w:rPr>
        <w:t>(</w:t>
      </w:r>
      <w:r w:rsidRPr="000D5B62">
        <w:rPr>
          <w:rStyle w:val="FootnoteReference"/>
          <w:szCs w:val="22"/>
          <w:rtl/>
        </w:rPr>
        <w:footnoteReference w:id="107"/>
      </w:r>
      <w:r w:rsidRPr="000D5B62">
        <w:rPr>
          <w:rStyle w:val="FootnoteReference"/>
          <w:szCs w:val="22"/>
          <w:rtl/>
        </w:rPr>
        <w:t>)</w:t>
      </w:r>
      <w:r w:rsidRPr="000D5B62">
        <w:rPr>
          <w:rtl/>
        </w:rPr>
        <w:t xml:space="preserve"> واللوائح التي صدرت بمقتضاه مبدأ مصالح الطفل الفضلى، ومن ثم يُختص الأطفال بالحماية الاجتماعية. وتهدف هذه المبادئ التوجيهية والإجراءات الوقائية إلى كفالة مصالح الطفل الفضلى في حالة مخالفة الأطفال للقانون. فلا بد من صون كرامة الطفل وضمان سلامته في جميع الأوقات، أي في أثناء القبض عليه وخلال المراحل التمهيدية قبل إحالة القضية إلى المحكمة وخلال فترة عرض القضية على المحكمة وفي أثناء المحاكمة. ويرسخ القانون آنف الذكر مفهوم العدالة التصالحية في نظام العدالة الجنائية</w:t>
      </w:r>
      <w:r w:rsidRPr="000D5B62">
        <w:rPr>
          <w:rStyle w:val="FootnoteReference"/>
          <w:szCs w:val="22"/>
          <w:rtl/>
        </w:rPr>
        <w:t>(</w:t>
      </w:r>
      <w:r w:rsidRPr="000D5B62">
        <w:rPr>
          <w:rStyle w:val="FootnoteReference"/>
          <w:szCs w:val="22"/>
          <w:rtl/>
        </w:rPr>
        <w:footnoteReference w:id="108"/>
      </w:r>
      <w:r w:rsidRPr="000D5B62">
        <w:rPr>
          <w:rStyle w:val="FootnoteReference"/>
          <w:szCs w:val="22"/>
          <w:rtl/>
        </w:rPr>
        <w:t>)</w:t>
      </w:r>
      <w:r w:rsidRPr="000D5B62">
        <w:rPr>
          <w:rtl/>
        </w:rPr>
        <w:t>.</w:t>
      </w:r>
    </w:p>
    <w:p w14:paraId="07901FC0" w14:textId="70F84558" w:rsidR="00803069" w:rsidRPr="000D5B62" w:rsidRDefault="00803069" w:rsidP="00B157F1">
      <w:pPr>
        <w:pStyle w:val="SingleTxtGA"/>
        <w:rPr>
          <w:lang w:val="ar-SA" w:eastAsia="zh-TW" w:bidi="en-GB"/>
        </w:rPr>
      </w:pPr>
      <w:r w:rsidRPr="000D5B62">
        <w:rPr>
          <w:rtl/>
        </w:rPr>
        <w:t>129-</w:t>
      </w:r>
      <w:r w:rsidRPr="000D5B62">
        <w:rPr>
          <w:rtl/>
        </w:rPr>
        <w:tab/>
        <w:t>وتحقيقاً لأهداف عدة، من بينها كفالة الحماية بقدر أكبر للأطفال، اعتمد في عام 2007 القانون المتضمن تعديلاً للقانون الجنائي</w:t>
      </w:r>
      <w:r w:rsidR="003F1827" w:rsidRPr="000D5B62">
        <w:rPr>
          <w:rFonts w:hint="cs"/>
          <w:rtl/>
        </w:rPr>
        <w:t xml:space="preserve"> لعام 2007</w:t>
      </w:r>
      <w:r w:rsidRPr="000D5B62">
        <w:rPr>
          <w:rtl/>
        </w:rPr>
        <w:t xml:space="preserve"> (يتناول الجرائم الجنسية والمسائل المتصلة بها)</w:t>
      </w:r>
      <w:r w:rsidRPr="000D5B62">
        <w:rPr>
          <w:rStyle w:val="FootnoteReference"/>
          <w:szCs w:val="22"/>
          <w:rtl/>
        </w:rPr>
        <w:t>(</w:t>
      </w:r>
      <w:r w:rsidRPr="000D5B62">
        <w:rPr>
          <w:rStyle w:val="FootnoteReference"/>
          <w:szCs w:val="22"/>
          <w:rtl/>
        </w:rPr>
        <w:footnoteReference w:id="109"/>
      </w:r>
      <w:r w:rsidRPr="000D5B62">
        <w:rPr>
          <w:rStyle w:val="FootnoteReference"/>
          <w:szCs w:val="22"/>
          <w:rtl/>
        </w:rPr>
        <w:t>)</w:t>
      </w:r>
      <w:r w:rsidRPr="000D5B62">
        <w:rPr>
          <w:rtl/>
        </w:rPr>
        <w:t>. ويتضمن هذا القانون تعاريف موسعة لجرائم، مثل الاغتصاب، ويكفل للأطفال قدراً أكبر من الحماية. وأُرسي ونُفذ أيضاً عدد من أطر السياسات العامة الجديدة، من بينها إطار السياسات العامة الوطنية المتعلقة بقضاء الأطفال وإطار السياسات العامة الوطنية المتعلقة بالعدالة التصالحية (ويشمل الربط بينها وبين نظام العدالة التقليدية) واستراتيجية منع الجرائم الاجتماعية وإطار اعتماد برامج تحويل المسارات. واعتمدت الحكومة أيضاً خطة عمل لمكافحة العنف ضد النساء والأطفال. وفضلاً عن ذلك، يهدف قانون عام 2007 المتضمن تعديلاً للقانون الجنائي (يتصل بالعقوبات)</w:t>
      </w:r>
      <w:r w:rsidRPr="000D5B62">
        <w:rPr>
          <w:rStyle w:val="FootnoteReference"/>
          <w:szCs w:val="22"/>
          <w:rtl/>
        </w:rPr>
        <w:t>(</w:t>
      </w:r>
      <w:r w:rsidRPr="000D5B62">
        <w:rPr>
          <w:rStyle w:val="FootnoteReference"/>
          <w:szCs w:val="22"/>
          <w:rtl/>
        </w:rPr>
        <w:footnoteReference w:id="110"/>
      </w:r>
      <w:r w:rsidRPr="000D5B62">
        <w:rPr>
          <w:rStyle w:val="FootnoteReference"/>
          <w:szCs w:val="22"/>
          <w:rtl/>
        </w:rPr>
        <w:t>)</w:t>
      </w:r>
      <w:r w:rsidRPr="000D5B62">
        <w:rPr>
          <w:rtl/>
        </w:rPr>
        <w:t xml:space="preserve"> إلى ضبط عملية توقيع العقوبات المخففة إلى أدنى حد وفقاً لسلطة القاضي التقديرية في بعض الجرائم الخطيرة وينص أيضاً على أن بعض الظروف لا</w:t>
      </w:r>
      <w:r w:rsidR="003F1827" w:rsidRPr="000D5B62">
        <w:rPr>
          <w:rFonts w:hint="cs"/>
          <w:rtl/>
        </w:rPr>
        <w:t> </w:t>
      </w:r>
      <w:r w:rsidRPr="000D5B62">
        <w:rPr>
          <w:rtl/>
        </w:rPr>
        <w:t>يمكن أن تعتبر ظروفاً جوهرية أو قهرية تبرر فرض عقوبة أخف بينما الأمر يستوجب توقيع عقوبة على جريمة الاغتصاب.</w:t>
      </w:r>
    </w:p>
    <w:p w14:paraId="3F1EC1FC" w14:textId="77777777" w:rsidR="00803069" w:rsidRPr="000D5B62" w:rsidRDefault="00803069" w:rsidP="00B157F1">
      <w:pPr>
        <w:pStyle w:val="H23GA"/>
        <w:rPr>
          <w:lang w:val="fr-CH" w:eastAsia="zh-TW" w:bidi="en-GB"/>
        </w:rPr>
      </w:pPr>
      <w:r w:rsidRPr="000D5B62">
        <w:rPr>
          <w:rtl/>
        </w:rPr>
        <w:tab/>
      </w:r>
      <w:r w:rsidRPr="000D5B62">
        <w:rPr>
          <w:rtl/>
        </w:rPr>
        <w:tab/>
        <w:t>الاتجار بالأشخاص</w:t>
      </w:r>
    </w:p>
    <w:p w14:paraId="1A04B1CF" w14:textId="48A6D18B" w:rsidR="00803069" w:rsidRPr="000D5B62" w:rsidRDefault="00803069" w:rsidP="00B157F1">
      <w:pPr>
        <w:pStyle w:val="SingleTxtGA"/>
        <w:rPr>
          <w:iCs/>
          <w:lang w:val="fr-CH" w:eastAsia="zh-TW" w:bidi="en-GB"/>
        </w:rPr>
      </w:pPr>
      <w:r w:rsidRPr="000D5B62">
        <w:rPr>
          <w:rtl/>
        </w:rPr>
        <w:t>130-</w:t>
      </w:r>
      <w:r w:rsidRPr="000D5B62">
        <w:rPr>
          <w:rtl/>
        </w:rPr>
        <w:tab/>
        <w:t>صدقت جنوب أفريقيا، إدراكاً منها للطابع عبر الوطني لجريمة الاتجار بالبشر، على الصكوك الدولية والإقليمية التي تيسر اتخاذ تدابير تعاونية عبر وطنية بهدف مكافحة الاتجار بالنساء والأطفال</w:t>
      </w:r>
      <w:r w:rsidRPr="000D5B62">
        <w:rPr>
          <w:rStyle w:val="FootnoteReference"/>
          <w:szCs w:val="22"/>
          <w:rtl/>
        </w:rPr>
        <w:t>(</w:t>
      </w:r>
      <w:r w:rsidRPr="000D5B62">
        <w:rPr>
          <w:rStyle w:val="FootnoteReference"/>
          <w:szCs w:val="22"/>
          <w:rtl/>
        </w:rPr>
        <w:footnoteReference w:id="111"/>
      </w:r>
      <w:r w:rsidRPr="000D5B62">
        <w:rPr>
          <w:rStyle w:val="FootnoteReference"/>
          <w:szCs w:val="22"/>
          <w:rtl/>
        </w:rPr>
        <w:t>)</w:t>
      </w:r>
      <w:r w:rsidRPr="000D5B62">
        <w:rPr>
          <w:rtl/>
        </w:rPr>
        <w:t>. وأصدرت في عام 2013 قانون منع ومكافحة الاتجار بالأشخاص</w:t>
      </w:r>
      <w:r w:rsidRPr="000D5B62">
        <w:rPr>
          <w:rStyle w:val="FootnoteReference"/>
          <w:szCs w:val="22"/>
          <w:rtl/>
        </w:rPr>
        <w:t>(</w:t>
      </w:r>
      <w:r w:rsidRPr="000D5B62">
        <w:rPr>
          <w:rStyle w:val="FootnoteReference"/>
          <w:szCs w:val="22"/>
          <w:rtl/>
        </w:rPr>
        <w:footnoteReference w:id="112"/>
      </w:r>
      <w:r w:rsidRPr="000D5B62">
        <w:rPr>
          <w:rStyle w:val="FootnoteReference"/>
          <w:szCs w:val="22"/>
          <w:rtl/>
        </w:rPr>
        <w:t>)</w:t>
      </w:r>
      <w:r w:rsidRPr="000D5B62">
        <w:rPr>
          <w:rtl/>
        </w:rPr>
        <w:t xml:space="preserve"> الذي يعالج بصورة شاملة مسألة الاتجار التي تناولتها في السابق تشريعات متفرقة. وإضافة إلى النص بصورة محددة على الأفعال الموجبة لتجريم الاتجار بالأشخاص، يركز ذلك القانون أيضاً على محنة الضحايا حيث يجيز إرغام المدانين في جريمة الاتجار بالأشخاص على دفع تعويض للضحية عن جملة أمور من بينها الأضرار والإصابات والأذى المادي والمعنوي وفقدان الدخل. ويتجسد في القانون المنظورُ الاستشرافي من حيث إنه يواكب الأفكار الحديثة المتعلقة بقانون حقوق الإنسان والقائلة بوجوب عدم الاقتصار على استخدام القانون في محاكمة المجرمين ومنعهم من معاودة الإجرام بل ينبغي أيضاً أن يولى فيه الاعتبار لاحتياج الضحايا إلى جبر الضرر. وهو ما يتسق أيضاً مع روح وهدف التعليق العام المتصل بالتعذيب الذي أصدرته لجنة مناهضة التعذيب والذي جاء فيه أن الجبر ينطوي على خمسة عناصر أساسية لا</w:t>
      </w:r>
      <w:r w:rsidR="0065091C" w:rsidRPr="000D5B62">
        <w:rPr>
          <w:rFonts w:hint="cs"/>
          <w:rtl/>
        </w:rPr>
        <w:t> </w:t>
      </w:r>
      <w:r w:rsidRPr="000D5B62">
        <w:rPr>
          <w:rtl/>
        </w:rPr>
        <w:t>ينبغي إغفالها ألا وهي: رد الحقوق والتأهيل والتعويض والترضية وضمانات بعدم تكرار الانتهاكات</w:t>
      </w:r>
      <w:r w:rsidRPr="000D5B62">
        <w:rPr>
          <w:rStyle w:val="FootnoteReference"/>
          <w:szCs w:val="22"/>
          <w:rtl/>
        </w:rPr>
        <w:t>(</w:t>
      </w:r>
      <w:r w:rsidRPr="000D5B62">
        <w:rPr>
          <w:rStyle w:val="FootnoteReference"/>
          <w:szCs w:val="22"/>
          <w:rtl/>
        </w:rPr>
        <w:footnoteReference w:id="113"/>
      </w:r>
      <w:r w:rsidRPr="000D5B62">
        <w:rPr>
          <w:rStyle w:val="FootnoteReference"/>
          <w:szCs w:val="22"/>
          <w:rtl/>
        </w:rPr>
        <w:t>)</w:t>
      </w:r>
      <w:r w:rsidRPr="000D5B62">
        <w:rPr>
          <w:rtl/>
        </w:rPr>
        <w:t>. والقانون يتناول على نحو شامل الاتجار بالبشر بمختلف أشكاله وينص بوجه خاص على حماية ضحايا الاتجار ومساعدتهم</w:t>
      </w:r>
      <w:r w:rsidRPr="000D5B62">
        <w:rPr>
          <w:rStyle w:val="FootnoteReference"/>
          <w:szCs w:val="22"/>
          <w:rtl/>
        </w:rPr>
        <w:t>(</w:t>
      </w:r>
      <w:r w:rsidRPr="000D5B62">
        <w:rPr>
          <w:rStyle w:val="FootnoteReference"/>
          <w:szCs w:val="22"/>
          <w:rtl/>
        </w:rPr>
        <w:footnoteReference w:id="114"/>
      </w:r>
      <w:r w:rsidRPr="000D5B62">
        <w:rPr>
          <w:rStyle w:val="FootnoteReference"/>
          <w:szCs w:val="22"/>
          <w:rtl/>
        </w:rPr>
        <w:t>)</w:t>
      </w:r>
      <w:r w:rsidRPr="000D5B62">
        <w:rPr>
          <w:rtl/>
        </w:rPr>
        <w:t xml:space="preserve">. </w:t>
      </w:r>
    </w:p>
    <w:p w14:paraId="3F2FF5C6" w14:textId="77777777" w:rsidR="00803069" w:rsidRPr="000D5B62" w:rsidRDefault="00803069" w:rsidP="00B157F1">
      <w:pPr>
        <w:pStyle w:val="H23GA"/>
        <w:rPr>
          <w:rtl/>
          <w:lang w:bidi="ar-EG"/>
        </w:rPr>
      </w:pPr>
      <w:r w:rsidRPr="000D5B62">
        <w:rPr>
          <w:rtl/>
          <w:lang w:bidi="ar-EG"/>
        </w:rPr>
        <w:tab/>
      </w:r>
      <w:r w:rsidRPr="000D5B62">
        <w:rPr>
          <w:rtl/>
          <w:lang w:bidi="ar-EG"/>
        </w:rPr>
        <w:tab/>
        <w:t>المساواة بين الجنسين</w:t>
      </w:r>
    </w:p>
    <w:p w14:paraId="2DF47829" w14:textId="16A5189C" w:rsidR="00803069" w:rsidRPr="000D5B62" w:rsidRDefault="00803069" w:rsidP="00B157F1">
      <w:pPr>
        <w:pStyle w:val="SingleTxtGA"/>
        <w:rPr>
          <w:rtl/>
          <w:lang w:bidi="ar-EG"/>
        </w:rPr>
      </w:pPr>
      <w:r w:rsidRPr="000D5B62">
        <w:rPr>
          <w:rFonts w:hint="cs"/>
          <w:rtl/>
          <w:lang w:bidi="ar-EG"/>
        </w:rPr>
        <w:t>131</w:t>
      </w:r>
      <w:r w:rsidRPr="000D5B62">
        <w:rPr>
          <w:rtl/>
          <w:lang w:bidi="ar-EG"/>
        </w:rPr>
        <w:t>-</w:t>
      </w:r>
      <w:r w:rsidRPr="000D5B62">
        <w:rPr>
          <w:rtl/>
          <w:lang w:bidi="ar-EG"/>
        </w:rPr>
        <w:tab/>
        <w:t xml:space="preserve">تشمل أيضاً عملية تمكين المرأة وتحقيق المساواة بين الجنسين في جنوب أفريقيا التعامل مع تركة نظام الفصل العنصري </w:t>
      </w:r>
      <w:r w:rsidRPr="000D5B62">
        <w:rPr>
          <w:rFonts w:hint="cs"/>
          <w:rtl/>
          <w:lang w:bidi="ar-EG"/>
        </w:rPr>
        <w:t xml:space="preserve">ومع التحولات التي يشهدها </w:t>
      </w:r>
      <w:r w:rsidRPr="000D5B62">
        <w:rPr>
          <w:rtl/>
          <w:lang w:bidi="ar-EG"/>
        </w:rPr>
        <w:t>المجتمع، لا سيما في علاقات القوة بين المرأة والرجل</w:t>
      </w:r>
      <w:r w:rsidRPr="000D5B62">
        <w:rPr>
          <w:rFonts w:hint="cs"/>
          <w:rtl/>
          <w:lang w:bidi="ar-EG"/>
        </w:rPr>
        <w:t>،</w:t>
      </w:r>
      <w:r w:rsidRPr="000D5B62">
        <w:rPr>
          <w:rtl/>
          <w:lang w:bidi="ar-EG"/>
        </w:rPr>
        <w:t xml:space="preserve"> وبين المؤسسات</w:t>
      </w:r>
      <w:r w:rsidRPr="000D5B62">
        <w:rPr>
          <w:rFonts w:hint="cs"/>
          <w:rtl/>
          <w:lang w:bidi="ar-EG"/>
        </w:rPr>
        <w:t>،</w:t>
      </w:r>
      <w:r w:rsidRPr="000D5B62">
        <w:rPr>
          <w:rtl/>
          <w:lang w:bidi="ar-EG"/>
        </w:rPr>
        <w:t xml:space="preserve"> والق</w:t>
      </w:r>
      <w:r w:rsidRPr="000D5B62">
        <w:rPr>
          <w:rFonts w:hint="cs"/>
          <w:rtl/>
          <w:lang w:bidi="ar-EG"/>
        </w:rPr>
        <w:t>وا</w:t>
      </w:r>
      <w:r w:rsidRPr="000D5B62">
        <w:rPr>
          <w:rtl/>
          <w:lang w:bidi="ar-EG"/>
        </w:rPr>
        <w:t>ن</w:t>
      </w:r>
      <w:r w:rsidRPr="000D5B62">
        <w:rPr>
          <w:rFonts w:hint="cs"/>
          <w:rtl/>
          <w:lang w:bidi="ar-EG"/>
        </w:rPr>
        <w:t>ي</w:t>
      </w:r>
      <w:r w:rsidRPr="000D5B62">
        <w:rPr>
          <w:rtl/>
          <w:lang w:bidi="ar-EG"/>
        </w:rPr>
        <w:t>ن</w:t>
      </w:r>
      <w:r w:rsidRPr="000D5B62">
        <w:rPr>
          <w:rFonts w:hint="cs"/>
          <w:rtl/>
          <w:lang w:bidi="ar-EG"/>
        </w:rPr>
        <w:t>.</w:t>
      </w:r>
      <w:r w:rsidRPr="000D5B62">
        <w:rPr>
          <w:rtl/>
          <w:lang w:bidi="ar-EG"/>
        </w:rPr>
        <w:t xml:space="preserve"> و</w:t>
      </w:r>
      <w:r w:rsidRPr="000D5B62">
        <w:rPr>
          <w:rFonts w:hint="cs"/>
          <w:rtl/>
          <w:lang w:bidi="ar-EG"/>
        </w:rPr>
        <w:t xml:space="preserve">تمر عبر </w:t>
      </w:r>
      <w:r w:rsidRPr="000D5B62">
        <w:rPr>
          <w:rtl/>
          <w:lang w:bidi="ar-EG"/>
        </w:rPr>
        <w:t>التصدي لقهر المرأة</w:t>
      </w:r>
      <w:r w:rsidRPr="000D5B62">
        <w:rPr>
          <w:rFonts w:hint="cs"/>
          <w:rtl/>
          <w:lang w:bidi="ar-EG"/>
        </w:rPr>
        <w:t>،</w:t>
      </w:r>
      <w:r w:rsidRPr="000D5B62">
        <w:rPr>
          <w:rtl/>
          <w:lang w:bidi="ar-EG"/>
        </w:rPr>
        <w:t xml:space="preserve"> والنزعة الذكورية</w:t>
      </w:r>
      <w:r w:rsidRPr="000D5B62">
        <w:rPr>
          <w:rFonts w:hint="cs"/>
          <w:rtl/>
          <w:lang w:bidi="ar-EG"/>
        </w:rPr>
        <w:t>،</w:t>
      </w:r>
      <w:r w:rsidRPr="000D5B62">
        <w:rPr>
          <w:rtl/>
          <w:lang w:bidi="ar-EG"/>
        </w:rPr>
        <w:t xml:space="preserve"> والتحيز الجنسي</w:t>
      </w:r>
      <w:r w:rsidRPr="000D5B62">
        <w:rPr>
          <w:rFonts w:hint="cs"/>
          <w:rtl/>
          <w:lang w:bidi="ar-EG"/>
        </w:rPr>
        <w:t>،</w:t>
      </w:r>
      <w:r w:rsidRPr="000D5B62">
        <w:rPr>
          <w:rtl/>
          <w:lang w:bidi="ar-EG"/>
        </w:rPr>
        <w:t xml:space="preserve"> والتمييز ضد المسنين</w:t>
      </w:r>
      <w:r w:rsidRPr="000D5B62">
        <w:rPr>
          <w:rFonts w:hint="cs"/>
          <w:rtl/>
          <w:lang w:bidi="ar-EG"/>
        </w:rPr>
        <w:t>،</w:t>
      </w:r>
      <w:r w:rsidRPr="000D5B62">
        <w:rPr>
          <w:rtl/>
          <w:lang w:bidi="ar-EG"/>
        </w:rPr>
        <w:t xml:space="preserve"> والقمع الهيكلي</w:t>
      </w:r>
      <w:r w:rsidRPr="000D5B62">
        <w:rPr>
          <w:rFonts w:hint="cs"/>
          <w:rtl/>
          <w:lang w:bidi="ar-EG"/>
        </w:rPr>
        <w:t>،</w:t>
      </w:r>
      <w:r w:rsidRPr="000D5B62">
        <w:rPr>
          <w:rtl/>
          <w:lang w:bidi="ar-EG"/>
        </w:rPr>
        <w:t xml:space="preserve"> وتهيئة بيئة تفضي إلى امتلاك المرأة زمام أمورها. وتلتزم الحكومة بكفالة المساواة في الحقوق للمرأة والرجل. فالدستور يضمن المساواة بين الرجل والمرأة ويحظر التمييز بناء على أسباب عُددت فيه. </w:t>
      </w:r>
      <w:r w:rsidR="0065091C" w:rsidRPr="000D5B62">
        <w:rPr>
          <w:rFonts w:hint="cs"/>
          <w:rtl/>
          <w:lang w:bidi="ar-EG"/>
        </w:rPr>
        <w:t>و</w:t>
      </w:r>
      <w:r w:rsidRPr="000D5B62">
        <w:rPr>
          <w:rtl/>
          <w:lang w:bidi="ar-EG"/>
        </w:rPr>
        <w:t>وضعت جنوب أفريقيا</w:t>
      </w:r>
      <w:r w:rsidRPr="000D5B62">
        <w:rPr>
          <w:rFonts w:hint="cs"/>
          <w:rtl/>
          <w:lang w:bidi="ar-EG"/>
        </w:rPr>
        <w:t>، اتساقاً</w:t>
      </w:r>
      <w:r w:rsidRPr="000D5B62">
        <w:rPr>
          <w:rtl/>
          <w:lang w:bidi="ar-EG"/>
        </w:rPr>
        <w:t xml:space="preserve"> مع التزامها بتحقيق المساواة بين الجنسين</w:t>
      </w:r>
      <w:r w:rsidRPr="000D5B62">
        <w:rPr>
          <w:rFonts w:hint="cs"/>
          <w:rtl/>
          <w:lang w:bidi="ar-EG"/>
        </w:rPr>
        <w:t>،</w:t>
      </w:r>
      <w:r w:rsidRPr="000D5B62">
        <w:rPr>
          <w:rtl/>
          <w:lang w:bidi="ar-EG"/>
        </w:rPr>
        <w:t xml:space="preserve"> إطاراً للسياسات الوطنية المتعلقة بتمكين المرأة وتحقيق المساواة بين الجنسين، كان بمثابة الشعلة التي يهتدى بنورها في تطوير وضع النساء والفتيات في البلد والنهوض به. وأرست الحكومة أيضاً إطاراً للسياسات المتعلقة بالجنسين على صعيد الحكم المحلي، ووضعت كذلك، ضمن ما وضعته من سياسات واستراتيجيات قطاعية يسترشد بها في تعميم مراعاة الاعتبارات الخاصة بالجنسين في جميع أعمال الحكومة، الإطار الاستراتيجي الوطني لتمكين المرأة اقتصادياً.</w:t>
      </w:r>
    </w:p>
    <w:p w14:paraId="16B27E76" w14:textId="77777777" w:rsidR="00803069" w:rsidRPr="000D5B62" w:rsidRDefault="00803069" w:rsidP="00B157F1">
      <w:pPr>
        <w:pStyle w:val="SingleTxtGA"/>
        <w:rPr>
          <w:rtl/>
          <w:lang w:bidi="ar-EG"/>
        </w:rPr>
      </w:pPr>
      <w:r w:rsidRPr="000D5B62">
        <w:rPr>
          <w:rtl/>
          <w:lang w:bidi="ar-EG"/>
        </w:rPr>
        <w:t>13</w:t>
      </w:r>
      <w:r w:rsidRPr="000D5B62">
        <w:rPr>
          <w:rFonts w:hint="cs"/>
          <w:rtl/>
          <w:lang w:bidi="ar-EG"/>
        </w:rPr>
        <w:t>2</w:t>
      </w:r>
      <w:r w:rsidRPr="000D5B62">
        <w:rPr>
          <w:rtl/>
          <w:lang w:bidi="ar-EG"/>
        </w:rPr>
        <w:t>-</w:t>
      </w:r>
      <w:r w:rsidRPr="000D5B62">
        <w:rPr>
          <w:rtl/>
          <w:lang w:bidi="ar-EG"/>
        </w:rPr>
        <w:tab/>
        <w:t>وفيما يتعلق بالإطار التشريعي، ألغيت معظم القوانين التي كانت سارية قبل عام 1994 والتي كانت تنطوي على تمييز ضد المرأة. فمثلاً ألغى قانون الاعتراف بالزيجات العرفية لعام 1998 أحكا</w:t>
      </w:r>
      <w:r w:rsidRPr="000D5B62">
        <w:rPr>
          <w:rFonts w:hint="cs"/>
          <w:rtl/>
          <w:lang w:bidi="ar-EG"/>
        </w:rPr>
        <w:t>مَ</w:t>
      </w:r>
      <w:r w:rsidRPr="000D5B62">
        <w:rPr>
          <w:rtl/>
          <w:lang w:bidi="ar-EG"/>
        </w:rPr>
        <w:t xml:space="preserve"> قانون إدارة شؤون السود لعام 1927 التي ألصقت بالمرأة الأفريقية وضعاً قانونياً تعامل بمقتضاه إلى الأبد باعتبارها قاصرة. ويرسي القانون أسس المساواة رسمياً بين المرأة والرجل في الزيجات العرفية ويساوي بين الزوجين طرفي الزواج العرفي من حيث المركز القانوني والأهلية القانونية ويمنح الزوجة حق اقتناء الأصول والتصرف فيها وحق إبرام عقود والتقاضي، إضافة إلى ما قد يكون مقرراً لها في القانوني العرفي من حقوق وصلاحيات</w:t>
      </w:r>
      <w:r w:rsidRPr="000D5B62">
        <w:rPr>
          <w:rFonts w:hint="cs"/>
          <w:rtl/>
          <w:lang w:bidi="ar-EG"/>
        </w:rPr>
        <w:t>.</w:t>
      </w:r>
      <w:r w:rsidRPr="000D5B62">
        <w:rPr>
          <w:rtl/>
          <w:lang w:bidi="ar-EG"/>
        </w:rPr>
        <w:t xml:space="preserve"> </w:t>
      </w:r>
      <w:r w:rsidRPr="000D5B62">
        <w:rPr>
          <w:rFonts w:hint="cs"/>
          <w:rtl/>
          <w:lang w:bidi="ar-EG"/>
        </w:rPr>
        <w:t>وامتد</w:t>
      </w:r>
      <w:r w:rsidRPr="000D5B62">
        <w:rPr>
          <w:rtl/>
          <w:lang w:bidi="ar-EG"/>
        </w:rPr>
        <w:t xml:space="preserve"> مفعول الإلغاء إلى المادتين 22 و27(3) من قانون كوازولو المتعلق بمدونة قانون الزولو اللتين ترسخان المفهوم السائد في تلك المقاطعة </w:t>
      </w:r>
      <w:r w:rsidRPr="000D5B62">
        <w:rPr>
          <w:rFonts w:hint="cs"/>
          <w:rtl/>
          <w:lang w:bidi="ar-EG"/>
        </w:rPr>
        <w:t>الذي مفاده أن</w:t>
      </w:r>
      <w:r w:rsidRPr="000D5B62">
        <w:rPr>
          <w:rtl/>
          <w:lang w:bidi="ar-EG"/>
        </w:rPr>
        <w:t xml:space="preserve"> الرجل في أي زواج ليس رب الأسرة فحسب، بل يمتلك أيضاً السلطة الزوجية. ويشكل الدستور الأساس القانوني للنهوض بحقوق المرأة في جنوب أفريقيا. وتعد تشريعات أخرى متفرقة اللبنات الأساسية في هذا الصرح.</w:t>
      </w:r>
    </w:p>
    <w:p w14:paraId="58AA25DE" w14:textId="77777777" w:rsidR="00803069" w:rsidRPr="000D5B62" w:rsidRDefault="00803069" w:rsidP="00B157F1">
      <w:pPr>
        <w:pStyle w:val="SingleTxtGA"/>
        <w:rPr>
          <w:rtl/>
          <w:lang w:bidi="ar-EG"/>
        </w:rPr>
      </w:pPr>
      <w:r w:rsidRPr="000D5B62">
        <w:rPr>
          <w:rtl/>
          <w:lang w:bidi="ar-EG"/>
        </w:rPr>
        <w:t>13</w:t>
      </w:r>
      <w:r w:rsidRPr="000D5B62">
        <w:rPr>
          <w:rFonts w:hint="cs"/>
          <w:rtl/>
          <w:lang w:bidi="ar-EG"/>
        </w:rPr>
        <w:t>3</w:t>
      </w:r>
      <w:r w:rsidRPr="000D5B62">
        <w:rPr>
          <w:rtl/>
          <w:lang w:bidi="ar-EG"/>
        </w:rPr>
        <w:t>-</w:t>
      </w:r>
      <w:r w:rsidRPr="000D5B62">
        <w:rPr>
          <w:rtl/>
          <w:lang w:bidi="ar-EG"/>
        </w:rPr>
        <w:tab/>
        <w:t xml:space="preserve">وعلى الصعيد دون الإقليمي والصعيدين القاري والدولي، قطعت أيضاً جنوب أفريقيا على نفسها عدداً من الالتزامات الرئيسية فيما يتعلق بالعمل على كفالة تمكين المرأة وتحقيق المساواة بين الجنسين. ولقد جسدت جنوب أفريقيا التزامها بالقضاء على التمييز ضد المرأة في انضمامها </w:t>
      </w:r>
      <w:r w:rsidRPr="000D5B62">
        <w:rPr>
          <w:rtl/>
        </w:rPr>
        <w:t xml:space="preserve">إلى اتفاقية القضاء على جميع أشكال التمييز ضد المرأة </w:t>
      </w:r>
      <w:r w:rsidRPr="000D5B62">
        <w:rPr>
          <w:rtl/>
          <w:lang w:bidi="ar-EG"/>
        </w:rPr>
        <w:t xml:space="preserve">دون أي تحفظات. وصدقت جنوب أفريقيا أيضاً على البروتوكول الاختياري الملحق باتفاقية القضاء على جميع أشكال التمييز ضد المرأة دون إبداء أي تحفظات وقدمت تقريرها الأولي </w:t>
      </w:r>
      <w:r w:rsidRPr="000D5B62">
        <w:rPr>
          <w:rFonts w:hint="cs"/>
          <w:rtl/>
          <w:lang w:bidi="ar-EG"/>
        </w:rPr>
        <w:t>بموجب</w:t>
      </w:r>
      <w:r w:rsidRPr="000D5B62">
        <w:rPr>
          <w:rtl/>
          <w:lang w:bidi="ar-EG"/>
        </w:rPr>
        <w:t xml:space="preserve"> الاتفاقية في عام 1998. وألزمت الحكومة نفسها كذلك في إطار بروتوكول الجماعة الإنمائية للجنوب الأفريقي بشأن القضايا الجنسانية والإنمائية ومنهاج عمل بيجين بالاضطلاع بأنشطة تهدف إلى تعزيز حقوق الإنسان الواجبة للمرأة.</w:t>
      </w:r>
    </w:p>
    <w:p w14:paraId="127BADE9" w14:textId="77777777" w:rsidR="00803069" w:rsidRPr="000D5B62" w:rsidRDefault="00803069" w:rsidP="00B157F1">
      <w:pPr>
        <w:pStyle w:val="SingleTxtGA"/>
        <w:rPr>
          <w:rtl/>
          <w:lang w:bidi="ar-EG"/>
        </w:rPr>
      </w:pPr>
      <w:r w:rsidRPr="000D5B62">
        <w:rPr>
          <w:rtl/>
          <w:lang w:bidi="ar-EG"/>
        </w:rPr>
        <w:t>1</w:t>
      </w:r>
      <w:r w:rsidRPr="000D5B62">
        <w:rPr>
          <w:rFonts w:hint="cs"/>
          <w:rtl/>
          <w:lang w:bidi="ar-EG"/>
        </w:rPr>
        <w:t>34</w:t>
      </w:r>
      <w:r w:rsidRPr="000D5B62">
        <w:rPr>
          <w:rtl/>
          <w:lang w:bidi="ar-EG"/>
        </w:rPr>
        <w:t>-</w:t>
      </w:r>
      <w:r w:rsidRPr="000D5B62">
        <w:rPr>
          <w:rtl/>
          <w:lang w:bidi="ar-EG"/>
        </w:rPr>
        <w:tab/>
        <w:t>وعلى إثر الانتخابات التي أجريت في أيار/مايو 2014، أعلن الرئيس عن إنشاء وزارة قائمة بذاتها في مقر الرئاسة تكرس لشؤون المرأة. وتتمثل ولاية تلك الوزارة في كفالة تمكين المرأة اجتماعياً واقتصادياً والنهوض بالمساواة بين الجنسين. وإضافة إلى ذلك، يشهد مجلس الوزراء منذ عام 1994 زيادة مطردة في عدد الوزيرات والنساء اللاتي يشغلن منصب نائب وزير. و</w:t>
      </w:r>
      <w:r w:rsidRPr="000D5B62">
        <w:rPr>
          <w:rFonts w:hint="cs"/>
          <w:rtl/>
          <w:lang w:bidi="ar-EG"/>
        </w:rPr>
        <w:t>أُبقيَ</w:t>
      </w:r>
      <w:r w:rsidRPr="000D5B62">
        <w:rPr>
          <w:rtl/>
          <w:lang w:bidi="ar-EG"/>
        </w:rPr>
        <w:t xml:space="preserve"> أيضاً</w:t>
      </w:r>
      <w:r w:rsidRPr="000D5B62">
        <w:rPr>
          <w:rFonts w:hint="cs"/>
          <w:rtl/>
          <w:lang w:bidi="ar-EG"/>
        </w:rPr>
        <w:t xml:space="preserve"> على</w:t>
      </w:r>
      <w:r w:rsidRPr="000D5B62">
        <w:rPr>
          <w:rtl/>
          <w:lang w:bidi="ar-EG"/>
        </w:rPr>
        <w:t xml:space="preserve"> نسبة 25 في المائة </w:t>
      </w:r>
      <w:r w:rsidRPr="000D5B62">
        <w:rPr>
          <w:rFonts w:hint="cs"/>
          <w:rtl/>
          <w:lang w:bidi="ar-EG"/>
        </w:rPr>
        <w:t>كحد</w:t>
      </w:r>
      <w:r w:rsidRPr="000D5B62">
        <w:rPr>
          <w:rtl/>
          <w:lang w:bidi="ar-EG"/>
        </w:rPr>
        <w:t xml:space="preserve"> أدنى </w:t>
      </w:r>
      <w:r w:rsidRPr="000D5B62">
        <w:rPr>
          <w:rFonts w:hint="cs"/>
          <w:rtl/>
          <w:lang w:bidi="ar-EG"/>
        </w:rPr>
        <w:t>ل</w:t>
      </w:r>
      <w:r w:rsidRPr="000D5B62">
        <w:rPr>
          <w:rtl/>
          <w:lang w:bidi="ar-EG"/>
        </w:rPr>
        <w:t>تمثيل المرأة في البرلمان. والتزمت الحكومة بكفالة تعيين النساء بأعداد متزايدة في وظائف الإدارة الوسطى والعليا بالقطاع العام، حيث تم الأخذ أيضاً ببرامج العمل الإيجابي.</w:t>
      </w:r>
    </w:p>
    <w:p w14:paraId="2DCB8B94" w14:textId="01FE6947" w:rsidR="00803069" w:rsidRPr="000D5B62" w:rsidRDefault="00803069" w:rsidP="00B157F1">
      <w:pPr>
        <w:pStyle w:val="SingleTxtGA"/>
        <w:rPr>
          <w:rtl/>
        </w:rPr>
      </w:pPr>
      <w:r w:rsidRPr="000D5B62">
        <w:rPr>
          <w:rtl/>
          <w:lang w:bidi="ar-EG"/>
        </w:rPr>
        <w:t>13</w:t>
      </w:r>
      <w:r w:rsidRPr="000D5B62">
        <w:rPr>
          <w:rFonts w:hint="cs"/>
          <w:rtl/>
          <w:lang w:bidi="ar-EG"/>
        </w:rPr>
        <w:t>5</w:t>
      </w:r>
      <w:r w:rsidRPr="000D5B62">
        <w:rPr>
          <w:rtl/>
          <w:lang w:bidi="ar-EG"/>
        </w:rPr>
        <w:t>-</w:t>
      </w:r>
      <w:r w:rsidRPr="000D5B62">
        <w:rPr>
          <w:rtl/>
          <w:lang w:bidi="ar-EG"/>
        </w:rPr>
        <w:tab/>
        <w:t xml:space="preserve">وأدت المحاكم أيضاً دوراً بالغ الأهمية في التخلص من القوانين والممارسات العرفية التمييزية. فمثلاً في دعوى </w:t>
      </w:r>
      <w:r w:rsidRPr="000D5B62">
        <w:rPr>
          <w:i/>
          <w:iCs/>
          <w:rtl/>
          <w:lang w:bidi="ar-EG"/>
        </w:rPr>
        <w:t xml:space="preserve">بهي ضد قاضي الصلح </w:t>
      </w:r>
      <w:r w:rsidRPr="000D5B62">
        <w:rPr>
          <w:i/>
          <w:iCs/>
        </w:rPr>
        <w:t>Bhe v the Magistrate</w:t>
      </w:r>
      <w:r w:rsidRPr="000D5B62">
        <w:rPr>
          <w:i/>
          <w:iCs/>
          <w:rtl/>
          <w:lang w:bidi="ar-EG"/>
        </w:rPr>
        <w:t xml:space="preserve"> </w:t>
      </w:r>
      <w:r w:rsidRPr="000D5B62">
        <w:rPr>
          <w:rtl/>
          <w:lang w:bidi="ar-EG"/>
        </w:rPr>
        <w:t>ودعوى</w:t>
      </w:r>
      <w:r w:rsidRPr="000D5B62">
        <w:rPr>
          <w:i/>
          <w:iCs/>
          <w:rtl/>
          <w:lang w:bidi="ar-EG"/>
        </w:rPr>
        <w:t xml:space="preserve"> خايليتشا شيبي ضد سيتهول وآخرين </w:t>
      </w:r>
      <w:r w:rsidRPr="000D5B62">
        <w:rPr>
          <w:i/>
          <w:iCs/>
        </w:rPr>
        <w:t>Khayelitsha Shibi v Sithole and Others</w:t>
      </w:r>
      <w:r w:rsidRPr="000D5B62">
        <w:rPr>
          <w:i/>
          <w:iCs/>
          <w:rtl/>
          <w:lang w:bidi="ar-EG"/>
        </w:rPr>
        <w:t xml:space="preserve"> </w:t>
      </w:r>
      <w:r w:rsidRPr="000D5B62">
        <w:rPr>
          <w:rtl/>
          <w:lang w:bidi="ar-EG"/>
        </w:rPr>
        <w:t>ودعوى</w:t>
      </w:r>
      <w:r w:rsidRPr="000D5B62">
        <w:rPr>
          <w:i/>
          <w:iCs/>
          <w:rtl/>
          <w:lang w:bidi="ar-EG"/>
        </w:rPr>
        <w:t xml:space="preserve"> مفوضية جنوب أفريقيا لحقوق الإنسان ضد رئيس جمهورية جنوب أفريقيا</w:t>
      </w:r>
      <w:r w:rsidRPr="000D5B62">
        <w:rPr>
          <w:vertAlign w:val="superscript"/>
          <w:rtl/>
          <w:lang w:bidi="ar-EG"/>
        </w:rPr>
        <w:t>(</w:t>
      </w:r>
      <w:r w:rsidRPr="000D5B62">
        <w:rPr>
          <w:rStyle w:val="FootnoteReference"/>
          <w:szCs w:val="22"/>
          <w:rtl/>
        </w:rPr>
        <w:footnoteReference w:id="115"/>
      </w:r>
      <w:r w:rsidRPr="000D5B62">
        <w:rPr>
          <w:rStyle w:val="FootnoteReference"/>
          <w:szCs w:val="22"/>
          <w:rtl/>
        </w:rPr>
        <w:t>)</w:t>
      </w:r>
      <w:r w:rsidRPr="000D5B62">
        <w:rPr>
          <w:rtl/>
          <w:lang w:bidi="ar-EG"/>
        </w:rPr>
        <w:t xml:space="preserve">، </w:t>
      </w:r>
      <w:r w:rsidRPr="000D5B62">
        <w:rPr>
          <w:rFonts w:hint="cs"/>
          <w:rtl/>
          <w:lang w:bidi="ar-EG"/>
        </w:rPr>
        <w:t>حُ</w:t>
      </w:r>
      <w:r w:rsidRPr="000D5B62">
        <w:rPr>
          <w:rtl/>
          <w:lang w:bidi="ar-EG"/>
        </w:rPr>
        <w:t>كم ببطلان قاعدة البكورة التي تنص على توريث الذكور فقط وذلك لانطوائها على انتهاك لحق الإناث في المساواة في الميراث. وحتى صدور قرار محكمة الاستئناف العليا في دعوى</w:t>
      </w:r>
      <w:r w:rsidRPr="000D5B62">
        <w:rPr>
          <w:i/>
          <w:iCs/>
          <w:rtl/>
          <w:lang w:bidi="ar-EG"/>
        </w:rPr>
        <w:t xml:space="preserve"> أمود ضد الصندوق المتعدد الأطراف المخصص لحوادث السيارات </w:t>
      </w:r>
      <w:r w:rsidRPr="000D5B62">
        <w:rPr>
          <w:i/>
          <w:iCs/>
        </w:rPr>
        <w:t>Amod v Multilateral Motor</w:t>
      </w:r>
      <w:r w:rsidR="00B157F1" w:rsidRPr="000D5B62">
        <w:rPr>
          <w:i/>
          <w:iCs/>
          <w:lang w:val="en-US"/>
        </w:rPr>
        <w:t xml:space="preserve"> </w:t>
      </w:r>
      <w:r w:rsidRPr="000D5B62">
        <w:rPr>
          <w:i/>
          <w:iCs/>
        </w:rPr>
        <w:t>Vehicle Accidents Fund</w:t>
      </w:r>
      <w:r w:rsidRPr="000D5B62">
        <w:rPr>
          <w:rtl/>
          <w:lang w:bidi="ar-EG"/>
        </w:rPr>
        <w:t xml:space="preserve"> في عام 1999</w:t>
      </w:r>
      <w:r w:rsidRPr="000D5B62">
        <w:rPr>
          <w:vertAlign w:val="superscript"/>
          <w:rtl/>
          <w:lang w:bidi="ar-EG"/>
        </w:rPr>
        <w:t>(</w:t>
      </w:r>
      <w:r w:rsidRPr="000D5B62">
        <w:rPr>
          <w:rStyle w:val="FootnoteReference"/>
          <w:szCs w:val="22"/>
          <w:rtl/>
        </w:rPr>
        <w:footnoteReference w:id="116"/>
      </w:r>
      <w:r w:rsidRPr="000D5B62">
        <w:rPr>
          <w:rStyle w:val="FootnoteReference"/>
          <w:szCs w:val="22"/>
          <w:rtl/>
        </w:rPr>
        <w:t>)</w:t>
      </w:r>
      <w:r w:rsidRPr="000D5B62">
        <w:rPr>
          <w:rtl/>
          <w:lang w:bidi="ar-EG"/>
        </w:rPr>
        <w:t xml:space="preserve">، كان الزواج الذي يُعقد وفقاً للشريعة الإسلامية يعتبر لاغياً وباطلاً. ولقد اعترفت المحكمة في هذا القرار لأغراض الإعالة بالزواج الإسلامي </w:t>
      </w:r>
      <w:r w:rsidRPr="000D5B62">
        <w:rPr>
          <w:rFonts w:hint="cs"/>
          <w:rtl/>
          <w:lang w:bidi="ar-EG"/>
        </w:rPr>
        <w:t>بزوجة واحدة</w:t>
      </w:r>
      <w:r w:rsidRPr="000D5B62">
        <w:rPr>
          <w:rtl/>
          <w:lang w:bidi="ar-EG"/>
        </w:rPr>
        <w:t xml:space="preserve">. وفي دعوى </w:t>
      </w:r>
      <w:r w:rsidRPr="000D5B62">
        <w:rPr>
          <w:i/>
          <w:iCs/>
          <w:rtl/>
          <w:lang w:bidi="ar-EG"/>
        </w:rPr>
        <w:t xml:space="preserve">دانييلز ضد كامبل </w:t>
      </w:r>
      <w:r w:rsidRPr="000D5B62">
        <w:rPr>
          <w:i/>
          <w:iCs/>
        </w:rPr>
        <w:t>Daniels v Campbell NO</w:t>
      </w:r>
      <w:r w:rsidRPr="000D5B62">
        <w:rPr>
          <w:vertAlign w:val="superscript"/>
          <w:rtl/>
          <w:lang w:bidi="ar-EG"/>
        </w:rPr>
        <w:t>(</w:t>
      </w:r>
      <w:r w:rsidRPr="000D5B62">
        <w:rPr>
          <w:rStyle w:val="FootnoteReference"/>
          <w:szCs w:val="22"/>
          <w:rtl/>
        </w:rPr>
        <w:footnoteReference w:id="117"/>
      </w:r>
      <w:r w:rsidRPr="000D5B62">
        <w:rPr>
          <w:rStyle w:val="FootnoteReference"/>
          <w:szCs w:val="22"/>
          <w:rtl/>
        </w:rPr>
        <w:t>)</w:t>
      </w:r>
      <w:r w:rsidRPr="000D5B62">
        <w:rPr>
          <w:rtl/>
          <w:lang w:bidi="ar-EG"/>
        </w:rPr>
        <w:t xml:space="preserve"> قضت المحكمة الدستورية باعتبار </w:t>
      </w:r>
      <w:r w:rsidRPr="000D5B62">
        <w:rPr>
          <w:rFonts w:hint="cs"/>
          <w:rtl/>
          <w:lang w:bidi="ar-EG"/>
        </w:rPr>
        <w:t>الأطراف</w:t>
      </w:r>
      <w:r w:rsidRPr="000D5B62">
        <w:rPr>
          <w:rtl/>
          <w:lang w:bidi="ar-EG"/>
        </w:rPr>
        <w:t xml:space="preserve"> في زيجات إسلامية تقليدية يكتفى فيها بامرأة واحدة </w:t>
      </w:r>
      <w:r w:rsidRPr="000D5B62">
        <w:rPr>
          <w:rFonts w:hint="cs"/>
          <w:rtl/>
          <w:lang w:bidi="ar-EG"/>
        </w:rPr>
        <w:t>أزواجاً</w:t>
      </w:r>
      <w:r w:rsidRPr="000D5B62">
        <w:rPr>
          <w:rtl/>
          <w:lang w:bidi="ar-EG"/>
        </w:rPr>
        <w:t xml:space="preserve"> لأغراض القانون المنظم للإرث في غياب الوصية والقانون المتعلق بإعالة الزوج</w:t>
      </w:r>
      <w:r w:rsidRPr="000D5B62">
        <w:rPr>
          <w:rFonts w:hint="cs"/>
          <w:rtl/>
          <w:lang w:bidi="ar-EG"/>
        </w:rPr>
        <w:t xml:space="preserve"> المتبقي/الزوجة المتبقية </w:t>
      </w:r>
      <w:r w:rsidRPr="000D5B62">
        <w:rPr>
          <w:rFonts w:hint="cs"/>
          <w:spacing w:val="-5"/>
          <w:rtl/>
          <w:lang w:bidi="ar-EG"/>
        </w:rPr>
        <w:t>على قيد الحياة</w:t>
      </w:r>
      <w:r w:rsidRPr="000D5B62">
        <w:rPr>
          <w:spacing w:val="-5"/>
          <w:rtl/>
          <w:lang w:bidi="ar-EG"/>
        </w:rPr>
        <w:t xml:space="preserve">. وقضت المحكمة العليا في دعوى </w:t>
      </w:r>
      <w:r w:rsidRPr="000D5B62">
        <w:rPr>
          <w:i/>
          <w:iCs/>
          <w:spacing w:val="-5"/>
          <w:rtl/>
          <w:lang w:bidi="ar-EG"/>
        </w:rPr>
        <w:t xml:space="preserve">غوفندر ضد راغافاياه </w:t>
      </w:r>
      <w:r w:rsidRPr="000D5B62">
        <w:rPr>
          <w:i/>
          <w:iCs/>
          <w:spacing w:val="-5"/>
        </w:rPr>
        <w:t>Govender v Ragavayah NO</w:t>
      </w:r>
      <w:r w:rsidRPr="000D5B62">
        <w:rPr>
          <w:spacing w:val="-5"/>
          <w:vertAlign w:val="superscript"/>
          <w:rtl/>
          <w:lang w:bidi="ar-EG"/>
        </w:rPr>
        <w:t>(</w:t>
      </w:r>
      <w:r w:rsidRPr="000D5B62">
        <w:rPr>
          <w:rStyle w:val="FootnoteReference"/>
          <w:spacing w:val="-5"/>
          <w:szCs w:val="22"/>
          <w:rtl/>
        </w:rPr>
        <w:footnoteReference w:id="118"/>
      </w:r>
      <w:r w:rsidRPr="000D5B62">
        <w:rPr>
          <w:rStyle w:val="FootnoteReference"/>
          <w:spacing w:val="-5"/>
          <w:szCs w:val="22"/>
          <w:rtl/>
        </w:rPr>
        <w:t>)</w:t>
      </w:r>
      <w:r w:rsidRPr="000D5B62">
        <w:rPr>
          <w:rtl/>
          <w:lang w:bidi="ar-EG"/>
        </w:rPr>
        <w:t xml:space="preserve"> بتوسيع نطاق هذا الاعتراف ليشمل زيجات الهندوس التقليدية بزوجة واحدة.</w:t>
      </w:r>
    </w:p>
    <w:p w14:paraId="74B66EA0" w14:textId="77777777" w:rsidR="00803069" w:rsidRPr="000D5B62" w:rsidRDefault="00803069" w:rsidP="00B157F1">
      <w:pPr>
        <w:pStyle w:val="H23GA"/>
        <w:rPr>
          <w:rtl/>
          <w:lang w:bidi="ar-EG"/>
        </w:rPr>
      </w:pPr>
      <w:r w:rsidRPr="000D5B62">
        <w:rPr>
          <w:rtl/>
          <w:lang w:bidi="ar-EG"/>
        </w:rPr>
        <w:tab/>
      </w:r>
      <w:r w:rsidRPr="000D5B62">
        <w:rPr>
          <w:rtl/>
          <w:lang w:bidi="ar-EG"/>
        </w:rPr>
        <w:tab/>
        <w:t>العنف القائم على نوع الجنس</w:t>
      </w:r>
    </w:p>
    <w:p w14:paraId="15BEE35E" w14:textId="7740C9CD" w:rsidR="00803069" w:rsidRPr="000D5B62" w:rsidRDefault="00803069" w:rsidP="00B157F1">
      <w:pPr>
        <w:pStyle w:val="SingleTxtGA"/>
        <w:rPr>
          <w:rtl/>
          <w:lang w:bidi="ar-EG"/>
        </w:rPr>
      </w:pPr>
      <w:r w:rsidRPr="000D5B62">
        <w:rPr>
          <w:rtl/>
          <w:lang w:bidi="ar-EG"/>
        </w:rPr>
        <w:t>1</w:t>
      </w:r>
      <w:r w:rsidRPr="000D5B62">
        <w:rPr>
          <w:rFonts w:hint="cs"/>
          <w:rtl/>
          <w:lang w:bidi="ar-EG"/>
        </w:rPr>
        <w:t>36</w:t>
      </w:r>
      <w:r w:rsidRPr="000D5B62">
        <w:rPr>
          <w:rtl/>
          <w:lang w:bidi="ar-EG"/>
        </w:rPr>
        <w:t>-</w:t>
      </w:r>
      <w:r w:rsidRPr="000D5B62">
        <w:rPr>
          <w:rtl/>
          <w:lang w:bidi="ar-EG"/>
        </w:rPr>
        <w:tab/>
        <w:t xml:space="preserve">في عام 2008، قامت الحكومة بالاشتراك مع جهاز القضاء بترويج مجموعة من المبادئ التوجيهية للاسترشاد بها في تناول قضايا العنف العائلي. </w:t>
      </w:r>
      <w:r w:rsidRPr="000D5B62">
        <w:rPr>
          <w:rFonts w:hint="cs"/>
          <w:rtl/>
          <w:lang w:bidi="ar-EG"/>
        </w:rPr>
        <w:t>وعُمِّمت</w:t>
      </w:r>
      <w:r w:rsidRPr="000D5B62">
        <w:rPr>
          <w:rtl/>
          <w:lang w:bidi="ar-EG"/>
        </w:rPr>
        <w:t xml:space="preserve"> تلك المبادئ التوجيهية على نطاق واسع. وفي عام 2009، اكتمل استعراض حالة تنفيذ قانون العنف العائلي لعام 1998</w:t>
      </w:r>
      <w:r w:rsidRPr="000D5B62">
        <w:rPr>
          <w:vertAlign w:val="superscript"/>
          <w:rtl/>
          <w:lang w:bidi="ar-EG"/>
        </w:rPr>
        <w:t>(</w:t>
      </w:r>
      <w:r w:rsidRPr="000D5B62">
        <w:rPr>
          <w:rStyle w:val="FootnoteReference"/>
          <w:szCs w:val="22"/>
          <w:rtl/>
        </w:rPr>
        <w:footnoteReference w:id="119"/>
      </w:r>
      <w:r w:rsidRPr="000D5B62">
        <w:rPr>
          <w:rStyle w:val="FootnoteReference"/>
          <w:szCs w:val="22"/>
          <w:rtl/>
        </w:rPr>
        <w:t>)</w:t>
      </w:r>
      <w:r w:rsidRPr="000D5B62">
        <w:rPr>
          <w:rtl/>
          <w:lang w:bidi="ar-EG"/>
        </w:rPr>
        <w:t xml:space="preserve">. وينشد من مشروع ندابزيثا </w:t>
      </w:r>
      <w:r w:rsidRPr="000D5B62">
        <w:t>Ndabezitha</w:t>
      </w:r>
      <w:r w:rsidRPr="000D5B62">
        <w:rPr>
          <w:rtl/>
          <w:lang w:bidi="ar-EG"/>
        </w:rPr>
        <w:t xml:space="preserve"> تدريب الزعماء التقليديين والمدعين وكتبة المحاكم على التعامل مع المسائل المتعلقة بالعنف العائلي في المناطق الريفية. ونظمت الحكومة أيضاً حملات توعية (استعين فيها بوسائط الإعلام والكتيبات والكراسات الإعلامية) بهدف تعريف الجماعات المحلية بالخدمات المتصلة بالعنف العائلي.</w:t>
      </w:r>
    </w:p>
    <w:p w14:paraId="57254EB6" w14:textId="62016FAB" w:rsidR="00803069" w:rsidRPr="000D5B62" w:rsidRDefault="00803069" w:rsidP="00B157F1">
      <w:pPr>
        <w:pStyle w:val="SingleTxtGA"/>
        <w:rPr>
          <w:spacing w:val="-4"/>
          <w:rtl/>
          <w:lang w:bidi="ar-EG"/>
        </w:rPr>
      </w:pPr>
      <w:r w:rsidRPr="000D5B62">
        <w:rPr>
          <w:spacing w:val="-2"/>
          <w:rtl/>
          <w:lang w:bidi="ar-EG"/>
        </w:rPr>
        <w:t>13</w:t>
      </w:r>
      <w:r w:rsidRPr="000D5B62">
        <w:rPr>
          <w:rFonts w:hint="cs"/>
          <w:spacing w:val="-2"/>
          <w:rtl/>
          <w:lang w:bidi="ar-EG"/>
        </w:rPr>
        <w:t>7</w:t>
      </w:r>
      <w:r w:rsidRPr="000D5B62">
        <w:rPr>
          <w:spacing w:val="-2"/>
          <w:rtl/>
          <w:lang w:bidi="ar-EG"/>
        </w:rPr>
        <w:t>-</w:t>
      </w:r>
      <w:r w:rsidRPr="000D5B62">
        <w:rPr>
          <w:spacing w:val="-2"/>
          <w:rtl/>
          <w:lang w:bidi="ar-EG"/>
        </w:rPr>
        <w:tab/>
      </w:r>
      <w:r w:rsidRPr="000D5B62">
        <w:rPr>
          <w:spacing w:val="-4"/>
          <w:rtl/>
          <w:lang w:bidi="ar-EG"/>
        </w:rPr>
        <w:t>ويلقى القانون المتعلق بالعنف العائلي لعام 1998</w:t>
      </w:r>
      <w:r w:rsidRPr="000D5B62">
        <w:rPr>
          <w:spacing w:val="-4"/>
          <w:vertAlign w:val="superscript"/>
          <w:rtl/>
          <w:lang w:bidi="ar-EG"/>
        </w:rPr>
        <w:t>(</w:t>
      </w:r>
      <w:r w:rsidRPr="000D5B62">
        <w:rPr>
          <w:rStyle w:val="FootnoteReference"/>
          <w:spacing w:val="-4"/>
          <w:szCs w:val="22"/>
          <w:rtl/>
        </w:rPr>
        <w:footnoteReference w:id="120"/>
      </w:r>
      <w:r w:rsidRPr="000D5B62">
        <w:rPr>
          <w:rStyle w:val="FootnoteReference"/>
          <w:spacing w:val="-4"/>
          <w:szCs w:val="22"/>
          <w:rtl/>
        </w:rPr>
        <w:t>)</w:t>
      </w:r>
      <w:r w:rsidRPr="000D5B62">
        <w:rPr>
          <w:spacing w:val="-4"/>
          <w:rtl/>
          <w:lang w:bidi="ar-EG"/>
        </w:rPr>
        <w:t xml:space="preserve"> تقديراً واسع النطاق لما له من خصائص بارزة يقصد منها توفير الرعاية والدعم للضحايا عند تعاملهم مع محاكمنا. فالمادة 11 من هذا القانون ت</w:t>
      </w:r>
      <w:r w:rsidRPr="000D5B62">
        <w:rPr>
          <w:rFonts w:hint="cs"/>
          <w:spacing w:val="-4"/>
          <w:rtl/>
          <w:lang w:bidi="ar-EG"/>
        </w:rPr>
        <w:t>جيز</w:t>
      </w:r>
      <w:r w:rsidRPr="000D5B62">
        <w:rPr>
          <w:spacing w:val="-4"/>
          <w:rtl/>
          <w:lang w:bidi="ar-EG"/>
        </w:rPr>
        <w:t xml:space="preserve"> متابعة إجراءات المحكمة من خلال الكاميرات. ويحق للضحية كذلك أن تصطحب معها إلى المحكمة ما لا يزيد عن ثلاثة أشخاص ليشدوا من أزرها ويخففوا من اضطرابها في أثناء الإدلاء بأقوالها. ويحظر القانون أيضاً قيام الشخص المسيء الذي لم يوكل محامياً للدفاع عنه باستجواب الضحية مباشرة وذلك لتجنيبها أي محاولة لترهيبها. وهو، باعتراف الجميع، أول قانون في العالم ي</w:t>
      </w:r>
      <w:r w:rsidRPr="000D5B62">
        <w:rPr>
          <w:rFonts w:hint="cs"/>
          <w:spacing w:val="-4"/>
          <w:rtl/>
          <w:lang w:bidi="ar-EG"/>
        </w:rPr>
        <w:t>صنّف</w:t>
      </w:r>
      <w:r w:rsidRPr="000D5B62">
        <w:rPr>
          <w:spacing w:val="-4"/>
          <w:rtl/>
          <w:lang w:bidi="ar-EG"/>
        </w:rPr>
        <w:t xml:space="preserve"> العلاقة بين شريكين </w:t>
      </w:r>
      <w:r w:rsidRPr="000D5B62">
        <w:rPr>
          <w:rFonts w:hint="cs"/>
          <w:spacing w:val="-4"/>
          <w:rtl/>
          <w:lang w:bidi="ar-EG"/>
        </w:rPr>
        <w:t>من نفس</w:t>
      </w:r>
      <w:r w:rsidRPr="000D5B62">
        <w:rPr>
          <w:spacing w:val="-4"/>
          <w:rtl/>
          <w:lang w:bidi="ar-EG"/>
        </w:rPr>
        <w:t xml:space="preserve"> الجنس في فئة العلاقات العائلية. وبموجب هذا القانون، يمكن أيضاً للأحداث التقدم بطلب استصدار أمر حماية (بمساعدة أو</w:t>
      </w:r>
      <w:r w:rsidR="00766266" w:rsidRPr="000D5B62">
        <w:rPr>
          <w:rFonts w:hint="cs"/>
          <w:spacing w:val="-4"/>
          <w:rtl/>
          <w:lang w:bidi="ar-EG"/>
        </w:rPr>
        <w:t> </w:t>
      </w:r>
      <w:r w:rsidRPr="000D5B62">
        <w:rPr>
          <w:spacing w:val="-4"/>
          <w:rtl/>
          <w:lang w:bidi="ar-EG"/>
        </w:rPr>
        <w:t>بدون مساعدة). وهو ي</w:t>
      </w:r>
      <w:r w:rsidRPr="000D5B62">
        <w:rPr>
          <w:rFonts w:hint="cs"/>
          <w:spacing w:val="-4"/>
          <w:rtl/>
          <w:lang w:bidi="ar-EG"/>
        </w:rPr>
        <w:t>ج</w:t>
      </w:r>
      <w:r w:rsidRPr="000D5B62">
        <w:rPr>
          <w:spacing w:val="-4"/>
          <w:rtl/>
          <w:lang w:bidi="ar-EG"/>
        </w:rPr>
        <w:t>ي</w:t>
      </w:r>
      <w:r w:rsidRPr="000D5B62">
        <w:rPr>
          <w:rFonts w:hint="cs"/>
          <w:spacing w:val="-4"/>
          <w:rtl/>
          <w:lang w:bidi="ar-EG"/>
        </w:rPr>
        <w:t>ز</w:t>
      </w:r>
      <w:r w:rsidRPr="000D5B62">
        <w:rPr>
          <w:spacing w:val="-4"/>
          <w:rtl/>
          <w:lang w:bidi="ar-EG"/>
        </w:rPr>
        <w:t xml:space="preserve"> كذلك للأشخاص المهتمين فعلياً بسلامة الضحية التقدم نيابة عن الضحية بموافقة خطية منها بطلب استصدار أمر حماية. وهكذا يمنح القانون المذكور المدرسين/ أساتذة الجامعات والعاملين في مجال الرعاية الصحية ومسؤولي الشرطة والأخصائيين الاجتماعيين وأرباب العمل وأفراد الأسرة</w:t>
      </w:r>
      <w:r w:rsidRPr="000D5B62">
        <w:rPr>
          <w:spacing w:val="-4"/>
          <w:rtl/>
        </w:rPr>
        <w:t>،</w:t>
      </w:r>
      <w:r w:rsidRPr="000D5B62">
        <w:rPr>
          <w:spacing w:val="-4"/>
          <w:rtl/>
          <w:lang w:bidi="ar-EG"/>
        </w:rPr>
        <w:t xml:space="preserve"> بل وحتى الجيران، الحق في التصدي للعنف العائلي. </w:t>
      </w:r>
    </w:p>
    <w:p w14:paraId="4D49737C" w14:textId="77777777" w:rsidR="00803069" w:rsidRPr="000D5B62" w:rsidRDefault="00803069" w:rsidP="00B157F1">
      <w:pPr>
        <w:pStyle w:val="SingleTxtGA"/>
        <w:rPr>
          <w:rtl/>
          <w:lang w:bidi="ar-EG"/>
        </w:rPr>
      </w:pPr>
      <w:r w:rsidRPr="000D5B62">
        <w:rPr>
          <w:rtl/>
          <w:lang w:bidi="ar-EG"/>
        </w:rPr>
        <w:t>13</w:t>
      </w:r>
      <w:r w:rsidRPr="000D5B62">
        <w:rPr>
          <w:rFonts w:hint="cs"/>
          <w:rtl/>
          <w:lang w:bidi="ar-EG"/>
        </w:rPr>
        <w:t>8</w:t>
      </w:r>
      <w:r w:rsidRPr="000D5B62">
        <w:rPr>
          <w:rtl/>
          <w:lang w:bidi="ar-EG"/>
        </w:rPr>
        <w:t>-</w:t>
      </w:r>
      <w:r w:rsidRPr="000D5B62">
        <w:rPr>
          <w:rtl/>
          <w:lang w:bidi="ar-EG"/>
        </w:rPr>
        <w:tab/>
        <w:t xml:space="preserve">ومن أهم عناصر حملتنا لمكافحة العنف الجنسي، مراكز رعاية ضحايا الاغتصاب، مراكز </w:t>
      </w:r>
      <w:r w:rsidRPr="000D5B62">
        <w:t>Thuthuzela</w:t>
      </w:r>
      <w:r w:rsidRPr="000D5B62">
        <w:rPr>
          <w:rtl/>
          <w:lang w:bidi="ar-EG"/>
        </w:rPr>
        <w:t xml:space="preserve">، التي تجسد نهجاً منسقاً نتبعه في التعامل مع الجرائم الجنسية بأسلوب ناجع. ويعد نموذج المراكز آنفة الذكر نهجاً متكاملاً لرعاية ضحايا الاغتصاب يهدف إلى التخفيف عن ضحايا العنف الجنسي ورد كرامتهم وكفالة العدالة لهم. وينبني نجاح تلك المراكز على التعاون بين الجهات المعنية بصورة فعلية وفعالة، لا سيما بين وزارات العدل والصحة والتنمية الاجتماعية ودائرة شرطة جنوب أفريقيا ومنظمات مختارة من منظمات المجتمع المدني. </w:t>
      </w:r>
      <w:r w:rsidRPr="000D5B62">
        <w:rPr>
          <w:rFonts w:hint="cs"/>
          <w:rtl/>
          <w:lang w:bidi="ar-EG"/>
        </w:rPr>
        <w:t>ويركز</w:t>
      </w:r>
      <w:r w:rsidRPr="000D5B62">
        <w:rPr>
          <w:rtl/>
          <w:lang w:bidi="ar-EG"/>
        </w:rPr>
        <w:t xml:space="preserve"> النموذج على اتباع نهج ينصف الضحايا وينحو إلى اللجوء إلى المحاكم في ظل تحقيقات تجريها النيابة وتعاون الجهات المعنية. ويُنشد في نهاية المطاف التقليل إلى أدنى حد من الإيذاء الثانوي وتقليص المدة التي يستغرقها الفصل في القضايا وزيادة معدلات الإدانة في تلك القضايا. وعند الإبلاغ عن جريمة، تنقل الضحية من بيئة، من قبيل بيئة مركز الشرطة، إلى بيئة أكثر رفقاً ب</w:t>
      </w:r>
      <w:r w:rsidRPr="000D5B62">
        <w:rPr>
          <w:rFonts w:hint="cs"/>
          <w:rtl/>
          <w:lang w:bidi="ar-EG"/>
        </w:rPr>
        <w:t>ها</w:t>
      </w:r>
      <w:r w:rsidRPr="000D5B62">
        <w:rPr>
          <w:rtl/>
          <w:lang w:bidi="ar-EG"/>
        </w:rPr>
        <w:t xml:space="preserve"> قبل أن تنقلها الشرطة أو الإسعاف إلى مركز الرعاية </w:t>
      </w:r>
      <w:r w:rsidRPr="000D5B62">
        <w:t>Thuthuzela</w:t>
      </w:r>
      <w:r w:rsidRPr="000D5B62">
        <w:rPr>
          <w:rtl/>
          <w:lang w:bidi="ar-EG"/>
        </w:rPr>
        <w:t xml:space="preserve"> في المستشفى. </w:t>
      </w:r>
      <w:r w:rsidRPr="000D5B62">
        <w:rPr>
          <w:rFonts w:hint="cs"/>
          <w:rtl/>
          <w:lang w:bidi="ar-EG"/>
        </w:rPr>
        <w:t>وتستفيد الضحية أيضاً من خدمات</w:t>
      </w:r>
      <w:r w:rsidRPr="000D5B62">
        <w:rPr>
          <w:rtl/>
          <w:lang w:bidi="ar-EG"/>
        </w:rPr>
        <w:t xml:space="preserve"> المشورة. وإن أُجري الفحص الطبي في غضون 72 ساعة من الواقعة، تُعطي الضحية العلاج الوقائي لفترة ما بعد التعرض للجريمة، ويأخذ ضابط التحقيق المناوب أقوالها</w:t>
      </w:r>
      <w:r w:rsidRPr="000D5B62">
        <w:rPr>
          <w:rFonts w:hint="cs"/>
          <w:rtl/>
          <w:lang w:bidi="ar-EG"/>
        </w:rPr>
        <w:t>.</w:t>
      </w:r>
      <w:r w:rsidRPr="000D5B62">
        <w:rPr>
          <w:rtl/>
          <w:lang w:bidi="ar-EG"/>
        </w:rPr>
        <w:t xml:space="preserve"> ويوجد حالياً 55 مركز رعاية </w:t>
      </w:r>
      <w:r w:rsidRPr="000D5B62">
        <w:t>Thuthuzela</w:t>
      </w:r>
      <w:r w:rsidRPr="000D5B62">
        <w:rPr>
          <w:rtl/>
          <w:lang w:bidi="ar-EG"/>
        </w:rPr>
        <w:t xml:space="preserve"> على نطاق البلد.</w:t>
      </w:r>
    </w:p>
    <w:p w14:paraId="15E02DF2" w14:textId="126AC059" w:rsidR="00803069" w:rsidRPr="000D5B62" w:rsidRDefault="00803069" w:rsidP="00B157F1">
      <w:pPr>
        <w:pStyle w:val="SingleTxtGA"/>
        <w:rPr>
          <w:rtl/>
          <w:lang w:bidi="ar-EG"/>
        </w:rPr>
      </w:pPr>
      <w:r w:rsidRPr="000D5B62">
        <w:rPr>
          <w:rtl/>
          <w:lang w:bidi="ar-EG"/>
        </w:rPr>
        <w:t>13</w:t>
      </w:r>
      <w:r w:rsidRPr="000D5B62">
        <w:rPr>
          <w:rFonts w:hint="cs"/>
          <w:rtl/>
          <w:lang w:bidi="ar-EG"/>
        </w:rPr>
        <w:t>9</w:t>
      </w:r>
      <w:r w:rsidRPr="000D5B62">
        <w:rPr>
          <w:rtl/>
          <w:lang w:bidi="ar-EG"/>
        </w:rPr>
        <w:t>-</w:t>
      </w:r>
      <w:r w:rsidRPr="000D5B62">
        <w:rPr>
          <w:rtl/>
          <w:lang w:bidi="ar-EG"/>
        </w:rPr>
        <w:tab/>
        <w:t xml:space="preserve">وأعادت الحكومة أيضاً المحاكم المختصة بالجرائم الجنسية. وتسعى تلك المحاكم إلى تعزيز نظام العدالة المتمحور حول الضحايا، حيث إنها توفر لضحايا الجرائم الجنسية سلة من خدمات الدعم، من بينها خدمات إعلامية يسهل الاستفادة منها وخدمات تحضير المستندات اللازمة للمحكمة وخدمات احتواء الانفعالات قبل المحاكمة وبعد المحاكمة وخدمات الإدلاء بالشهادة في جلسات خاصة وخدمات الوساطة والخدمات المتصلة بأتعاب الشهود. وفي 31 آذار/مارس 2018، شكلت، في المناطق التي يرتفع فيها معدل الجرائم الجنسية، 74 محكمة مختصة بالفصل في تلك الجرائم. ونشرت مؤخراً اللوائح المنظمة لإنشاء وإدارة المحاكم المختصة بالفصل في الجرائم الجنسية ليبدي الجمهور تعليقاته عليها، وهي الآن في المراحل النهائية من بلورتها. </w:t>
      </w:r>
      <w:r w:rsidRPr="000D5B62">
        <w:rPr>
          <w:rFonts w:hint="cs"/>
          <w:rtl/>
          <w:lang w:bidi="ar-EG"/>
        </w:rPr>
        <w:t>وقد وُ</w:t>
      </w:r>
      <w:r w:rsidRPr="000D5B62">
        <w:rPr>
          <w:rtl/>
          <w:lang w:bidi="ar-EG"/>
        </w:rPr>
        <w:t xml:space="preserve">ضعت تلك اللوائح </w:t>
      </w:r>
      <w:r w:rsidRPr="000D5B62">
        <w:rPr>
          <w:rFonts w:hint="cs"/>
          <w:rtl/>
          <w:lang w:bidi="ar-EG"/>
        </w:rPr>
        <w:t>لأغراض منها</w:t>
      </w:r>
      <w:r w:rsidRPr="000D5B62">
        <w:rPr>
          <w:rtl/>
          <w:lang w:bidi="ar-EG"/>
        </w:rPr>
        <w:t xml:space="preserve"> الاسترشاد بها في عملية تقديم الجهات المعنية </w:t>
      </w:r>
      <w:r w:rsidRPr="000D5B62">
        <w:rPr>
          <w:rtl/>
        </w:rPr>
        <w:t xml:space="preserve">المختلفة </w:t>
      </w:r>
      <w:r w:rsidRPr="000D5B62">
        <w:rPr>
          <w:rtl/>
          <w:lang w:bidi="ar-EG"/>
        </w:rPr>
        <w:t>المشاركة في تشغيل تلك المحاكم إسهاماتها في الموارد المشتركة وإدارتها.</w:t>
      </w:r>
    </w:p>
    <w:p w14:paraId="544F64D8" w14:textId="004B5E51" w:rsidR="00803069" w:rsidRPr="000D5B62" w:rsidRDefault="00803069" w:rsidP="00B157F1">
      <w:pPr>
        <w:pStyle w:val="SingleTxtGA"/>
        <w:rPr>
          <w:rtl/>
          <w:lang w:bidi="ar-EG"/>
        </w:rPr>
      </w:pPr>
      <w:r w:rsidRPr="000D5B62">
        <w:rPr>
          <w:rFonts w:hint="cs"/>
          <w:rtl/>
          <w:lang w:bidi="ar-EG"/>
        </w:rPr>
        <w:t>140</w:t>
      </w:r>
      <w:r w:rsidRPr="000D5B62">
        <w:rPr>
          <w:rtl/>
          <w:lang w:bidi="ar-EG"/>
        </w:rPr>
        <w:t>-</w:t>
      </w:r>
      <w:r w:rsidRPr="000D5B62">
        <w:rPr>
          <w:rtl/>
          <w:lang w:bidi="ar-EG"/>
        </w:rPr>
        <w:tab/>
        <w:t>وفي عام 2014، أصدر رئيس الجمهورية السابق للوزيرة المسؤولة في رئاسة الجمهورية عن شؤون المرأة أمراً توجيهياً بتمديد فترة حملة ا</w:t>
      </w:r>
      <w:r w:rsidR="00E0049B" w:rsidRPr="000D5B62">
        <w:rPr>
          <w:rFonts w:ascii="Simplified Arabic" w:hAnsi="Simplified Arabic" w:hint="cs"/>
          <w:rtl/>
          <w:lang w:bidi="ar-EG"/>
        </w:rPr>
        <w:t>ﻠ</w:t>
      </w:r>
      <w:r w:rsidRPr="000D5B62">
        <w:rPr>
          <w:rtl/>
          <w:lang w:bidi="ar-EG"/>
        </w:rPr>
        <w:t xml:space="preserve"> 16 يوماً لتصبح حملة مدتها 365 يوماً لأغراض التوعية </w:t>
      </w:r>
      <w:r w:rsidRPr="000D5B62">
        <w:rPr>
          <w:spacing w:val="-2"/>
          <w:rtl/>
          <w:lang w:bidi="ar-EG"/>
        </w:rPr>
        <w:t>واستنهاض الهمم لدى الأفراد ليشاركوا في مكافحة العنف على امتداد العام ويتحملوا مسؤوليتهم الجماعية في هذا الصدد من خلال حملة 365 يوماً للقضاء على العنف ضد النساء والأطفال وحملة أنا معكم.</w:t>
      </w:r>
      <w:r w:rsidRPr="000D5B62">
        <w:rPr>
          <w:rtl/>
          <w:lang w:bidi="ar-EG"/>
        </w:rPr>
        <w:t xml:space="preserve"> وسعياً إلى القضاء على العنف ضد النساء والأطفال، استهلت الحكومة حوارات وطنية في جميع أنحاء البلد بشأن العنف ضد النساء والأطفال، تحدثت فيها إلى النساء والرجال من كل الأطياف، بما شمل الشباب والأطفال. وأنشأت الحكومة أيضاً لجنة مشتركة بين الوزارات معنية بالعنف ضد المرأة للتحقيق في الأسباب الجذرية للعنف ضد المرأة ووضع خطط وطنية لمنع العنف ضد المرأة والتصدي له على نحو منسق. ونُفذت مبادرات شتى، من بينها إنشاء مركز للسيطرة على أعمال العنف القائم على نوع الجنس الذي يعمل على مدار ا</w:t>
      </w:r>
      <w:r w:rsidR="00E0049B" w:rsidRPr="000D5B62">
        <w:rPr>
          <w:rFonts w:ascii="Simplified Arabic" w:hAnsi="Simplified Arabic" w:hint="cs"/>
          <w:rtl/>
          <w:lang w:bidi="ar-EG"/>
        </w:rPr>
        <w:t>ﻠ</w:t>
      </w:r>
      <w:r w:rsidRPr="000D5B62">
        <w:rPr>
          <w:rtl/>
          <w:lang w:bidi="ar-EG"/>
        </w:rPr>
        <w:t xml:space="preserve"> 24 ساعة والمكرس لتوفير الدعم والمشورة لضحايا العنف القائم على نوع الجنس. وفاز المركز بلقب أفضل ابتكار تكنولوجي – </w:t>
      </w:r>
      <w:r w:rsidRPr="000D5B62">
        <w:rPr>
          <w:rFonts w:hint="cs"/>
          <w:rtl/>
          <w:lang w:bidi="ar-EG"/>
        </w:rPr>
        <w:t>في صنف ال</w:t>
      </w:r>
      <w:r w:rsidRPr="000D5B62">
        <w:rPr>
          <w:rtl/>
          <w:lang w:bidi="ar-EG"/>
        </w:rPr>
        <w:t>مر</w:t>
      </w:r>
      <w:r w:rsidRPr="000D5B62">
        <w:rPr>
          <w:rFonts w:hint="cs"/>
          <w:rtl/>
          <w:lang w:bidi="ar-EG"/>
        </w:rPr>
        <w:t>ا</w:t>
      </w:r>
      <w:r w:rsidRPr="000D5B62">
        <w:rPr>
          <w:rtl/>
          <w:lang w:bidi="ar-EG"/>
        </w:rPr>
        <w:t xml:space="preserve">كز </w:t>
      </w:r>
      <w:r w:rsidRPr="000D5B62">
        <w:rPr>
          <w:rFonts w:hint="cs"/>
          <w:rtl/>
          <w:lang w:bidi="ar-EG"/>
        </w:rPr>
        <w:t>ال</w:t>
      </w:r>
      <w:r w:rsidRPr="000D5B62">
        <w:rPr>
          <w:rtl/>
          <w:lang w:bidi="ar-EG"/>
        </w:rPr>
        <w:t>صغير</w:t>
      </w:r>
      <w:r w:rsidRPr="000D5B62">
        <w:rPr>
          <w:rFonts w:hint="cs"/>
          <w:rtl/>
          <w:lang w:bidi="ar-EG"/>
        </w:rPr>
        <w:t>ة</w:t>
      </w:r>
      <w:r w:rsidRPr="000D5B62">
        <w:rPr>
          <w:rtl/>
          <w:lang w:bidi="ar-EG"/>
        </w:rPr>
        <w:t xml:space="preserve"> </w:t>
      </w:r>
      <w:r w:rsidRPr="000D5B62">
        <w:rPr>
          <w:rFonts w:hint="cs"/>
          <w:rtl/>
          <w:lang w:bidi="ar-EG"/>
        </w:rPr>
        <w:t>خلال دورة عام 2015</w:t>
      </w:r>
      <w:r w:rsidRPr="000D5B62">
        <w:rPr>
          <w:rtl/>
          <w:lang w:bidi="ar-EG"/>
        </w:rPr>
        <w:t xml:space="preserve"> </w:t>
      </w:r>
      <w:r w:rsidRPr="000D5B62">
        <w:rPr>
          <w:rFonts w:hint="cs"/>
          <w:rtl/>
          <w:lang w:bidi="ar-EG"/>
        </w:rPr>
        <w:t xml:space="preserve">للجائزة </w:t>
      </w:r>
      <w:r w:rsidRPr="000D5B62">
        <w:rPr>
          <w:rtl/>
          <w:lang w:bidi="ar-EG"/>
        </w:rPr>
        <w:t>العالمية لأفضل مراكز الاتصال.</w:t>
      </w:r>
    </w:p>
    <w:p w14:paraId="04DC9AB3" w14:textId="77777777" w:rsidR="00803069" w:rsidRPr="000D5B62" w:rsidRDefault="00803069" w:rsidP="00B157F1">
      <w:pPr>
        <w:pStyle w:val="SingleTxtGA"/>
        <w:rPr>
          <w:rtl/>
          <w:lang w:bidi="ar-EG"/>
        </w:rPr>
      </w:pPr>
      <w:r w:rsidRPr="000D5B62">
        <w:rPr>
          <w:rtl/>
          <w:lang w:bidi="ar-EG"/>
        </w:rPr>
        <w:t>14</w:t>
      </w:r>
      <w:r w:rsidRPr="000D5B62">
        <w:rPr>
          <w:rFonts w:hint="cs"/>
          <w:rtl/>
          <w:lang w:bidi="ar-EG"/>
        </w:rPr>
        <w:t>1</w:t>
      </w:r>
      <w:r w:rsidRPr="000D5B62">
        <w:rPr>
          <w:rtl/>
          <w:lang w:bidi="ar-EG"/>
        </w:rPr>
        <w:t>-</w:t>
      </w:r>
      <w:r w:rsidRPr="000D5B62">
        <w:rPr>
          <w:rtl/>
          <w:lang w:bidi="ar-EG"/>
        </w:rPr>
        <w:tab/>
        <w:t xml:space="preserve">وأقيم عدد من الحوارات الوزارية المناهضة للعنف الجنسي والعنف القائم على نوع الجنس خلال السنتين الماليتين 2016/2017 و2017/2018 في غاوتنغ وكوازولو - ناتال ومبومالانغا والكيب الغربية، في إطار توعية الرأي العام والتواصل مع الضحايا في جهد يُبتغى منه فهم احتياجاتهم. وبدأت في الوقت الراهن حوارات الرجال حول مكافحة قتل الرجال للإناث اللاتي تربطهم بهن علاقات حميمة وذلك في مواكبة لوضع استراتيجية مناهضة لقتل الإناث في جنوب أفريقيا. </w:t>
      </w:r>
    </w:p>
    <w:p w14:paraId="1E276B8B" w14:textId="77777777" w:rsidR="00803069" w:rsidRPr="000D5B62" w:rsidRDefault="00803069" w:rsidP="00B157F1">
      <w:pPr>
        <w:pStyle w:val="SingleTxtGA"/>
        <w:rPr>
          <w:spacing w:val="-4"/>
          <w:rtl/>
          <w:lang w:bidi="ar-EG"/>
        </w:rPr>
      </w:pPr>
      <w:r w:rsidRPr="000D5B62">
        <w:rPr>
          <w:spacing w:val="-4"/>
          <w:rtl/>
          <w:lang w:bidi="ar-EG"/>
        </w:rPr>
        <w:t>14</w:t>
      </w:r>
      <w:r w:rsidRPr="000D5B62">
        <w:rPr>
          <w:rFonts w:hint="cs"/>
          <w:spacing w:val="-4"/>
          <w:rtl/>
          <w:lang w:bidi="ar-EG"/>
        </w:rPr>
        <w:t>2</w:t>
      </w:r>
      <w:r w:rsidRPr="000D5B62">
        <w:rPr>
          <w:spacing w:val="-4"/>
          <w:rtl/>
          <w:lang w:bidi="ar-EG"/>
        </w:rPr>
        <w:t>-</w:t>
      </w:r>
      <w:r w:rsidRPr="000D5B62">
        <w:rPr>
          <w:spacing w:val="-4"/>
          <w:rtl/>
          <w:lang w:bidi="ar-EG"/>
        </w:rPr>
        <w:tab/>
        <w:t xml:space="preserve">وفي أيار/مايو 2017، استهلت وزارة العدل وتطوير النظام الدستوري مشروع إنشاء مرصد لجرائم قتل الإناث في ظل الشراكة مع مؤسسة تشوارانانغ </w:t>
      </w:r>
      <w:r w:rsidRPr="000D5B62">
        <w:rPr>
          <w:spacing w:val="-4"/>
        </w:rPr>
        <w:t>Tshwaranang</w:t>
      </w:r>
      <w:r w:rsidRPr="000D5B62">
        <w:rPr>
          <w:spacing w:val="-4"/>
          <w:rtl/>
          <w:lang w:bidi="ar-EG"/>
        </w:rPr>
        <w:t xml:space="preserve"> وغيرها من الجهات الحكومية المعنية. وحددت في إطار المشروع مسارات عمل مختلفة تشمل البحوث وتحديد الهوية وجمع مصادر البيانات والتحقق من البيانات والتواصل مع عموم الناس وما إلى ذلك. ولقد أنشئ مرصد جرائم قتل الإناث في البلد استجابة لتقرير قامت</w:t>
      </w:r>
      <w:r w:rsidRPr="000D5B62">
        <w:rPr>
          <w:rFonts w:hint="cs"/>
          <w:spacing w:val="-4"/>
          <w:rtl/>
          <w:lang w:bidi="ar-EG"/>
        </w:rPr>
        <w:t xml:space="preserve"> بتجميعه</w:t>
      </w:r>
      <w:r w:rsidRPr="000D5B62">
        <w:rPr>
          <w:spacing w:val="-4"/>
          <w:rtl/>
          <w:lang w:bidi="ar-EG"/>
        </w:rPr>
        <w:t xml:space="preserve"> مقررة الأمم المتحدة الخاصة المعنية بمسألة العنف ضد المرأة وأسبابه وعواقبه </w:t>
      </w:r>
      <w:r w:rsidRPr="000D5B62">
        <w:rPr>
          <w:rFonts w:hint="cs"/>
          <w:spacing w:val="-4"/>
          <w:rtl/>
          <w:lang w:bidi="ar-EG"/>
        </w:rPr>
        <w:t>في أعقاب</w:t>
      </w:r>
      <w:r w:rsidRPr="000D5B62">
        <w:rPr>
          <w:spacing w:val="-4"/>
          <w:rtl/>
          <w:lang w:bidi="ar-EG"/>
        </w:rPr>
        <w:t xml:space="preserve"> زيارتها لجنوب أفريقيا في كانون الأول/ديسمبر 2015. ولقد أشارت المقررة الخاصة في تقريرها لعام 2016 إلى حالات قتل الإناث وانتقدت البلد لضعف استجابته في مواجهة هذه الحالات. وتطرقت إلى ضعف نظام جمع البيانات عن تلك الحالات باعتباره أمراً مثيراً للقلق وأوصت جنوب أفريقيا بإنشاء مرصد لجرائم قتل الإناث. وتجدر ملاحظة أن المقررة الخاصة لم توجه هذا الطلب إلى جنوب أفريقيا فقط، حيث إنها ذكرت، في تقريرها إلى الجمعية العامة المؤرخ 25 تشرين الثاني/نوفمبر 2015 (</w:t>
      </w:r>
      <w:r w:rsidRPr="000D5B62">
        <w:rPr>
          <w:spacing w:val="-4"/>
          <w:lang w:bidi="ar-EG"/>
        </w:rPr>
        <w:t>A/71/398</w:t>
      </w:r>
      <w:r w:rsidRPr="000D5B62">
        <w:rPr>
          <w:spacing w:val="-4"/>
          <w:rtl/>
          <w:lang w:bidi="ar-EG"/>
        </w:rPr>
        <w:t>)، أن جمع وتحليل البيانات المتعلقة بقتل الإناث يشكل، في رأيها، تحدياً عالمياً وطلبت إلى جميع الدول الأطراف أن تنشئ في كل منها مرصداً لجرائم قتل الإناث من أجل سد هذه الثغرة.</w:t>
      </w:r>
    </w:p>
    <w:p w14:paraId="695574E8" w14:textId="77777777" w:rsidR="00803069" w:rsidRPr="000D5B62" w:rsidRDefault="00803069" w:rsidP="00B157F1">
      <w:pPr>
        <w:pStyle w:val="H23GA"/>
        <w:rPr>
          <w:rtl/>
          <w:lang w:bidi="ar-EG"/>
        </w:rPr>
      </w:pPr>
      <w:r w:rsidRPr="000D5B62">
        <w:rPr>
          <w:rtl/>
          <w:lang w:bidi="ar-EG"/>
        </w:rPr>
        <w:tab/>
      </w:r>
      <w:r w:rsidRPr="000D5B62">
        <w:rPr>
          <w:rtl/>
          <w:lang w:bidi="ar-EG"/>
        </w:rPr>
        <w:tab/>
        <w:t>حقوق المثليات والمثليين ومزدوجي الميل الجنسي ومغايري الهوية الجنسانية وحاملي صفات الجنسين</w:t>
      </w:r>
    </w:p>
    <w:p w14:paraId="0E72D814" w14:textId="77777777" w:rsidR="00803069" w:rsidRPr="000D5B62" w:rsidRDefault="00803069" w:rsidP="00B157F1">
      <w:pPr>
        <w:pStyle w:val="SingleTxtGA"/>
        <w:rPr>
          <w:spacing w:val="-2"/>
          <w:rtl/>
          <w:lang w:bidi="ar-EG"/>
        </w:rPr>
      </w:pPr>
      <w:r w:rsidRPr="000D5B62">
        <w:rPr>
          <w:spacing w:val="-2"/>
          <w:rtl/>
          <w:lang w:bidi="ar-EG"/>
        </w:rPr>
        <w:t>14</w:t>
      </w:r>
      <w:r w:rsidRPr="000D5B62">
        <w:rPr>
          <w:rFonts w:hint="cs"/>
          <w:spacing w:val="-2"/>
          <w:rtl/>
          <w:lang w:bidi="ar-EG"/>
        </w:rPr>
        <w:t>3</w:t>
      </w:r>
      <w:r w:rsidRPr="000D5B62">
        <w:rPr>
          <w:spacing w:val="-2"/>
          <w:rtl/>
          <w:lang w:bidi="ar-EG"/>
        </w:rPr>
        <w:t>-</w:t>
      </w:r>
      <w:r w:rsidRPr="000D5B62">
        <w:rPr>
          <w:spacing w:val="-2"/>
          <w:rtl/>
          <w:lang w:bidi="ar-EG"/>
        </w:rPr>
        <w:tab/>
        <w:t>لدى تقديم جنوب أفريقيا في عام 2012 تقريرها الوطني إلى آلية الاستعراض الدوري الشامل التابعة لمجلس حقوق الإنسان التابع للأمم المتحدة، أثنت الدول الأعضاء في الأمم المتحدة عليها لالتزامها بحقوق الإنسان وبتحسين أحوال مواطنيها المعيشية وتوفير الخدمات الأساسية، من قبيل خدمات الإسكان والخدمات الصحية والتعليمية ولدورها الريادي الذي تؤديه في مجلس حقوق الإنسان التابع للأمم المتحدة، ولا سيما فيما يتعلق بحقوق المثليات والمثليين ومزدوجي الميل الجنسي ومغايري الهوية الجنسانية وحاملي صفات الجنسين. وحثت جنوب أفريقيا أيضاً على اتخاذ تدابير عاجلة للتصدي للعنف ضد هؤلاء الأشخاص.</w:t>
      </w:r>
    </w:p>
    <w:p w14:paraId="66D82B0A" w14:textId="77777777" w:rsidR="00803069" w:rsidRPr="000D5B62" w:rsidRDefault="00803069" w:rsidP="00B157F1">
      <w:pPr>
        <w:pStyle w:val="SingleTxtGA"/>
        <w:rPr>
          <w:rtl/>
          <w:lang w:bidi="ar-EG"/>
        </w:rPr>
      </w:pPr>
      <w:r w:rsidRPr="000D5B62">
        <w:rPr>
          <w:rtl/>
          <w:lang w:bidi="ar-EG"/>
        </w:rPr>
        <w:t>14</w:t>
      </w:r>
      <w:r w:rsidRPr="000D5B62">
        <w:rPr>
          <w:rFonts w:hint="cs"/>
          <w:rtl/>
          <w:lang w:bidi="ar-EG"/>
        </w:rPr>
        <w:t>4</w:t>
      </w:r>
      <w:r w:rsidRPr="000D5B62">
        <w:rPr>
          <w:rtl/>
          <w:lang w:bidi="ar-EG"/>
        </w:rPr>
        <w:t>-</w:t>
      </w:r>
      <w:r w:rsidRPr="000D5B62">
        <w:rPr>
          <w:rtl/>
          <w:lang w:bidi="ar-EG"/>
        </w:rPr>
        <w:tab/>
        <w:t>ويُذكر أنه، في عام 2011، أنشئت فرقة عمل وطنية بغرض مكافحة التمييز المستمر على أساس الميل الجنسي أو الهوية الجنسانية ضد أفراد مجتمع المثليات والمثليين ومزدوجي الميل الجنسي ومغايري الهوية الجنسانية وحاملي صفات الجنسين. واستهلت وزارة العدل وتطوير النظام الدستوري البرنامج الوطني الخاص بالمثليات والمثليين ومزدوجي الميل الجنسي ومغايري الهوية الجنسانية وحاملي صفات الجنسين الذي يجسد التزام الحكومة في هذا الصدد وحددت الإطار المرجعي للاستراتيجية الوطنية للتدخل تصدياً للعنف القائم على نوع الجنس والميل الجنسي وحددت اختصاصات فريق التدخل السريع لكفالة سرعة الفصل في القضايا في نظام العدالة الجنائية. وتعد فرقة العمل الوطنية خير مثال على النجاح الباهر الذي كللت به إحدى الشراكات بين الحكومة والمجتمع المدني</w:t>
      </w:r>
      <w:r w:rsidRPr="000D5B62">
        <w:rPr>
          <w:rFonts w:hint="cs"/>
          <w:rtl/>
          <w:lang w:bidi="ar-EG"/>
        </w:rPr>
        <w:t>،</w:t>
      </w:r>
      <w:r w:rsidRPr="000D5B62">
        <w:rPr>
          <w:rtl/>
          <w:lang w:bidi="ar-EG"/>
        </w:rPr>
        <w:t xml:space="preserve"> ولقد </w:t>
      </w:r>
      <w:r w:rsidRPr="000D5B62">
        <w:rPr>
          <w:rFonts w:hint="cs"/>
          <w:rtl/>
          <w:lang w:bidi="ar-EG"/>
        </w:rPr>
        <w:t>وُ</w:t>
      </w:r>
      <w:r w:rsidRPr="000D5B62">
        <w:rPr>
          <w:rtl/>
          <w:lang w:bidi="ar-EG"/>
        </w:rPr>
        <w:t>صفت في تقرير مفوضية الأمم المتحدة</w:t>
      </w:r>
      <w:r w:rsidRPr="000D5B62">
        <w:rPr>
          <w:rFonts w:hint="cs"/>
          <w:rtl/>
          <w:lang w:bidi="ar-EG"/>
        </w:rPr>
        <w:t xml:space="preserve"> السامية</w:t>
      </w:r>
      <w:r w:rsidRPr="000D5B62">
        <w:rPr>
          <w:rtl/>
          <w:lang w:bidi="ar-EG"/>
        </w:rPr>
        <w:t xml:space="preserve"> لحقوق الإنسان لعام 2016 بأنها نموذج لأفضل الممارسات ولدراسة إفرادية دولية لحالة تعاون بين الحكومة والمجتمع المدني.</w:t>
      </w:r>
    </w:p>
    <w:p w14:paraId="0DF80C2E" w14:textId="6FE8E4A2" w:rsidR="00803069" w:rsidRPr="000D5B62" w:rsidRDefault="00803069" w:rsidP="00B157F1">
      <w:pPr>
        <w:pStyle w:val="SingleTxtGA"/>
        <w:rPr>
          <w:spacing w:val="-4"/>
          <w:rtl/>
          <w:lang w:bidi="ar-EG"/>
        </w:rPr>
      </w:pPr>
      <w:r w:rsidRPr="000D5B62">
        <w:rPr>
          <w:spacing w:val="-4"/>
          <w:rtl/>
          <w:lang w:bidi="ar-EG"/>
        </w:rPr>
        <w:t>14</w:t>
      </w:r>
      <w:r w:rsidRPr="000D5B62">
        <w:rPr>
          <w:rFonts w:hint="cs"/>
          <w:spacing w:val="-4"/>
          <w:rtl/>
          <w:lang w:bidi="ar-EG"/>
        </w:rPr>
        <w:t>5</w:t>
      </w:r>
      <w:r w:rsidRPr="000D5B62">
        <w:rPr>
          <w:spacing w:val="-4"/>
          <w:rtl/>
          <w:lang w:bidi="ar-EG"/>
        </w:rPr>
        <w:t>-</w:t>
      </w:r>
      <w:r w:rsidRPr="000D5B62">
        <w:rPr>
          <w:spacing w:val="-4"/>
          <w:rtl/>
          <w:lang w:bidi="ar-EG"/>
        </w:rPr>
        <w:tab/>
        <w:t>وتواصل فرقة العمل الوطنية جهودها في مجال مكافحة التمييز المستمر على أساس نوع الجنس والميل الجنسي ضد أفراد مجتمع المثليات والمثليين ومزدوجي الميل الجنسي ومغايري الهوية الجنسانية وحاملي صفات الجنسين. والواقع أن وضع استراتيجية وطنية للتدخل وإنشاء فريق للاستجابة السريعة على الصعيد الوطني يجتمع على أساس فصلي لمناقشة التقدم المحرز بشأن القضايا التي لم يبت فيها وإنشاء فرقة عمل وفرق استجابة سريعة على صعيد المقاطعات تقودها مكاتب وزارة العدل وتطوير النظام الدستوري في المقاطعات ما هي إلا بعض من الإنجازات المحرزة في هذا المضمار. وإضافة إلى الأنشطة التي تضطلع بها فرقة العمل الوطنية، تتعاون الحكومة أيضاً مع المجتمع المدني بشأن حقوق الأشخاص حاملي صفات الجنسين</w:t>
      </w:r>
      <w:r w:rsidRPr="000D5B62">
        <w:rPr>
          <w:spacing w:val="-4"/>
          <w:vertAlign w:val="superscript"/>
          <w:rtl/>
          <w:lang w:bidi="ar-EG"/>
        </w:rPr>
        <w:t>(</w:t>
      </w:r>
      <w:r w:rsidRPr="000D5B62">
        <w:rPr>
          <w:rStyle w:val="FootnoteReference"/>
          <w:spacing w:val="-4"/>
          <w:szCs w:val="22"/>
          <w:rtl/>
        </w:rPr>
        <w:footnoteReference w:id="121"/>
      </w:r>
      <w:r w:rsidRPr="000D5B62">
        <w:rPr>
          <w:rStyle w:val="FootnoteReference"/>
          <w:spacing w:val="-4"/>
          <w:szCs w:val="22"/>
          <w:rtl/>
        </w:rPr>
        <w:t>)</w:t>
      </w:r>
      <w:r w:rsidRPr="000D5B62">
        <w:rPr>
          <w:spacing w:val="-4"/>
          <w:rtl/>
          <w:lang w:bidi="ar-EG"/>
        </w:rPr>
        <w:t>.</w:t>
      </w:r>
    </w:p>
    <w:p w14:paraId="7FF8099D" w14:textId="77777777" w:rsidR="00803069" w:rsidRPr="000D5B62" w:rsidRDefault="00803069" w:rsidP="00B157F1">
      <w:pPr>
        <w:pStyle w:val="H1GA"/>
        <w:rPr>
          <w:rtl/>
          <w:lang w:bidi="ar-EG"/>
        </w:rPr>
      </w:pPr>
      <w:r w:rsidRPr="000D5B62">
        <w:rPr>
          <w:rtl/>
          <w:lang w:bidi="ar-EG"/>
        </w:rPr>
        <w:tab/>
      </w:r>
      <w:bookmarkStart w:id="1" w:name="_Toc37324065"/>
      <w:r w:rsidRPr="000D5B62">
        <w:rPr>
          <w:rtl/>
          <w:lang w:bidi="ar-EG"/>
        </w:rPr>
        <w:t>دال-</w:t>
      </w:r>
      <w:r w:rsidRPr="000D5B62">
        <w:rPr>
          <w:rtl/>
          <w:lang w:bidi="ar-EG"/>
        </w:rPr>
        <w:tab/>
        <w:t>الإبلاغ على الصعيد الوطني</w:t>
      </w:r>
      <w:bookmarkEnd w:id="1"/>
    </w:p>
    <w:p w14:paraId="6995C21F" w14:textId="77777777" w:rsidR="00803069" w:rsidRPr="000D5B62" w:rsidRDefault="00803069" w:rsidP="00B157F1">
      <w:pPr>
        <w:pStyle w:val="SingleTxtGA"/>
        <w:rPr>
          <w:rtl/>
          <w:lang w:bidi="ar-EG"/>
        </w:rPr>
      </w:pPr>
      <w:r w:rsidRPr="000D5B62">
        <w:rPr>
          <w:rtl/>
          <w:lang w:bidi="ar-EG"/>
        </w:rPr>
        <w:t>14</w:t>
      </w:r>
      <w:r w:rsidRPr="000D5B62">
        <w:rPr>
          <w:rFonts w:hint="cs"/>
          <w:rtl/>
          <w:lang w:bidi="ar-EG"/>
        </w:rPr>
        <w:t>6</w:t>
      </w:r>
      <w:r w:rsidRPr="000D5B62">
        <w:rPr>
          <w:rtl/>
          <w:lang w:bidi="ar-EG"/>
        </w:rPr>
        <w:t>-</w:t>
      </w:r>
      <w:r w:rsidRPr="000D5B62">
        <w:rPr>
          <w:rtl/>
          <w:lang w:bidi="ar-EG"/>
        </w:rPr>
        <w:tab/>
        <w:t xml:space="preserve">من المفروض أن تسهم إجراءات الإبلاغ على الصعيد الوطني في تشجيع المشاركة الشعبية في الحياة السياسية وأن تتيح لعموم الناس التدقيق في السياسات الحكومية. ومن المهم في هذه العملية برمتها التعاون مع المجتمع المدني من أجل وضع منهاج للارتباط البناء في سياق عملنا جنباً إلى جنب من أجل بلوغ هدفنا المشترك المتمثل في كفالة تمتع من يعيشون داخل حدودنا بجميع الحقوق. </w:t>
      </w:r>
    </w:p>
    <w:p w14:paraId="3145034B" w14:textId="77777777" w:rsidR="00803069" w:rsidRPr="000D5B62" w:rsidRDefault="00803069" w:rsidP="00AB5D9F">
      <w:pPr>
        <w:pStyle w:val="SingleTxtGA"/>
        <w:spacing w:line="340" w:lineRule="exact"/>
        <w:rPr>
          <w:rtl/>
          <w:lang w:bidi="ar-EG"/>
        </w:rPr>
      </w:pPr>
      <w:r w:rsidRPr="000D5B62">
        <w:rPr>
          <w:rtl/>
          <w:lang w:bidi="ar-EG"/>
        </w:rPr>
        <w:t>14</w:t>
      </w:r>
      <w:r w:rsidRPr="000D5B62">
        <w:rPr>
          <w:rFonts w:hint="cs"/>
          <w:rtl/>
          <w:lang w:bidi="ar-EG"/>
        </w:rPr>
        <w:t>7</w:t>
      </w:r>
      <w:r w:rsidRPr="000D5B62">
        <w:rPr>
          <w:rtl/>
          <w:lang w:bidi="ar-EG"/>
        </w:rPr>
        <w:t>-</w:t>
      </w:r>
      <w:r w:rsidRPr="000D5B62">
        <w:rPr>
          <w:rtl/>
          <w:lang w:bidi="ar-EG"/>
        </w:rPr>
        <w:tab/>
        <w:t>وتوجد تسع معاهدات أساسية من معاهدات الأمم المتحدة المتعلقة بحقوق الإنسان. فإن كانت أي دولة من الدول الأعضاء طرفاً في الاتفاقيات التسع وبروتوكولاتها الاختيارية، يتوجب عليها أن تقدم ما يربو على 22 تقريراً قطرياً خلال فترة تمتد 10 سنوات، وهذا بخلاف الالتزامات الأخرى المتعلقة بالإبلاغ في إطار اتفاقيات منظمة العمل الدولية ومنظمة الأمم المتحدة للتربية والعلم والثقافة إلى آخره. وعبء الإبلاغ عبء جسيم حتى أن الدول التي تتوافر لديها القدرة التقنية تنوء به بصرف النظر عن الالتزام الذي قد يتعين على الدولة الوفاء به في سبيل إعمال حقوق الإنسان.</w:t>
      </w:r>
    </w:p>
    <w:p w14:paraId="3F9C1A87" w14:textId="77777777" w:rsidR="00803069" w:rsidRPr="000D5B62" w:rsidRDefault="00803069" w:rsidP="00AB5D9F">
      <w:pPr>
        <w:pStyle w:val="SingleTxtGA"/>
        <w:spacing w:line="340" w:lineRule="exact"/>
        <w:rPr>
          <w:spacing w:val="-2"/>
          <w:rtl/>
          <w:lang w:bidi="ar-EG"/>
        </w:rPr>
      </w:pPr>
      <w:r w:rsidRPr="000D5B62">
        <w:rPr>
          <w:rtl/>
          <w:lang w:bidi="ar-EG"/>
        </w:rPr>
        <w:t>14</w:t>
      </w:r>
      <w:r w:rsidRPr="000D5B62">
        <w:rPr>
          <w:rFonts w:hint="cs"/>
          <w:rtl/>
          <w:lang w:bidi="ar-EG"/>
        </w:rPr>
        <w:t>8</w:t>
      </w:r>
      <w:r w:rsidRPr="000D5B62">
        <w:rPr>
          <w:rtl/>
          <w:lang w:bidi="ar-EG"/>
        </w:rPr>
        <w:t>-</w:t>
      </w:r>
      <w:r w:rsidRPr="000D5B62">
        <w:rPr>
          <w:rtl/>
          <w:lang w:bidi="ar-EG"/>
        </w:rPr>
        <w:tab/>
        <w:t xml:space="preserve">وفي عام 2012، أنشأت وزارة العدل وتطوير النظام الدستوري بالاشتراك مع مفوضية جنوب أفريقيا لحقوق الإنسان لجنة مشتركة بين الإدارات معنية بالالتزامات المتعلقة بالمعاهدات الدولية لتتعامل مع مسألة ازدياد عدد التقارير القطرية المتعين تقديمها لهيئات المعاهدات المختلفة. ولما كانت اللجنة </w:t>
      </w:r>
      <w:r w:rsidRPr="000D5B62">
        <w:rPr>
          <w:spacing w:val="-2"/>
          <w:rtl/>
          <w:lang w:bidi="ar-EG"/>
        </w:rPr>
        <w:t>تضم في عضويتها مختلف الإدارات الحكومية، فقد كان الغرض أن تيسر عمليات جمع البيانات والصياغة والتشاور، وهي عمليات ضرورية لوضع أي تقرير قطري في صيغته النهائية. إلا أن الرياح لم تأت بما تشتهي السفن، ومن ثم ا</w:t>
      </w:r>
      <w:r w:rsidRPr="000D5B62">
        <w:rPr>
          <w:rFonts w:hint="cs"/>
          <w:spacing w:val="-2"/>
          <w:rtl/>
          <w:lang w:bidi="ar-EG"/>
        </w:rPr>
        <w:t>تُّ</w:t>
      </w:r>
      <w:r w:rsidRPr="000D5B62">
        <w:rPr>
          <w:spacing w:val="-2"/>
          <w:rtl/>
          <w:lang w:bidi="ar-EG"/>
        </w:rPr>
        <w:t xml:space="preserve">خذت إجراءات مخصوصة لوضع كل تقرير على حدة في صيغته النهائية. فمثلاً، </w:t>
      </w:r>
      <w:r w:rsidRPr="000D5B62">
        <w:rPr>
          <w:rFonts w:hint="cs"/>
          <w:spacing w:val="-2"/>
          <w:rtl/>
          <w:lang w:bidi="ar-EG"/>
        </w:rPr>
        <w:t xml:space="preserve">تمهيداً لصياغة </w:t>
      </w:r>
      <w:r w:rsidRPr="000D5B62">
        <w:rPr>
          <w:spacing w:val="-2"/>
          <w:rtl/>
          <w:lang w:bidi="ar-EG"/>
        </w:rPr>
        <w:t xml:space="preserve">التقرير القطري </w:t>
      </w:r>
      <w:r w:rsidRPr="000D5B62">
        <w:rPr>
          <w:rFonts w:hint="cs"/>
          <w:spacing w:val="-2"/>
          <w:rtl/>
          <w:lang w:bidi="ar-EG"/>
        </w:rPr>
        <w:t>المقدم بموجب</w:t>
      </w:r>
      <w:r w:rsidRPr="000D5B62">
        <w:rPr>
          <w:spacing w:val="-2"/>
          <w:rtl/>
          <w:lang w:bidi="ar-EG"/>
        </w:rPr>
        <w:t xml:space="preserve"> العهد الدولي الخاص بالحقوق الاقتصادية والاجتماعية والثقافية ووضعه في صيغته النهائية في عام 2017، أنشئ فريق معني بالبيانات مستقل عن اللجنة المشتركة بين الإدارات وأجريت مشاورات مع جميع الجهات المعنية، بما فيها المنظمات غير الحكومية ومنظمات المجتمع المدني، في إطار حلقات عمل بدلاً من إجرائها تحت إشراف اللجنة المذكورة.</w:t>
      </w:r>
    </w:p>
    <w:p w14:paraId="62B2956B" w14:textId="77777777" w:rsidR="00803069" w:rsidRPr="000D5B62" w:rsidRDefault="00803069" w:rsidP="00AB5D9F">
      <w:pPr>
        <w:pStyle w:val="SingleTxtGA"/>
        <w:spacing w:line="340" w:lineRule="exact"/>
        <w:rPr>
          <w:spacing w:val="-4"/>
          <w:rtl/>
          <w:lang w:bidi="ar-EG"/>
        </w:rPr>
      </w:pPr>
      <w:r w:rsidRPr="000D5B62">
        <w:rPr>
          <w:rFonts w:hint="cs"/>
          <w:rtl/>
          <w:lang w:bidi="ar-EG"/>
        </w:rPr>
        <w:t>149</w:t>
      </w:r>
      <w:r w:rsidRPr="000D5B62">
        <w:rPr>
          <w:rtl/>
          <w:lang w:bidi="ar-EG"/>
        </w:rPr>
        <w:t>-</w:t>
      </w:r>
      <w:r w:rsidRPr="000D5B62">
        <w:rPr>
          <w:rtl/>
          <w:lang w:bidi="ar-EG"/>
        </w:rPr>
        <w:tab/>
        <w:t>واستهلت وزارة العدل وتطوير النظام الدستوري عملي</w:t>
      </w:r>
      <w:r w:rsidRPr="000D5B62">
        <w:rPr>
          <w:rFonts w:hint="cs"/>
          <w:rtl/>
          <w:lang w:bidi="ar-EG"/>
        </w:rPr>
        <w:t>ةً تهدف إلى</w:t>
      </w:r>
      <w:r w:rsidRPr="000D5B62">
        <w:rPr>
          <w:rtl/>
          <w:lang w:bidi="ar-EG"/>
        </w:rPr>
        <w:t xml:space="preserve"> إنشاء آلية وطنية للإبلاغ ومتابعة حالة تنفيذ الالتزامات المنوطة بجنوب أفريقيا بموجب معاهدات حقوق الإنسان، مما يتماشى مع توصيات مفوضية الأمم المتحدة</w:t>
      </w:r>
      <w:r w:rsidRPr="000D5B62">
        <w:rPr>
          <w:rFonts w:hint="cs"/>
          <w:rtl/>
          <w:lang w:bidi="ar-EG"/>
        </w:rPr>
        <w:t xml:space="preserve"> السامية</w:t>
      </w:r>
      <w:r w:rsidRPr="000D5B62">
        <w:rPr>
          <w:rtl/>
          <w:lang w:bidi="ar-EG"/>
        </w:rPr>
        <w:t xml:space="preserve"> لحقوق الإنسان. ومن المقرر أن تنجز هذه العملية خلال </w:t>
      </w:r>
      <w:r w:rsidRPr="000D5B62">
        <w:rPr>
          <w:spacing w:val="-4"/>
          <w:rtl/>
          <w:lang w:bidi="ar-EG"/>
        </w:rPr>
        <w:t>الفترة 2018/2019. ونظراً لعدم وجود آلية وطنية للإبلاغ والمتابعة في الوقت الراهن، تباشر اللجنة المشتركة بين الإدارات عمليتي جمع البيانات والنظر في مسودات التقارير قبل التشاور بشأنها مع المنظمات غير الحكومية ومنظمات المجتمع المدني وصولاً إلى مرحلة إقرارها على صعيد الحكومة وانتهاءً بمجلس الوزراء.</w:t>
      </w:r>
    </w:p>
    <w:p w14:paraId="781B04AE" w14:textId="77777777" w:rsidR="00803069" w:rsidRPr="000D5B62" w:rsidRDefault="00803069" w:rsidP="00AB5D9F">
      <w:pPr>
        <w:pStyle w:val="SingleTxtGA"/>
        <w:spacing w:line="340" w:lineRule="exact"/>
        <w:rPr>
          <w:rtl/>
          <w:lang w:bidi="ar-EG"/>
        </w:rPr>
      </w:pPr>
      <w:r w:rsidRPr="000D5B62">
        <w:rPr>
          <w:rFonts w:hint="cs"/>
          <w:rtl/>
          <w:lang w:bidi="ar-EG"/>
        </w:rPr>
        <w:t>150</w:t>
      </w:r>
      <w:r w:rsidRPr="000D5B62">
        <w:rPr>
          <w:rtl/>
          <w:lang w:bidi="ar-EG"/>
        </w:rPr>
        <w:t>-</w:t>
      </w:r>
      <w:r w:rsidRPr="000D5B62">
        <w:rPr>
          <w:rtl/>
          <w:lang w:bidi="ar-EG"/>
        </w:rPr>
        <w:tab/>
        <w:t xml:space="preserve">ويولي مجلس الوزراء الاعتبار للتوصيات الواردة من هيئات المعاهدات المختلفة. ويجري إبلاغ الإدارات الحكومية بتلك التوصيات من خلال اللجنة الوطنية المشتركة بين الإدارات ومن خلال حلقات عمل تعقد للتعريف بالتوصيات وبتدابير التنفيذ والتخطيط اللازم اتخاذها في ضوئها. ومن المتوقع أن تصبح عملية التعريف بالتوصيات وبما تستلزمه من تدابير التنفيذ والتخطيط والمتابعة أكثر فعالية بمجرد اكتمال إنشاء الآلية الوطنية للإبلاغ والمتابعة ومباشرتها مهامها بصورة كاملة. </w:t>
      </w:r>
    </w:p>
    <w:p w14:paraId="3F8F8D1C" w14:textId="77777777" w:rsidR="00803069" w:rsidRPr="000D5B62" w:rsidRDefault="00803069" w:rsidP="00B157F1">
      <w:pPr>
        <w:pStyle w:val="H1GA"/>
        <w:rPr>
          <w:rtl/>
          <w:lang w:bidi="ar-EG"/>
        </w:rPr>
      </w:pPr>
      <w:r w:rsidRPr="000D5B62">
        <w:rPr>
          <w:rtl/>
          <w:lang w:bidi="ar-EG"/>
        </w:rPr>
        <w:tab/>
      </w:r>
      <w:bookmarkStart w:id="2" w:name="_Toc37324066"/>
      <w:r w:rsidRPr="000D5B62">
        <w:rPr>
          <w:rtl/>
          <w:lang w:bidi="ar-EG"/>
        </w:rPr>
        <w:t>هاء-</w:t>
      </w:r>
      <w:r w:rsidRPr="000D5B62">
        <w:rPr>
          <w:rtl/>
          <w:lang w:bidi="ar-EG"/>
        </w:rPr>
        <w:tab/>
        <w:t>معلومات أخرى عن حقوق الإنسان</w:t>
      </w:r>
      <w:bookmarkEnd w:id="2"/>
    </w:p>
    <w:p w14:paraId="0125356E" w14:textId="77777777" w:rsidR="00803069" w:rsidRPr="000D5B62" w:rsidRDefault="00803069" w:rsidP="00B157F1">
      <w:pPr>
        <w:pStyle w:val="SingleTxtGA"/>
        <w:rPr>
          <w:rtl/>
          <w:lang w:bidi="ar-EG"/>
        </w:rPr>
      </w:pPr>
      <w:r w:rsidRPr="000D5B62">
        <w:rPr>
          <w:rFonts w:hint="cs"/>
          <w:rtl/>
          <w:lang w:bidi="ar-EG"/>
        </w:rPr>
        <w:t>151</w:t>
      </w:r>
      <w:r w:rsidRPr="000D5B62">
        <w:rPr>
          <w:rtl/>
          <w:lang w:bidi="ar-EG"/>
        </w:rPr>
        <w:t>-</w:t>
      </w:r>
      <w:r w:rsidRPr="000D5B62">
        <w:rPr>
          <w:rtl/>
          <w:lang w:bidi="ar-EG"/>
        </w:rPr>
        <w:tab/>
        <w:t>يشكل الدستور وشرعة الحقوق الواردة فيه حجر الزاوية في النظام الديمقراطي في جنوب أفريقيا. فهو يكرس حقوق أبناء جنوب أفريقيا أجمعين ويرسخ القيم الديمقراطية المتمثلة في كرامة الإنسان والمساواة والحرية. ولتقييد أي من الحقوق، لا بد من استيفاء الشروط المنصوص عليها في المادة 36 من الدستور. والدولة ملزمة، علاوة على ذلك، باحترام جميع حقوق الإنسان وحمايتها وتعزيزها وإعمالها.</w:t>
      </w:r>
    </w:p>
    <w:p w14:paraId="0B7F70AA" w14:textId="32E159EE" w:rsidR="00803069" w:rsidRPr="000D5B62" w:rsidRDefault="00803069" w:rsidP="00B157F1">
      <w:pPr>
        <w:pStyle w:val="SingleTxtGA"/>
        <w:rPr>
          <w:rtl/>
          <w:lang w:bidi="ar-EG"/>
        </w:rPr>
      </w:pPr>
      <w:r w:rsidRPr="000D5B62">
        <w:rPr>
          <w:spacing w:val="-4"/>
          <w:rtl/>
          <w:lang w:bidi="ar-EG"/>
        </w:rPr>
        <w:t>15</w:t>
      </w:r>
      <w:r w:rsidRPr="000D5B62">
        <w:rPr>
          <w:rFonts w:hint="cs"/>
          <w:spacing w:val="-4"/>
          <w:rtl/>
          <w:lang w:bidi="ar-EG"/>
        </w:rPr>
        <w:t>2</w:t>
      </w:r>
      <w:r w:rsidRPr="000D5B62">
        <w:rPr>
          <w:spacing w:val="-4"/>
          <w:rtl/>
          <w:lang w:bidi="ar-EG"/>
        </w:rPr>
        <w:t>-</w:t>
      </w:r>
      <w:r w:rsidRPr="000D5B62">
        <w:rPr>
          <w:spacing w:val="-4"/>
          <w:rtl/>
          <w:lang w:bidi="ar-EG"/>
        </w:rPr>
        <w:tab/>
        <w:t>وكما ورد ذكره آنفاً، تشكل خطة التنمية الوطنية حجر الزاوية في استراتيجية وسياسات التنمية الاقتصادية والتنمية الاجتماعية الاقتصادية في جنوب أفريقيا. فلا يمكن أن يصمد أي نظام ديمقراطي سياسي ويزدهر لو ظلت كتلة كبيرة من شعبنا تعيش في فقر بلا أرض وبلا أي إمكانيات ملموسة تسمح بالتطلع إلى حياة أفضل. ومن ثم، يجب أن تشكل مكافحة الفقر والحرمان الأولوية الأولى لأي حكومة ديمقراطية</w:t>
      </w:r>
      <w:r w:rsidRPr="000D5B62">
        <w:rPr>
          <w:spacing w:val="-4"/>
          <w:vertAlign w:val="superscript"/>
          <w:rtl/>
          <w:lang w:bidi="ar-EG"/>
        </w:rPr>
        <w:t>(</w:t>
      </w:r>
      <w:r w:rsidRPr="000D5B62">
        <w:rPr>
          <w:rStyle w:val="FootnoteReference"/>
          <w:spacing w:val="-4"/>
          <w:szCs w:val="22"/>
          <w:rtl/>
        </w:rPr>
        <w:footnoteReference w:id="122"/>
      </w:r>
      <w:r w:rsidRPr="000D5B62">
        <w:rPr>
          <w:rStyle w:val="FootnoteReference"/>
          <w:spacing w:val="-4"/>
          <w:szCs w:val="22"/>
          <w:rtl/>
        </w:rPr>
        <w:t>)</w:t>
      </w:r>
      <w:r w:rsidRPr="000D5B62">
        <w:rPr>
          <w:spacing w:val="-4"/>
          <w:rtl/>
          <w:lang w:bidi="ar-EG"/>
        </w:rPr>
        <w:t xml:space="preserve">. </w:t>
      </w:r>
      <w:r w:rsidRPr="000D5B62">
        <w:rPr>
          <w:rtl/>
          <w:lang w:bidi="ar-EG"/>
        </w:rPr>
        <w:t>ولقد</w:t>
      </w:r>
      <w:r w:rsidR="00AB5D9F" w:rsidRPr="000D5B62">
        <w:rPr>
          <w:rFonts w:hint="cs"/>
          <w:rtl/>
          <w:lang w:bidi="ar-EG"/>
        </w:rPr>
        <w:t> </w:t>
      </w:r>
      <w:r w:rsidRPr="000D5B62">
        <w:rPr>
          <w:rtl/>
          <w:lang w:bidi="ar-EG"/>
        </w:rPr>
        <w:t xml:space="preserve">عين الرئيس السابق زوما، في أيار/مايو 2010، اللجنة الوطنية للتخطيط التي عُهد إليها بصياغة رؤية ووضع خطة وطنية للتنمية. </w:t>
      </w:r>
      <w:r w:rsidRPr="000D5B62">
        <w:rPr>
          <w:rFonts w:hint="cs"/>
          <w:rtl/>
          <w:lang w:bidi="ar-EG"/>
        </w:rPr>
        <w:t>و</w:t>
      </w:r>
      <w:r w:rsidRPr="000D5B62">
        <w:rPr>
          <w:rtl/>
          <w:lang w:bidi="ar-EG"/>
        </w:rPr>
        <w:t>اللجنة هي هيئة استشارية</w:t>
      </w:r>
      <w:r w:rsidRPr="000D5B62">
        <w:rPr>
          <w:rFonts w:hint="cs"/>
          <w:rtl/>
          <w:lang w:bidi="ar-EG"/>
        </w:rPr>
        <w:t xml:space="preserve"> تضم</w:t>
      </w:r>
      <w:r w:rsidRPr="000D5B62">
        <w:rPr>
          <w:rtl/>
          <w:lang w:bidi="ar-EG"/>
        </w:rPr>
        <w:t xml:space="preserve"> 26 شخصاً لا يعمل معظمهم في الحكومة وقد اختيروا لخبرتهم في المجالات الرئيسية. وفي التقرير التشخيصي الذي أصدرته اللجنة في حزيران/يونيه 2011، يرد بيان إنجازات جنوب أفريقيا وأوجه القصور لديها منذ عام 1994. وذكرت اللجنة أن الإخفاق في تنفيذ السياسات وانعدام الشراكات على نطاق واسع هما السببان الرئيسيان لبطء وتيرة التقدم وحددت تسعة تحديات رئيسية هي:</w:t>
      </w:r>
    </w:p>
    <w:p w14:paraId="3311E9F9"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قلة من الناس هي التي تعمل؛</w:t>
      </w:r>
    </w:p>
    <w:p w14:paraId="5149CDFC"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سوء نوعية التعليم المدرسي الذي يتلقاه السود؛</w:t>
      </w:r>
    </w:p>
    <w:p w14:paraId="17701A8C"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وجود البنى التحتية في مواقع أسيء اختيارها وعدم كفايتها وقلة صيانتها؛</w:t>
      </w:r>
    </w:p>
    <w:p w14:paraId="42B72E7F"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اتساع الفجوات المكانية بما يعيق التنمية الشاملة للجميع؛</w:t>
      </w:r>
    </w:p>
    <w:p w14:paraId="087F9C7A"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استهلاك الاقتصاد للموارد بصورة كثيفة تستعصى على الاستدامة؛</w:t>
      </w:r>
    </w:p>
    <w:p w14:paraId="22A29BBC"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عدم استطاعة نظام الصحة العامة تلبية الطلب أو الحفاظ على الجودة؛</w:t>
      </w:r>
    </w:p>
    <w:p w14:paraId="533D439A"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تذبذب نوعية الخدمات العامة التي غالباً ما تكون سيئة؛</w:t>
      </w:r>
    </w:p>
    <w:p w14:paraId="70574FA5"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ارتفاع مستويات الفساد؛</w:t>
      </w:r>
    </w:p>
    <w:p w14:paraId="609771F0"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استمرار انقسام المجتمع في جنوب أفريقيا.</w:t>
      </w:r>
    </w:p>
    <w:p w14:paraId="2CFAEDEA" w14:textId="77777777" w:rsidR="00803069" w:rsidRPr="000D5B62" w:rsidRDefault="00803069" w:rsidP="00B157F1">
      <w:pPr>
        <w:pStyle w:val="SingleTxtGA"/>
        <w:rPr>
          <w:spacing w:val="-2"/>
          <w:rtl/>
          <w:lang w:bidi="ar-EG"/>
        </w:rPr>
      </w:pPr>
      <w:r w:rsidRPr="000D5B62">
        <w:rPr>
          <w:spacing w:val="-2"/>
          <w:rtl/>
          <w:lang w:bidi="ar-EG"/>
        </w:rPr>
        <w:t>15</w:t>
      </w:r>
      <w:r w:rsidRPr="000D5B62">
        <w:rPr>
          <w:rFonts w:hint="cs"/>
          <w:spacing w:val="-2"/>
          <w:rtl/>
          <w:lang w:bidi="ar-EG"/>
        </w:rPr>
        <w:t>3</w:t>
      </w:r>
      <w:r w:rsidRPr="000D5B62">
        <w:rPr>
          <w:spacing w:val="-2"/>
          <w:rtl/>
          <w:lang w:bidi="ar-EG"/>
        </w:rPr>
        <w:t>-</w:t>
      </w:r>
      <w:r w:rsidRPr="000D5B62">
        <w:rPr>
          <w:spacing w:val="-2"/>
          <w:rtl/>
          <w:lang w:bidi="ar-EG"/>
        </w:rPr>
        <w:tab/>
        <w:t>ورحب أهالي جنوب أفريقيا على اختلاف أطيافهم بهذا التشخيص، باعتباره تقييماً صريحاً وبناءً. وفي عام 2013، صدرت خطة التنمية الوطنية –</w:t>
      </w:r>
      <w:r w:rsidRPr="000D5B62">
        <w:rPr>
          <w:rFonts w:hint="cs"/>
          <w:spacing w:val="-2"/>
          <w:rtl/>
          <w:lang w:bidi="ar-EG"/>
        </w:rPr>
        <w:t xml:space="preserve"> أفق </w:t>
      </w:r>
      <w:r w:rsidRPr="000D5B62">
        <w:rPr>
          <w:spacing w:val="-2"/>
          <w:rtl/>
          <w:lang w:bidi="ar-EG"/>
        </w:rPr>
        <w:t>2030 بصيغتها النهائية التي جاء فيها أنه بعد انقضاء عقدين من الزمان على إحلال الديمقراطية، ما زال المجتمع في جنوب أفريقيا يعاني من انعدام المساواة بمعدلات مرتفعة، حيث يعيش الكثيرون في فقر ولا يعمل من الناس سوى قلة قليلة وأن نوعية التعليم المدرسي الذي يتلقاه معظم التلاميذ السود سيئة وأن الفجوة المكانية الناشئة عن الفصل العنصري ما زالت تتسيد المشهد وأن نسبة كبيرة من الشباب يرون أن عثرات الحياة تتربص بهم. وما برحت تركة الفصل العنصري تتحكم في الفرص المتاحة للغالبية العظمى على امتداد الحياة. ولا يمكن التصدي لهذه التحديات الهائلة إلا بتغيير أداء البلد على نحو مشهود. ولدفع عجلة التقدم وترسيخ الديمقراطية وبناء مجتمع أكثر شمولاً، يجب على جنوب أفريقيا أن تترجم التحرر السياسي إلى رفاه اقتصادي للجميع. وخطة التنمية الوطنية توفر إطاراً لتحقيق التغير الاجتماعي والاقتصادي الجذري. وعلى إثر اعتماد الخطة، قرر مجلس الوزراء في عام 2013 أن يشكل الإطار الاستراتيجي المتوسط الأجل للفترة 2014-2019 المرحلة الأولى الخماسية السنوات من تنفيذ خطة التنمية الوطنية، وأصدر تكليفاً بالعمل على مواءمة خطط الإدارات الوطنية وإدارات المقاطعات والبلديات والكيانات العامة مع الرؤية والأهداف الواردة في خطة التنمية الوطنية. ويتمحور الإطار الاستراتيجي المتوسط الأجل حول تحقيق نواتج ذات أولوية عددها 14 ناتجاً تغطي مجالات التركيز المحددة في خطة التنمية الوطنية وفي الولاية التي أسندها الناخبون إلى الحكومة. وفيما يلي النواتج الـ 14:</w:t>
      </w:r>
    </w:p>
    <w:p w14:paraId="3185E8CD"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 توافر تعليم أساسي جيد النوعية؛</w:t>
      </w:r>
    </w:p>
    <w:p w14:paraId="7940BC30"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2: ازدياد متوسط الأعمار وتحسن الصحة؛</w:t>
      </w:r>
    </w:p>
    <w:p w14:paraId="438074B9"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3: شعور الناس كافة بالأمان؛</w:t>
      </w:r>
    </w:p>
    <w:p w14:paraId="320ABDA4"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4: توافر فرص العمل اللائق من خلال النمو الشامل للجميع؛</w:t>
      </w:r>
    </w:p>
    <w:p w14:paraId="611A0DA6"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5: وجود قوة عاملة تتوافر لديها المهارات والمقدرة لدعم مسار النمو الشامل للجميع؛</w:t>
      </w:r>
    </w:p>
    <w:p w14:paraId="3F8A87AD"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6: وجود شبكة من البنى التحتية الاقتصادية تتوافر فيها مقومات الكفاءة والقدرة على المنافسة وسرعة الاستجابة؛</w:t>
      </w:r>
    </w:p>
    <w:p w14:paraId="4083C0AE"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7: اتقاد الجماعات المحلية نشاطاً وتمتعها بالعدل والمساواة وبالقدرة على الصمود، بما يسهم في تحقيق الأمن الغذائي للجميع؛</w:t>
      </w:r>
    </w:p>
    <w:p w14:paraId="19839BF8"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8: وجود مستوطنات بشرية مستدامة وتحسن نوعية حياة الأسر المعيشية؛</w:t>
      </w:r>
    </w:p>
    <w:p w14:paraId="69033AE1"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9: وجود أجهزة حكم محلي تتوافر لديها القدرة على سرعة الاستجابة وتخضع للمساءلة وتتسم بالكفاءة والفعالية؛</w:t>
      </w:r>
    </w:p>
    <w:p w14:paraId="3BF6B603"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10: حماية وتعزيز ثرواتنا البيئية ومواردنا الطبيعية؛</w:t>
      </w:r>
    </w:p>
    <w:p w14:paraId="02B156A1"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11: إيجاد جنوب أفريقيا أفضل والإسهام في إيجاد أفريقيا أفضل وعالم أفضل؛</w:t>
      </w:r>
    </w:p>
    <w:p w14:paraId="6855012E"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12: وجود مؤسسات عامة إنمائية المنحى تتسم بالكفاءة والفعالية؛</w:t>
      </w:r>
    </w:p>
    <w:p w14:paraId="201B1F60"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13: وجود نظام للحماية الاجتماعية شامل وسريع الاستجابة ومستدام؛</w:t>
      </w:r>
    </w:p>
    <w:p w14:paraId="4B8F724D" w14:textId="77777777" w:rsidR="00803069" w:rsidRPr="000D5B62" w:rsidRDefault="00803069" w:rsidP="00803069">
      <w:pPr>
        <w:pStyle w:val="Bullet1GA"/>
        <w:ind w:left="2494" w:hanging="544"/>
        <w:rPr>
          <w:rFonts w:eastAsiaTheme="minorEastAsia"/>
          <w:rtl/>
          <w:lang w:bidi="ar-EG"/>
        </w:rPr>
      </w:pPr>
      <w:r w:rsidRPr="000D5B62">
        <w:rPr>
          <w:rFonts w:eastAsiaTheme="minorEastAsia"/>
          <w:rtl/>
          <w:lang w:bidi="ar-EG"/>
        </w:rPr>
        <w:t>الناتج 14: بناء مجتمع قوامه التنوع والتلاحم الاجتماعي في ظل هوية وطنية مشتركة.</w:t>
      </w:r>
    </w:p>
    <w:p w14:paraId="5920D84D" w14:textId="13D973BD" w:rsidR="00803069" w:rsidRPr="000D5B62" w:rsidRDefault="00803069" w:rsidP="00B157F1">
      <w:pPr>
        <w:pStyle w:val="SingleTxtGA"/>
        <w:rPr>
          <w:rtl/>
          <w:lang w:bidi="ar-EG"/>
        </w:rPr>
      </w:pPr>
      <w:r w:rsidRPr="000D5B62">
        <w:rPr>
          <w:rtl/>
          <w:lang w:bidi="ar-EG"/>
        </w:rPr>
        <w:t>15</w:t>
      </w:r>
      <w:r w:rsidRPr="000D5B62">
        <w:rPr>
          <w:rFonts w:hint="cs"/>
          <w:rtl/>
          <w:lang w:bidi="ar-EG"/>
        </w:rPr>
        <w:t>4</w:t>
      </w:r>
      <w:r w:rsidRPr="000D5B62">
        <w:rPr>
          <w:rtl/>
          <w:lang w:bidi="ar-EG"/>
        </w:rPr>
        <w:t>-</w:t>
      </w:r>
      <w:r w:rsidRPr="000D5B62">
        <w:rPr>
          <w:rtl/>
          <w:lang w:bidi="ar-EG"/>
        </w:rPr>
        <w:tab/>
        <w:t xml:space="preserve">وقادت الحكومة عملية وضع مشروع خطة عمل وطنية لمكافحة العنصرية والتمييز العنصري وكراهية الأجانب وما يتصل بذلك من تعصب، بالتعاون مع جهات فاعلة شتى تشمل المجتمع المدني. وسيهتدى بمشروع الخطة المشار إليه في وضع خطة تشكل الأساس لوضع سياسة عامة شاملة مناهضة للتمييز العنصري وكراهية الأجانب وما يتصل </w:t>
      </w:r>
      <w:r w:rsidRPr="000D5B62">
        <w:rPr>
          <w:rFonts w:hint="cs"/>
          <w:rtl/>
          <w:lang w:bidi="ar-EG"/>
        </w:rPr>
        <w:t>بذلك</w:t>
      </w:r>
      <w:r w:rsidRPr="000D5B62">
        <w:rPr>
          <w:rtl/>
          <w:lang w:bidi="ar-EG"/>
        </w:rPr>
        <w:t xml:space="preserve"> من تعصب. ولقد انبثقت عملية إعداد خطة عمل وطنية من أجل جنوب أفريقيا من إعلان وبرنامج عمل ديربان المعتمد</w:t>
      </w:r>
      <w:r w:rsidRPr="000D5B62">
        <w:rPr>
          <w:rFonts w:hint="cs"/>
          <w:rtl/>
          <w:lang w:bidi="ar-EG"/>
        </w:rPr>
        <w:t>يْ</w:t>
      </w:r>
      <w:r w:rsidRPr="000D5B62">
        <w:rPr>
          <w:rtl/>
          <w:lang w:bidi="ar-EG"/>
        </w:rPr>
        <w:t>ن في المؤتمر العالمي الثالث لمناهضة العنصرية والتمييز العنصري وكراهية الأجانب وما يتصل بذلك من تعصب. وأجريت، خلال عام</w:t>
      </w:r>
      <w:r w:rsidR="00AB5D9F" w:rsidRPr="000D5B62">
        <w:rPr>
          <w:rFonts w:hint="cs"/>
          <w:rtl/>
          <w:lang w:bidi="ar-EG"/>
        </w:rPr>
        <w:t> </w:t>
      </w:r>
      <w:r w:rsidRPr="000D5B62">
        <w:rPr>
          <w:rtl/>
          <w:lang w:bidi="ar-EG"/>
        </w:rPr>
        <w:t>2016، مشاورات عامة واسعة النطاق في جميع المقاطعات. و</w:t>
      </w:r>
      <w:r w:rsidRPr="000D5B62">
        <w:rPr>
          <w:rFonts w:hint="cs"/>
          <w:rtl/>
          <w:lang w:bidi="ar-EG"/>
        </w:rPr>
        <w:t>يجري</w:t>
      </w:r>
      <w:r w:rsidRPr="000D5B62">
        <w:rPr>
          <w:rtl/>
          <w:lang w:bidi="ar-EG"/>
        </w:rPr>
        <w:t xml:space="preserve"> الآن إدراج الآراء والتعليقات المستقاة من تلك المشاورات، حيثما كان لها محل، في خطة عمل وطنية منقحة.</w:t>
      </w:r>
    </w:p>
    <w:p w14:paraId="5C16E421" w14:textId="3B434B19" w:rsidR="00803069" w:rsidRPr="000D5B62" w:rsidRDefault="00803069" w:rsidP="00B157F1">
      <w:pPr>
        <w:pStyle w:val="SingleTxtGA"/>
        <w:rPr>
          <w:rtl/>
          <w:lang w:bidi="ar-EG"/>
        </w:rPr>
      </w:pPr>
      <w:r w:rsidRPr="000D5B62">
        <w:rPr>
          <w:rtl/>
          <w:lang w:bidi="ar-EG"/>
        </w:rPr>
        <w:t>15</w:t>
      </w:r>
      <w:r w:rsidRPr="000D5B62">
        <w:rPr>
          <w:rFonts w:hint="cs"/>
          <w:rtl/>
          <w:lang w:bidi="ar-EG"/>
        </w:rPr>
        <w:t>5</w:t>
      </w:r>
      <w:r w:rsidRPr="000D5B62">
        <w:rPr>
          <w:rtl/>
          <w:lang w:bidi="ar-EG"/>
        </w:rPr>
        <w:t>-</w:t>
      </w:r>
      <w:r w:rsidRPr="000D5B62">
        <w:rPr>
          <w:rtl/>
          <w:lang w:bidi="ar-EG"/>
        </w:rPr>
        <w:tab/>
      </w:r>
      <w:r w:rsidRPr="000D5B62">
        <w:rPr>
          <w:rFonts w:hint="cs"/>
          <w:rtl/>
          <w:lang w:bidi="ar-EG"/>
        </w:rPr>
        <w:t>وقُدِّم</w:t>
      </w:r>
      <w:r w:rsidRPr="000D5B62">
        <w:rPr>
          <w:rtl/>
          <w:lang w:bidi="ar-EG"/>
        </w:rPr>
        <w:t xml:space="preserve"> مشروع قانون بشأن منع ومكافحة جرائم الكراهية وخطاب الكراهية إلى البرلمان. وفي مشروع القانون المذكور، أدرجت جرائم الكراهية وخطاب الكراهية بوصفها أفعالاً إجرامية تستوجب اتخاذ تدابير لمنعها ومكافحتها. وسوف تستخدم القوانين المناهضة لخطاب الكراهية في غرض مزدوج</w:t>
      </w:r>
      <w:r w:rsidRPr="000D5B62">
        <w:rPr>
          <w:rFonts w:hint="cs"/>
          <w:rtl/>
          <w:lang w:bidi="ar-EG"/>
        </w:rPr>
        <w:t>.</w:t>
      </w:r>
      <w:r w:rsidRPr="000D5B62">
        <w:rPr>
          <w:rtl/>
          <w:lang w:bidi="ar-EG"/>
        </w:rPr>
        <w:t xml:space="preserve"> فهي تحمي حقوق الضحية والفئة المستهدفة وتكفل في الوقت نفسه تعريف المجتمع بأن خطاب الكراهية أمر لا</w:t>
      </w:r>
      <w:r w:rsidR="00825757" w:rsidRPr="000D5B62">
        <w:rPr>
          <w:rFonts w:hint="cs"/>
          <w:rtl/>
          <w:lang w:bidi="ar-EG"/>
        </w:rPr>
        <w:t> </w:t>
      </w:r>
      <w:r w:rsidRPr="000D5B62">
        <w:rPr>
          <w:rtl/>
          <w:lang w:bidi="ar-EG"/>
        </w:rPr>
        <w:t>يمكن التهاون إزاءه ولا يمكن أن يمر دون عقاب. وفي آذار/مارس 2018، أقر مجلس الوزراء مشروع القانون المنقح. وبعد نشر مشروع القانون في الجريدة الرسمية ليبدي عموم الجمهور تعليقاته عليه، ورد من المؤسسات والأفراد زهاء 854 75 إفادة</w:t>
      </w:r>
      <w:r w:rsidRPr="000D5B62">
        <w:rPr>
          <w:rFonts w:hint="cs"/>
          <w:rtl/>
          <w:lang w:bidi="ar-EG"/>
        </w:rPr>
        <w:t>.</w:t>
      </w:r>
      <w:r w:rsidRPr="000D5B62">
        <w:rPr>
          <w:rtl/>
          <w:lang w:bidi="ar-EG"/>
        </w:rPr>
        <w:t xml:space="preserve"> ويستدل من استجابة الجمهور القوية لمشروع القانون ولمشروع القانون المنقح الذي يعالج الآن معظم المخاوف التي أُبديت على أن النظام الديمقراطي القائم على المشاركة يسير في مجراه. وتتمثل المعايير </w:t>
      </w:r>
      <w:r w:rsidRPr="000D5B62">
        <w:rPr>
          <w:rFonts w:hint="cs"/>
          <w:rtl/>
          <w:lang w:bidi="ar-EG"/>
        </w:rPr>
        <w:t>التي يتم على أساسها توصيف</w:t>
      </w:r>
      <w:r w:rsidRPr="000D5B62">
        <w:rPr>
          <w:rtl/>
          <w:lang w:bidi="ar-EG"/>
        </w:rPr>
        <w:t xml:space="preserve"> الخطاب بأنه خطاب كراهية في تجلي قصد الإيذاء أو الحض على الإيذاء أو ترويج أو إشاعة مشاعر الكراهية على أساس السن أو الإصابة بالمهق أو الم</w:t>
      </w:r>
      <w:r w:rsidRPr="000D5B62">
        <w:rPr>
          <w:rFonts w:hint="cs"/>
          <w:rtl/>
          <w:lang w:bidi="ar-EG"/>
        </w:rPr>
        <w:t>ولد</w:t>
      </w:r>
      <w:r w:rsidRPr="000D5B62">
        <w:rPr>
          <w:rtl/>
          <w:lang w:bidi="ar-EG"/>
        </w:rPr>
        <w:t xml:space="preserve"> أو اللون أو الثقافة أو الإعاقة أو الأصل الإثني أو الاجتماعي أو النوع الاجتماعي أو الهوية الجنسانية أو الإصابة بفيروس نقص المناعة البشرية أو اللغة أو الجنسية أو وضع الشخص كمهاجر أو لاجئ أو الأصل العرقي أو الدين أو نوع الجنس، بما يشمل الأشخاص حاملي صفات الجنسين، أو الميل الجنسي. ويستثني مشروع القانون من ذلك تحديداً أي تصرف غير مقصود يأتيه شخص ما بحسن نية في سياق المشاركة في أي عمل إبداعي فني أو أي عرض مسرحي أو في سياق أي شكل آخر من أشكال التعبير أو أي بحث أكاديمي أو علمي أو أي تقرير أو تعليق نزيه ودقيق يقصد منه الصالح العام، ما دام الشخص لا يدعو إلى الكراهية التي تشكل تحريضاً على الإيذاء مما</w:t>
      </w:r>
      <w:r w:rsidR="00825757" w:rsidRPr="000D5B62">
        <w:rPr>
          <w:rFonts w:hint="cs"/>
          <w:rtl/>
          <w:lang w:bidi="ar-EG"/>
        </w:rPr>
        <w:t> </w:t>
      </w:r>
      <w:r w:rsidRPr="000D5B62">
        <w:rPr>
          <w:rtl/>
          <w:lang w:bidi="ar-EG"/>
        </w:rPr>
        <w:t>يندرج في نطاق خطاب الكراهية. ويستثنى أيضاً تفسير أي مبادئ أو معتقدات أو تعاليم أو مذاهب أو</w:t>
      </w:r>
      <w:r w:rsidR="00825757" w:rsidRPr="000D5B62">
        <w:rPr>
          <w:rFonts w:hint="cs"/>
          <w:rtl/>
          <w:lang w:bidi="ar-EG"/>
        </w:rPr>
        <w:t> </w:t>
      </w:r>
      <w:r w:rsidRPr="000D5B62">
        <w:rPr>
          <w:rtl/>
          <w:lang w:bidi="ar-EG"/>
        </w:rPr>
        <w:t>كتابات دينية أو التبشير بها أو اعتناقها بدافع من حسن النية ما دام لا يقصد من هذا التفسير أو</w:t>
      </w:r>
      <w:r w:rsidR="00825757" w:rsidRPr="000D5B62">
        <w:rPr>
          <w:rFonts w:hint="cs"/>
          <w:rtl/>
          <w:lang w:bidi="ar-EG"/>
        </w:rPr>
        <w:t> </w:t>
      </w:r>
      <w:r w:rsidRPr="000D5B62">
        <w:rPr>
          <w:rtl/>
          <w:lang w:bidi="ar-EG"/>
        </w:rPr>
        <w:t>التبشير الحض على الكراهية التي تشكل تحريضاً على الإيذاء مما يندرج في نطاق خطاب الكراهية. وتتسق هذه الاستثناءات أيضاً مع المادة 16 من دستورنا.</w:t>
      </w:r>
    </w:p>
    <w:p w14:paraId="753A9DE0" w14:textId="77777777" w:rsidR="00803069" w:rsidRPr="000D5B62" w:rsidRDefault="00803069" w:rsidP="00B157F1">
      <w:pPr>
        <w:pStyle w:val="HChGA"/>
        <w:rPr>
          <w:lang w:bidi="ar-EG"/>
        </w:rPr>
      </w:pPr>
      <w:r w:rsidRPr="000D5B62">
        <w:rPr>
          <w:rtl/>
          <w:lang w:bidi="ar-EG"/>
        </w:rPr>
        <w:tab/>
      </w:r>
      <w:bookmarkStart w:id="3" w:name="_Toc37324067"/>
      <w:r w:rsidRPr="000D5B62">
        <w:rPr>
          <w:rtl/>
          <w:lang w:bidi="ar-EG"/>
        </w:rPr>
        <w:t>ثالثاً-</w:t>
      </w:r>
      <w:r w:rsidRPr="000D5B62">
        <w:rPr>
          <w:rtl/>
          <w:lang w:bidi="ar-EG"/>
        </w:rPr>
        <w:tab/>
        <w:t xml:space="preserve">معلومات عن منع التمييز وتحقيق المساواة وسبل الانتصاف </w:t>
      </w:r>
      <w:bookmarkEnd w:id="3"/>
      <w:r w:rsidRPr="000D5B62">
        <w:rPr>
          <w:rtl/>
          <w:lang w:bidi="ar-EG"/>
        </w:rPr>
        <w:t>ال</w:t>
      </w:r>
      <w:r w:rsidRPr="000D5B62">
        <w:rPr>
          <w:rFonts w:hint="cs"/>
          <w:rtl/>
          <w:lang w:bidi="ar-EG"/>
        </w:rPr>
        <w:t>فعالة</w:t>
      </w:r>
    </w:p>
    <w:p w14:paraId="64C79D0C" w14:textId="77777777" w:rsidR="00803069" w:rsidRPr="000D5B62" w:rsidRDefault="00803069" w:rsidP="00B157F1">
      <w:pPr>
        <w:pStyle w:val="SingleTxtGA"/>
        <w:rPr>
          <w:rtl/>
          <w:lang w:bidi="ar-EG"/>
        </w:rPr>
      </w:pPr>
      <w:r w:rsidRPr="000D5B62">
        <w:rPr>
          <w:rFonts w:hint="cs"/>
          <w:rtl/>
          <w:lang w:bidi="ar-EG"/>
        </w:rPr>
        <w:t>156</w:t>
      </w:r>
      <w:r w:rsidRPr="000D5B62">
        <w:rPr>
          <w:rtl/>
          <w:lang w:bidi="ar-EG"/>
        </w:rPr>
        <w:t>-</w:t>
      </w:r>
      <w:r w:rsidRPr="000D5B62">
        <w:rPr>
          <w:rtl/>
          <w:lang w:bidi="ar-EG"/>
        </w:rPr>
        <w:tab/>
        <w:t xml:space="preserve">تنص طائفة واسعة من أحكام الدستور على </w:t>
      </w:r>
      <w:r w:rsidRPr="000D5B62">
        <w:rPr>
          <w:rFonts w:hint="cs"/>
          <w:rtl/>
          <w:lang w:bidi="ar-EG"/>
        </w:rPr>
        <w:t xml:space="preserve">مبدأي </w:t>
      </w:r>
      <w:r w:rsidRPr="000D5B62">
        <w:rPr>
          <w:rtl/>
          <w:lang w:bidi="ar-EG"/>
        </w:rPr>
        <w:t>عدم التمييز والمساواة وتدعمه</w:t>
      </w:r>
      <w:r w:rsidRPr="000D5B62">
        <w:rPr>
          <w:rFonts w:hint="cs"/>
          <w:rtl/>
          <w:lang w:bidi="ar-EG"/>
        </w:rPr>
        <w:t>م</w:t>
      </w:r>
      <w:r w:rsidRPr="000D5B62">
        <w:rPr>
          <w:rtl/>
          <w:lang w:bidi="ar-EG"/>
        </w:rPr>
        <w:t xml:space="preserve">ا مجموعة من التشريعات التي تشكل إطاراً قانونياً ومؤسسياً، ينص، بمزيد من التفصيل، على حماية هذا الحق في جنوب أفريقيا. ومن ثم، يوجد لدى جنوب أفريقيا إطار </w:t>
      </w:r>
      <w:r w:rsidRPr="000D5B62">
        <w:rPr>
          <w:rFonts w:hint="cs"/>
          <w:rtl/>
          <w:lang w:bidi="ar-EG"/>
        </w:rPr>
        <w:t xml:space="preserve">متين </w:t>
      </w:r>
      <w:r w:rsidRPr="000D5B62">
        <w:rPr>
          <w:rtl/>
          <w:lang w:bidi="ar-EG"/>
        </w:rPr>
        <w:t xml:space="preserve">من القوانين المتعلقة بالمساواة ومناهضة التمييز. فالمادة 7(2) من الدستور تقتضي من الدولة احترام وحماية وتعزيز وإعمال الحقوق المنصوص عليها في شرعة الحقوق التي تنيط بالدول المسؤولية الرئيسية عن ضمان إمكانية ممارسة كل شخص لحقوقه. وفي هذا الصدد، أصدرت الحكومة عدداً من القوانين تنفيذاً للأهداف المنصوص عليها في الدستور والمتمثلة في تحقيق المساواة وصون كرامة الإنسان والنهوض بحقوق الإنسان وحرياته. الواقع أن الحق في المساواة وفي الحماية من التمييز يحتل مكانة بارزة في دستورنا. وتبعاً لذلك، سنّت جنوب أفريقيا تشريعات شتى للقضاء على التمييز وكفالة المساواة في مجالات متعددة. </w:t>
      </w:r>
    </w:p>
    <w:p w14:paraId="58E0CD2B" w14:textId="06C22B72" w:rsidR="00803069" w:rsidRPr="000D5B62" w:rsidRDefault="00803069" w:rsidP="00B157F1">
      <w:pPr>
        <w:pStyle w:val="SingleTxtGA"/>
        <w:rPr>
          <w:rtl/>
          <w:lang w:bidi="ar-EG"/>
        </w:rPr>
      </w:pPr>
      <w:r w:rsidRPr="000D5B62">
        <w:rPr>
          <w:rtl/>
          <w:lang w:bidi="ar-EG"/>
        </w:rPr>
        <w:t>15</w:t>
      </w:r>
      <w:r w:rsidRPr="000D5B62">
        <w:rPr>
          <w:rFonts w:hint="cs"/>
          <w:rtl/>
          <w:lang w:bidi="ar-EG"/>
        </w:rPr>
        <w:t>7</w:t>
      </w:r>
      <w:r w:rsidRPr="000D5B62">
        <w:rPr>
          <w:rtl/>
          <w:lang w:bidi="ar-EG"/>
        </w:rPr>
        <w:t>-</w:t>
      </w:r>
      <w:r w:rsidRPr="000D5B62">
        <w:rPr>
          <w:rtl/>
          <w:lang w:bidi="ar-EG"/>
        </w:rPr>
        <w:tab/>
        <w:t>وفيما يتعلق بمنع التمييز وتحقيق المساواة، يُفرّق الفقه القضائي في جنوب أفريقيا بين التمييز المبرر والتمييز دون وجه حق</w:t>
      </w:r>
      <w:r w:rsidRPr="000D5B62">
        <w:rPr>
          <w:rFonts w:hint="cs"/>
          <w:rtl/>
          <w:lang w:bidi="ar-EG"/>
        </w:rPr>
        <w:t>.</w:t>
      </w:r>
      <w:r w:rsidRPr="000D5B62">
        <w:rPr>
          <w:rtl/>
          <w:lang w:bidi="ar-EG"/>
        </w:rPr>
        <w:t xml:space="preserve"> </w:t>
      </w:r>
      <w:r w:rsidRPr="000D5B62">
        <w:rPr>
          <w:rFonts w:hint="cs"/>
          <w:rtl/>
          <w:lang w:bidi="ar-EG"/>
        </w:rPr>
        <w:t>وال</w:t>
      </w:r>
      <w:r w:rsidRPr="000D5B62">
        <w:rPr>
          <w:rtl/>
          <w:lang w:bidi="ar-EG"/>
        </w:rPr>
        <w:t>تمييز</w:t>
      </w:r>
      <w:r w:rsidRPr="000D5B62">
        <w:rPr>
          <w:rFonts w:hint="cs"/>
          <w:rtl/>
          <w:lang w:bidi="ar-EG"/>
        </w:rPr>
        <w:t xml:space="preserve"> دون وجه حق وحده</w:t>
      </w:r>
      <w:r w:rsidRPr="000D5B62">
        <w:rPr>
          <w:rtl/>
          <w:lang w:bidi="ar-EG"/>
        </w:rPr>
        <w:t xml:space="preserve"> محظور </w:t>
      </w:r>
      <w:r w:rsidRPr="000D5B62">
        <w:rPr>
          <w:rFonts w:hint="cs"/>
          <w:rtl/>
          <w:lang w:bidi="ar-EG"/>
        </w:rPr>
        <w:t xml:space="preserve">بموجب القانون، </w:t>
      </w:r>
      <w:r w:rsidRPr="000D5B62">
        <w:rPr>
          <w:rtl/>
          <w:lang w:bidi="ar-EG"/>
        </w:rPr>
        <w:t xml:space="preserve">حيث يُرتأى </w:t>
      </w:r>
      <w:r w:rsidRPr="000D5B62">
        <w:rPr>
          <w:rFonts w:hint="cs"/>
          <w:rtl/>
          <w:lang w:bidi="ar-EG"/>
        </w:rPr>
        <w:t>أنه يشكل فعلاً جائراً</w:t>
      </w:r>
      <w:r w:rsidRPr="000D5B62">
        <w:rPr>
          <w:rtl/>
          <w:lang w:bidi="ar-EG"/>
        </w:rPr>
        <w:t xml:space="preserve"> ينال بقدر كبير من كرامة مقدم الشكوى التي يعد صونها من القيم الأساسية. وهو تمييز على أساس </w:t>
      </w:r>
      <w:r w:rsidRPr="000D5B62">
        <w:rPr>
          <w:rFonts w:hint="cs"/>
          <w:rtl/>
          <w:lang w:bidi="ar-EG"/>
        </w:rPr>
        <w:t>أحد</w:t>
      </w:r>
      <w:r w:rsidRPr="000D5B62">
        <w:rPr>
          <w:rtl/>
          <w:lang w:bidi="ar-EG"/>
        </w:rPr>
        <w:t xml:space="preserve"> الأسباب الوارد ذكرها في المادة 9 من الدستور. والواقع أنه إذا كان القانون أو الإجراء التمييزي يهدف إلى تحقيق غاية لها قيمتها وأهميتها بالنسبة للمجتمع فإنه قد يضع الأمور في نصابها مما</w:t>
      </w:r>
      <w:r w:rsidR="00772128" w:rsidRPr="000D5B62">
        <w:rPr>
          <w:rFonts w:hint="cs"/>
          <w:rtl/>
          <w:lang w:bidi="ar-EG"/>
        </w:rPr>
        <w:t> </w:t>
      </w:r>
      <w:r w:rsidRPr="000D5B62">
        <w:rPr>
          <w:rtl/>
          <w:lang w:bidi="ar-EG"/>
        </w:rPr>
        <w:t>لم يكن ليتحقق لو اتبع مسار مخالف.</w:t>
      </w:r>
    </w:p>
    <w:p w14:paraId="432BD578" w14:textId="737DB4C1" w:rsidR="00803069" w:rsidRPr="000D5B62" w:rsidRDefault="00803069" w:rsidP="00B157F1">
      <w:pPr>
        <w:pStyle w:val="SingleTxtGA"/>
        <w:rPr>
          <w:rtl/>
          <w:lang w:bidi="ar-EG"/>
        </w:rPr>
      </w:pPr>
      <w:r w:rsidRPr="000D5B62">
        <w:rPr>
          <w:rtl/>
          <w:lang w:bidi="ar-EG"/>
        </w:rPr>
        <w:t>15</w:t>
      </w:r>
      <w:r w:rsidRPr="000D5B62">
        <w:rPr>
          <w:rFonts w:hint="cs"/>
          <w:rtl/>
          <w:lang w:bidi="ar-EG"/>
        </w:rPr>
        <w:t>8</w:t>
      </w:r>
      <w:r w:rsidRPr="000D5B62">
        <w:rPr>
          <w:rtl/>
          <w:lang w:bidi="ar-EG"/>
        </w:rPr>
        <w:t>-</w:t>
      </w:r>
      <w:r w:rsidRPr="000D5B62">
        <w:rPr>
          <w:rtl/>
          <w:lang w:bidi="ar-EG"/>
        </w:rPr>
        <w:tab/>
        <w:t xml:space="preserve">واعتمدت الحكومة قانون تحقيق المساواة ومنع التمييز دون وجه حق بسبب الأصل العرقي أو النوع الاجتماعي أو نوع الجنس أو الحمل أو </w:t>
      </w:r>
      <w:r w:rsidRPr="000D5B62">
        <w:rPr>
          <w:rFonts w:hint="cs"/>
          <w:rtl/>
          <w:lang w:bidi="ar-EG"/>
        </w:rPr>
        <w:t>الوضع العائلي</w:t>
      </w:r>
      <w:r w:rsidRPr="000D5B62">
        <w:rPr>
          <w:rtl/>
          <w:lang w:bidi="ar-EG"/>
        </w:rPr>
        <w:t xml:space="preserve"> أو الأصل الإثني أو الاجتماعي أو اللون أو الميل الجنسي أو السن أو الإعاقة أو الدين أو الرأي أو المعتقد أو الثقافة أو اللغة أو الم</w:t>
      </w:r>
      <w:r w:rsidRPr="000D5B62">
        <w:rPr>
          <w:rFonts w:hint="cs"/>
          <w:rtl/>
          <w:lang w:bidi="ar-EG"/>
        </w:rPr>
        <w:t>ولد</w:t>
      </w:r>
      <w:r w:rsidRPr="000D5B62">
        <w:rPr>
          <w:rtl/>
          <w:lang w:bidi="ar-EG"/>
        </w:rPr>
        <w:t>. وي</w:t>
      </w:r>
      <w:r w:rsidRPr="000D5B62">
        <w:rPr>
          <w:rFonts w:hint="cs"/>
          <w:rtl/>
          <w:lang w:bidi="ar-EG"/>
        </w:rPr>
        <w:t>حدد</w:t>
      </w:r>
      <w:r w:rsidRPr="000D5B62">
        <w:rPr>
          <w:rtl/>
          <w:lang w:bidi="ar-EG"/>
        </w:rPr>
        <w:t xml:space="preserve"> القانون إطاراً لتنفيذ المادة 9 من الدستور. وفي هذا الصدد، ينص القانون على إنشاء محاكم للنظر في دعاوى المساواة. ويتمثل الغرض من المحاكم المذكورة في الفصل في الأمور المتصلة تحديداً بانتهاكات الحق في المساواة والتمييز دون وجه حق وخطاب الكراهية وصولاً إلى التخلص تماماً من شبح نظام الفصل العنصري الذي لا يزال جاثماً على أنفاس البلد متسبباً في انقسامه إلى فئات متمايزة على أساس الأصل العرقي ونوع الجنس والوضع المالي. وينص القانون على أن المحاكم ال</w:t>
      </w:r>
      <w:r w:rsidRPr="000D5B62">
        <w:rPr>
          <w:rFonts w:hint="cs"/>
          <w:rtl/>
          <w:lang w:bidi="ar-EG"/>
        </w:rPr>
        <w:t>عليا</w:t>
      </w:r>
      <w:r w:rsidRPr="000D5B62">
        <w:rPr>
          <w:rtl/>
          <w:lang w:bidi="ar-EG"/>
        </w:rPr>
        <w:t xml:space="preserve"> جميعها تصبح تلقائياً محاكم مختصة في دعاوى المساواة، إلا أن الأهم من ذلك هو أنه يمنح المحاكم الجزئية معظم سلطات الفصل في الدعاوى المتصلة بالمساواة. ونشرت اللوائح التنظيمية للمحاكم المختصة بالنظر في دعاوى المساواة</w:t>
      </w:r>
      <w:r w:rsidRPr="000D5B62">
        <w:rPr>
          <w:vertAlign w:val="superscript"/>
          <w:rtl/>
          <w:lang w:bidi="ar-EG"/>
        </w:rPr>
        <w:t>(</w:t>
      </w:r>
      <w:r w:rsidRPr="000D5B62">
        <w:rPr>
          <w:rStyle w:val="FootnoteReference"/>
          <w:szCs w:val="22"/>
          <w:rtl/>
        </w:rPr>
        <w:footnoteReference w:id="123"/>
      </w:r>
      <w:r w:rsidRPr="000D5B62">
        <w:rPr>
          <w:rStyle w:val="FootnoteReference"/>
          <w:szCs w:val="22"/>
          <w:rtl/>
        </w:rPr>
        <w:t>)</w:t>
      </w:r>
      <w:r w:rsidRPr="000D5B62">
        <w:rPr>
          <w:rtl/>
          <w:lang w:bidi="ar-EG"/>
        </w:rPr>
        <w:t>. وفي عام 2009، اع</w:t>
      </w:r>
      <w:r w:rsidRPr="000D5B62">
        <w:rPr>
          <w:rFonts w:hint="cs"/>
          <w:rtl/>
          <w:lang w:bidi="ar-EG"/>
        </w:rPr>
        <w:t>تُ</w:t>
      </w:r>
      <w:r w:rsidRPr="000D5B62">
        <w:rPr>
          <w:rtl/>
          <w:lang w:bidi="ar-EG"/>
        </w:rPr>
        <w:t xml:space="preserve">برت جميع المحاكم الجزئية محاكم مختصة في دعاوى المساواة، الأمر الذي أدى إلى تحسن فرص الاحتكام إلى العدالة، حيث أصبح بوسع الجمهور أن يتقدم بالشكاوى المتعلقة بالتمييز دون وجه حق إلى أقرب محكمة جزئية </w:t>
      </w:r>
      <w:r w:rsidRPr="000D5B62">
        <w:rPr>
          <w:rFonts w:hint="cs"/>
          <w:rtl/>
          <w:lang w:bidi="ar-EG"/>
        </w:rPr>
        <w:t>للمجتمع المحلي الذي يعيش فيه</w:t>
      </w:r>
      <w:r w:rsidRPr="000D5B62">
        <w:rPr>
          <w:rtl/>
          <w:lang w:bidi="ar-EG"/>
        </w:rPr>
        <w:t>.</w:t>
      </w:r>
    </w:p>
    <w:p w14:paraId="03A93730" w14:textId="77777777" w:rsidR="00803069" w:rsidRPr="000D5B62" w:rsidRDefault="00803069" w:rsidP="00B157F1">
      <w:pPr>
        <w:pStyle w:val="SingleTxtGA"/>
        <w:rPr>
          <w:rtl/>
          <w:lang w:bidi="ar-EG"/>
        </w:rPr>
      </w:pPr>
      <w:r w:rsidRPr="000D5B62">
        <w:rPr>
          <w:rtl/>
          <w:lang w:bidi="ar-EG"/>
        </w:rPr>
        <w:t>15</w:t>
      </w:r>
      <w:r w:rsidRPr="000D5B62">
        <w:rPr>
          <w:rFonts w:hint="cs"/>
          <w:rtl/>
          <w:lang w:bidi="ar-EG"/>
        </w:rPr>
        <w:t>9</w:t>
      </w:r>
      <w:r w:rsidRPr="000D5B62">
        <w:rPr>
          <w:rtl/>
          <w:lang w:bidi="ar-EG"/>
        </w:rPr>
        <w:t>-</w:t>
      </w:r>
      <w:r w:rsidRPr="000D5B62">
        <w:rPr>
          <w:rtl/>
          <w:lang w:bidi="ar-EG"/>
        </w:rPr>
        <w:tab/>
        <w:t xml:space="preserve">وأما عن مؤسسات الدولة المختلفة الداعمة للنظام الديمقراطي الدستوري، فقد نص الدستور ذاته والتشريعات الوطنية على إنشائها بغرض تدعيم النظام الديمقراطي الدستوري في جنوب أفريقيا، عن طريق الترويج بهمة لثقافة قوامها حقوق الإنسان وحماية تلك الحقوق وبلورتها وإعمالها، </w:t>
      </w:r>
      <w:r w:rsidRPr="000D5B62">
        <w:rPr>
          <w:rFonts w:hint="cs"/>
          <w:rtl/>
          <w:lang w:bidi="ar-EG"/>
        </w:rPr>
        <w:t>ب</w:t>
      </w:r>
      <w:r w:rsidRPr="000D5B62">
        <w:rPr>
          <w:rtl/>
          <w:lang w:bidi="ar-EG"/>
        </w:rPr>
        <w:t>ما يشمل رصد وتقييم حالة تنفيذها ومدى التقيد بها. وقد وُجدت كل من تلك المؤسسات للتركيز على قطاع بعينه من المجتمع، يرتأى أنه في أشد الاحتياج إلى تغيير جذري. وتجسيداً لتصميم الحكومة على إحداث هذا التغيير الجذري، تقرر أن تكون تلك المؤسسات مستقلة عن الحكومة بحيث يتسنى لها ممارسة اختصاصاتها وأداء مهامها الحيوية بمنأى عن الخوف أو المحاباة أو الأهواء الشخصية.</w:t>
      </w:r>
    </w:p>
    <w:p w14:paraId="0DB6D0B5" w14:textId="5F4D0108" w:rsidR="00803069" w:rsidRPr="000D5B62" w:rsidRDefault="00803069" w:rsidP="00B157F1">
      <w:pPr>
        <w:pStyle w:val="SingleTxtGA"/>
        <w:rPr>
          <w:rtl/>
          <w:lang w:bidi="ar-EG"/>
        </w:rPr>
      </w:pPr>
      <w:r w:rsidRPr="000D5B62">
        <w:rPr>
          <w:rFonts w:hint="cs"/>
          <w:rtl/>
          <w:lang w:bidi="ar-EG"/>
        </w:rPr>
        <w:t>160</w:t>
      </w:r>
      <w:r w:rsidRPr="000D5B62">
        <w:rPr>
          <w:rtl/>
          <w:lang w:bidi="ar-EG"/>
        </w:rPr>
        <w:t>-</w:t>
      </w:r>
      <w:r w:rsidRPr="000D5B62">
        <w:rPr>
          <w:rtl/>
          <w:lang w:bidi="ar-EG"/>
        </w:rPr>
        <w:tab/>
        <w:t>وفي حالات انتهاك تلك الحقوق، تتاح سبل انتصاف شتى من خلال القنوات التالية: محاكمنا المختلفة ولجان التحقيق وهيئات، من قبيل هيئات التقاضي في مجال الإسكان</w:t>
      </w:r>
      <w:r w:rsidRPr="000D5B62">
        <w:rPr>
          <w:rFonts w:hint="cs"/>
          <w:rtl/>
          <w:lang w:bidi="ar-EG"/>
        </w:rPr>
        <w:t>،</w:t>
      </w:r>
      <w:r w:rsidRPr="000D5B62">
        <w:rPr>
          <w:rtl/>
          <w:lang w:bidi="ar-EG"/>
        </w:rPr>
        <w:t xml:space="preserve"> والمجلس الوطني للتنمية الاقتصادية والعمل ومؤسسات الدولة الداعمة للنظام الدستوري وإجراءات الاستئناف المنصوص عليها في القانون فيما يتعلق بالقرارات الإدارية وأحكام قانون تعزيز إمكانية الحصول على المعلومات</w:t>
      </w:r>
      <w:r w:rsidRPr="000D5B62">
        <w:rPr>
          <w:vertAlign w:val="superscript"/>
          <w:rtl/>
          <w:lang w:bidi="ar-EG"/>
        </w:rPr>
        <w:t>(</w:t>
      </w:r>
      <w:r w:rsidRPr="000D5B62">
        <w:rPr>
          <w:rStyle w:val="FootnoteReference"/>
          <w:szCs w:val="22"/>
          <w:rtl/>
        </w:rPr>
        <w:footnoteReference w:id="124"/>
      </w:r>
      <w:r w:rsidRPr="000D5B62">
        <w:rPr>
          <w:rStyle w:val="FootnoteReference"/>
          <w:szCs w:val="22"/>
          <w:rtl/>
        </w:rPr>
        <w:t>)</w:t>
      </w:r>
      <w:r w:rsidRPr="000D5B62">
        <w:rPr>
          <w:rtl/>
          <w:lang w:bidi="ar-EG"/>
        </w:rPr>
        <w:t xml:space="preserve"> وأحكام قانون تحقيق العدالة الإدارية</w:t>
      </w:r>
      <w:r w:rsidRPr="000D5B62">
        <w:rPr>
          <w:vertAlign w:val="superscript"/>
          <w:rtl/>
          <w:lang w:bidi="ar-EG"/>
        </w:rPr>
        <w:t>(</w:t>
      </w:r>
      <w:r w:rsidRPr="000D5B62">
        <w:rPr>
          <w:rStyle w:val="FootnoteReference"/>
          <w:szCs w:val="22"/>
          <w:rtl/>
        </w:rPr>
        <w:footnoteReference w:id="125"/>
      </w:r>
      <w:r w:rsidRPr="000D5B62">
        <w:rPr>
          <w:rStyle w:val="FootnoteReference"/>
          <w:szCs w:val="22"/>
          <w:rtl/>
        </w:rPr>
        <w:t>)</w:t>
      </w:r>
      <w:r w:rsidRPr="000D5B62">
        <w:rPr>
          <w:rtl/>
          <w:lang w:bidi="ar-EG"/>
        </w:rPr>
        <w:t>. وتجدر الإشارة في هذا الصدد إلى أن المرء يحتاج المعلومات كيما تتسنى له ممارسة حقوقه، ومن ثم تنص المادة 32 من الدستور على أن لكل شخص الحق في الحصول على أي معلومات بحوزة الدولة وأي معلومات بحوزة شخص آخر يحتاجها لممارسة أو حماية أي حقوق. وإضافة إلى ذلك، يجيز قانون تعزيز إمكانية الحصول على المعلومات الحق في الاطلاع على السجلات التي تحتفظ بها الدولة والمؤسسات الحكومية والهيئات الخاصة. ومن المهام التي ينبغي للهيئات العامة والخاصة تأديتها إعداد دليل تشرح فيه لأفراد الجمهور كيفية تقديم طلب للحصول على المعلومات المحفوظة لدى الهيئة وتعيين موظف اتصال للنظر في طلبات الحصول على المعلومات</w:t>
      </w:r>
      <w:r w:rsidRPr="000D5B62">
        <w:rPr>
          <w:vertAlign w:val="superscript"/>
          <w:rtl/>
          <w:lang w:bidi="ar-EG"/>
        </w:rPr>
        <w:t>(</w:t>
      </w:r>
      <w:r w:rsidRPr="000D5B62">
        <w:rPr>
          <w:rStyle w:val="FootnoteReference"/>
          <w:szCs w:val="22"/>
          <w:rtl/>
        </w:rPr>
        <w:footnoteReference w:id="126"/>
      </w:r>
      <w:r w:rsidRPr="000D5B62">
        <w:rPr>
          <w:rStyle w:val="FootnoteReference"/>
          <w:szCs w:val="22"/>
          <w:rtl/>
        </w:rPr>
        <w:t>)</w:t>
      </w:r>
      <w:r w:rsidRPr="000D5B62">
        <w:rPr>
          <w:rtl/>
          <w:lang w:bidi="ar-EG"/>
        </w:rPr>
        <w:t>. أما قانون تحقيق العدالة الإدارية فهو قانون غير مسبوق ينشد منه تغيير الأسلوب الذي تتعامل به الحكومة مع الناس الذين تخدمهم، وهو يهيئ سبلاً لتعزيز الحق في المعاملة المنصفة في سياق الإجراءات الإدارية. ويهدف القانون إلى حماية الأشخاص من القرارات الإدارية غير القانونية وغير المعقولة والجائرة من الناحية الإجرائية. ويمنح القانون المذكور المتضررين من القرارات الإدارية الحق في أن يجري إبلاغهم بأي قرار سيتخذ وبأسباب اتخاذه والحق في أن يعاد النظر في القرارات.</w:t>
      </w:r>
    </w:p>
    <w:p w14:paraId="39715FEF" w14:textId="70D9FA95" w:rsidR="00803069" w:rsidRPr="000D5B62" w:rsidRDefault="00803069" w:rsidP="00B157F1">
      <w:pPr>
        <w:pStyle w:val="SingleTxtGA"/>
        <w:rPr>
          <w:rtl/>
          <w:lang w:bidi="ar-EG"/>
        </w:rPr>
      </w:pPr>
      <w:r w:rsidRPr="000D5B62">
        <w:rPr>
          <w:rtl/>
          <w:lang w:bidi="ar-EG"/>
        </w:rPr>
        <w:t>16</w:t>
      </w:r>
      <w:r w:rsidRPr="000D5B62">
        <w:rPr>
          <w:rFonts w:hint="cs"/>
          <w:rtl/>
          <w:lang w:bidi="ar-EG"/>
        </w:rPr>
        <w:t>1</w:t>
      </w:r>
      <w:r w:rsidRPr="000D5B62">
        <w:rPr>
          <w:rtl/>
          <w:lang w:bidi="ar-EG"/>
        </w:rPr>
        <w:t>-</w:t>
      </w:r>
      <w:r w:rsidRPr="000D5B62">
        <w:rPr>
          <w:rtl/>
          <w:lang w:bidi="ar-EG"/>
        </w:rPr>
        <w:tab/>
        <w:t xml:space="preserve">وتُعد التوعية والتعريف بالحقوق الدستورية وبحقوق الإنسان عنصرين لهما أهمية بالغة في سياق إعمال حقوق الإنسان. ومن ثم، فإلى جانب البرامج والمشاريع المختلفة التي تضطلع بها مختلف مؤسسات الدولة الداعمة للنظام الديمقراطي الدستوري في سياق التوعية بحقوق الإنسان، تنفذ الحكومة في ظل الشراكة مع مؤسسة حقوق الإنسان برنامجاً متعدد السنوات عنوانه العدالة الاجتماعية الاقتصادية </w:t>
      </w:r>
      <w:r w:rsidRPr="000D5B62">
        <w:rPr>
          <w:rFonts w:hint="cs"/>
          <w:rtl/>
          <w:lang w:bidi="ar-EG"/>
        </w:rPr>
        <w:t>لل</w:t>
      </w:r>
      <w:r w:rsidRPr="000D5B62">
        <w:rPr>
          <w:rtl/>
          <w:lang w:bidi="ar-EG"/>
        </w:rPr>
        <w:t>جميع</w:t>
      </w:r>
      <w:r w:rsidRPr="000D5B62">
        <w:rPr>
          <w:rFonts w:hint="cs"/>
          <w:rtl/>
          <w:lang w:bidi="ar-EG"/>
        </w:rPr>
        <w:t>،</w:t>
      </w:r>
      <w:r w:rsidRPr="000D5B62">
        <w:rPr>
          <w:rtl/>
          <w:lang w:bidi="ar-EG"/>
        </w:rPr>
        <w:t xml:space="preserve"> وهو البرنامج المشار إليه على الصعيد الشعبي ”</w:t>
      </w:r>
      <w:r w:rsidRPr="000D5B62">
        <w:rPr>
          <w:i/>
          <w:iCs/>
        </w:rPr>
        <w:t>Amarightza</w:t>
      </w:r>
      <w:r w:rsidRPr="000D5B62">
        <w:rPr>
          <w:rtl/>
        </w:rPr>
        <w:t>“. وينصب</w:t>
      </w:r>
      <w:r w:rsidRPr="000D5B62">
        <w:rPr>
          <w:rFonts w:hint="cs"/>
          <w:rtl/>
        </w:rPr>
        <w:t xml:space="preserve"> تركيز</w:t>
      </w:r>
      <w:r w:rsidRPr="000D5B62">
        <w:rPr>
          <w:rtl/>
        </w:rPr>
        <w:t xml:space="preserve"> البرنامج المذكور على زيادة الوعي بالحقوق مع إبراز الحقوق الاجتماعية الاقتصادية وتعزيز النظام الديمقراطي القائم على المشاركة بإقامة حوارات بشأن السياسات العامة وتوفير الدعم لمكاتب المشورة المجتمعية وإجراء بحوث بشأن الحقوق الاجتماعية الاقتصادية والاجتهاد القضائي في هذا الصدد والتنسيق بين القطاعات المختلفة والتعاون والشراكة مع منظمات المجتمع المدني</w:t>
      </w:r>
      <w:r w:rsidRPr="000D5B62">
        <w:rPr>
          <w:rFonts w:hint="cs"/>
          <w:rtl/>
        </w:rPr>
        <w:t>.</w:t>
      </w:r>
      <w:r w:rsidRPr="000D5B62">
        <w:rPr>
          <w:rtl/>
        </w:rPr>
        <w:t xml:space="preserve"> ويهدف البرنامج إلى تحقيق نتائج في ست مجالات رئيسية تشمل زيادة الوعي بالحقوق الدستورية مع إبراز الحقوق الاجتماعية الاقتصادية</w:t>
      </w:r>
      <w:r w:rsidRPr="000D5B62">
        <w:rPr>
          <w:vertAlign w:val="superscript"/>
          <w:rtl/>
        </w:rPr>
        <w:t>(</w:t>
      </w:r>
      <w:r w:rsidRPr="000D5B62">
        <w:rPr>
          <w:rStyle w:val="FootnoteReference"/>
          <w:spacing w:val="-2"/>
          <w:szCs w:val="22"/>
          <w:rtl/>
        </w:rPr>
        <w:footnoteReference w:id="127"/>
      </w:r>
      <w:r w:rsidRPr="000D5B62">
        <w:rPr>
          <w:rStyle w:val="FootnoteReference"/>
          <w:spacing w:val="-2"/>
          <w:szCs w:val="22"/>
          <w:rtl/>
        </w:rPr>
        <w:t>)</w:t>
      </w:r>
      <w:r w:rsidRPr="000D5B62">
        <w:rPr>
          <w:rtl/>
        </w:rPr>
        <w:t>.</w:t>
      </w:r>
    </w:p>
    <w:p w14:paraId="4D7A25CC" w14:textId="77777777" w:rsidR="00803069" w:rsidRPr="000D5B62" w:rsidRDefault="00803069" w:rsidP="00B157F1">
      <w:pPr>
        <w:pStyle w:val="SingleTxtGA"/>
        <w:rPr>
          <w:rtl/>
          <w:lang w:bidi="ar-EG"/>
        </w:rPr>
      </w:pPr>
      <w:r w:rsidRPr="000D5B62">
        <w:rPr>
          <w:rtl/>
          <w:lang w:bidi="ar-EG"/>
        </w:rPr>
        <w:t>16</w:t>
      </w:r>
      <w:r w:rsidRPr="000D5B62">
        <w:rPr>
          <w:rFonts w:hint="cs"/>
          <w:rtl/>
          <w:lang w:bidi="ar-EG"/>
        </w:rPr>
        <w:t>2</w:t>
      </w:r>
      <w:r w:rsidRPr="000D5B62">
        <w:rPr>
          <w:rtl/>
          <w:lang w:bidi="ar-EG"/>
        </w:rPr>
        <w:t>-</w:t>
      </w:r>
      <w:r w:rsidRPr="000D5B62">
        <w:rPr>
          <w:rtl/>
          <w:lang w:bidi="ar-EG"/>
        </w:rPr>
        <w:tab/>
        <w:t xml:space="preserve">وثمة وسيلة أخرى لمساعدة الجماعات المحلية على نيل حقوق الإنسان الواجبة لها وحمايتها، ألا وهي مكاتب المشورة المجتمعية، وهي منظمات غير ربحية صغيرة توفر مجاناً المعلومات والمشورة والخدمات في المجال القانوني وفي مجال حقوق الإنسان. وإضافة إلى توفير المعلومات المتصلة بالحقوق، تقوم المكاتب المذكورة بتعريف الجماعات المحلية بكيفية الاستفادة من الخدمات التي توفرها الإدارات والوكالات الحكومية وبالجهات التي يمكن أن تحصل منها على تلك الخدمات. وتقدم مكاتب المشورة المجتمعية الآن خدمات تسهم في تحقيق العدالة الاجتماعية وتيسر للفقراء والمهمشين سبل الاستفادة من الخدمات الحكومية. ويقدم المساعدون القانونيون العاملون على الصعيد المجتمعي في تلك المكاتب الدعم والمساعدة الآنية للكثيرين ممن لا يسعهم الاستفادة من أشكال الخدمات القانونية الأخرى. وعلى امتداد السنين، وفرت المكاتب المذكورة لملايين الفقراء والمهمشين في جنوب أفريقيا خدمات هم في أمسّ الحاجة إليها. </w:t>
      </w:r>
    </w:p>
    <w:p w14:paraId="6208D202" w14:textId="1FA3D354" w:rsidR="00803069" w:rsidRPr="000D5B62" w:rsidRDefault="00803069" w:rsidP="00B157F1">
      <w:pPr>
        <w:pStyle w:val="SingleTxtGA"/>
        <w:rPr>
          <w:rtl/>
        </w:rPr>
      </w:pPr>
      <w:r w:rsidRPr="000D5B62">
        <w:rPr>
          <w:rtl/>
          <w:lang w:bidi="ar-EG"/>
        </w:rPr>
        <w:t>16</w:t>
      </w:r>
      <w:r w:rsidRPr="000D5B62">
        <w:rPr>
          <w:rFonts w:hint="cs"/>
          <w:rtl/>
          <w:lang w:bidi="ar-EG"/>
        </w:rPr>
        <w:t>3</w:t>
      </w:r>
      <w:r w:rsidRPr="000D5B62">
        <w:rPr>
          <w:rtl/>
          <w:lang w:bidi="ar-EG"/>
        </w:rPr>
        <w:t>-</w:t>
      </w:r>
      <w:r w:rsidRPr="000D5B62">
        <w:rPr>
          <w:rtl/>
          <w:lang w:bidi="ar-EG"/>
        </w:rPr>
        <w:tab/>
        <w:t xml:space="preserve">وتواصل </w:t>
      </w:r>
      <w:r w:rsidRPr="000D5B62">
        <w:rPr>
          <w:rFonts w:hint="cs"/>
          <w:rtl/>
          <w:lang w:bidi="ar-EG"/>
        </w:rPr>
        <w:t>ال</w:t>
      </w:r>
      <w:r w:rsidRPr="000D5B62">
        <w:rPr>
          <w:rtl/>
          <w:lang w:bidi="ar-EG"/>
        </w:rPr>
        <w:t xml:space="preserve">حكومة وضع وتنفيذ سياسات تيسر سبل الاحتكام إلى العدالة وتكفل توعية الناس بحقوقهم. وعلى الرغم من أن دستورنا مشهود له على </w:t>
      </w:r>
      <w:r w:rsidRPr="000D5B62">
        <w:rPr>
          <w:rFonts w:hint="cs"/>
          <w:rtl/>
          <w:lang w:bidi="ar-EG"/>
        </w:rPr>
        <w:t>نطاق</w:t>
      </w:r>
      <w:r w:rsidRPr="000D5B62">
        <w:rPr>
          <w:rtl/>
          <w:lang w:bidi="ar-EG"/>
        </w:rPr>
        <w:t xml:space="preserve"> العالم بأنه دستور تقدمي من شأنه أن يحدث تغييراً جذرياً، ليس بالدستور التقدمي وحده يمكن إعمال الحقوق إن كان الناس الذين يعيشون في بلدنا لا</w:t>
      </w:r>
      <w:r w:rsidR="00772128" w:rsidRPr="000D5B62">
        <w:rPr>
          <w:rFonts w:hint="cs"/>
          <w:rtl/>
          <w:lang w:bidi="ar-EG"/>
        </w:rPr>
        <w:t> </w:t>
      </w:r>
      <w:r w:rsidRPr="000D5B62">
        <w:rPr>
          <w:rtl/>
          <w:lang w:bidi="ar-EG"/>
        </w:rPr>
        <w:t xml:space="preserve">يدركون </w:t>
      </w:r>
      <w:r w:rsidRPr="000D5B62">
        <w:rPr>
          <w:rFonts w:hint="cs"/>
          <w:rtl/>
          <w:lang w:bidi="ar-EG"/>
        </w:rPr>
        <w:t>مضامينه</w:t>
      </w:r>
      <w:r w:rsidRPr="000D5B62">
        <w:rPr>
          <w:rtl/>
          <w:lang w:bidi="ar-EG"/>
        </w:rPr>
        <w:t xml:space="preserve">. ومن ثم، فمن الحتمي بالنسبة لنا </w:t>
      </w:r>
      <w:r w:rsidRPr="000D5B62">
        <w:rPr>
          <w:rFonts w:hint="cs"/>
          <w:rtl/>
          <w:lang w:bidi="ar-EG"/>
        </w:rPr>
        <w:t>التحقق من أن</w:t>
      </w:r>
      <w:r w:rsidRPr="000D5B62">
        <w:rPr>
          <w:rtl/>
          <w:lang w:bidi="ar-EG"/>
        </w:rPr>
        <w:t xml:space="preserve"> كل شخص يعيش داخل حدودنا</w:t>
      </w:r>
      <w:r w:rsidRPr="000D5B62">
        <w:rPr>
          <w:rFonts w:hint="cs"/>
          <w:rtl/>
          <w:lang w:bidi="ar-EG"/>
        </w:rPr>
        <w:t xml:space="preserve"> يعرف</w:t>
      </w:r>
      <w:r w:rsidRPr="000D5B62">
        <w:rPr>
          <w:rtl/>
          <w:lang w:bidi="ar-EG"/>
        </w:rPr>
        <w:t xml:space="preserve"> الدستور ويفهمه. والكثيرون في جنوب أفريقيا فقراء ويعيشون في المناطق الريفية من البلد، وهم غالباً من أشد الفئات ضعفاً التي يتعرض أفرادها من نساء وأطفال وأشخاص ذوي إعاقة ومسنين ومثليات ومزدوجي الميل الجنسي ومثليين ومغايري الهوية الجنسانية وأشخاص حاملي صفات الجنسين للعنف وبما يتصل به من أذى. وعلى الرغم مما بذلته الحكومة من جهود بالتعاون مع منظمات المجتمع المدني لتعريف الناس بحقوقهم ومسؤولياتهم، لا يزال هناك الكثير مما ينبغي عمله.</w:t>
      </w:r>
    </w:p>
    <w:p w14:paraId="076D7AD6" w14:textId="574748E7" w:rsidR="00803069" w:rsidRPr="000D5B62" w:rsidRDefault="00803069" w:rsidP="00B157F1">
      <w:pPr>
        <w:pStyle w:val="SingleTxtGA"/>
        <w:rPr>
          <w:spacing w:val="-2"/>
          <w:rtl/>
          <w:lang w:bidi="ar-EG"/>
        </w:rPr>
      </w:pPr>
      <w:r w:rsidRPr="000D5B62">
        <w:rPr>
          <w:spacing w:val="-2"/>
          <w:rtl/>
          <w:lang w:bidi="ar-EG"/>
        </w:rPr>
        <w:t>16</w:t>
      </w:r>
      <w:r w:rsidRPr="000D5B62">
        <w:rPr>
          <w:rFonts w:hint="cs"/>
          <w:spacing w:val="-2"/>
          <w:rtl/>
          <w:lang w:bidi="ar-EG"/>
        </w:rPr>
        <w:t>4</w:t>
      </w:r>
      <w:r w:rsidRPr="000D5B62">
        <w:rPr>
          <w:spacing w:val="-2"/>
          <w:rtl/>
          <w:lang w:bidi="ar-EG"/>
        </w:rPr>
        <w:t>-</w:t>
      </w:r>
      <w:r w:rsidRPr="000D5B62">
        <w:rPr>
          <w:spacing w:val="-2"/>
          <w:rtl/>
          <w:lang w:bidi="ar-EG"/>
        </w:rPr>
        <w:tab/>
        <w:t xml:space="preserve">وفي الفترة 2017/2018 </w:t>
      </w:r>
      <w:r w:rsidRPr="000D5B62">
        <w:rPr>
          <w:rFonts w:hint="cs"/>
          <w:spacing w:val="-2"/>
          <w:rtl/>
          <w:lang w:bidi="ar-EG"/>
        </w:rPr>
        <w:t>نشرت</w:t>
      </w:r>
      <w:r w:rsidRPr="000D5B62">
        <w:rPr>
          <w:spacing w:val="-2"/>
          <w:rtl/>
          <w:lang w:bidi="ar-EG"/>
        </w:rPr>
        <w:t xml:space="preserve"> الحكومة</w:t>
      </w:r>
      <w:r w:rsidRPr="000D5B62">
        <w:rPr>
          <w:rFonts w:hint="cs"/>
          <w:spacing w:val="-2"/>
          <w:rtl/>
          <w:lang w:bidi="ar-EG"/>
        </w:rPr>
        <w:t xml:space="preserve"> مع شريكتها في التنفيذ</w:t>
      </w:r>
      <w:r w:rsidRPr="000D5B62">
        <w:rPr>
          <w:spacing w:val="-2"/>
          <w:rtl/>
          <w:lang w:bidi="ar-EG"/>
        </w:rPr>
        <w:t>، مؤسسة حقوق الإنسان، تقرير</w:t>
      </w:r>
      <w:r w:rsidRPr="000D5B62">
        <w:rPr>
          <w:rFonts w:hint="cs"/>
          <w:spacing w:val="-2"/>
          <w:rtl/>
          <w:lang w:bidi="ar-EG"/>
        </w:rPr>
        <w:t>اً لقي</w:t>
      </w:r>
      <w:r w:rsidRPr="000D5B62">
        <w:rPr>
          <w:spacing w:val="-2"/>
          <w:rtl/>
          <w:lang w:bidi="ar-EG"/>
        </w:rPr>
        <w:t xml:space="preserve"> استحساناً شديداً </w:t>
      </w:r>
      <w:r w:rsidRPr="000D5B62">
        <w:rPr>
          <w:rFonts w:hint="cs"/>
          <w:spacing w:val="-2"/>
          <w:rtl/>
          <w:lang w:bidi="ar-EG"/>
        </w:rPr>
        <w:t>عن نتائج ا</w:t>
      </w:r>
      <w:r w:rsidRPr="000D5B62">
        <w:rPr>
          <w:spacing w:val="-2"/>
          <w:rtl/>
          <w:lang w:bidi="ar-EG"/>
        </w:rPr>
        <w:t>ستقصاء أساسي أجري للوقوف على مدى الاستفادة من الحقوق، بما فيها الحقوق الاجتماعية الاقتصادية ومدى الوعي بها والتعرف على المواقف حيالها. ولقد أجري الاستقصاء على نطاق البلد، وشاركت فيه 000 24 أسرة معيشية مشمولة ببرنامج العدالة الاجتماعية الاقتصادية للجميع. وضمت العينة النهائية المستخدمة في ذلك الاستقصاء الذي أجري في إطار البرنامج المذكور 897 24 شخصاً أمدونا بمعلومات أفادتنا بشدة في تقييم ما حققناه حتى الآن في مجال التوعية بالحقوق الدستورية وحقوق الإنسان. ولقد سئل الأشخاص المشمولون بالاستقصاء عما إذا كانوا سمعوا بدستور جنوب أفريقيا وما إذا كانوا سمعوا بشرعة الحقوق الواردة في الفصل 2 من الدستور. فأجاب ما يزيد عن النصف قليلاً (51 في المائة) بأنهم سمعوا بواحد من الاثنين وفاقت نسبة الذكور المرجح أنهم سمعوا بأي من الدستور أو شرعة الحقوق (55 في المائة) نسبة الإناث (47 في المائة) اللاتي سمعن بأي منهما. وفيما يتعلق بالأصل العرقي للأشخاص المشمولين بالاستقصاء الذين يرجح أنهم سمعوا بأي من الاثنين، جاء البيض (68 في المائة) في الترتيب الأول يليهم الهنود/الآسيويون المشمولون بالاستقصاء (61 في المائة). وفي حين سمعت أغلبية الملونين (56 في المائة) إما بالدستور أو بشرعة الحقوق، كانت نسبة الأفريقيين السود المشمولين بالاستقصاء الذين سمعوا بواحد منهما أقل من النصف (48 في المائة)، الأمر الذي يستدل منه على أنه ما</w:t>
      </w:r>
      <w:r w:rsidR="00DE7BB1" w:rsidRPr="000D5B62">
        <w:rPr>
          <w:rFonts w:hint="cs"/>
          <w:spacing w:val="-2"/>
          <w:rtl/>
          <w:lang w:bidi="ar-EG"/>
        </w:rPr>
        <w:t> </w:t>
      </w:r>
      <w:r w:rsidRPr="000D5B62">
        <w:rPr>
          <w:spacing w:val="-2"/>
          <w:rtl/>
          <w:lang w:bidi="ar-EG"/>
        </w:rPr>
        <w:t>زالت أمامنا مهمة ضخمة يلزم أداؤها لرفع مستويات الوعي بالحقوق الدستورية وبحقوق الإنسان.</w:t>
      </w:r>
    </w:p>
    <w:p w14:paraId="0E0E0AA2" w14:textId="04DEE33D" w:rsidR="00803069" w:rsidRDefault="00803069" w:rsidP="00B157F1">
      <w:pPr>
        <w:pStyle w:val="SingleTxtGA"/>
        <w:rPr>
          <w:rtl/>
          <w:lang w:bidi="ar-EG"/>
        </w:rPr>
      </w:pPr>
      <w:r w:rsidRPr="000D5B62">
        <w:rPr>
          <w:rtl/>
          <w:lang w:bidi="ar-EG"/>
        </w:rPr>
        <w:t>16</w:t>
      </w:r>
      <w:r w:rsidRPr="000D5B62">
        <w:rPr>
          <w:rFonts w:hint="cs"/>
          <w:rtl/>
          <w:lang w:bidi="ar-EG"/>
        </w:rPr>
        <w:t>5</w:t>
      </w:r>
      <w:r w:rsidRPr="000D5B62">
        <w:rPr>
          <w:rtl/>
          <w:lang w:bidi="ar-EG"/>
        </w:rPr>
        <w:t>-</w:t>
      </w:r>
      <w:r w:rsidRPr="000D5B62">
        <w:rPr>
          <w:rtl/>
          <w:lang w:bidi="ar-EG"/>
        </w:rPr>
        <w:tab/>
        <w:t xml:space="preserve">وتعزيزاً </w:t>
      </w:r>
      <w:r w:rsidRPr="000D5B62">
        <w:rPr>
          <w:rFonts w:hint="cs"/>
          <w:rtl/>
          <w:lang w:bidi="ar-EG"/>
        </w:rPr>
        <w:t>لأنشطة التوعية والتثقيف في مجال</w:t>
      </w:r>
      <w:r w:rsidRPr="000D5B62">
        <w:rPr>
          <w:rtl/>
          <w:lang w:bidi="ar-EG"/>
        </w:rPr>
        <w:t xml:space="preserve"> حقوق الإنسان </w:t>
      </w:r>
      <w:r w:rsidRPr="000D5B62">
        <w:rPr>
          <w:rFonts w:hint="cs"/>
          <w:rtl/>
          <w:lang w:bidi="ar-EG"/>
        </w:rPr>
        <w:t>في المدارس</w:t>
      </w:r>
      <w:r w:rsidRPr="000D5B62">
        <w:rPr>
          <w:rtl/>
          <w:lang w:bidi="ar-EG"/>
        </w:rPr>
        <w:t xml:space="preserve">، تنظم الحكومة سنوياً، مع جامعة بريتوريا ومفوضية جنوب أفريقيا لحقوق الإنسان ومؤسسة حقوق الإنسان، المسابقة الوطنية لإجراء محاكمات صورية على صعيد المدارس. ويدعى تلاميذ جميع المدارس في البلد إلى المشاركة في المسابقة، أولاً عن طريق كتابة مواضيع إنشائية </w:t>
      </w:r>
      <w:r w:rsidRPr="000D5B62">
        <w:rPr>
          <w:rFonts w:hint="cs"/>
          <w:rtl/>
          <w:lang w:bidi="ar-EG"/>
        </w:rPr>
        <w:t>يُ</w:t>
      </w:r>
      <w:r w:rsidRPr="000D5B62">
        <w:rPr>
          <w:rtl/>
          <w:lang w:bidi="ar-EG"/>
        </w:rPr>
        <w:t>ختار بعدها أقوى عشر فرق للمشاركة في الاختبارات الشفوية على صعيد المقاطعات</w:t>
      </w:r>
      <w:r w:rsidRPr="000D5B62">
        <w:rPr>
          <w:rFonts w:hint="cs"/>
          <w:rtl/>
          <w:lang w:bidi="ar-EG"/>
        </w:rPr>
        <w:t>.</w:t>
      </w:r>
      <w:r w:rsidRPr="000D5B62">
        <w:rPr>
          <w:rtl/>
          <w:lang w:bidi="ar-EG"/>
        </w:rPr>
        <w:t xml:space="preserve"> وتقام الأدوار النهائية في المحكمة الدستورية في جوهانسبرغ، حيث تعرض الفرق قضاياها أمام قضاة المحكمة الدستورية.</w:t>
      </w:r>
    </w:p>
    <w:p w14:paraId="31DFE1E4" w14:textId="74E9AE2F" w:rsidR="00803069" w:rsidRPr="00803069" w:rsidRDefault="00803069" w:rsidP="00803069">
      <w:pPr>
        <w:pStyle w:val="SingleTxtGA"/>
        <w:jc w:val="center"/>
        <w:rPr>
          <w:u w:val="single"/>
          <w:rtl/>
          <w:lang w:bidi="ar-EG"/>
        </w:rPr>
      </w:pPr>
      <w:r>
        <w:rPr>
          <w:u w:val="single"/>
          <w:rtl/>
          <w:lang w:bidi="ar-EG"/>
        </w:rPr>
        <w:tab/>
      </w:r>
      <w:r>
        <w:rPr>
          <w:u w:val="single"/>
          <w:rtl/>
          <w:lang w:bidi="ar-EG"/>
        </w:rPr>
        <w:tab/>
      </w:r>
      <w:r>
        <w:rPr>
          <w:u w:val="single"/>
          <w:rtl/>
          <w:lang w:bidi="ar-EG"/>
        </w:rPr>
        <w:tab/>
      </w:r>
    </w:p>
    <w:sectPr w:rsidR="00803069" w:rsidRPr="00803069" w:rsidSect="009B1970">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E79B" w14:textId="77777777" w:rsidR="009460BA" w:rsidRPr="002901D9" w:rsidRDefault="009460BA" w:rsidP="009815E4">
      <w:pPr>
        <w:spacing w:after="60" w:line="240" w:lineRule="auto"/>
        <w:ind w:left="57"/>
        <w:rPr>
          <w:i/>
          <w:iCs/>
        </w:rPr>
      </w:pPr>
      <w:r>
        <w:rPr>
          <w:rFonts w:hint="cs"/>
          <w:i/>
          <w:iCs/>
          <w:rtl/>
        </w:rPr>
        <w:t>الحواشي</w:t>
      </w:r>
    </w:p>
  </w:endnote>
  <w:endnote w:type="continuationSeparator" w:id="0">
    <w:p w14:paraId="543AE629" w14:textId="77777777" w:rsidR="009460BA" w:rsidRDefault="009460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3813" w14:textId="048E0EFF" w:rsidR="009460BA" w:rsidRPr="00A445A1" w:rsidRDefault="009460BA" w:rsidP="00A445A1">
    <w:pPr>
      <w:pStyle w:val="Footer"/>
      <w:tabs>
        <w:tab w:val="right" w:pos="9638"/>
      </w:tabs>
      <w:rPr>
        <w:b/>
        <w:sz w:val="18"/>
        <w:lang w:val="en-US"/>
      </w:rPr>
    </w:pPr>
    <w:r w:rsidRPr="00FE4954">
      <w:rPr>
        <w:lang w:val="en-US"/>
      </w:rPr>
      <w:t>GE.21-11743</w:t>
    </w:r>
    <w:r w:rsidRPr="00FE4954">
      <w:rPr>
        <w:lang w:val="en-US"/>
      </w:rPr>
      <w:tab/>
    </w:r>
    <w:r w:rsidRPr="00FE4954">
      <w:rPr>
        <w:b/>
        <w:sz w:val="18"/>
        <w:lang w:val="en-US"/>
      </w:rPr>
      <w:fldChar w:fldCharType="begin"/>
    </w:r>
    <w:r w:rsidRPr="00FE4954">
      <w:rPr>
        <w:b/>
        <w:sz w:val="18"/>
        <w:lang w:val="en-US"/>
      </w:rPr>
      <w:instrText xml:space="preserve"> PAGE  \* MERGEFORMAT </w:instrText>
    </w:r>
    <w:r w:rsidRPr="00FE4954">
      <w:rPr>
        <w:b/>
        <w:sz w:val="18"/>
        <w:lang w:val="en-US"/>
      </w:rPr>
      <w:fldChar w:fldCharType="separate"/>
    </w:r>
    <w:r w:rsidRPr="00FE4954">
      <w:rPr>
        <w:b/>
        <w:noProof/>
        <w:sz w:val="18"/>
        <w:lang w:val="en-US"/>
      </w:rPr>
      <w:t>2</w:t>
    </w:r>
    <w:r w:rsidRPr="00FE495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C59B" w14:textId="34A91C85" w:rsidR="009460BA" w:rsidRPr="00A445A1" w:rsidRDefault="009460BA" w:rsidP="00A445A1">
    <w:pPr>
      <w:pStyle w:val="Footer"/>
      <w:tabs>
        <w:tab w:val="right" w:pos="9638"/>
      </w:tabs>
      <w:jc w:val="left"/>
      <w:rPr>
        <w:lang w:val="en-US"/>
      </w:rPr>
    </w:pPr>
    <w:r w:rsidRPr="00FE4954">
      <w:rPr>
        <w:b/>
        <w:sz w:val="18"/>
        <w:lang w:val="en-US"/>
      </w:rPr>
      <w:fldChar w:fldCharType="begin"/>
    </w:r>
    <w:r w:rsidRPr="00FE4954">
      <w:rPr>
        <w:b/>
        <w:sz w:val="18"/>
        <w:lang w:val="en-US"/>
      </w:rPr>
      <w:instrText xml:space="preserve"> PAGE  \* MERGEFORMAT </w:instrText>
    </w:r>
    <w:r w:rsidRPr="00FE4954">
      <w:rPr>
        <w:b/>
        <w:sz w:val="18"/>
        <w:lang w:val="en-US"/>
      </w:rPr>
      <w:fldChar w:fldCharType="separate"/>
    </w:r>
    <w:r w:rsidRPr="00FE4954">
      <w:rPr>
        <w:b/>
        <w:noProof/>
        <w:sz w:val="18"/>
        <w:lang w:val="en-US"/>
      </w:rPr>
      <w:t>3</w:t>
    </w:r>
    <w:r w:rsidRPr="00FE4954">
      <w:rPr>
        <w:b/>
        <w:sz w:val="18"/>
        <w:lang w:val="en-US"/>
      </w:rPr>
      <w:fldChar w:fldCharType="end"/>
    </w:r>
    <w:r w:rsidRPr="00FE4954">
      <w:rPr>
        <w:b/>
        <w:sz w:val="18"/>
        <w:lang w:val="en-US"/>
      </w:rPr>
      <w:tab/>
    </w:r>
    <w:r w:rsidRPr="00FE4954">
      <w:rPr>
        <w:lang w:val="en-US"/>
      </w:rPr>
      <w:t>GE.21-11743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C09" w14:textId="6EC823F6" w:rsidR="009460BA" w:rsidRPr="00A445A1" w:rsidRDefault="009460BA" w:rsidP="00A445A1">
    <w:pPr>
      <w:pStyle w:val="Footer"/>
      <w:spacing w:before="600"/>
      <w:ind w:left="567"/>
      <w:jc w:val="right"/>
      <w:rPr>
        <w:sz w:val="20"/>
        <w:lang w:val="en-US"/>
      </w:rPr>
    </w:pPr>
    <w:r w:rsidRPr="00FE4954">
      <w:rPr>
        <w:sz w:val="20"/>
        <w:lang w:val="en-US"/>
      </w:rPr>
      <w:t>GE.</w:t>
    </w:r>
    <w:r w:rsidRPr="00FE4954">
      <w:rPr>
        <w:noProof/>
      </w:rPr>
      <w:drawing>
        <wp:anchor distT="0" distB="0" distL="114300" distR="114300" simplePos="0" relativeHeight="251658240" behindDoc="1" locked="1" layoutInCell="0" allowOverlap="1" wp14:anchorId="6F5B6D75" wp14:editId="4EBB345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FE4954">
      <w:rPr>
        <w:sz w:val="20"/>
        <w:lang w:val="en-US"/>
      </w:rPr>
      <w:t>21-11743 (A)</w:t>
    </w:r>
    <w:r w:rsidRPr="00FE4954">
      <w:rPr>
        <w:noProof/>
        <w:sz w:val="20"/>
        <w:lang w:val="en-US"/>
      </w:rPr>
      <w:drawing>
        <wp:anchor distT="0" distB="0" distL="114300" distR="114300" simplePos="0" relativeHeight="251659264" behindDoc="0" locked="0" layoutInCell="1" allowOverlap="1" wp14:anchorId="373F72FF" wp14:editId="251CD500">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48E4" w14:textId="77777777" w:rsidR="009460BA" w:rsidRPr="00CA22EA" w:rsidRDefault="009460BA" w:rsidP="00CA22E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51E8AD2" w14:textId="77777777" w:rsidR="009460BA" w:rsidRDefault="009460BA" w:rsidP="00656392">
      <w:pPr>
        <w:spacing w:line="240" w:lineRule="auto"/>
      </w:pPr>
      <w:r>
        <w:continuationSeparator/>
      </w:r>
    </w:p>
  </w:footnote>
  <w:footnote w:id="1">
    <w:p w14:paraId="17863A05" w14:textId="2A63A14C" w:rsidR="009460BA" w:rsidRPr="00FE4954" w:rsidRDefault="009460BA" w:rsidP="00706D34">
      <w:pPr>
        <w:pStyle w:val="FootnoteText1"/>
        <w:textDirection w:val="tbRlV"/>
        <w:rPr>
          <w:rFonts w:eastAsiaTheme="minorEastAsia"/>
          <w:lang w:val="ar-SA" w:eastAsia="zh-TW" w:bidi="en-GB"/>
        </w:rPr>
      </w:pPr>
      <w:r w:rsidRPr="00FE4954">
        <w:rPr>
          <w:rFonts w:eastAsiaTheme="minorEastAsia"/>
        </w:rPr>
        <w:t>*</w:t>
      </w:r>
      <w:r w:rsidRPr="00FE4954">
        <w:rPr>
          <w:rFonts w:eastAsiaTheme="minorEastAsia"/>
          <w:rtl/>
        </w:rPr>
        <w:tab/>
        <w:t xml:space="preserve">تصدر هذه الوثيقة من </w:t>
      </w:r>
      <w:r w:rsidRPr="00FE4954">
        <w:rPr>
          <w:rtl/>
        </w:rPr>
        <w:t>دون</w:t>
      </w:r>
      <w:r w:rsidRPr="00FE4954">
        <w:rPr>
          <w:rFonts w:eastAsiaTheme="minorEastAsia"/>
          <w:rtl/>
        </w:rPr>
        <w:t xml:space="preserve"> تحرير رسمي.</w:t>
      </w:r>
    </w:p>
  </w:footnote>
  <w:footnote w:id="2">
    <w:p w14:paraId="256ACAB0" w14:textId="77D7191F" w:rsidR="009460BA" w:rsidRPr="00FE4954" w:rsidRDefault="009460BA" w:rsidP="0035195D">
      <w:pPr>
        <w:pStyle w:val="FootnoteText1"/>
        <w:spacing w:line="240" w:lineRule="exact"/>
        <w:textDirection w:val="tbRlV"/>
        <w:rPr>
          <w:rFonts w:eastAsiaTheme="minorEastAsia"/>
          <w:rtl/>
          <w:lang w:val="fr-CH" w:eastAsia="zh-TW"/>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Mid-year population estimates, 2018, Statistics South Africa, Statistical Release P0302, released July 2018</w:t>
      </w:r>
      <w:r w:rsidRPr="00FE4954">
        <w:rPr>
          <w:rFonts w:eastAsiaTheme="minorEastAsia" w:hint="cs"/>
          <w:rtl/>
          <w:lang w:val="fr-CH" w:eastAsia="zh-TW"/>
        </w:rPr>
        <w:t>.</w:t>
      </w:r>
    </w:p>
  </w:footnote>
  <w:footnote w:id="3">
    <w:p w14:paraId="0BB985B5" w14:textId="00C8950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1.</w:t>
      </w:r>
    </w:p>
  </w:footnote>
  <w:footnote w:id="4">
    <w:p w14:paraId="129382C7" w14:textId="7BC7D2D8"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1.</w:t>
      </w:r>
    </w:p>
  </w:footnote>
  <w:footnote w:id="5">
    <w:p w14:paraId="135C3139" w14:textId="29CD9F22"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55 الصادر في عام 1998.</w:t>
      </w:r>
    </w:p>
  </w:footnote>
  <w:footnote w:id="6">
    <w:p w14:paraId="3C8BC982" w14:textId="5771C2F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1.</w:t>
      </w:r>
    </w:p>
  </w:footnote>
  <w:footnote w:id="7">
    <w:p w14:paraId="7E189F2A" w14:textId="64C498DD" w:rsidR="009460BA" w:rsidRPr="00FE4954" w:rsidRDefault="009460BA" w:rsidP="00803069">
      <w:pPr>
        <w:pStyle w:val="FootnoteText1"/>
        <w:textDirection w:val="tbRlV"/>
        <w:rPr>
          <w:rFonts w:eastAsiaTheme="minorEastAsia"/>
          <w:rtl/>
          <w:lang w:val="fr-CH" w:eastAsia="zh-TW"/>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Sustainable Development Goals: Baseline Report 2017, Statistics SA</w:t>
      </w:r>
      <w:r w:rsidRPr="00FE4954">
        <w:rPr>
          <w:rFonts w:eastAsiaTheme="minorEastAsia" w:hint="cs"/>
          <w:rtl/>
          <w:lang w:val="fr-CH" w:eastAsia="zh-TW"/>
        </w:rPr>
        <w:t>.</w:t>
      </w:r>
    </w:p>
  </w:footnote>
  <w:footnote w:id="8">
    <w:p w14:paraId="60071147" w14:textId="0C538689"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Living Conditions of Households in South Africa, An analysis of household expenditure and income data using the LCS 2015/2014, Statistical Release P0310, released 27 January 2017</w:t>
      </w:r>
      <w:r w:rsidRPr="00FE4954">
        <w:rPr>
          <w:rFonts w:eastAsiaTheme="minorEastAsia"/>
          <w:rtl/>
        </w:rPr>
        <w:t>.</w:t>
      </w:r>
    </w:p>
  </w:footnote>
  <w:footnote w:id="9">
    <w:p w14:paraId="3F8252AF" w14:textId="15683BB7" w:rsidR="009460BA" w:rsidRPr="00FE4954" w:rsidRDefault="009460BA" w:rsidP="00F81761">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 xml:space="preserve">South Africa Demographic and Health Survey 2016: Key Indicator Report, Statistics South </w:t>
      </w:r>
      <w:r w:rsidRPr="00FE4954">
        <w:rPr>
          <w:rStyle w:val="FootnoteReference"/>
          <w:vertAlign w:val="baseline"/>
        </w:rPr>
        <w:t>Africa</w:t>
      </w:r>
      <w:r w:rsidRPr="00FE4954">
        <w:rPr>
          <w:rFonts w:eastAsiaTheme="minorEastAsia"/>
          <w:rtl/>
        </w:rPr>
        <w:t>.</w:t>
      </w:r>
    </w:p>
  </w:footnote>
  <w:footnote w:id="10">
    <w:p w14:paraId="4D88899B" w14:textId="5AC7A5CF"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Mortality and causes of death in South Africa, 2016, Statistical Release P0309.3, March 2018</w:t>
      </w:r>
      <w:r w:rsidRPr="00FE4954">
        <w:rPr>
          <w:rFonts w:eastAsiaTheme="minorEastAsia"/>
          <w:rtl/>
        </w:rPr>
        <w:t>.</w:t>
      </w:r>
    </w:p>
  </w:footnote>
  <w:footnote w:id="11">
    <w:p w14:paraId="6A8F949D" w14:textId="4C8272F4"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Mid-year population estimates, 2017, Statistics South Africa, Statistical Release P0302, released July 2017</w:t>
      </w:r>
      <w:r w:rsidRPr="00FE4954">
        <w:rPr>
          <w:rFonts w:eastAsiaTheme="minorEastAsia"/>
          <w:b/>
          <w:bCs/>
          <w:i/>
          <w:iCs/>
          <w:rtl/>
        </w:rPr>
        <w:t>.</w:t>
      </w:r>
    </w:p>
  </w:footnote>
  <w:footnote w:id="12">
    <w:p w14:paraId="54047F23" w14:textId="45905818"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10.</w:t>
      </w:r>
    </w:p>
  </w:footnote>
  <w:footnote w:id="13">
    <w:p w14:paraId="35C4B519" w14:textId="38D33BEE"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9.</w:t>
      </w:r>
    </w:p>
  </w:footnote>
  <w:footnote w:id="14">
    <w:p w14:paraId="6BDD803A" w14:textId="131D3737"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10.</w:t>
      </w:r>
    </w:p>
  </w:footnote>
  <w:footnote w:id="15">
    <w:p w14:paraId="003C5830" w14:textId="7124ADB3"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General Household Survey, Statistics SA, Statistical Release, P0318, released June 2018</w:t>
      </w:r>
      <w:r w:rsidRPr="00FE4954">
        <w:rPr>
          <w:rFonts w:eastAsiaTheme="minorEastAsia"/>
          <w:rtl/>
        </w:rPr>
        <w:t>.</w:t>
      </w:r>
    </w:p>
  </w:footnote>
  <w:footnote w:id="16">
    <w:p w14:paraId="6687F027" w14:textId="27289B5F"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Survey of Activities of Young People, 2015, Statistics SA, Statistical Release, P0212, released March 2017</w:t>
      </w:r>
      <w:r w:rsidRPr="00FE4954">
        <w:rPr>
          <w:rFonts w:eastAsiaTheme="minorEastAsia"/>
          <w:rtl/>
        </w:rPr>
        <w:t xml:space="preserve">. </w:t>
      </w:r>
    </w:p>
  </w:footnote>
  <w:footnote w:id="17">
    <w:p w14:paraId="5E5FD326" w14:textId="3D7245DF"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108 الصادر في عام 1996.</w:t>
      </w:r>
    </w:p>
  </w:footnote>
  <w:footnote w:id="18">
    <w:p w14:paraId="67451D98" w14:textId="63EF5F37"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Education Series Volume III Education Enrolment and Achievement, 2016, Statistics SA Report 92-01-03</w:t>
      </w:r>
      <w:r w:rsidRPr="00FE4954">
        <w:rPr>
          <w:rFonts w:eastAsiaTheme="minorEastAsia"/>
          <w:rtl/>
        </w:rPr>
        <w:t>.</w:t>
      </w:r>
    </w:p>
  </w:footnote>
  <w:footnote w:id="19">
    <w:p w14:paraId="54AF7D3F" w14:textId="00EAD058" w:rsidR="009460BA" w:rsidRPr="00FE4954" w:rsidRDefault="009460BA" w:rsidP="00803069">
      <w:pPr>
        <w:pStyle w:val="FootnoteText1"/>
        <w:textDirection w:val="tbRlV"/>
        <w:rPr>
          <w:rFonts w:eastAsiaTheme="minorEastAsia"/>
          <w:i/>
          <w:spacing w:val="-2"/>
          <w:lang w:val="ar-SA" w:eastAsia="zh-TW" w:bidi="en-GB"/>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t>قال ما يزيد قليلاً عن خُمس (</w:t>
      </w:r>
      <w:r w:rsidRPr="00FE4954">
        <w:rPr>
          <w:rFonts w:eastAsiaTheme="minorEastAsia" w:hint="cs"/>
          <w:spacing w:val="-2"/>
          <w:rtl/>
        </w:rPr>
        <w:t>21,8</w:t>
      </w:r>
      <w:r w:rsidRPr="00FE4954">
        <w:rPr>
          <w:rFonts w:eastAsiaTheme="minorEastAsia"/>
          <w:spacing w:val="-2"/>
          <w:rtl/>
        </w:rPr>
        <w:t xml:space="preserve"> في المائة) تاركي المدارس مبكراً من هذه الفئة العمرية أن السبب في انقطاعهم عن الدراسة هو </w:t>
      </w:r>
      <w:r w:rsidRPr="00FE4954">
        <w:rPr>
          <w:rFonts w:eastAsiaTheme="minorEastAsia" w:hint="cs"/>
          <w:spacing w:val="-2"/>
          <w:rtl/>
        </w:rPr>
        <w:t>”</w:t>
      </w:r>
      <w:r w:rsidRPr="00FE4954">
        <w:rPr>
          <w:rFonts w:eastAsiaTheme="minorEastAsia"/>
          <w:spacing w:val="-2"/>
          <w:rtl/>
        </w:rPr>
        <w:t>شُح المال</w:t>
      </w:r>
      <w:r w:rsidRPr="00FE4954">
        <w:rPr>
          <w:rFonts w:eastAsiaTheme="minorEastAsia" w:hint="cs"/>
          <w:spacing w:val="-2"/>
          <w:rtl/>
        </w:rPr>
        <w:t>“</w:t>
      </w:r>
      <w:r w:rsidRPr="00FE4954">
        <w:rPr>
          <w:rFonts w:eastAsiaTheme="minorEastAsia"/>
          <w:spacing w:val="-2"/>
          <w:rtl/>
        </w:rPr>
        <w:t xml:space="preserve"> في حين أفادت تقارير بأن </w:t>
      </w:r>
      <w:r w:rsidRPr="00FE4954">
        <w:rPr>
          <w:rFonts w:eastAsiaTheme="minorEastAsia" w:hint="cs"/>
          <w:spacing w:val="-2"/>
          <w:rtl/>
        </w:rPr>
        <w:t>18,9</w:t>
      </w:r>
      <w:r w:rsidRPr="00FE4954">
        <w:rPr>
          <w:rFonts w:eastAsiaTheme="minorEastAsia"/>
          <w:spacing w:val="-2"/>
          <w:rtl/>
        </w:rPr>
        <w:t xml:space="preserve"> في المائة انقطعوا عن الدراسة بسبب ضعف الأداء الأكاديمي. ورغم أن </w:t>
      </w:r>
      <w:r w:rsidRPr="00FE4954">
        <w:rPr>
          <w:rFonts w:eastAsiaTheme="minorEastAsia" w:hint="cs"/>
          <w:spacing w:val="-2"/>
          <w:rtl/>
        </w:rPr>
        <w:t>9,7</w:t>
      </w:r>
      <w:r w:rsidRPr="00FE4954">
        <w:rPr>
          <w:rFonts w:eastAsiaTheme="minorEastAsia"/>
          <w:spacing w:val="-2"/>
          <w:rtl/>
        </w:rPr>
        <w:t xml:space="preserve"> في المائة من الأفراد تركوا دراستهم نتيجة التزامات أسرية (أي الزواج ورعاية الأطفال والحمل)، يلاحَظ أن نسبة النساء اللاتي تذرعن بهذا السبب أعلى من نسبة الذكور (</w:t>
      </w:r>
      <w:r w:rsidRPr="00FE4954">
        <w:rPr>
          <w:rFonts w:eastAsiaTheme="minorEastAsia" w:hint="cs"/>
          <w:spacing w:val="-2"/>
          <w:rtl/>
        </w:rPr>
        <w:t>18,5</w:t>
      </w:r>
      <w:r w:rsidRPr="00FE4954">
        <w:rPr>
          <w:rFonts w:eastAsiaTheme="minorEastAsia"/>
          <w:spacing w:val="-2"/>
          <w:rtl/>
        </w:rPr>
        <w:t xml:space="preserve"> في المائة مقابل </w:t>
      </w:r>
      <w:r w:rsidRPr="00FE4954">
        <w:rPr>
          <w:rFonts w:eastAsiaTheme="minorEastAsia" w:hint="cs"/>
          <w:spacing w:val="-2"/>
          <w:rtl/>
        </w:rPr>
        <w:t>0,4</w:t>
      </w:r>
      <w:r w:rsidRPr="00FE4954">
        <w:rPr>
          <w:rFonts w:eastAsiaTheme="minorEastAsia"/>
          <w:spacing w:val="-2"/>
          <w:rtl/>
        </w:rPr>
        <w:t xml:space="preserve"> في المائة). ولئن كانت هذه الملاحظة دقيقة، فإن البيانات تشير أيضاً إلى أن نظام المدارس ’بدون رسوم‘، بدأ يسفر هو وغيره من المبادرات التمويلية عن نتائج أفضل. </w:t>
      </w:r>
      <w:r w:rsidRPr="00FE4954">
        <w:rPr>
          <w:rFonts w:eastAsiaTheme="minorEastAsia"/>
          <w:i/>
          <w:iCs/>
          <w:spacing w:val="-2"/>
          <w:rtl/>
        </w:rPr>
        <w:t>انظر الحاشية 17.</w:t>
      </w:r>
    </w:p>
  </w:footnote>
  <w:footnote w:id="20">
    <w:p w14:paraId="3CC4572C" w14:textId="3CF18514"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في الفئة العمرية ما بين 18 و29 عاماً، لا تتجاوز نسبة الأفريقيين السود الذين يتابعون دراستهم 3,4 في المائة، مقابل 13,8 في المائة من الهنود/الآسيويين، و18 في المائة من السكان البيض. وخلال عام 2017، لم تكن نسبة الملونين الذين يتابعون دراستهم تتجاوز 3,5 في المائة. </w:t>
      </w:r>
    </w:p>
  </w:footnote>
  <w:footnote w:id="21">
    <w:p w14:paraId="19FCD3A0" w14:textId="1ED60565"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Financial statistics of national government 2016/2017, Statistics SA, Statistical Release P9119.3, released June 2018</w:t>
      </w:r>
      <w:r w:rsidRPr="00FE4954">
        <w:rPr>
          <w:rFonts w:eastAsiaTheme="minorEastAsia"/>
          <w:rtl/>
        </w:rPr>
        <w:t>.</w:t>
      </w:r>
    </w:p>
  </w:footnote>
  <w:footnote w:id="22">
    <w:p w14:paraId="2E46D828" w14:textId="025885B3" w:rsidR="009460BA" w:rsidRPr="00FE4954" w:rsidRDefault="009460BA" w:rsidP="00136F05">
      <w:pPr>
        <w:pStyle w:val="FootnoteText1"/>
        <w:textDirection w:val="tbRlV"/>
        <w:rPr>
          <w:rFonts w:eastAsiaTheme="minorEastAsia"/>
          <w:spacing w:val="-2"/>
          <w:rtl/>
          <w:lang w:val="fr-CH" w:eastAsia="zh-TW"/>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lang w:eastAsia="zh-TW" w:bidi="en-GB"/>
        </w:rPr>
        <w:tab/>
      </w:r>
      <w:r w:rsidRPr="00FE4954">
        <w:rPr>
          <w:rFonts w:eastAsiaTheme="minorEastAsia"/>
        </w:rPr>
        <w:t xml:space="preserve">Sulla, Victor; Zikhali, Precious. 2018. </w:t>
      </w:r>
      <w:r w:rsidRPr="00FE4954">
        <w:rPr>
          <w:rFonts w:eastAsiaTheme="minorEastAsia"/>
          <w:i/>
          <w:iCs/>
        </w:rPr>
        <w:t>Overcoming Poverty and Inequality in South Africa: An Assessment of Drivers, Constraints and Opportunities (English)</w:t>
      </w:r>
      <w:r w:rsidRPr="00FE4954">
        <w:rPr>
          <w:rFonts w:eastAsiaTheme="minorEastAsia"/>
        </w:rPr>
        <w:t xml:space="preserve">. Washington, D.C.: World Bank </w:t>
      </w:r>
      <w:r w:rsidRPr="00FE4954">
        <w:rPr>
          <w:rFonts w:eastAsiaTheme="minorEastAsia"/>
          <w:spacing w:val="-2"/>
        </w:rPr>
        <w:t>Group. http://documents.worldbank.org/curated/en/530481521735906534/Overcoming-Poverty-and-</w:t>
      </w:r>
      <w:r w:rsidRPr="00FE4954">
        <w:rPr>
          <w:rFonts w:eastAsiaTheme="minorEastAsia"/>
        </w:rPr>
        <w:t>Inequality-in-South-Africa-An-Assessment-of-Drivers-Constraints-and-Opportunities</w:t>
      </w:r>
      <w:r w:rsidRPr="00FE4954">
        <w:rPr>
          <w:rFonts w:eastAsiaTheme="minorEastAsia" w:hint="cs"/>
          <w:spacing w:val="-2"/>
          <w:rtl/>
          <w:lang w:val="fr-CH" w:eastAsia="zh-TW"/>
        </w:rPr>
        <w:t>.</w:t>
      </w:r>
    </w:p>
  </w:footnote>
  <w:footnote w:id="23">
    <w:p w14:paraId="3509B231" w14:textId="1B9599D4" w:rsidR="009460BA" w:rsidRPr="00FE4954" w:rsidRDefault="009460BA" w:rsidP="00803069">
      <w:pPr>
        <w:pStyle w:val="FootnoteText1"/>
        <w:textDirection w:val="tbRlV"/>
        <w:rPr>
          <w:rFonts w:eastAsiaTheme="minorEastAsia"/>
          <w:rtl/>
          <w:lang w:val="fr-CH" w:eastAsia="zh-TW"/>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lang w:eastAsia="zh-TW" w:bidi="en-GB"/>
        </w:rPr>
        <w:tab/>
      </w:r>
      <w:r w:rsidRPr="00FE4954">
        <w:rPr>
          <w:rFonts w:eastAsiaTheme="minorEastAsia"/>
          <w:bCs/>
          <w:iCs/>
        </w:rPr>
        <w:t xml:space="preserve">Poverty Trends in South Africa: An examination of absolute poverty between 2006 and </w:t>
      </w:r>
      <w:r w:rsidRPr="00FE4954">
        <w:rPr>
          <w:rFonts w:eastAsiaTheme="minorEastAsia"/>
        </w:rPr>
        <w:t>2015</w:t>
      </w:r>
      <w:r w:rsidRPr="00FE4954">
        <w:rPr>
          <w:rFonts w:eastAsiaTheme="minorEastAsia"/>
          <w:bCs/>
          <w:iCs/>
        </w:rPr>
        <w:t xml:space="preserve"> report,</w:t>
      </w:r>
      <w:r w:rsidRPr="00FE4954">
        <w:rPr>
          <w:rFonts w:eastAsiaTheme="minorEastAsia"/>
          <w:bCs/>
        </w:rPr>
        <w:t xml:space="preserve"> released by Statistics South Africa, August 2017</w:t>
      </w:r>
      <w:r w:rsidRPr="00FE4954">
        <w:rPr>
          <w:rFonts w:eastAsiaTheme="minorEastAsia" w:hint="cs"/>
          <w:rtl/>
          <w:lang w:val="fr-CH" w:eastAsia="zh-TW"/>
        </w:rPr>
        <w:t>.</w:t>
      </w:r>
    </w:p>
  </w:footnote>
  <w:footnote w:id="24">
    <w:p w14:paraId="0607F767" w14:textId="667A7094"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الدراسات الاستقصائية الفصلية للقوى العاملة، الصادرة عن هيئة الإحصاء في جنوب أفريقيا.</w:t>
      </w:r>
    </w:p>
  </w:footnote>
  <w:footnote w:id="25">
    <w:p w14:paraId="7DF88CE9" w14:textId="18CF4A0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13 الصادر في عام 2004.</w:t>
      </w:r>
    </w:p>
  </w:footnote>
  <w:footnote w:id="26">
    <w:p w14:paraId="077E415A" w14:textId="6358A38C" w:rsidR="009460BA" w:rsidRPr="00FE4954" w:rsidRDefault="009460BA" w:rsidP="00394C64">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9 الصادر في عام 2004.</w:t>
      </w:r>
    </w:p>
  </w:footnote>
  <w:footnote w:id="27">
    <w:p w14:paraId="5E080A6D" w14:textId="5A870EFE"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يتمثل الهدف الأساسي من هذا القانون في إنشاء وكالة الضمان الاجتماعي بجنوب أفريقيا باعتبارها جهة مسؤولة عن تقديم المساعدة الاجتماعية ودفع المبالغ المستحقة في سياق تلك المساعدة؛ وكفالة قيام الوكالة بإدارة برنامج الضمان الاجتماعي ودفع الاستحقاقات المقررة في إطاره وتقديم ما يتصل به من خدمات. وتوجَّه المساعدة الاجتماعية في جنوب أفريقيا أساساً إلى الأطفال والأفراد ذوي الإعاقة وكبار السن، ومن ثم، يمكن توقع أن يشكل الأطفال وكبار السن نسبة كبيرة من المستفيدين من المنح.</w:t>
      </w:r>
    </w:p>
  </w:footnote>
  <w:footnote w:id="28">
    <w:p w14:paraId="1C8922CD" w14:textId="0A571E0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معلومات قدمتها إدارة التنمية الاجتماعية ووردت في قائمة المسائل التي عرضتها جنوب أفريقيا على العهد الدولي الخاص بالحقوق الاقتصادية والاجتماعية والثقافية، 2018.</w:t>
      </w:r>
    </w:p>
  </w:footnote>
  <w:footnote w:id="29">
    <w:p w14:paraId="44B35F95" w14:textId="31FB8F41"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Living Conditions of Households in South Africa, An analysis of household expenditure and income data using the LCS 2014/2015, Statistical Release P0310, released 27 January 2017</w:t>
      </w:r>
      <w:r w:rsidRPr="00FE4954">
        <w:rPr>
          <w:rFonts w:eastAsiaTheme="minorEastAsia"/>
          <w:rtl/>
        </w:rPr>
        <w:t>.</w:t>
      </w:r>
    </w:p>
  </w:footnote>
  <w:footnote w:id="30">
    <w:p w14:paraId="2FA163A3" w14:textId="6956B790"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28.</w:t>
      </w:r>
    </w:p>
  </w:footnote>
  <w:footnote w:id="31">
    <w:p w14:paraId="4ACA157D" w14:textId="5891B26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28.</w:t>
      </w:r>
    </w:p>
  </w:footnote>
  <w:footnote w:id="32">
    <w:p w14:paraId="4F8E425E" w14:textId="6A6F9D17"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28.</w:t>
      </w:r>
    </w:p>
  </w:footnote>
  <w:footnote w:id="33">
    <w:p w14:paraId="14751CE5" w14:textId="4ABCFA5B" w:rsidR="009460BA" w:rsidRPr="00FE4954" w:rsidRDefault="009460BA" w:rsidP="00803069">
      <w:pPr>
        <w:pStyle w:val="FootnoteText1"/>
        <w:textDirection w:val="tbRlV"/>
        <w:rPr>
          <w:rFonts w:eastAsiaTheme="minorEastAsia"/>
          <w:spacing w:val="-4"/>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spacing w:val="-4"/>
          <w:rtl/>
        </w:rPr>
        <w:t xml:space="preserve">استقصاء الأسر المعيشة العام لسنة 2017، هيئة إحصاءات جنوب أفريقيا، النشرة الإحصائية </w:t>
      </w:r>
      <w:r w:rsidRPr="00FE4954">
        <w:rPr>
          <w:rFonts w:eastAsiaTheme="minorEastAsia"/>
          <w:spacing w:val="-4"/>
        </w:rPr>
        <w:t>P0318</w:t>
      </w:r>
      <w:r w:rsidRPr="00FE4954">
        <w:rPr>
          <w:rFonts w:eastAsiaTheme="minorEastAsia"/>
          <w:spacing w:val="-4"/>
          <w:rtl/>
        </w:rPr>
        <w:t xml:space="preserve"> الصادرة في حزيران/يونيه 2018.</w:t>
      </w:r>
    </w:p>
  </w:footnote>
  <w:footnote w:id="34">
    <w:p w14:paraId="77DDE52A" w14:textId="1AB38A61"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استقصاء الأسر المعيشية العام لسنة 2015، هيئة إحصاءات جنوب أفريقيا، النشرة الإحصائية </w:t>
      </w:r>
      <w:r w:rsidRPr="00FE4954">
        <w:rPr>
          <w:rFonts w:eastAsiaTheme="minorEastAsia"/>
        </w:rPr>
        <w:t>P0318</w:t>
      </w:r>
      <w:r w:rsidRPr="00FE4954">
        <w:rPr>
          <w:rFonts w:eastAsiaTheme="minorEastAsia"/>
          <w:rtl/>
        </w:rPr>
        <w:t xml:space="preserve"> الصادرة في حزيران/</w:t>
      </w:r>
      <w:r w:rsidRPr="00FE4954">
        <w:rPr>
          <w:rFonts w:eastAsiaTheme="minorEastAsia" w:hint="cs"/>
          <w:rtl/>
        </w:rPr>
        <w:t xml:space="preserve"> </w:t>
      </w:r>
      <w:r w:rsidRPr="00FE4954">
        <w:rPr>
          <w:rFonts w:eastAsiaTheme="minorEastAsia"/>
          <w:rtl/>
        </w:rPr>
        <w:t>يونيه 2016.</w:t>
      </w:r>
    </w:p>
  </w:footnote>
  <w:footnote w:id="35">
    <w:p w14:paraId="51B09D43" w14:textId="7C497C0F"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المبدأ السادس من المبادئ الدستورية ونصه: يطبق مبدأ الفصل بين السلطات التشريعية والتنفيذية والقضائية مع الأخذ بنظام من الضوابط والتوازنات المناسبة بهدف كفالة المساءلة وسرعة الاستجابة والمصارحة</w:t>
      </w:r>
      <w:r w:rsidRPr="00FE4954">
        <w:rPr>
          <w:rFonts w:eastAsiaTheme="minorEastAsia" w:hint="cs"/>
          <w:rtl/>
        </w:rPr>
        <w:t>“</w:t>
      </w:r>
      <w:r w:rsidRPr="00FE4954">
        <w:rPr>
          <w:rFonts w:eastAsiaTheme="minorEastAsia"/>
          <w:rtl/>
        </w:rPr>
        <w:t>.</w:t>
      </w:r>
    </w:p>
  </w:footnote>
  <w:footnote w:id="36">
    <w:p w14:paraId="3DBB4F37" w14:textId="7E2D1212" w:rsidR="009460BA" w:rsidRPr="00FE4954" w:rsidRDefault="009460BA" w:rsidP="00803069">
      <w:pPr>
        <w:pStyle w:val="FootnoteText1"/>
        <w:textDirection w:val="tbRlV"/>
        <w:rPr>
          <w:rFonts w:eastAsiaTheme="minorEastAsia"/>
          <w:bCs/>
          <w:iCs/>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”(1) يعهد بالسلطة القضائية في الجمهورية إلى المحاكم.</w:t>
      </w:r>
    </w:p>
    <w:p w14:paraId="55DAB730" w14:textId="1564D597" w:rsidR="009460BA" w:rsidRPr="00FE4954" w:rsidRDefault="009460BA" w:rsidP="00803069">
      <w:pPr>
        <w:pStyle w:val="FootnoteText1"/>
        <w:textDirection w:val="tbRlV"/>
        <w:rPr>
          <w:rFonts w:eastAsiaTheme="minorEastAsia"/>
          <w:bCs/>
          <w:iCs/>
          <w:lang w:val="ar-SA" w:eastAsia="zh-TW" w:bidi="en-GB"/>
        </w:rPr>
      </w:pPr>
      <w:r w:rsidRPr="00FE4954">
        <w:rPr>
          <w:rFonts w:eastAsiaTheme="minorEastAsia"/>
          <w:rtl/>
        </w:rPr>
        <w:tab/>
        <w:t>(2)</w:t>
      </w:r>
      <w:r w:rsidRPr="00FE4954">
        <w:rPr>
          <w:rFonts w:eastAsiaTheme="minorEastAsia"/>
          <w:rtl/>
        </w:rPr>
        <w:tab/>
        <w:t>تتمتع المحاكم بالاستقلال ولا تخضع إلا للدستور والقانون اللذين يتوجب عليها أن تطبقهما بمنأى عن التحيز والخوف والمحاباة أو الأهواء الشخصية.</w:t>
      </w:r>
    </w:p>
    <w:p w14:paraId="42B28DD8" w14:textId="60CA2D68" w:rsidR="009460BA" w:rsidRPr="00FE4954" w:rsidRDefault="009460BA" w:rsidP="00803069">
      <w:pPr>
        <w:pStyle w:val="FootnoteText1"/>
        <w:textDirection w:val="tbRlV"/>
        <w:rPr>
          <w:rFonts w:eastAsiaTheme="minorEastAsia"/>
          <w:bCs/>
          <w:iCs/>
          <w:lang w:val="ar-SA" w:eastAsia="zh-TW" w:bidi="en-GB"/>
        </w:rPr>
      </w:pPr>
      <w:r w:rsidRPr="00FE4954">
        <w:rPr>
          <w:rFonts w:eastAsiaTheme="minorEastAsia"/>
          <w:rtl/>
        </w:rPr>
        <w:tab/>
        <w:t>(3)</w:t>
      </w:r>
      <w:r w:rsidRPr="00FE4954">
        <w:rPr>
          <w:rFonts w:eastAsiaTheme="minorEastAsia"/>
          <w:rtl/>
        </w:rPr>
        <w:tab/>
        <w:t>لا يجوز لأي شخص أو جهاز في الدولة التدخل في أداء المحاكم لمهامها.</w:t>
      </w:r>
    </w:p>
    <w:p w14:paraId="56F87667" w14:textId="0586E3CB" w:rsidR="009460BA" w:rsidRPr="00FE4954" w:rsidRDefault="009460BA" w:rsidP="00803069">
      <w:pPr>
        <w:pStyle w:val="FootnoteText1"/>
        <w:textDirection w:val="tbRlV"/>
        <w:rPr>
          <w:rFonts w:eastAsiaTheme="minorEastAsia"/>
          <w:bCs/>
          <w:iCs/>
          <w:lang w:val="ar-SA" w:eastAsia="zh-TW" w:bidi="en-GB"/>
        </w:rPr>
      </w:pPr>
      <w:r w:rsidRPr="00FE4954">
        <w:rPr>
          <w:rFonts w:eastAsiaTheme="minorEastAsia"/>
          <w:rtl/>
        </w:rPr>
        <w:tab/>
        <w:t>(4)</w:t>
      </w:r>
      <w:r w:rsidRPr="00FE4954">
        <w:rPr>
          <w:rFonts w:eastAsiaTheme="minorEastAsia"/>
          <w:rtl/>
        </w:rPr>
        <w:tab/>
        <w:t>يتوجب على أجهزة الدولة أن تساعد المحاكم وتحميها باتخاذ تدابير تشريعية وغير ذلك من التدابير لكفالة استقلالها وحيادها وصون كرامتها وضمان سهولة اللجوء إليها وفعالية أدائها.</w:t>
      </w:r>
    </w:p>
    <w:p w14:paraId="14E32C94" w14:textId="221B4656" w:rsidR="009460BA" w:rsidRPr="00FE4954" w:rsidRDefault="009460BA" w:rsidP="00803069">
      <w:pPr>
        <w:pStyle w:val="FootnoteText1"/>
        <w:textDirection w:val="tbRlV"/>
        <w:rPr>
          <w:rFonts w:eastAsiaTheme="minorEastAsia"/>
          <w:bCs/>
          <w:iCs/>
          <w:lang w:val="ar-SA" w:eastAsia="zh-TW" w:bidi="en-GB"/>
        </w:rPr>
      </w:pPr>
      <w:r w:rsidRPr="00FE4954">
        <w:rPr>
          <w:rFonts w:eastAsiaTheme="minorEastAsia"/>
          <w:rtl/>
        </w:rPr>
        <w:tab/>
        <w:t>(5)</w:t>
      </w:r>
      <w:r w:rsidRPr="00FE4954">
        <w:rPr>
          <w:rFonts w:eastAsiaTheme="minorEastAsia"/>
          <w:rtl/>
        </w:rPr>
        <w:tab/>
        <w:t>يكون أي أمر أو قرار تصدره أي محكمة ملزماً لكل من ينطبق عليه من أشخاص أو أجهزة الدولة.</w:t>
      </w:r>
    </w:p>
    <w:p w14:paraId="6A31F777" w14:textId="0B660638" w:rsidR="009460BA" w:rsidRPr="00FE4954" w:rsidRDefault="009460BA" w:rsidP="00803069">
      <w:pPr>
        <w:pStyle w:val="FootnoteText1"/>
        <w:textDirection w:val="tbRlV"/>
        <w:rPr>
          <w:rFonts w:eastAsiaTheme="minorEastAsia"/>
          <w:bCs/>
          <w:i/>
          <w:iCs/>
          <w:lang w:eastAsia="zh-TW" w:bidi="en-GB"/>
        </w:rPr>
      </w:pPr>
      <w:r w:rsidRPr="00FE4954">
        <w:rPr>
          <w:rFonts w:eastAsiaTheme="minorEastAsia"/>
          <w:rtl/>
        </w:rPr>
        <w:tab/>
        <w:t>(6)</w:t>
      </w:r>
      <w:r w:rsidRPr="00FE4954">
        <w:rPr>
          <w:rFonts w:eastAsiaTheme="minorEastAsia"/>
          <w:rtl/>
        </w:rPr>
        <w:tab/>
        <w:t>يتولى كبير القضاة رئاسة الجهاز القضائي ويشرف على إرساء قواعد ومعايير ممارسة المحاكم كافة لمهامها القضائية ويرصد تنفيذها“.</w:t>
      </w:r>
    </w:p>
  </w:footnote>
  <w:footnote w:id="37">
    <w:p w14:paraId="1FBBE095" w14:textId="7254807B"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اعتمدت في عام 1985.</w:t>
      </w:r>
    </w:p>
  </w:footnote>
  <w:footnote w:id="38">
    <w:p w14:paraId="5464723C" w14:textId="2ED1E33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اعتمد في عام 1981 وصدقت عليه جنوب أفريقيا في عام 1996.</w:t>
      </w:r>
    </w:p>
  </w:footnote>
  <w:footnote w:id="39">
    <w:p w14:paraId="766E53CF" w14:textId="4505E06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10 لعام 2013.</w:t>
      </w:r>
    </w:p>
  </w:footnote>
  <w:footnote w:id="40">
    <w:p w14:paraId="066D0163" w14:textId="0D7E0D09"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90 لعام 1993.</w:t>
      </w:r>
    </w:p>
  </w:footnote>
  <w:footnote w:id="41">
    <w:p w14:paraId="05090F8E" w14:textId="37C6C84B"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14 لعام 2008.</w:t>
      </w:r>
    </w:p>
  </w:footnote>
  <w:footnote w:id="42">
    <w:p w14:paraId="03933634" w14:textId="3A080046"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يرد النص المتعلق بها في المادة 167 من الدستور.</w:t>
      </w:r>
    </w:p>
  </w:footnote>
  <w:footnote w:id="43">
    <w:p w14:paraId="6BC67C19" w14:textId="5FFF5578"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168.</w:t>
      </w:r>
    </w:p>
  </w:footnote>
  <w:footnote w:id="44">
    <w:p w14:paraId="25F33A97" w14:textId="617EC6D7"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169.</w:t>
      </w:r>
    </w:p>
  </w:footnote>
  <w:footnote w:id="45">
    <w:p w14:paraId="0E42B031" w14:textId="579F15AC"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170.</w:t>
      </w:r>
    </w:p>
  </w:footnote>
  <w:footnote w:id="46">
    <w:p w14:paraId="08F027E5" w14:textId="74E9A27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4 لعام 2000.</w:t>
      </w:r>
    </w:p>
  </w:footnote>
  <w:footnote w:id="47">
    <w:p w14:paraId="1BA2D5B1" w14:textId="420A09B1" w:rsidR="009460BA" w:rsidRPr="00FE4954" w:rsidRDefault="009460BA" w:rsidP="00803069">
      <w:pPr>
        <w:pStyle w:val="FootnoteText1"/>
        <w:textDirection w:val="tbRlV"/>
        <w:rPr>
          <w:rFonts w:eastAsiaTheme="minorEastAsia"/>
          <w:bCs/>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محاكم الجرائم التجارية: وهي أيضاً محاكم جنائية عادية (بدرجة محكمة منطقة قضائية) تنشأ بالاشتراك مع المديرية الوطنية للنيابات العامة وتركز على قضايا الاحتيال والقضايا التجارية المعقدة. </w:t>
      </w:r>
    </w:p>
    <w:p w14:paraId="50EC98FA" w14:textId="343DE557"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محاكم الجرائم الجنسية</w:t>
      </w:r>
      <w:r w:rsidRPr="00FE4954">
        <w:rPr>
          <w:rFonts w:eastAsiaTheme="minorEastAsia"/>
          <w:spacing w:val="-4"/>
          <w:rtl/>
        </w:rPr>
        <w:t>: هي محاكم جنائية عادية (على مستوى المحاكم الإقليمية) تركز على أنواع محددة من القضايا. وهناك</w:t>
      </w:r>
      <w:r w:rsidR="00397D00" w:rsidRPr="00FE4954">
        <w:rPr>
          <w:rFonts w:eastAsiaTheme="minorEastAsia" w:hint="cs"/>
          <w:spacing w:val="-4"/>
          <w:rtl/>
        </w:rPr>
        <w:t> </w:t>
      </w:r>
      <w:r w:rsidRPr="00FE4954">
        <w:rPr>
          <w:rFonts w:eastAsiaTheme="minorEastAsia"/>
          <w:spacing w:val="-4"/>
          <w:rtl/>
        </w:rPr>
        <w:t>75 محكمة من هذا النوع في الوقت الحاضر. ويجري تشكيلها بالتعاون مع الحزب الوطني الديمقراطي والسلطة القضائية، وهي مكرسة لمعالجة الجرائم الجنسية بطريقة تراعي حساسية هذا النوع من الجرائم.</w:t>
      </w:r>
    </w:p>
    <w:p w14:paraId="1FB59912" w14:textId="77777777"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المحاكم البيئية</w:t>
      </w:r>
      <w:r w:rsidRPr="00FE4954">
        <w:rPr>
          <w:rFonts w:eastAsiaTheme="minorEastAsia"/>
          <w:spacing w:val="-4"/>
          <w:rtl/>
        </w:rPr>
        <w:t>: هي محاكم جنائية عادية تركز على أنشطة عصابات الصيد غير المشروع وعلى التعجيل بسير محاكمات مرتكبي الجرائم البيئية، لا سيما جريمة صيد أذن البحر غير المشروع/والاتجار بقرون وحيد القرن وما إلى ذلك.</w:t>
      </w:r>
    </w:p>
    <w:p w14:paraId="14BE10BF" w14:textId="1622A525" w:rsidR="009460BA" w:rsidRPr="00FE4954" w:rsidRDefault="009460BA" w:rsidP="00803069">
      <w:pPr>
        <w:pStyle w:val="FootnoteText1"/>
        <w:textDirection w:val="tbRlV"/>
        <w:rPr>
          <w:rFonts w:eastAsiaTheme="minorEastAsia"/>
          <w:bCs/>
          <w:spacing w:val="-4"/>
          <w:lang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محاكم الأطفال</w:t>
      </w:r>
      <w:r w:rsidRPr="00FE4954">
        <w:rPr>
          <w:rFonts w:eastAsiaTheme="minorEastAsia"/>
          <w:spacing w:val="-4"/>
          <w:rtl/>
        </w:rPr>
        <w:t>: جميع المحاكم الجزئية هي محاكم تبت في قضايا الأطفال؛ ومهمتها حماية الأطفال المهمَلين والمعتدى عليهم والمستغَلين وإبعادهم عن البيئات المسيئة.</w:t>
      </w:r>
    </w:p>
    <w:p w14:paraId="5A95349F" w14:textId="77777777" w:rsidR="009460BA" w:rsidRPr="00FE4954" w:rsidRDefault="009460BA" w:rsidP="00E04793">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محاكم الأحداث</w:t>
      </w:r>
      <w:r w:rsidRPr="00FE4954">
        <w:rPr>
          <w:rFonts w:eastAsiaTheme="minorEastAsia"/>
          <w:spacing w:val="-4"/>
          <w:rtl/>
        </w:rPr>
        <w:t>: مهمتها إبعاد الأطفال المخالفين للقانون عن نظام العدالة الجنائية السائد قدر الإمكان. ويجري إنشاء مراكز جامعة للخدمات المتصلة بنظام قضاء الأحداث ويوجد منها في الوقت الراهن ثلاثة (3) مراكز.</w:t>
      </w:r>
    </w:p>
    <w:p w14:paraId="29108B4F" w14:textId="77777777"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المحاكم المختصة بدعاوى النفقة</w:t>
      </w:r>
      <w:r w:rsidRPr="00FE4954">
        <w:rPr>
          <w:rFonts w:eastAsiaTheme="minorEastAsia"/>
          <w:spacing w:val="-4"/>
          <w:rtl/>
        </w:rPr>
        <w:t>: مهمتها إصدار أحكام صرف النفقة للأطفال وإنفاذها وذلك بمقتضى قانون النفقة لعام 1998.</w:t>
      </w:r>
    </w:p>
    <w:p w14:paraId="7ABD1D7A" w14:textId="77777777"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المحاكم المختصة بدعاوى العنف العائلي</w:t>
      </w:r>
      <w:r w:rsidRPr="00FE4954">
        <w:rPr>
          <w:rFonts w:eastAsiaTheme="minorEastAsia"/>
          <w:spacing w:val="-4"/>
          <w:rtl/>
        </w:rPr>
        <w:t>: مهمتها إصدار أوامر حماية النساء والأطفال وكبار السن وفقاً للقانون المتعلق بالعنف العائلي الصادر في عام 1998.</w:t>
      </w:r>
    </w:p>
    <w:p w14:paraId="4420D1F9" w14:textId="377BFA0D"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محاكم المطالبات الصغيرة</w:t>
      </w:r>
      <w:r w:rsidRPr="00FE4954">
        <w:rPr>
          <w:rFonts w:eastAsiaTheme="minorEastAsia"/>
          <w:spacing w:val="-4"/>
          <w:rtl/>
        </w:rPr>
        <w:t>: أنشئت للفصل بصورة عاجلة وسريعة ودون تكلفة عالية في المطالبات الصغيرة التي تقل قيمتها عن</w:t>
      </w:r>
      <w:r w:rsidRPr="00FE4954">
        <w:rPr>
          <w:rFonts w:eastAsiaTheme="minorEastAsia" w:hint="cs"/>
          <w:spacing w:val="-4"/>
          <w:rtl/>
        </w:rPr>
        <w:t> </w:t>
      </w:r>
      <w:r w:rsidRPr="00FE4954">
        <w:rPr>
          <w:rFonts w:eastAsiaTheme="minorEastAsia"/>
          <w:spacing w:val="-4"/>
          <w:rtl/>
        </w:rPr>
        <w:t xml:space="preserve">000 15 راند ولا تستدعي حضور محامين. </w:t>
      </w:r>
    </w:p>
    <w:p w14:paraId="3A2412A7" w14:textId="77777777" w:rsidR="009460BA" w:rsidRPr="00FE4954" w:rsidRDefault="009460BA" w:rsidP="00803069">
      <w:pPr>
        <w:pStyle w:val="FootnoteText1"/>
        <w:textDirection w:val="tbRlV"/>
        <w:rPr>
          <w:rFonts w:eastAsiaTheme="minorEastAsia"/>
          <w:bCs/>
          <w:spacing w:val="-4"/>
          <w:lang w:val="ar-SA" w:eastAsia="zh-TW" w:bidi="en-GB"/>
        </w:rPr>
      </w:pPr>
      <w:r w:rsidRPr="00FE4954">
        <w:rPr>
          <w:rFonts w:eastAsiaTheme="minorEastAsia"/>
          <w:spacing w:val="-4"/>
          <w:rtl/>
        </w:rPr>
        <w:tab/>
      </w:r>
      <w:r w:rsidRPr="00FE4954">
        <w:rPr>
          <w:rFonts w:eastAsiaTheme="minorEastAsia"/>
          <w:spacing w:val="-4"/>
          <w:rtl/>
        </w:rPr>
        <w:tab/>
      </w:r>
      <w:r w:rsidRPr="00FE4954">
        <w:rPr>
          <w:rFonts w:eastAsiaTheme="minorEastAsia"/>
          <w:spacing w:val="-4"/>
          <w:u w:val="single"/>
          <w:rtl/>
        </w:rPr>
        <w:t>”المحاكم البلدية“</w:t>
      </w:r>
      <w:r w:rsidRPr="00FE4954">
        <w:rPr>
          <w:rFonts w:eastAsiaTheme="minorEastAsia"/>
          <w:spacing w:val="-4"/>
          <w:rtl/>
        </w:rPr>
        <w:t xml:space="preserve">: يطلق على هذه المحاكم اسم محاكم بلدية إلا أنها محاكم جزئية محلية عادية تنشأ بالاشتراك مع البلديات والمناطق الحضرية الكبرى للفصل في القضايا المتعلقة بأوامر البلدية ومخالفات المرور بما يساعد المحاكم الجنائية العادية على التركيز على الأمور الأشد خطورة. </w:t>
      </w:r>
    </w:p>
  </w:footnote>
  <w:footnote w:id="48">
    <w:p w14:paraId="664AA968" w14:textId="2644D7F5"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38 لعام 2005.</w:t>
      </w:r>
    </w:p>
  </w:footnote>
  <w:footnote w:id="49">
    <w:p w14:paraId="2A8C9AFA" w14:textId="3A1DA2A1"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32 لعام 1998.</w:t>
      </w:r>
    </w:p>
  </w:footnote>
  <w:footnote w:id="50">
    <w:p w14:paraId="1656C5A0" w14:textId="4795BFCC"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68 لعام 1995.</w:t>
      </w:r>
    </w:p>
  </w:footnote>
  <w:footnote w:id="51">
    <w:p w14:paraId="0404C313" w14:textId="7BD8CF4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الإحصاءات السنوية المتعلقة بالجرائم، متاحة في الموقع</w:t>
      </w:r>
      <w:r w:rsidRPr="00FE4954">
        <w:rPr>
          <w:rFonts w:eastAsiaTheme="minorEastAsia"/>
        </w:rPr>
        <w:t>:</w:t>
      </w:r>
      <w:r w:rsidRPr="00FE4954">
        <w:rPr>
          <w:rFonts w:eastAsiaTheme="minorEastAsia"/>
          <w:rtl/>
        </w:rPr>
        <w:t xml:space="preserve"> </w:t>
      </w:r>
      <w:r w:rsidRPr="00FE4954">
        <w:rPr>
          <w:rFonts w:eastAsiaTheme="minorEastAsia"/>
        </w:rPr>
        <w:t>https://www.saps.gov.za/services/crimestats.php</w:t>
      </w:r>
      <w:r w:rsidRPr="00FE4954">
        <w:rPr>
          <w:rFonts w:eastAsiaTheme="minorEastAsia"/>
          <w:rtl/>
        </w:rPr>
        <w:t>.</w:t>
      </w:r>
    </w:p>
  </w:footnote>
  <w:footnote w:id="52">
    <w:p w14:paraId="03D82482" w14:textId="50482C50"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انظر الحاشية 49.</w:t>
      </w:r>
    </w:p>
  </w:footnote>
  <w:footnote w:id="53">
    <w:p w14:paraId="0E5B7DD9" w14:textId="1C5CFAE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الدراسة الاستقصائية بشأن ضحايا الجريمة لعام 2016/2017، هيئة إحصاءات جنوب أفريقيا، النشرة الإحصائية </w:t>
      </w:r>
      <w:r w:rsidRPr="00FE4954">
        <w:rPr>
          <w:rFonts w:eastAsiaTheme="minorEastAsia"/>
        </w:rPr>
        <w:t>P0341</w:t>
      </w:r>
      <w:r w:rsidRPr="00FE4954">
        <w:rPr>
          <w:rFonts w:eastAsiaTheme="minorEastAsia"/>
          <w:rtl/>
        </w:rPr>
        <w:t xml:space="preserve"> الصادرة في أيلول/سبتمبر 2017.</w:t>
      </w:r>
    </w:p>
  </w:footnote>
  <w:footnote w:id="54">
    <w:p w14:paraId="3A06A0D0" w14:textId="36131018"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39 لعام 2014.</w:t>
      </w:r>
    </w:p>
  </w:footnote>
  <w:footnote w:id="55">
    <w:p w14:paraId="41D77349" w14:textId="145D32D3"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يتولى إدارتها مجلس مديرين يخضع للمساءلة أمام وزير العدل وشؤون السجون وكذلك أمام البرلمان إلا أنها تتمتع بالاستقلال في مباشرة أنشطتها العملية.</w:t>
      </w:r>
    </w:p>
  </w:footnote>
  <w:footnote w:id="56">
    <w:p w14:paraId="7D77AD81" w14:textId="1171F394"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تنص المادة 34 من دستور الجمهورية لعام 1996 على</w:t>
      </w:r>
      <w:r w:rsidRPr="00FE4954">
        <w:rPr>
          <w:rFonts w:eastAsiaTheme="minorEastAsia" w:hint="cs"/>
          <w:rtl/>
        </w:rPr>
        <w:t xml:space="preserve"> </w:t>
      </w:r>
      <w:r w:rsidRPr="00FE4954">
        <w:rPr>
          <w:rFonts w:eastAsiaTheme="minorEastAsia"/>
          <w:rtl/>
        </w:rPr>
        <w:t>”حق كل شخص في أن يُبتَّ في أي نزاع يمكن تسويته بتطبيق القانون في جلسة استماع علنية عادلة أمام محكمة أو هيئة تقاضي مستقلة ومحايدة، حسب الاقتضاء</w:t>
      </w:r>
      <w:r w:rsidRPr="00FE4954">
        <w:rPr>
          <w:rFonts w:eastAsiaTheme="minorEastAsia" w:hint="cs"/>
          <w:rtl/>
        </w:rPr>
        <w:t>“</w:t>
      </w:r>
      <w:r w:rsidRPr="00FE4954">
        <w:rPr>
          <w:rFonts w:eastAsiaTheme="minorEastAsia"/>
          <w:rtl/>
        </w:rPr>
        <w:t>.</w:t>
      </w:r>
    </w:p>
    <w:p w14:paraId="73481F01" w14:textId="02E7C088"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r>
      <w:r w:rsidRPr="00FE4954">
        <w:rPr>
          <w:rFonts w:eastAsiaTheme="minorEastAsia"/>
          <w:rtl/>
        </w:rPr>
        <w:tab/>
        <w:t>نزاع يمكن حله بتطبيق القانون عن طريق البت فيه في جلسة استماع علنية عادلة أمام محكمة أو أمام هيئة قضائية أو</w:t>
      </w:r>
      <w:r w:rsidRPr="00FE4954">
        <w:rPr>
          <w:rFonts w:eastAsiaTheme="minorEastAsia" w:hint="cs"/>
          <w:rtl/>
        </w:rPr>
        <w:t> </w:t>
      </w:r>
      <w:r w:rsidRPr="00FE4954">
        <w:rPr>
          <w:rFonts w:eastAsiaTheme="minorEastAsia"/>
          <w:rtl/>
        </w:rPr>
        <w:t>محل للتقاضي مستقل(ة) ومحايد(ة) آخر (أخرى)، عند الاقتضاء</w:t>
      </w:r>
      <w:r w:rsidRPr="00FE4954">
        <w:rPr>
          <w:rFonts w:eastAsiaTheme="minorEastAsia" w:hint="cs"/>
          <w:rtl/>
        </w:rPr>
        <w:t>“</w:t>
      </w:r>
      <w:r w:rsidRPr="00FE4954">
        <w:rPr>
          <w:rFonts w:eastAsiaTheme="minorEastAsia"/>
          <w:rtl/>
        </w:rPr>
        <w:t>.</w:t>
      </w:r>
    </w:p>
  </w:footnote>
  <w:footnote w:id="57">
    <w:p w14:paraId="4992B7D3" w14:textId="5DB5EE0A"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تنص المادة 3 من القانون رقم 39 بشأن المعونة القضائية في جنوب أفريقيا لعام 2014، على أن </w:t>
      </w:r>
      <w:r w:rsidRPr="00FE4954">
        <w:rPr>
          <w:rFonts w:eastAsiaTheme="minorEastAsia" w:hint="cs"/>
          <w:rtl/>
        </w:rPr>
        <w:t>”</w:t>
      </w:r>
      <w:r w:rsidRPr="00FE4954">
        <w:rPr>
          <w:rFonts w:eastAsiaTheme="minorEastAsia"/>
          <w:rtl/>
        </w:rPr>
        <w:t>أهداف المعونة القضائية في جنوب أفريقيا هي:</w:t>
      </w:r>
    </w:p>
    <w:p w14:paraId="1CA2E854" w14:textId="1010B478"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t>(أ)</w:t>
      </w:r>
      <w:r w:rsidRPr="00FE4954">
        <w:rPr>
          <w:rFonts w:eastAsiaTheme="minorEastAsia"/>
          <w:rtl/>
        </w:rPr>
        <w:tab/>
        <w:t>تقديم أو إتاحة المعونة القضائية والمشورة القانونية؛</w:t>
      </w:r>
    </w:p>
    <w:p w14:paraId="30B7ADB7" w14:textId="6BE824C0"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t>(ب)</w:t>
      </w:r>
      <w:r w:rsidRPr="00FE4954">
        <w:rPr>
          <w:rFonts w:eastAsiaTheme="minorEastAsia"/>
          <w:rtl/>
        </w:rPr>
        <w:tab/>
        <w:t>توفير التمثيل القانوني للأشخاص على نفقة الدولة؛ و</w:t>
      </w:r>
    </w:p>
    <w:p w14:paraId="11901F19" w14:textId="43D6CCB1" w:rsidR="009460BA" w:rsidRPr="00FE4954" w:rsidRDefault="009460BA" w:rsidP="00803069">
      <w:pPr>
        <w:pStyle w:val="FootnoteText1"/>
        <w:textDirection w:val="tbRlV"/>
        <w:rPr>
          <w:rFonts w:eastAsiaTheme="minorEastAsia"/>
          <w:spacing w:val="-4"/>
        </w:rPr>
      </w:pPr>
      <w:r w:rsidRPr="00FE4954">
        <w:rPr>
          <w:rFonts w:eastAsiaTheme="minorEastAsia"/>
          <w:spacing w:val="-4"/>
          <w:rtl/>
        </w:rPr>
        <w:tab/>
        <w:t>(ج)</w:t>
      </w:r>
      <w:r w:rsidRPr="00FE4954">
        <w:rPr>
          <w:rFonts w:eastAsiaTheme="minorEastAsia"/>
          <w:spacing w:val="-4"/>
          <w:rtl/>
        </w:rPr>
        <w:tab/>
        <w:t xml:space="preserve">التعريف بالحقوق والالتزامات القانونية وتوفير المعلومات في هذا الصدد، حسبما ينص عليه الدستور والقانون المشار إليه آنفاً“. </w:t>
      </w:r>
    </w:p>
  </w:footnote>
  <w:footnote w:id="58">
    <w:p w14:paraId="2E3E065D" w14:textId="031E3304"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توفر مخصصات التمويل كجزء من إطار الإنفاق المتوسط الأجل الذي يغطي فترة ثلاث سنوات. وفي عام 2017/2018، بلغ مجموع المنحة المالية 000 394 754 1 راند (140 مليون دولار من دولارات الولايات المتحدة). </w:t>
      </w:r>
    </w:p>
  </w:footnote>
  <w:footnote w:id="59">
    <w:p w14:paraId="685B70F4" w14:textId="323473F3"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الحقوق التي لا تمنح إلا </w:t>
      </w:r>
      <w:r w:rsidRPr="00FE4954">
        <w:rPr>
          <w:rFonts w:ascii="Simplified Arabic" w:eastAsiaTheme="minorEastAsia" w:hAnsi="Simplified Arabic"/>
          <w:rtl/>
        </w:rPr>
        <w:t>ﻟ</w:t>
      </w:r>
      <w:r w:rsidRPr="00FE4954">
        <w:rPr>
          <w:rFonts w:eastAsiaTheme="minorEastAsia"/>
          <w:rtl/>
        </w:rPr>
        <w:t xml:space="preserve"> ”المواطنين“ هي كالتالي: الحقوق السياسية - المادة 19، والجنسية - المادة 20، والحق في دخول جنوب أفريقيا والبقاء فيها والإقامة في أي مكان فيها والحق في الحصول على جواز سفر - المادة 21، والحق في اختيار الحرفة أو المهنة أو الوظيفة - المادة 22.</w:t>
      </w:r>
    </w:p>
  </w:footnote>
  <w:footnote w:id="60">
    <w:p w14:paraId="3565A971" w14:textId="433E9B17"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130 لعام 1998.</w:t>
      </w:r>
    </w:p>
  </w:footnote>
  <w:footnote w:id="61">
    <w:p w14:paraId="10D22A41" w14:textId="0BC4F0D5"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ينص البند 2(1) من اللائحة الملحقة بالقانون رقم 34 لعام 2014 المتعلق بالمعونة القضائية في جنوب أفريقيا على ما يلي: ”يجوز لهيئة المعونة القضائية في جنوب أفريقيا أن توفر المعونة القضائية في الدعاوى الجنائية لأي شخص توجه إليه إحدى محاكم جنوب أفريقيا الاتهام رسمياً ويكون مستوفياً لشروط الحصول على المعونة القضائية المحددة في اللائحة</w:t>
      </w:r>
      <w:r w:rsidRPr="00FE4954">
        <w:rPr>
          <w:rFonts w:eastAsiaTheme="minorEastAsia" w:hint="cs"/>
          <w:rtl/>
        </w:rPr>
        <w:t>“</w:t>
      </w:r>
      <w:r w:rsidRPr="00FE4954">
        <w:rPr>
          <w:rFonts w:eastAsiaTheme="minorEastAsia"/>
          <w:rtl/>
        </w:rPr>
        <w:t>.</w:t>
      </w:r>
    </w:p>
  </w:footnote>
  <w:footnote w:id="62">
    <w:p w14:paraId="43837A93" w14:textId="4E622550" w:rsidR="009460BA" w:rsidRPr="00FE4954" w:rsidRDefault="009460BA" w:rsidP="00803069">
      <w:pPr>
        <w:pStyle w:val="FootnoteText1"/>
        <w:textDirection w:val="tbRlV"/>
        <w:rPr>
          <w:rFonts w:eastAsiaTheme="minorEastAsia"/>
          <w:spacing w:val="-2"/>
          <w:lang w:val="ar-SA" w:eastAsia="zh-TW" w:bidi="en-GB"/>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t>ينص البند 2(2) من اللائحة الملحقة بالقانون رقم 34 لعام 2014 المتعلق بالمساعدة القانونية في جنوب أفريقيا على ما يلي ”لا تتاح المساعدة القانونية للأشخاص الطبيعيين إلا لغرض إسداء المشورة والتمثيل القانوني</w:t>
      </w:r>
      <w:r w:rsidRPr="00FE4954">
        <w:rPr>
          <w:rFonts w:eastAsiaTheme="minorEastAsia" w:hint="cs"/>
          <w:spacing w:val="-2"/>
          <w:rtl/>
        </w:rPr>
        <w:t>“</w:t>
      </w:r>
      <w:r w:rsidRPr="00FE4954">
        <w:rPr>
          <w:rFonts w:eastAsiaTheme="minorEastAsia"/>
          <w:spacing w:val="-2"/>
          <w:rtl/>
        </w:rPr>
        <w:t>.</w:t>
      </w:r>
    </w:p>
  </w:footnote>
  <w:footnote w:id="63">
    <w:p w14:paraId="776D5B3D" w14:textId="4A25DC1E"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في عام 2016/2017 تلقى 3 أطفال لاجئين المساعدة وجرت مساعدة 067 3 شخصاً في دعاوى تتصل بالهجرة تولت فيها هيئة المساعدة القانونية الدفاع عن حقوق المهاجرين. </w:t>
      </w:r>
    </w:p>
  </w:footnote>
  <w:footnote w:id="64">
    <w:p w14:paraId="50EC36BD" w14:textId="3DFE66AD" w:rsidR="009460BA" w:rsidRPr="00FE4954" w:rsidRDefault="009460BA" w:rsidP="00E04793">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130 لعام 1998.</w:t>
      </w:r>
    </w:p>
  </w:footnote>
  <w:footnote w:id="65">
    <w:p w14:paraId="69564C7E" w14:textId="52725AEB"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ينص البند 10(2) من اللائحة الملحقة بقانون المساعدة القانونية في جنوب أفريقيا على ما يلي: ”عند البت في جواز استفادة شخص ما من المعونة القضائية في قضية مدنية على النحو المنصوص عليه في اللائحة الفرعية (1) ، يتعين على هيئة المعونة القضائية في جنوب إفريقيا أن تولي الاعتبار للمعايير التالية:</w:t>
      </w:r>
    </w:p>
    <w:p w14:paraId="2EC15DE8" w14:textId="12A43225" w:rsidR="009460BA" w:rsidRPr="00FE4954" w:rsidRDefault="009460BA" w:rsidP="00803069">
      <w:pPr>
        <w:pStyle w:val="FootnoteText1"/>
        <w:textDirection w:val="tbRlV"/>
        <w:rPr>
          <w:rFonts w:eastAsiaTheme="minorEastAsia"/>
        </w:rPr>
      </w:pPr>
      <w:r w:rsidRPr="00FE4954">
        <w:rPr>
          <w:rFonts w:eastAsiaTheme="minorEastAsia"/>
          <w:rtl/>
        </w:rPr>
        <w:tab/>
        <w:t>(أ)</w:t>
      </w:r>
      <w:r w:rsidRPr="00FE4954">
        <w:rPr>
          <w:rFonts w:eastAsiaTheme="minorEastAsia"/>
          <w:rtl/>
        </w:rPr>
        <w:tab/>
        <w:t>خطورة الآثار على طالب/طالبة المعونة القضائية؛</w:t>
      </w:r>
    </w:p>
    <w:p w14:paraId="4B3C68D8" w14:textId="4E6FA156" w:rsidR="009460BA" w:rsidRPr="00FE4954" w:rsidRDefault="009460BA" w:rsidP="00803069">
      <w:pPr>
        <w:pStyle w:val="FootnoteText1"/>
        <w:textDirection w:val="tbRlV"/>
        <w:rPr>
          <w:rFonts w:eastAsiaTheme="minorEastAsia"/>
        </w:rPr>
      </w:pPr>
      <w:r w:rsidRPr="00FE4954">
        <w:rPr>
          <w:rFonts w:eastAsiaTheme="minorEastAsia"/>
          <w:rtl/>
        </w:rPr>
        <w:tab/>
        <w:t>(ب)</w:t>
      </w:r>
      <w:r w:rsidRPr="00FE4954">
        <w:rPr>
          <w:rFonts w:eastAsiaTheme="minorEastAsia"/>
          <w:rtl/>
        </w:rPr>
        <w:tab/>
        <w:t>درجة التعقيد في القانون والإجراءات ذات الصلة؛</w:t>
      </w:r>
    </w:p>
    <w:p w14:paraId="678EFEF5" w14:textId="66FC66A4" w:rsidR="009460BA" w:rsidRPr="00FE4954" w:rsidRDefault="009460BA" w:rsidP="00803069">
      <w:pPr>
        <w:pStyle w:val="FootnoteText1"/>
        <w:textDirection w:val="tbRlV"/>
        <w:rPr>
          <w:rFonts w:eastAsiaTheme="minorEastAsia"/>
        </w:rPr>
      </w:pPr>
      <w:r w:rsidRPr="00FE4954">
        <w:rPr>
          <w:rFonts w:eastAsiaTheme="minorEastAsia"/>
          <w:rtl/>
        </w:rPr>
        <w:tab/>
        <w:t>(ج)</w:t>
      </w:r>
      <w:r w:rsidRPr="00FE4954">
        <w:rPr>
          <w:rFonts w:eastAsiaTheme="minorEastAsia"/>
          <w:rtl/>
        </w:rPr>
        <w:tab/>
        <w:t>مدى قدرة طالب/طالبة المعونة القضائية على تمثيل نفسه/نفسها بصورة فعالة؛</w:t>
      </w:r>
    </w:p>
    <w:p w14:paraId="73D7EAB2" w14:textId="5482BC5A" w:rsidR="009460BA" w:rsidRPr="00FE4954" w:rsidRDefault="009460BA" w:rsidP="00803069">
      <w:pPr>
        <w:pStyle w:val="FootnoteText1"/>
        <w:textDirection w:val="tbRlV"/>
        <w:rPr>
          <w:rFonts w:eastAsiaTheme="minorEastAsia"/>
        </w:rPr>
      </w:pPr>
      <w:r w:rsidRPr="00FE4954">
        <w:rPr>
          <w:rFonts w:eastAsiaTheme="minorEastAsia"/>
          <w:rtl/>
        </w:rPr>
        <w:tab/>
        <w:t>(د)</w:t>
      </w:r>
      <w:r w:rsidRPr="00FE4954">
        <w:rPr>
          <w:rFonts w:eastAsiaTheme="minorEastAsia"/>
          <w:rtl/>
        </w:rPr>
        <w:tab/>
        <w:t>القدرة المالية لطالب/طالبة المعونة القضائية؛</w:t>
      </w:r>
    </w:p>
    <w:p w14:paraId="3D53ABDF" w14:textId="773CFF9E" w:rsidR="009460BA" w:rsidRPr="00FE4954" w:rsidRDefault="009460BA" w:rsidP="00803069">
      <w:pPr>
        <w:pStyle w:val="FootnoteText1"/>
        <w:textDirection w:val="tbRlV"/>
        <w:rPr>
          <w:rFonts w:eastAsiaTheme="minorEastAsia"/>
        </w:rPr>
      </w:pPr>
      <w:r w:rsidRPr="00FE4954">
        <w:rPr>
          <w:rFonts w:eastAsiaTheme="minorEastAsia"/>
          <w:rtl/>
        </w:rPr>
        <w:tab/>
        <w:t>(ه)</w:t>
      </w:r>
      <w:r w:rsidRPr="00FE4954">
        <w:rPr>
          <w:rFonts w:eastAsiaTheme="minorEastAsia"/>
          <w:rtl/>
        </w:rPr>
        <w:tab/>
        <w:t>حظوظ طالب</w:t>
      </w:r>
      <w:r w:rsidRPr="00FE4954">
        <w:rPr>
          <w:rFonts w:eastAsiaTheme="minorEastAsia" w:hint="cs"/>
          <w:rtl/>
        </w:rPr>
        <w:t>/طالبة</w:t>
      </w:r>
      <w:r w:rsidRPr="00FE4954">
        <w:rPr>
          <w:rFonts w:eastAsiaTheme="minorEastAsia"/>
          <w:rtl/>
        </w:rPr>
        <w:t xml:space="preserve"> المعونة القضائية في كسب القضية؛</w:t>
      </w:r>
    </w:p>
    <w:p w14:paraId="4DF55191" w14:textId="138A35DA" w:rsidR="009460BA" w:rsidRPr="00FE4954" w:rsidRDefault="009460BA" w:rsidP="00803069">
      <w:pPr>
        <w:pStyle w:val="FootnoteText1"/>
        <w:textDirection w:val="tbRlV"/>
        <w:rPr>
          <w:rFonts w:eastAsiaTheme="minorEastAsia"/>
        </w:rPr>
      </w:pPr>
      <w:r w:rsidRPr="00FE4954">
        <w:rPr>
          <w:rFonts w:eastAsiaTheme="minorEastAsia"/>
          <w:rtl/>
        </w:rPr>
        <w:tab/>
      </w:r>
      <w:r w:rsidRPr="00FE4954">
        <w:rPr>
          <w:rFonts w:eastAsiaTheme="minorEastAsia" w:hint="cs"/>
          <w:rtl/>
        </w:rPr>
        <w:t>(و)</w:t>
      </w:r>
      <w:r w:rsidRPr="00FE4954">
        <w:rPr>
          <w:rFonts w:eastAsiaTheme="minorEastAsia"/>
          <w:rtl/>
        </w:rPr>
        <w:tab/>
        <w:t>ما إذا كان وضع طالب/طالبة المعونة القضائية أضعف بكثير من وضع الطرف الآخر في القضية؛</w:t>
      </w:r>
    </w:p>
    <w:p w14:paraId="5747136C" w14:textId="236B0D73" w:rsidR="009460BA" w:rsidRPr="00FE4954" w:rsidRDefault="009460BA" w:rsidP="00803069">
      <w:pPr>
        <w:pStyle w:val="FootnoteText1"/>
        <w:textDirection w:val="tbRlV"/>
        <w:rPr>
          <w:rFonts w:eastAsiaTheme="minorEastAsia"/>
        </w:rPr>
      </w:pPr>
      <w:r w:rsidRPr="00FE4954">
        <w:rPr>
          <w:rFonts w:eastAsiaTheme="minorEastAsia"/>
          <w:rtl/>
        </w:rPr>
        <w:tab/>
        <w:t>(ز)</w:t>
      </w:r>
      <w:r w:rsidRPr="00FE4954">
        <w:rPr>
          <w:rFonts w:eastAsiaTheme="minorEastAsia"/>
          <w:rtl/>
        </w:rPr>
        <w:tab/>
        <w:t>ما إذا كانت سائر الشروط المنصوص عليها في اللائحة مستوفاة.</w:t>
      </w:r>
    </w:p>
  </w:footnote>
  <w:footnote w:id="66">
    <w:p w14:paraId="692F89DF" w14:textId="68B1F4BF"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 xml:space="preserve">قضايا التقاضي الاستراتيجي هي قضايا يمكن أن ترسي سابقة قانونية، أو اجتهاد قضائي يمكن أن تحمل في طياتها حلاً لعدد كبير من المنازعات أو المنازعات المحتملة أو يمكن أن تؤدي إلى تحسن أحوال مجموعة من الأشخاص أو شريحة كبيرة من المجموعة. وتتمحور هذه الدعاوى في المقام الأول حول حماية حقوق الإنسان الأساسية المنصوص عليها في الدستور، بما فيها حقوق الجماعات المحلية الاقتصادية والثقافية والدينية واللغوية، من أجل ضمان تجسيد الدستور في واقع حياة الفقراء والجماعات المحلية التي تعاني من ضعف الحال. </w:t>
      </w:r>
    </w:p>
  </w:footnote>
  <w:footnote w:id="67">
    <w:p w14:paraId="79DD14A0" w14:textId="13D8AD7B" w:rsidR="009460BA" w:rsidRPr="00FE4954" w:rsidRDefault="009460BA" w:rsidP="00803069">
      <w:pPr>
        <w:pStyle w:val="FootnoteText1"/>
        <w:textDirection w:val="tbRlV"/>
        <w:rPr>
          <w:rFonts w:eastAsiaTheme="minorEastAsia"/>
          <w:spacing w:val="-2"/>
          <w:lang w:eastAsia="zh-TW" w:bidi="en-GB"/>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t xml:space="preserve">خلال عام 2013، تم توفير التمويل لرفع دعوى </w:t>
      </w:r>
      <w:r w:rsidRPr="00FE4954">
        <w:rPr>
          <w:rFonts w:eastAsiaTheme="minorEastAsia"/>
          <w:i/>
          <w:iCs/>
          <w:spacing w:val="-2"/>
          <w:rtl/>
        </w:rPr>
        <w:t>بونتشو دورين موتساواغاي و14 آخرين ضد بلدية راستنبرغ وآخرين</w:t>
      </w:r>
      <w:r w:rsidRPr="00FE4954">
        <w:rPr>
          <w:rFonts w:eastAsiaTheme="minorEastAsia"/>
          <w:spacing w:val="-2"/>
          <w:rtl/>
        </w:rPr>
        <w:t>، وهي دعوى أثارت قضايا مهمة تتصل بضمان الحيازة للنساء السود اللواتي يشغلن مساكن بعقود بأسمائهن وما إذا كان يمكن للبلدية التنصل من أحكام المادة 26(3) من الدستور التي تقضي بعدم جواز طرد أي شخص من مسكنه بدون أمر قضائي. وقد دخلت هيئة المعونة القضائية طرفا</w:t>
      </w:r>
      <w:r w:rsidRPr="00FE4954">
        <w:rPr>
          <w:rFonts w:eastAsiaTheme="minorEastAsia" w:hint="cs"/>
          <w:spacing w:val="-2"/>
          <w:rtl/>
        </w:rPr>
        <w:t>ً</w:t>
      </w:r>
      <w:r w:rsidRPr="00FE4954">
        <w:rPr>
          <w:rFonts w:eastAsiaTheme="minorEastAsia"/>
          <w:spacing w:val="-2"/>
          <w:rtl/>
        </w:rPr>
        <w:t xml:space="preserve"> في دعوى </w:t>
      </w:r>
      <w:r w:rsidRPr="00FE4954">
        <w:rPr>
          <w:rFonts w:eastAsiaTheme="minorEastAsia"/>
          <w:i/>
          <w:iCs/>
          <w:spacing w:val="-2"/>
          <w:rtl/>
        </w:rPr>
        <w:t>دونافين آرثر فيلسناتش ضد ريغان غيلمور وآخرين</w:t>
      </w:r>
      <w:r w:rsidRPr="00FE4954">
        <w:rPr>
          <w:rFonts w:eastAsiaTheme="minorEastAsia"/>
          <w:spacing w:val="-2"/>
          <w:rtl/>
        </w:rPr>
        <w:t>، وهي دعوى سلطت الضوء على تعاظم مشكلة الإقراض المجحف والمخططات الاحتيالية التي أطلقت شرارتها الأزمة المالية. فشركات الإقراض والمقرضون العقاريون التي تمارس هذه الأنشطة تستغل ضعف المواطنين المعوزين للاستيلاء على أملاكهم، أي مساكنهم. وإدراكاً من هيئة المعونة القضائية لخطر ذلك على الحق في السكن، وهو من حقوق الإنسان الأساسية، سعت إلى منع طرد المدعي من مسكنه ونجحت في ذلك.</w:t>
      </w:r>
    </w:p>
    <w:p w14:paraId="316D2800" w14:textId="77777777"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r>
      <w:r w:rsidRPr="00FE4954">
        <w:rPr>
          <w:rFonts w:eastAsiaTheme="minorEastAsia"/>
          <w:rtl/>
        </w:rPr>
        <w:tab/>
        <w:t xml:space="preserve">خلال الفترة 2014/2015، قدمت الهيئة التمويل اللازم للدعوى التي رفعها </w:t>
      </w:r>
      <w:r w:rsidRPr="00FE4954">
        <w:rPr>
          <w:rFonts w:eastAsiaTheme="minorEastAsia"/>
          <w:i/>
          <w:iCs/>
          <w:rtl/>
        </w:rPr>
        <w:t>المحامون المناصرون لحقوق الإنسان ضد وزير الداخلية</w:t>
      </w:r>
      <w:r w:rsidRPr="00FE4954">
        <w:rPr>
          <w:rFonts w:eastAsiaTheme="minorEastAsia"/>
          <w:rtl/>
        </w:rPr>
        <w:t xml:space="preserve"> من أجل إنهاء الاحتجاز غير القانوني، ولا سيما احتجاز المهاجرين من النساء والأطفال الذين يكابدون معاناة تفوق الوصف أثناء الاحتجاز. ويذكر في هذا الصدد أن المادة 34(1)(د) من قانون الهجرة لعام 2002 (القانون رقم 13 لعام 2002) تقضي بعدم جواز احتجاز أي أجنبي مقيم بصورة غير قانونية، لمدة تزيد عن 30 يوماً بدون صدور أمر من المحكمة يقضي بتمديد هذا الاحتجاز لأسباب وجيهة ومعقولة لمدة أقصاها 90 يوماً. ولم يمنح القانون أي شخص محتجز حقاً تلقائياً في الطعن في قانونية اعتقاله/اعتقالها. وقد حُكِم بعدم دستورية هذا النص وببطلانه. وفي الفترة المالية ذاتها، قدمت الهيئة التمويل اللازم في قضية </w:t>
      </w:r>
      <w:r w:rsidRPr="00FE4954">
        <w:rPr>
          <w:rFonts w:eastAsiaTheme="minorEastAsia"/>
          <w:i/>
          <w:iCs/>
          <w:rtl/>
        </w:rPr>
        <w:t>اتحاد اللاجئين والمهاجرين ضد رئيس جمهورية جنوب أفريقيا</w:t>
      </w:r>
      <w:r w:rsidRPr="00FE4954">
        <w:rPr>
          <w:rFonts w:eastAsiaTheme="minorEastAsia"/>
          <w:rtl/>
        </w:rPr>
        <w:t xml:space="preserve"> للطعن في الطلب المقدم من الاتحاد بإعادة النظر في القرار القضائي بمنح السيد فاوستن كايومبا نيانواسا مركز اللاجئ.</w:t>
      </w:r>
    </w:p>
    <w:p w14:paraId="43A454CD" w14:textId="77777777"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r>
      <w:r w:rsidRPr="00FE4954">
        <w:rPr>
          <w:rFonts w:eastAsiaTheme="minorEastAsia"/>
          <w:rtl/>
        </w:rPr>
        <w:tab/>
        <w:t xml:space="preserve">وخلال الفترة 2015/2016، شاركت هيئة المعونة القضائية في حماية الحقوق الاقتصادية والاجتماعية في قضية </w:t>
      </w:r>
      <w:r w:rsidRPr="00FE4954">
        <w:rPr>
          <w:rFonts w:eastAsiaTheme="minorEastAsia"/>
          <w:i/>
          <w:iCs/>
          <w:rtl/>
        </w:rPr>
        <w:t>هلغارد بيتروس هونيبال ضد حاكم مقاطعة الكيب الشرقية وآخرين</w:t>
      </w:r>
      <w:r w:rsidRPr="00FE4954">
        <w:rPr>
          <w:rFonts w:eastAsiaTheme="minorEastAsia"/>
          <w:rtl/>
        </w:rPr>
        <w:t>، وهي قضية أصدرت فيها المحكمة العليا أمراً مؤقتاً تعهد بمقتضاه المدعى عليهم بنقل أفراد المجتمعات المحلية إلى منطقة تتاح لهم فيها المراحيض الدافقة ومياه الشرب النظيفة. وعلاوة على ذلك، سوف تثبت بعض الألواح تسمح للأسر ببناء هيكل مؤقت ريثما تتسنى إمكانية تشييد مساكن لائقة.</w:t>
      </w:r>
    </w:p>
  </w:footnote>
  <w:footnote w:id="68">
    <w:p w14:paraId="7676046B" w14:textId="5B9AAD4D"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على سبيل المثال، قدمت الهيئة في عام 2012 التمويل اللازم لقضية </w:t>
      </w:r>
      <w:r w:rsidRPr="00FE4954">
        <w:rPr>
          <w:rFonts w:eastAsiaTheme="minorEastAsia"/>
          <w:i/>
          <w:iCs/>
          <w:rtl/>
        </w:rPr>
        <w:t>سكان شوبارت بارك ضد بلدية مدينة تشوين الكبرى</w:t>
      </w:r>
      <w:r w:rsidRPr="00FE4954">
        <w:rPr>
          <w:rFonts w:eastAsiaTheme="minorEastAsia"/>
          <w:rtl/>
        </w:rPr>
        <w:t>، وهي قضية أوضحت فيها المحكمة إجراءات الإخلاء وأرست سابقة قضائية تقضي بوجوب أن تقدم البلدية طلباً مستوفياً للشروط قبل اتخاذ إجراء الإخلاء وقدمت تفسيراً دقيقاً للمادة 26(3) من الدستور.</w:t>
      </w:r>
    </w:p>
  </w:footnote>
  <w:footnote w:id="69">
    <w:p w14:paraId="74837FE8" w14:textId="504953EB" w:rsidR="009460BA" w:rsidRPr="00FE4954" w:rsidRDefault="009460BA" w:rsidP="00803069">
      <w:pPr>
        <w:pStyle w:val="FootnoteText1"/>
        <w:textDirection w:val="tbRlV"/>
        <w:rPr>
          <w:rFonts w:eastAsiaTheme="minorEastAsia"/>
          <w:lang w:eastAsia="zh-TW"/>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القضية رقم </w:t>
      </w:r>
      <w:r w:rsidRPr="00FE4954">
        <w:t>474/11 2012 3 ALL SA 408 (SCA)</w:t>
      </w:r>
      <w:r w:rsidRPr="00FE4954">
        <w:rPr>
          <w:rFonts w:eastAsiaTheme="minorEastAsia"/>
          <w:rtl/>
        </w:rPr>
        <w:t>.</w:t>
      </w:r>
    </w:p>
  </w:footnote>
  <w:footnote w:id="70">
    <w:p w14:paraId="65065E1F" w14:textId="030AB22C" w:rsidR="009460BA" w:rsidRPr="00FE4954" w:rsidRDefault="009460BA" w:rsidP="00803069">
      <w:pPr>
        <w:pStyle w:val="FootnoteText1"/>
        <w:textDirection w:val="tbRlV"/>
        <w:rPr>
          <w:rFonts w:eastAsiaTheme="minorEastAsia"/>
          <w:rtl/>
          <w:lang w:eastAsia="zh-TW"/>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 لعام 2011.</w:t>
      </w:r>
    </w:p>
  </w:footnote>
  <w:footnote w:id="71">
    <w:p w14:paraId="7A15883F" w14:textId="679F042F"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68 لعام 1995.</w:t>
      </w:r>
    </w:p>
  </w:footnote>
  <w:footnote w:id="72">
    <w:p w14:paraId="2C2EA607" w14:textId="7EE0233A"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rPr>
        <w:t>IPID Annual Report 2016/2017, p 26</w:t>
      </w:r>
      <w:r w:rsidRPr="00FE4954">
        <w:rPr>
          <w:rFonts w:eastAsiaTheme="minorEastAsia"/>
          <w:rtl/>
        </w:rPr>
        <w:t>.</w:t>
      </w:r>
    </w:p>
  </w:footnote>
  <w:footnote w:id="73">
    <w:p w14:paraId="6C6B0DFC" w14:textId="5D6A8A1C"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111 لعام 1998.</w:t>
      </w:r>
    </w:p>
  </w:footnote>
  <w:footnote w:id="74">
    <w:p w14:paraId="0EB1DD2D" w14:textId="730CC707"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25 لعام 2008.</w:t>
      </w:r>
    </w:p>
  </w:footnote>
  <w:footnote w:id="75">
    <w:p w14:paraId="3749CD18" w14:textId="421BCAD7" w:rsidR="009460BA" w:rsidRPr="00FE4954" w:rsidRDefault="009460BA" w:rsidP="00803069">
      <w:pPr>
        <w:pStyle w:val="FootnoteText1"/>
        <w:textDirection w:val="tbRlV"/>
        <w:rPr>
          <w:rFonts w:eastAsiaTheme="minorEastAsia"/>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13 لعام 2013.</w:t>
      </w:r>
    </w:p>
  </w:footnote>
  <w:footnote w:id="76">
    <w:p w14:paraId="2CBF50B9" w14:textId="4D96B640" w:rsidR="009460BA" w:rsidRPr="00FE4954" w:rsidRDefault="009460BA" w:rsidP="00803069">
      <w:pPr>
        <w:pStyle w:val="FootnoteText1"/>
        <w:textDirection w:val="tbRlV"/>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القانون رقم 25 لعام 2008.</w:t>
      </w:r>
    </w:p>
  </w:footnote>
  <w:footnote w:id="77">
    <w:p w14:paraId="78BE8BD8" w14:textId="3F1AE943"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القانون رقم 111 لعام 1998.</w:t>
      </w:r>
    </w:p>
  </w:footnote>
  <w:footnote w:id="78">
    <w:p w14:paraId="6B4704C6" w14:textId="3EADABCB"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75 لعام 2008.</w:t>
      </w:r>
    </w:p>
  </w:footnote>
  <w:footnote w:id="79">
    <w:p w14:paraId="1C866E02" w14:textId="78553C0C"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من بينها دعاوى </w:t>
      </w:r>
      <w:r w:rsidRPr="00FE4954">
        <w:rPr>
          <w:rFonts w:eastAsiaTheme="minorEastAsia"/>
          <w:i/>
          <w:iCs/>
          <w:rtl/>
        </w:rPr>
        <w:t>سكان قرية آرثرستون ضد مجلس قبيلة أماشاغانا وآخرين</w:t>
      </w:r>
      <w:r w:rsidRPr="00FE4954">
        <w:rPr>
          <w:rFonts w:eastAsiaTheme="minorEastAsia" w:hint="cs"/>
          <w:vertAlign w:val="superscript"/>
          <w:rtl/>
        </w:rPr>
        <w:t>(78)</w:t>
      </w:r>
      <w:r w:rsidRPr="00FE4954">
        <w:rPr>
          <w:rFonts w:eastAsiaTheme="minorEastAsia"/>
          <w:rtl/>
        </w:rPr>
        <w:t xml:space="preserve">، والدعوى التي رفعتها </w:t>
      </w:r>
      <w:r w:rsidRPr="00FE4954">
        <w:rPr>
          <w:rFonts w:eastAsiaTheme="minorEastAsia"/>
          <w:i/>
          <w:iCs/>
          <w:rtl/>
        </w:rPr>
        <w:t>مفوضية جنوب أفريقيا لحقوق الإنسان و19 آخرين ضد بلدية ماديبنغ وأعضاء المجلس التنفيذي لشؤون الحكم المحلي والمستوطنات البشرية ووزير المياه والصرف الصحي ووزير الصحة</w:t>
      </w:r>
      <w:r w:rsidRPr="00FE4954">
        <w:rPr>
          <w:rFonts w:eastAsiaTheme="minorEastAsia" w:hint="cs"/>
          <w:vertAlign w:val="superscript"/>
          <w:rtl/>
        </w:rPr>
        <w:t>(78)</w:t>
      </w:r>
      <w:r w:rsidRPr="00FE4954">
        <w:rPr>
          <w:rFonts w:eastAsiaTheme="minorEastAsia"/>
          <w:rtl/>
        </w:rPr>
        <w:t xml:space="preserve"> والتي سلطت الضوء على إمكانية التقاضي بشأن الحقوق الاجتماعية والاقتصادية أمام المحاكم. وفي الدعوى التي رفعتها </w:t>
      </w:r>
      <w:r w:rsidRPr="00FE4954">
        <w:rPr>
          <w:rFonts w:eastAsiaTheme="minorEastAsia"/>
          <w:i/>
          <w:iCs/>
          <w:rtl/>
        </w:rPr>
        <w:t>المفوضية ضد أوسكار بيتر بوغاردت</w:t>
      </w:r>
      <w:r w:rsidRPr="00FE4954">
        <w:rPr>
          <w:rFonts w:eastAsiaTheme="minorEastAsia"/>
          <w:rtl/>
        </w:rPr>
        <w:t xml:space="preserve"> </w:t>
      </w:r>
      <w:r w:rsidRPr="00FE4954">
        <w:rPr>
          <w:rFonts w:eastAsiaTheme="minorEastAsia"/>
        </w:rPr>
        <w:t>EC 13/2018</w:t>
      </w:r>
      <w:r w:rsidRPr="00FE4954">
        <w:rPr>
          <w:rFonts w:eastAsiaTheme="minorEastAsia"/>
          <w:rtl/>
        </w:rPr>
        <w:t>، استصدرت المفوضية من المحكمة المختصة بالفصل في الدعاوى المتصلة بالمساواة أمراً وجهت فيه تهمة ازدراء المحكمة للمدعى عليه لعدم امتثاله لأحكام اتفاق الوساطة التي تحظر عليه نشر بيانات تنطوي على تمييز أو تحض على الكراهية بسبب الميل الجنسي. وأصدرت المحكمة، في</w:t>
      </w:r>
      <w:r w:rsidRPr="00FE4954">
        <w:rPr>
          <w:rFonts w:eastAsiaTheme="minorEastAsia" w:hint="cs"/>
          <w:rtl/>
        </w:rPr>
        <w:t> </w:t>
      </w:r>
      <w:r w:rsidRPr="00FE4954">
        <w:rPr>
          <w:rFonts w:eastAsiaTheme="minorEastAsia"/>
          <w:rtl/>
        </w:rPr>
        <w:t>18 أيار/مايو 2018، حكماً بالحبس مع تأجيل التنفيذ.</w:t>
      </w:r>
    </w:p>
  </w:footnote>
  <w:footnote w:id="80">
    <w:p w14:paraId="6041299A" w14:textId="72480A1E" w:rsidR="009460BA" w:rsidRPr="00FE4954" w:rsidRDefault="009460BA" w:rsidP="00803069">
      <w:pPr>
        <w:pStyle w:val="FootnoteText1"/>
        <w:textDirection w:val="tbRlV"/>
        <w:rPr>
          <w:rFonts w:eastAsiaTheme="minorEastAsia"/>
          <w:rtl/>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00397D00" w:rsidRPr="00FE4954">
        <w:rPr>
          <w:rStyle w:val="FootnoteReference"/>
          <w:rFonts w:eastAsiaTheme="minorEastAsia"/>
          <w:vertAlign w:val="baseline"/>
          <w:rtl/>
        </w:rPr>
        <w:t>)</w:t>
      </w:r>
      <w:r w:rsidRPr="00FE4954">
        <w:rPr>
          <w:rFonts w:eastAsiaTheme="minorEastAsia"/>
        </w:rPr>
        <w:tab/>
      </w:r>
      <w:r w:rsidR="00CA0158" w:rsidRPr="00FE4954">
        <w:t>File Ref No: FS/1415/0253 (the Klu Klux Klan image case), File Ref No: GP/1415/0554 (the racist school prize-giving rant case); and File Ref No: GP/1415/0202 (the ethnic hair/hairdresser case), SAHRC Annual Report 2017</w:t>
      </w:r>
      <w:r w:rsidRPr="00FE4954">
        <w:rPr>
          <w:rFonts w:eastAsiaTheme="minorEastAsia" w:hint="cs"/>
          <w:rtl/>
        </w:rPr>
        <w:t>.</w:t>
      </w:r>
    </w:p>
  </w:footnote>
  <w:footnote w:id="81">
    <w:p w14:paraId="66DF4494" w14:textId="1757CD8B" w:rsidR="009460BA" w:rsidRPr="00FE4954" w:rsidRDefault="009460BA" w:rsidP="00803069">
      <w:pPr>
        <w:pStyle w:val="FootnoteText1"/>
        <w:textDirection w:val="tbRlV"/>
        <w:rPr>
          <w:rFonts w:eastAsiaTheme="minorEastAsia"/>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متاح في الموقع الشبكي التالي: </w:t>
      </w:r>
      <w:r w:rsidRPr="00FE4954">
        <w:rPr>
          <w:rFonts w:eastAsiaTheme="minorEastAsia"/>
        </w:rPr>
        <w:t>sahrc.org.za</w:t>
      </w:r>
      <w:r w:rsidRPr="00FE4954">
        <w:rPr>
          <w:rFonts w:eastAsiaTheme="minorEastAsia"/>
          <w:rtl/>
        </w:rPr>
        <w:t>.</w:t>
      </w:r>
    </w:p>
  </w:footnote>
  <w:footnote w:id="82">
    <w:p w14:paraId="7CE765B4" w14:textId="1E7504B8" w:rsidR="009460BA" w:rsidRPr="00FE4954" w:rsidRDefault="009460BA" w:rsidP="00803069">
      <w:pPr>
        <w:pStyle w:val="FootnoteText1"/>
        <w:textDirection w:val="tbRlV"/>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القانون رقم 4 لعام 2000.</w:t>
      </w:r>
    </w:p>
  </w:footnote>
  <w:footnote w:id="83">
    <w:p w14:paraId="6BA278F0" w14:textId="029BC8ED" w:rsidR="009460BA" w:rsidRPr="00FE4954" w:rsidRDefault="009460BA" w:rsidP="00803069">
      <w:pPr>
        <w:pStyle w:val="FootnoteText1"/>
        <w:textDirection w:val="tbRlV"/>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القانون رقم 4 لعام 2000.</w:t>
      </w:r>
    </w:p>
  </w:footnote>
  <w:footnote w:id="84">
    <w:p w14:paraId="390FCE72" w14:textId="2D77D828"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t>اللجنة المعنية بالمساواة بين الجنسين 2016-2017.</w:t>
      </w:r>
    </w:p>
  </w:footnote>
  <w:footnote w:id="85">
    <w:p w14:paraId="5E9ADAB8" w14:textId="3F1D2F96" w:rsidR="009460BA" w:rsidRPr="00FE4954" w:rsidRDefault="009460BA" w:rsidP="00803069">
      <w:pPr>
        <w:pStyle w:val="FootnoteText1"/>
        <w:rPr>
          <w:rFonts w:eastAsiaTheme="minorEastAsia"/>
          <w:spacing w:val="-2"/>
          <w:rtl/>
          <w:lang w:bidi="ar-DZ"/>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t>أنشئت وكالة تطوير وتنويع وسائط الإعلام بموجب تشريع يهدف إلى تطوير وسائط الإعلام وتنويعها وكفالة حرية الإعلام والحق في حرية التعبير وحرية تلقي الأفكار أو المعلومات أو نشرها. وللأخلاقيات في مجال الإعلام أهميتها في سياق حرية الصحافة وحرية التعبير. وفي هذا الصدد، يشكل مجلس الصحافة في جنوب أفريقيا ومكتب أمين المظالم وفريق الطعون آلية تنظيمية مشتركة ومستقلة أنشأتها وسائل الإعلام المطبوعة للفصل على نحو يتوخى فيه الحياد والسرعة والفعالية من حيث التكلفة في المنازعات بين الصحف والمجلات من ناحية وأفراد الجمهور من ناحية أخرى حول مضمون المادة التحريرية الواردة في المنشورات.</w:t>
      </w:r>
    </w:p>
  </w:footnote>
  <w:footnote w:id="86">
    <w:p w14:paraId="6AF40FC0" w14:textId="63D5C28F" w:rsidR="009460BA" w:rsidRPr="00FE4954" w:rsidRDefault="009460BA" w:rsidP="00803069">
      <w:pPr>
        <w:pStyle w:val="FootnoteText1"/>
        <w:textDirection w:val="tbRlV"/>
        <w:rPr>
          <w:rFonts w:eastAsiaTheme="minorEastAsia"/>
          <w:lang w:val="fr-CH"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15 محطة إذاعية عامة وثلاث محطات تجارية عامة وقناة أفريقيا. وتبث الهيئة </w:t>
      </w:r>
      <w:r w:rsidRPr="00FE4954">
        <w:rPr>
          <w:rFonts w:ascii="Simplified Arabic" w:eastAsiaTheme="minorEastAsia" w:hAnsi="Simplified Arabic"/>
          <w:rtl/>
        </w:rPr>
        <w:t>ﺒ</w:t>
      </w:r>
      <w:r w:rsidRPr="00FE4954">
        <w:rPr>
          <w:rFonts w:ascii="Simplified Arabic" w:eastAsiaTheme="minorEastAsia" w:hAnsi="Simplified Arabic" w:hint="cs"/>
          <w:rtl/>
        </w:rPr>
        <w:t xml:space="preserve"> </w:t>
      </w:r>
      <w:r w:rsidRPr="00FE4954">
        <w:rPr>
          <w:rFonts w:eastAsiaTheme="minorEastAsia"/>
          <w:rtl/>
        </w:rPr>
        <w:t>11 لغة رسمية، أما المحطات التي توفر تغطية وطنية فتبث برامجها إما باللغة الإنكليزية أو باللغة الأفريقانية.</w:t>
      </w:r>
    </w:p>
  </w:footnote>
  <w:footnote w:id="87">
    <w:p w14:paraId="7F7ED00C" w14:textId="34F9540C"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231.</w:t>
      </w:r>
    </w:p>
  </w:footnote>
  <w:footnote w:id="88">
    <w:p w14:paraId="3ECF8E4B" w14:textId="5C1A0FE6"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233.</w:t>
      </w:r>
    </w:p>
  </w:footnote>
  <w:footnote w:id="89">
    <w:p w14:paraId="5A18EDAB" w14:textId="29713484" w:rsidR="009460BA" w:rsidRPr="00FE4954" w:rsidRDefault="009460BA" w:rsidP="00803069">
      <w:pPr>
        <w:pStyle w:val="FootnoteText1"/>
        <w:textDirection w:val="tbRlV"/>
        <w:rPr>
          <w:rFonts w:eastAsiaTheme="minorEastAsia"/>
          <w:bCs/>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خلال السنوات ا</w:t>
      </w:r>
      <w:r w:rsidRPr="00FE4954">
        <w:rPr>
          <w:rFonts w:ascii="Simplified Arabic" w:eastAsiaTheme="minorEastAsia" w:hAnsi="Simplified Arabic"/>
          <w:rtl/>
        </w:rPr>
        <w:t>ﻟ</w:t>
      </w:r>
      <w:r w:rsidRPr="00FE4954">
        <w:rPr>
          <w:rFonts w:eastAsiaTheme="minorEastAsia"/>
          <w:rtl/>
        </w:rPr>
        <w:t xml:space="preserve"> 20 الأولى من إحلال الديمقراطية، صدر ما يربو على 200 1 قانون وتعديل بهدف إزالة نظام الفصل العنصري واستئصال شأفة التمييز بجميع أشكاله. ولئن كان قد أُحرز تقدم كبير في تنفيذ هذه القوانين الرامية إلى إحداث تغيير جذري فما زال هناك المزيد مما ينبغي عمله. </w:t>
      </w:r>
    </w:p>
  </w:footnote>
  <w:footnote w:id="90">
    <w:p w14:paraId="7549B6F1" w14:textId="18EEB6BC"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9.</w:t>
      </w:r>
    </w:p>
    <w:p w14:paraId="27FC2EB8" w14:textId="22765FAD" w:rsidR="009460BA" w:rsidRPr="00FE4954" w:rsidRDefault="009460BA" w:rsidP="00803069">
      <w:pPr>
        <w:pStyle w:val="FootnoteText1"/>
        <w:textDirection w:val="tbRlV"/>
        <w:rPr>
          <w:rFonts w:eastAsiaTheme="minorEastAsia"/>
          <w:lang w:val="ar-SA" w:eastAsia="zh-TW" w:bidi="ar-DZ"/>
        </w:rPr>
      </w:pPr>
      <w:r w:rsidRPr="00FE4954">
        <w:rPr>
          <w:rFonts w:eastAsiaTheme="minorEastAsia"/>
          <w:rtl/>
        </w:rPr>
        <w:tab/>
        <w:t>(1)</w:t>
      </w:r>
      <w:r w:rsidRPr="00FE4954">
        <w:rPr>
          <w:rFonts w:eastAsiaTheme="minorEastAsia"/>
          <w:rtl/>
        </w:rPr>
        <w:tab/>
        <w:t>الجميع متساوون أمام القانون ولكل شخص الحق في الحماية والاستفادة من القانون على قدم المساواة.</w:t>
      </w:r>
    </w:p>
    <w:p w14:paraId="1099035E" w14:textId="2B95783C" w:rsidR="009460BA" w:rsidRPr="00FE4954" w:rsidRDefault="009460BA" w:rsidP="00803069">
      <w:pPr>
        <w:pStyle w:val="FootnoteText1"/>
        <w:textDirection w:val="tbRlV"/>
        <w:rPr>
          <w:rFonts w:eastAsiaTheme="minorEastAsia"/>
          <w:lang w:val="ar-SA" w:eastAsia="zh-TW" w:bidi="en-GB"/>
        </w:rPr>
      </w:pPr>
      <w:r w:rsidRPr="00FE4954">
        <w:rPr>
          <w:rFonts w:eastAsiaTheme="minorEastAsia"/>
          <w:rtl/>
        </w:rPr>
        <w:tab/>
        <w:t>(2)</w:t>
      </w:r>
      <w:r w:rsidRPr="00FE4954">
        <w:rPr>
          <w:rFonts w:eastAsiaTheme="minorEastAsia"/>
          <w:rtl/>
        </w:rPr>
        <w:tab/>
        <w:t>تشمل المساواة التمتع التام على قدم المساواة بجميع الحقوق والحريات. وتحقيقاً للمساواة، يجوز اتخاذ تدابير تشريعية وغير</w:t>
      </w:r>
      <w:r w:rsidRPr="00FE4954">
        <w:rPr>
          <w:rFonts w:eastAsiaTheme="minorEastAsia" w:hint="cs"/>
          <w:rtl/>
        </w:rPr>
        <w:t> </w:t>
      </w:r>
      <w:r w:rsidRPr="00FE4954">
        <w:rPr>
          <w:rFonts w:eastAsiaTheme="minorEastAsia"/>
          <w:rtl/>
        </w:rPr>
        <w:t>ذلك من التدابير لحماية أو تحسين أحوال الأشخاص أو فئات الأشخاص الذين عانوا من الحرمان بسبب التمييز ضدهم دون وجه حق.</w:t>
      </w:r>
    </w:p>
    <w:p w14:paraId="5922DB4E" w14:textId="47457C2B" w:rsidR="009460BA" w:rsidRPr="00FE4954" w:rsidRDefault="009460BA" w:rsidP="00803069">
      <w:pPr>
        <w:pStyle w:val="FootnoteText1"/>
        <w:textDirection w:val="tbRlV"/>
        <w:rPr>
          <w:rFonts w:eastAsiaTheme="minorEastAsia"/>
          <w:lang w:val="fr-CH" w:eastAsia="zh-TW" w:bidi="en-GB"/>
        </w:rPr>
      </w:pPr>
      <w:r w:rsidRPr="00FE4954">
        <w:rPr>
          <w:rFonts w:eastAsiaTheme="minorEastAsia"/>
          <w:rtl/>
        </w:rPr>
        <w:tab/>
        <w:t>(3)</w:t>
      </w:r>
      <w:r w:rsidRPr="00FE4954">
        <w:rPr>
          <w:rFonts w:eastAsiaTheme="minorEastAsia"/>
          <w:rtl/>
        </w:rPr>
        <w:tab/>
        <w:t>لا يجوز للدولة أن تميز بشكل مباشر أو غير مباشر دون وجه حق ضد أي شخص بناء على سبب واحد أو أكثر، بما</w:t>
      </w:r>
      <w:r w:rsidRPr="00FE4954">
        <w:rPr>
          <w:rFonts w:eastAsiaTheme="minorEastAsia" w:hint="cs"/>
          <w:rtl/>
        </w:rPr>
        <w:t> </w:t>
      </w:r>
      <w:r w:rsidRPr="00FE4954">
        <w:rPr>
          <w:rFonts w:eastAsiaTheme="minorEastAsia"/>
          <w:rtl/>
        </w:rPr>
        <w:t>يشمل الأصل العرقي أو النوع الاجتماعي أو نوع الجنس أو الحمل أو الوضع العائلي أو الانتماء الإثني أو الأصل الاجتماعي أو اللون أو الميل الجنسي أو السن أو الإعاقة أو الدين أو الرأي أو المعتقد أو الثقافة أو المنشأ.</w:t>
      </w:r>
    </w:p>
    <w:p w14:paraId="294414FB" w14:textId="689E63E2" w:rsidR="009460BA" w:rsidRPr="00FE4954" w:rsidRDefault="009460BA" w:rsidP="00803069">
      <w:pPr>
        <w:pStyle w:val="FootnoteText1"/>
        <w:textDirection w:val="tbRlV"/>
        <w:rPr>
          <w:rFonts w:eastAsiaTheme="minorEastAsia"/>
          <w:lang w:val="fr-CH" w:eastAsia="zh-TW" w:bidi="en-GB"/>
        </w:rPr>
      </w:pPr>
      <w:r w:rsidRPr="00FE4954">
        <w:rPr>
          <w:rFonts w:eastAsiaTheme="minorEastAsia"/>
          <w:rtl/>
        </w:rPr>
        <w:tab/>
        <w:t>(4)</w:t>
      </w:r>
      <w:r w:rsidRPr="00FE4954">
        <w:rPr>
          <w:rFonts w:eastAsiaTheme="minorEastAsia"/>
          <w:rtl/>
        </w:rPr>
        <w:tab/>
        <w:t>لا يجوز أن يميز أي شخص بشكل مباشر أو غير مباشر دون وجه حق ضد أي شخص بناء على سبب واحد أو أكثر من الأسباب الوارد ذكرها في الفقرة الفرعية (3). ولا بد من سنّ تشريع وطني يمنع أو يحظر التمييز دون وجه حق.</w:t>
      </w:r>
    </w:p>
    <w:p w14:paraId="33E5AC43" w14:textId="5D21CA10" w:rsidR="009460BA" w:rsidRPr="00FE4954" w:rsidRDefault="009460BA" w:rsidP="00803069">
      <w:pPr>
        <w:pStyle w:val="FootnoteText1"/>
        <w:textDirection w:val="tbRlV"/>
        <w:rPr>
          <w:rFonts w:eastAsiaTheme="minorEastAsia"/>
          <w:lang w:val="fr-CH" w:eastAsia="zh-TW" w:bidi="en-GB"/>
        </w:rPr>
      </w:pPr>
      <w:r w:rsidRPr="00FE4954">
        <w:rPr>
          <w:rFonts w:eastAsiaTheme="minorEastAsia"/>
          <w:rtl/>
        </w:rPr>
        <w:tab/>
        <w:t>(5)</w:t>
      </w:r>
      <w:r w:rsidRPr="00FE4954">
        <w:rPr>
          <w:rFonts w:eastAsiaTheme="minorEastAsia"/>
          <w:rtl/>
        </w:rPr>
        <w:tab/>
        <w:t>يعتبر التمييز بناء على سبب أو أكثر من الأسباب الوارد ذكرها في الفقرة الفرعية (3) تمييزاً دون وجه حق ما لم يثبت أن للتمييز ما يبرره.</w:t>
      </w:r>
    </w:p>
  </w:footnote>
  <w:footnote w:id="91">
    <w:p w14:paraId="39BB9D40" w14:textId="6868F8EA"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8 من الدستور.</w:t>
      </w:r>
    </w:p>
  </w:footnote>
  <w:footnote w:id="92">
    <w:p w14:paraId="46CC2770" w14:textId="1E2226AA"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المادة 39 من الدستور.</w:t>
      </w:r>
    </w:p>
  </w:footnote>
  <w:footnote w:id="93">
    <w:p w14:paraId="2B5BBFF6" w14:textId="5B552742"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 xml:space="preserve">الحقوق التي لا تمنح إلا </w:t>
      </w:r>
      <w:r w:rsidRPr="00FE4954">
        <w:rPr>
          <w:rFonts w:ascii="Simplified Arabic" w:eastAsiaTheme="minorEastAsia" w:hAnsi="Simplified Arabic"/>
          <w:rtl/>
        </w:rPr>
        <w:t>ﻟ</w:t>
      </w:r>
      <w:r w:rsidRPr="00FE4954">
        <w:rPr>
          <w:rFonts w:eastAsiaTheme="minorEastAsia"/>
          <w:rtl/>
        </w:rPr>
        <w:t xml:space="preserve"> ”المواطنين“ هي: الحقوق السياسية - المادة 19، والجنسية - المادة 20، والحق في دخول جنوب أفريقيا والبقاء فيها والإقامة في أي مكان فيها والحق في استخراج جواز سفر - المادة 21، والحق في اختيار الحرفة أو المهنة أو</w:t>
      </w:r>
      <w:r w:rsidRPr="00FE4954">
        <w:rPr>
          <w:rFonts w:eastAsiaTheme="minorEastAsia" w:hint="cs"/>
          <w:rtl/>
        </w:rPr>
        <w:t> </w:t>
      </w:r>
      <w:r w:rsidRPr="00FE4954">
        <w:rPr>
          <w:rFonts w:eastAsiaTheme="minorEastAsia"/>
          <w:rtl/>
        </w:rPr>
        <w:t>الوظيفة - المادة 22.</w:t>
      </w:r>
    </w:p>
  </w:footnote>
  <w:footnote w:id="94">
    <w:p w14:paraId="75FAE779" w14:textId="5F03B5FD" w:rsidR="009460BA" w:rsidRPr="00FE4954" w:rsidRDefault="009460BA" w:rsidP="00803069">
      <w:pPr>
        <w:pStyle w:val="FootnoteText1"/>
        <w:textDirection w:val="tbRlV"/>
        <w:rPr>
          <w:rFonts w:eastAsiaTheme="minorEastAsia"/>
          <w:lang w:val="ar-SA"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lang w:val="fr-CH"/>
        </w:rPr>
        <w:t>1995 (3) SA 391 (</w:t>
      </w:r>
      <w:r w:rsidRPr="00FE4954">
        <w:rPr>
          <w:rFonts w:eastAsiaTheme="minorEastAsia"/>
        </w:rPr>
        <w:t>CC</w:t>
      </w:r>
      <w:r w:rsidRPr="00FE4954">
        <w:rPr>
          <w:rFonts w:eastAsiaTheme="minorEastAsia"/>
          <w:lang w:val="fr-CH"/>
        </w:rPr>
        <w:t>)</w:t>
      </w:r>
      <w:r w:rsidRPr="00FE4954">
        <w:rPr>
          <w:rFonts w:eastAsiaTheme="minorEastAsia"/>
          <w:rtl/>
        </w:rPr>
        <w:t>.</w:t>
      </w:r>
    </w:p>
  </w:footnote>
  <w:footnote w:id="95">
    <w:p w14:paraId="1352DAF7" w14:textId="2C6992C3"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الفقرات 144-146.</w:t>
      </w:r>
    </w:p>
  </w:footnote>
  <w:footnote w:id="96">
    <w:p w14:paraId="1BF327AF" w14:textId="6930133C" w:rsidR="009460BA" w:rsidRPr="00FE4954" w:rsidRDefault="009460BA" w:rsidP="00803069">
      <w:pPr>
        <w:pStyle w:val="FootnoteText1"/>
        <w:textDirection w:val="tbRlV"/>
        <w:rPr>
          <w:rFonts w:eastAsiaTheme="minorEastAsia"/>
          <w:lang w:val="fr-CH"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lang w:val="fr-CH"/>
        </w:rPr>
        <w:t>1996 (1) SA 984 (CC)</w:t>
      </w:r>
      <w:r w:rsidRPr="00FE4954">
        <w:rPr>
          <w:rFonts w:eastAsiaTheme="minorEastAsia"/>
          <w:rtl/>
        </w:rPr>
        <w:t>.</w:t>
      </w:r>
    </w:p>
  </w:footnote>
  <w:footnote w:id="97">
    <w:p w14:paraId="26155B14" w14:textId="745EE12D" w:rsidR="009460BA" w:rsidRPr="00FE4954" w:rsidRDefault="009460BA" w:rsidP="00803069">
      <w:pPr>
        <w:pStyle w:val="FootnoteText1"/>
        <w:textDirection w:val="tbRlV"/>
        <w:rPr>
          <w:rFonts w:eastAsiaTheme="minorEastAsia"/>
          <w:lang w:val="fr-CH"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lang w:val="fr-CH"/>
        </w:rPr>
        <w:t>1996 (2) SA 751 (CC)</w:t>
      </w:r>
      <w:r w:rsidRPr="00FE4954">
        <w:rPr>
          <w:rFonts w:eastAsiaTheme="minorEastAsia"/>
          <w:rtl/>
        </w:rPr>
        <w:t>.</w:t>
      </w:r>
    </w:p>
  </w:footnote>
  <w:footnote w:id="98">
    <w:p w14:paraId="66356519" w14:textId="76F16944" w:rsidR="009460BA" w:rsidRPr="00FE4954" w:rsidRDefault="009460BA" w:rsidP="00803069">
      <w:pPr>
        <w:pStyle w:val="FootnoteText1"/>
        <w:textDirection w:val="tbRlV"/>
        <w:rPr>
          <w:rFonts w:eastAsiaTheme="minorEastAsia"/>
          <w:lang w:val="fr-CH"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lang w:val="fr-CH"/>
        </w:rPr>
        <w:t>2000 (2) SA 1 (CC)</w:t>
      </w:r>
      <w:r w:rsidRPr="00FE4954">
        <w:rPr>
          <w:rFonts w:eastAsiaTheme="minorEastAsia"/>
          <w:rtl/>
        </w:rPr>
        <w:t>.</w:t>
      </w:r>
    </w:p>
  </w:footnote>
  <w:footnote w:id="99">
    <w:p w14:paraId="385B446E" w14:textId="26604187"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bCs/>
          <w:lang w:val="fr-CH"/>
        </w:rPr>
        <w:t>2001 (1) SA 46</w:t>
      </w:r>
      <w:r w:rsidRPr="00FE4954">
        <w:rPr>
          <w:rFonts w:eastAsiaTheme="minorEastAsia"/>
          <w:rtl/>
        </w:rPr>
        <w:t>.</w:t>
      </w:r>
    </w:p>
  </w:footnote>
  <w:footnote w:id="100">
    <w:p w14:paraId="1A6FE745" w14:textId="55BE9A34" w:rsidR="009460BA" w:rsidRPr="00FE4954" w:rsidRDefault="009460BA" w:rsidP="00803069">
      <w:pPr>
        <w:pStyle w:val="FootnoteText1"/>
        <w:textDirection w:val="tbRlV"/>
        <w:rPr>
          <w:rFonts w:eastAsiaTheme="minorEastAsia"/>
          <w:lang w:val="fr-CH" w:eastAsia="zh-TW" w:bidi="ar-DZ"/>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lang w:val="fr-CH"/>
        </w:rPr>
        <w:t>1998 (1) SA 765 (CC)</w:t>
      </w:r>
      <w:r w:rsidRPr="00FE4954">
        <w:rPr>
          <w:rFonts w:eastAsiaTheme="minorEastAsia"/>
          <w:rtl/>
        </w:rPr>
        <w:t>.</w:t>
      </w:r>
    </w:p>
  </w:footnote>
  <w:footnote w:id="101">
    <w:p w14:paraId="64566FD4" w14:textId="0C2EA5A5" w:rsidR="009460BA" w:rsidRPr="00FE4954" w:rsidRDefault="009460BA" w:rsidP="00803069">
      <w:pPr>
        <w:pStyle w:val="FootnoteText1"/>
        <w:textDirection w:val="tbRlV"/>
        <w:rPr>
          <w:rFonts w:eastAsiaTheme="minorEastAsia"/>
          <w:bCs/>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bCs/>
          <w:lang w:val="fr-CH"/>
        </w:rPr>
        <w:t>2002 (5) SA 721</w:t>
      </w:r>
      <w:r w:rsidRPr="00FE4954">
        <w:rPr>
          <w:rFonts w:eastAsiaTheme="minorEastAsia"/>
          <w:rtl/>
        </w:rPr>
        <w:t>.</w:t>
      </w:r>
    </w:p>
  </w:footnote>
  <w:footnote w:id="102">
    <w:p w14:paraId="7EB7C31D" w14:textId="74955BDE" w:rsidR="009460BA" w:rsidRPr="00FE4954" w:rsidRDefault="009460BA" w:rsidP="00803069">
      <w:pPr>
        <w:pStyle w:val="FootnoteText1"/>
        <w:textDirection w:val="tbRlV"/>
        <w:rPr>
          <w:rFonts w:eastAsiaTheme="minorEastAsia"/>
          <w:bCs/>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bCs/>
          <w:lang w:val="fr-CH"/>
        </w:rPr>
        <w:t>2004(6) BCLR 569 (CC)</w:t>
      </w:r>
      <w:r w:rsidRPr="00FE4954">
        <w:rPr>
          <w:rFonts w:eastAsiaTheme="minorEastAsia"/>
          <w:rtl/>
        </w:rPr>
        <w:t>.</w:t>
      </w:r>
    </w:p>
  </w:footnote>
  <w:footnote w:id="103">
    <w:p w14:paraId="102F3E77" w14:textId="20F244F1"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2 لعام 2000.</w:t>
      </w:r>
    </w:p>
  </w:footnote>
  <w:footnote w:id="104">
    <w:p w14:paraId="2F21803E" w14:textId="094B9D9B"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 لعام 2000.</w:t>
      </w:r>
    </w:p>
  </w:footnote>
  <w:footnote w:id="105">
    <w:p w14:paraId="72B801C2" w14:textId="34EA04CC"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لم يتضمن الدستور المؤقت لعام 1993 سوى عدد محدود للغاية من الحقوق الاجتماعية والاقتصادية.</w:t>
      </w:r>
    </w:p>
  </w:footnote>
  <w:footnote w:id="106">
    <w:p w14:paraId="328F1731" w14:textId="10C6D683"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130 لعام 1998.</w:t>
      </w:r>
    </w:p>
  </w:footnote>
  <w:footnote w:id="107">
    <w:p w14:paraId="518E95C1" w14:textId="37200F3F"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75 لعام 2008.</w:t>
      </w:r>
    </w:p>
  </w:footnote>
  <w:footnote w:id="108">
    <w:p w14:paraId="150EBF37" w14:textId="63F5AB71" w:rsidR="009460BA" w:rsidRPr="00FE4954" w:rsidRDefault="009460BA" w:rsidP="00803069">
      <w:pPr>
        <w:pStyle w:val="FootnoteText1"/>
        <w:textDirection w:val="tbRlV"/>
        <w:rPr>
          <w:rFonts w:eastAsiaTheme="minorEastAsia"/>
          <w:spacing w:val="-2"/>
          <w:lang w:val="ar-SA" w:eastAsia="zh-TW" w:bidi="en-GB"/>
        </w:rPr>
      </w:pPr>
      <w:r w:rsidRPr="00FE4954">
        <w:rPr>
          <w:rStyle w:val="FootnoteReference"/>
          <w:rFonts w:eastAsiaTheme="minorEastAsia"/>
          <w:spacing w:val="-2"/>
          <w:vertAlign w:val="baseline"/>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t xml:space="preserve">ينص القانون في هذا الصدد على جواز تحويل القضية من نظام العدالة الجنائية إلى مسار آخر في حالة اتهام الطفل بارتكاب مخالفة بسيطة. فمثلاً في حالة ارتكاب الطفل جرماً بسيطاً يمكن أن يحوله المدعي </w:t>
      </w:r>
      <w:r w:rsidRPr="00FE4954">
        <w:rPr>
          <w:rFonts w:eastAsiaTheme="minorEastAsia"/>
          <w:spacing w:val="-2"/>
          <w:rtl/>
          <w:lang w:bidi="ar-DZ"/>
        </w:rPr>
        <w:t xml:space="preserve">العام </w:t>
      </w:r>
      <w:r w:rsidRPr="00FE4954">
        <w:rPr>
          <w:rFonts w:eastAsiaTheme="minorEastAsia"/>
          <w:spacing w:val="-2"/>
          <w:rtl/>
        </w:rPr>
        <w:t>إلى مسار آخر. وتشمل خيارات التحويل خيارات من قبيل إيداع الطفل في رعاية أحد الوالدين أو أي شخص بالغ مناسب أو وصي أو إلحاقه ببعض البرامج، وما إلى ذلك.</w:t>
      </w:r>
    </w:p>
  </w:footnote>
  <w:footnote w:id="109">
    <w:p w14:paraId="303438DE" w14:textId="62BEF9CC" w:rsidR="009460BA" w:rsidRPr="00FE4954" w:rsidRDefault="009460BA" w:rsidP="00803069">
      <w:pPr>
        <w:pStyle w:val="FootnoteText1"/>
        <w:textDirection w:val="tbRlV"/>
        <w:rPr>
          <w:rFonts w:eastAsiaTheme="minorEastAsia"/>
          <w:lang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32 لعام 2007.</w:t>
      </w:r>
    </w:p>
  </w:footnote>
  <w:footnote w:id="110">
    <w:p w14:paraId="661358D1" w14:textId="5381E897"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38 لعام 2007.</w:t>
      </w:r>
    </w:p>
  </w:footnote>
  <w:footnote w:id="111">
    <w:p w14:paraId="2396694C" w14:textId="39C4CEC2"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هذه الصكوك هي: بروتوكول منع الاتجار بالأشخاص، وبخاصة النساء والأطفال، وقمعه والمعاقبة عليه؛ واتفاقية الأمم المتحدة لمكافحة الجريمة المنظمة عبر الوطنية. وتجدر الإشارة أيضاً إلى أن جنوب أفريقيا في سبيلها إلى إبرام مذكرات تفاهم بشأن التعاون على مكافحة الاتجار بالأشخاص ومساعدة ضحايا الاتجار مع البلدان التالية: إندونيسيا وأنغولا والبرازيل وتايلند وماليزيا وموزامبيق ونيجيريا.</w:t>
      </w:r>
    </w:p>
  </w:footnote>
  <w:footnote w:id="112">
    <w:p w14:paraId="768910D1" w14:textId="4E3CC384"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القانون رقم 7 لعام 2013.</w:t>
      </w:r>
    </w:p>
  </w:footnote>
  <w:footnote w:id="113">
    <w:p w14:paraId="4BC8B57A" w14:textId="0C256D08" w:rsidR="009460BA" w:rsidRPr="00FE4954" w:rsidRDefault="009460BA" w:rsidP="00803069">
      <w:pPr>
        <w:pStyle w:val="FootnoteText1"/>
        <w:textDirection w:val="tbRlV"/>
        <w:rPr>
          <w:rFonts w:eastAsiaTheme="minorEastAsia"/>
          <w:lang w:val="fr-CH"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لجنة مناهضة التعذيب، التعليق العام رقم 3(2012).</w:t>
      </w:r>
    </w:p>
  </w:footnote>
  <w:footnote w:id="114">
    <w:p w14:paraId="1D858348" w14:textId="12D489BA" w:rsidR="009460BA" w:rsidRPr="00FE4954" w:rsidRDefault="009460BA" w:rsidP="00803069">
      <w:pPr>
        <w:pStyle w:val="FootnoteText1"/>
        <w:textDirection w:val="tbRlV"/>
        <w:rPr>
          <w:rFonts w:eastAsiaTheme="minorEastAsia"/>
          <w:lang w:val="ar-SA" w:eastAsia="zh-TW" w:bidi="en-GB"/>
        </w:rPr>
      </w:pPr>
      <w:r w:rsidRPr="00FE4954">
        <w:rPr>
          <w:rStyle w:val="FootnoteReference"/>
          <w:rFonts w:eastAsiaTheme="minorEastAsia"/>
          <w:vertAlign w:val="baseline"/>
          <w:rtl/>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t>ينص القانون على وجوب أن يؤدي أخصائيو الخدمة الاجتماعية دوراً في الإبلاغ عن أي شخص تعرض للاتجار وتحديد هويته وتقييم حالته. وبمجرد التثبت من هذه الأمور يحق للضحية أن تلحق ببرنامج معتمد، أما الأطفال ضحايا الاتجار فيودعون في مراكز للرعاية المأمونة المؤقتة. وتوفر تلك البرامج خدمات الإقامة والمشورة والتأهيل وتهدف إلى إعادة إدماج الضحايا في أسرهم ومجتمعاتهم المحلية. ويجري في إطارها توفير التعليم للبالغين وتدريبهم على تنمية مهاراتهم. وأُعد أيضاً مشروع إطار للسياسات الوطنية المتعلقة بالاتجار بالأشخاص.</w:t>
      </w:r>
    </w:p>
  </w:footnote>
  <w:footnote w:id="115">
    <w:p w14:paraId="548AA90F" w14:textId="5333653A" w:rsidR="009460BA" w:rsidRPr="00FE4954" w:rsidRDefault="009460BA" w:rsidP="00803069">
      <w:pPr>
        <w:pStyle w:val="FootnoteText1"/>
        <w:rPr>
          <w:rFonts w:eastAsiaTheme="minorEastAsia"/>
          <w:lang w:val="fr-CH"/>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lang w:val="fr-CH"/>
        </w:rPr>
        <w:t>2005 (1) SA 580 (CC)</w:t>
      </w:r>
      <w:r w:rsidRPr="00FE4954">
        <w:rPr>
          <w:rFonts w:eastAsiaTheme="minorEastAsia" w:hint="cs"/>
          <w:rtl/>
        </w:rPr>
        <w:t>.</w:t>
      </w:r>
    </w:p>
  </w:footnote>
  <w:footnote w:id="116">
    <w:p w14:paraId="6160B1FC" w14:textId="7C0C2D96" w:rsidR="009460BA" w:rsidRPr="00FE4954" w:rsidRDefault="009460BA" w:rsidP="00803069">
      <w:pPr>
        <w:pStyle w:val="FootnoteText1"/>
        <w:rPr>
          <w:rFonts w:eastAsiaTheme="minorEastAsia"/>
          <w:lang w:val="fr-CH"/>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lang w:val="fr-CH"/>
        </w:rPr>
        <w:t>1999 (4) SA 1319 (SCA)</w:t>
      </w:r>
      <w:r w:rsidRPr="00FE4954">
        <w:rPr>
          <w:rFonts w:eastAsiaTheme="minorEastAsia" w:hint="cs"/>
          <w:rtl/>
        </w:rPr>
        <w:t>.</w:t>
      </w:r>
    </w:p>
  </w:footnote>
  <w:footnote w:id="117">
    <w:p w14:paraId="06B3FC30" w14:textId="2EDB5D6A" w:rsidR="009460BA" w:rsidRPr="00FE4954" w:rsidRDefault="009460BA" w:rsidP="00803069">
      <w:pPr>
        <w:pStyle w:val="FootnoteText1"/>
        <w:rPr>
          <w:rFonts w:eastAsiaTheme="minorEastAsia"/>
          <w:lang w:val="fr-CH"/>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lang w:val="fr-CH"/>
        </w:rPr>
        <w:t>2003 (9) BCLR 969 (C)</w:t>
      </w:r>
      <w:r w:rsidRPr="00FE4954">
        <w:rPr>
          <w:rFonts w:eastAsiaTheme="minorEastAsia" w:hint="cs"/>
          <w:rtl/>
        </w:rPr>
        <w:t>.</w:t>
      </w:r>
    </w:p>
  </w:footnote>
  <w:footnote w:id="118">
    <w:p w14:paraId="7589709E" w14:textId="54E52C37" w:rsidR="009460BA" w:rsidRPr="00FE4954" w:rsidRDefault="009460BA" w:rsidP="00803069">
      <w:pPr>
        <w:pStyle w:val="FootnoteText1"/>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rPr>
        <w:t>2009 (3) SA 178 (D)</w:t>
      </w:r>
      <w:r w:rsidRPr="00FE4954">
        <w:rPr>
          <w:rFonts w:eastAsiaTheme="minorEastAsia" w:hint="cs"/>
          <w:rtl/>
        </w:rPr>
        <w:t>.</w:t>
      </w:r>
    </w:p>
  </w:footnote>
  <w:footnote w:id="119">
    <w:p w14:paraId="216DF625" w14:textId="43B34E0B" w:rsidR="009460BA" w:rsidRPr="00FE4954" w:rsidRDefault="009460BA" w:rsidP="00803069">
      <w:pPr>
        <w:pStyle w:val="FootnoteText1"/>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hint="cs"/>
          <w:rtl/>
        </w:rPr>
        <w:t>القانون رقم 116 لعام 1998.</w:t>
      </w:r>
    </w:p>
  </w:footnote>
  <w:footnote w:id="120">
    <w:p w14:paraId="6C35E4FA" w14:textId="50924573" w:rsidR="009460BA" w:rsidRPr="00FE4954" w:rsidRDefault="009460BA" w:rsidP="00803069">
      <w:pPr>
        <w:pStyle w:val="FootnoteText1"/>
        <w:rPr>
          <w:rFonts w:eastAsiaTheme="minorEastAsia"/>
        </w:rPr>
      </w:pPr>
      <w:r w:rsidRPr="00FE4954">
        <w:rPr>
          <w:rFonts w:eastAsiaTheme="minorEastAsia"/>
          <w:rtl/>
        </w:rPr>
        <w:t>(</w:t>
      </w:r>
      <w:r w:rsidRPr="00FE4954">
        <w:rPr>
          <w:rFonts w:eastAsiaTheme="minorEastAsia"/>
          <w:rtl/>
        </w:rPr>
        <w:footnoteRef/>
      </w:r>
      <w:r w:rsidRPr="00FE4954">
        <w:rPr>
          <w:rFonts w:eastAsiaTheme="minorEastAsia"/>
          <w:rtl/>
        </w:rPr>
        <w:t>)</w:t>
      </w:r>
      <w:r w:rsidRPr="00FE4954">
        <w:rPr>
          <w:rFonts w:eastAsiaTheme="minorEastAsia"/>
          <w:rtl/>
        </w:rPr>
        <w:tab/>
      </w:r>
      <w:r w:rsidRPr="00FE4954">
        <w:rPr>
          <w:rFonts w:eastAsiaTheme="minorEastAsia" w:hint="cs"/>
          <w:rtl/>
        </w:rPr>
        <w:t>القانون رقم 116 لعام 1998.</w:t>
      </w:r>
    </w:p>
  </w:footnote>
  <w:footnote w:id="121">
    <w:p w14:paraId="005A8C21" w14:textId="26191729" w:rsidR="009460BA" w:rsidRPr="00FE4954" w:rsidRDefault="009460BA" w:rsidP="00803069">
      <w:pPr>
        <w:pStyle w:val="FootnoteText1"/>
        <w:rPr>
          <w:rFonts w:eastAsiaTheme="minorEastAsia"/>
          <w:rtl/>
          <w:lang w:bidi="ar-EG"/>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 xml:space="preserve">اشتركت وزارة العدل وتطوير النظام الدستوري مع منظمة إيرانتي </w:t>
      </w:r>
      <w:r w:rsidRPr="00FE4954">
        <w:rPr>
          <w:rFonts w:eastAsiaTheme="minorEastAsia"/>
        </w:rPr>
        <w:t>Iranti</w:t>
      </w:r>
      <w:r w:rsidRPr="00FE4954">
        <w:rPr>
          <w:rFonts w:eastAsiaTheme="minorEastAsia" w:hint="cs"/>
          <w:rtl/>
          <w:lang w:bidi="ar-EG"/>
        </w:rPr>
        <w:t xml:space="preserve"> ومؤسسة حقوق الإنسان في </w:t>
      </w:r>
      <w:r w:rsidRPr="00FE4954">
        <w:rPr>
          <w:rFonts w:eastAsiaTheme="minorEastAsia" w:hint="cs"/>
          <w:rtl/>
        </w:rPr>
        <w:t>استضافة</w:t>
      </w:r>
      <w:r w:rsidRPr="00FE4954">
        <w:rPr>
          <w:rFonts w:eastAsiaTheme="minorEastAsia" w:hint="cs"/>
          <w:rtl/>
          <w:lang w:bidi="ar-EG"/>
        </w:rPr>
        <w:t xml:space="preserve"> الحوار الوطني بشأن تعزيز وحماية حقوق الإنسان الواجبة للأشخاص حاملي صفات الجنسين في كانون الأول/ديسمبر 2017 ويمكن الاطلاع على التقرير بالكامل في الموقع:</w:t>
      </w:r>
      <w:r w:rsidRPr="00FE4954">
        <w:rPr>
          <w:rFonts w:eastAsiaTheme="minorEastAsia"/>
          <w:rtl/>
          <w:lang w:bidi="ar-EG"/>
        </w:rPr>
        <w:tab/>
      </w:r>
      <w:r w:rsidRPr="00FE4954">
        <w:rPr>
          <w:rFonts w:eastAsiaTheme="minorEastAsia"/>
          <w:rtl/>
          <w:lang w:bidi="ar-EG"/>
        </w:rPr>
        <w:br/>
      </w:r>
      <w:hyperlink r:id="rId1" w:history="1">
        <w:r w:rsidRPr="00FE4954">
          <w:rPr>
            <w:rFonts w:eastAsiaTheme="minorEastAsia"/>
            <w:color w:val="0000E1"/>
            <w:spacing w:val="-5"/>
          </w:rPr>
          <w:t>http://www.iranti-org.co.za/content/Resources/National-Intersex/National-Intersex-Meeting-Report.html</w:t>
        </w:r>
      </w:hyperlink>
      <w:r w:rsidRPr="00FE4954">
        <w:rPr>
          <w:rFonts w:eastAsiaTheme="minorEastAsia" w:hint="cs"/>
          <w:rtl/>
        </w:rPr>
        <w:t>.</w:t>
      </w:r>
    </w:p>
  </w:footnote>
  <w:footnote w:id="122">
    <w:p w14:paraId="328A5D3A" w14:textId="57CDFCDF" w:rsidR="009460BA" w:rsidRPr="00FE4954" w:rsidRDefault="009460BA" w:rsidP="00803069">
      <w:pPr>
        <w:pStyle w:val="FootnoteText1"/>
        <w:rPr>
          <w:rFonts w:eastAsiaTheme="minorEastAsia"/>
          <w:lang w:bidi="ar-EG"/>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برنامج التعمير والتنمية لعام 1994.</w:t>
      </w:r>
    </w:p>
  </w:footnote>
  <w:footnote w:id="123">
    <w:p w14:paraId="02284C8B" w14:textId="1A0351CE" w:rsidR="009460BA" w:rsidRPr="00FE4954" w:rsidRDefault="009460BA" w:rsidP="00803069">
      <w:pPr>
        <w:pStyle w:val="FootnoteText1"/>
        <w:rPr>
          <w:rFonts w:eastAsiaTheme="minorEastAsia"/>
          <w:lang w:bidi="ar-EG"/>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 xml:space="preserve">الأمر الحكومي رقم </w:t>
      </w:r>
      <w:r w:rsidRPr="00FE4954">
        <w:rPr>
          <w:rFonts w:eastAsiaTheme="minorEastAsia"/>
        </w:rPr>
        <w:t>R764</w:t>
      </w:r>
      <w:r w:rsidRPr="00FE4954">
        <w:rPr>
          <w:rFonts w:eastAsiaTheme="minorEastAsia" w:hint="cs"/>
          <w:rtl/>
        </w:rPr>
        <w:t xml:space="preserve"> المؤرخ 13 حزيران/يونيه 2003 (الجريدة الرسمية 25065)</w:t>
      </w:r>
    </w:p>
  </w:footnote>
  <w:footnote w:id="124">
    <w:p w14:paraId="1CE82277" w14:textId="2D826A5E" w:rsidR="009460BA" w:rsidRPr="00FE4954" w:rsidRDefault="009460BA" w:rsidP="00803069">
      <w:pPr>
        <w:pStyle w:val="FootnoteText1"/>
        <w:rPr>
          <w:rFonts w:eastAsiaTheme="minorEastAsia"/>
          <w:rtl/>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القانون رقم 2 لعام 2000.</w:t>
      </w:r>
    </w:p>
  </w:footnote>
  <w:footnote w:id="125">
    <w:p w14:paraId="07890C06" w14:textId="0973B2BF" w:rsidR="009460BA" w:rsidRPr="00FE4954" w:rsidRDefault="009460BA" w:rsidP="00803069">
      <w:pPr>
        <w:pStyle w:val="FootnoteText1"/>
        <w:rPr>
          <w:rFonts w:eastAsiaTheme="minorEastAsia"/>
          <w:lang w:bidi="ar-EG"/>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القانون رقم 3 لعام 2000.</w:t>
      </w:r>
    </w:p>
  </w:footnote>
  <w:footnote w:id="126">
    <w:p w14:paraId="794E89D0" w14:textId="3FA8FB71" w:rsidR="009460BA" w:rsidRPr="00FE4954" w:rsidRDefault="009460BA" w:rsidP="00803069">
      <w:pPr>
        <w:pStyle w:val="FootnoteText1"/>
        <w:rPr>
          <w:rFonts w:eastAsiaTheme="minorEastAsia"/>
          <w:lang w:bidi="ar-EG"/>
        </w:rPr>
      </w:pPr>
      <w:r w:rsidRPr="00FE4954">
        <w:rPr>
          <w:rFonts w:eastAsiaTheme="minorEastAsia"/>
          <w:rtl/>
          <w:lang w:bidi="ar-EG"/>
        </w:rPr>
        <w:t>(</w:t>
      </w:r>
      <w:r w:rsidRPr="00FE4954">
        <w:rPr>
          <w:rStyle w:val="FootnoteReference"/>
          <w:rFonts w:eastAsiaTheme="minorEastAsia"/>
          <w:vertAlign w:val="baseline"/>
          <w:rtl/>
        </w:rPr>
        <w:footnoteRef/>
      </w:r>
      <w:r w:rsidRPr="00FE4954">
        <w:rPr>
          <w:rStyle w:val="FootnoteReference"/>
          <w:rFonts w:eastAsiaTheme="minorEastAsia"/>
          <w:vertAlign w:val="baseline"/>
          <w:rtl/>
        </w:rPr>
        <w:t>)</w:t>
      </w:r>
      <w:r w:rsidRPr="00FE4954">
        <w:rPr>
          <w:rFonts w:eastAsiaTheme="minorEastAsia"/>
          <w:rtl/>
        </w:rPr>
        <w:tab/>
      </w:r>
      <w:r w:rsidRPr="00FE4954">
        <w:rPr>
          <w:rFonts w:eastAsiaTheme="minorEastAsia" w:hint="cs"/>
          <w:rtl/>
        </w:rPr>
        <w:t>ينص القانون أيضاً على القواعد والمبادئ التوجيهية التي يتعين على المسؤولين الإداريين اتباعها لدى اتخاذ القرارات؛ ويشترط على المسؤولين الإداريين إبلاغ الأشخاص بحقهم في طلب إعادة النظر في القرارات أو في استئنافها وحقهم في الاستفسار عن الأسباب؛ وينص على واجب المسؤولين الإداريين إبداء أسباب قراراتهم؛ ويمنح أفراد الجمهور الحق في الطعن في قرارات المسؤولين الإداريين في المحكمة.</w:t>
      </w:r>
    </w:p>
  </w:footnote>
  <w:footnote w:id="127">
    <w:p w14:paraId="43FAD230" w14:textId="12EB6B49" w:rsidR="009460BA" w:rsidRPr="00B157F1" w:rsidRDefault="009460BA" w:rsidP="00803069">
      <w:pPr>
        <w:pStyle w:val="FootnoteText1"/>
        <w:rPr>
          <w:rFonts w:eastAsiaTheme="minorEastAsia"/>
          <w:spacing w:val="-2"/>
          <w:lang w:bidi="ar-EG"/>
        </w:rPr>
      </w:pPr>
      <w:r w:rsidRPr="00FE4954">
        <w:rPr>
          <w:rFonts w:eastAsiaTheme="minorEastAsia"/>
          <w:spacing w:val="-2"/>
          <w:rtl/>
        </w:rPr>
        <w:t>(</w:t>
      </w:r>
      <w:r w:rsidRPr="00FE4954">
        <w:rPr>
          <w:rStyle w:val="FootnoteReference"/>
          <w:rFonts w:eastAsiaTheme="minorEastAsia"/>
          <w:spacing w:val="-2"/>
          <w:vertAlign w:val="baseline"/>
          <w:rtl/>
        </w:rPr>
        <w:footnoteRef/>
      </w:r>
      <w:r w:rsidRPr="00FE4954">
        <w:rPr>
          <w:rStyle w:val="FootnoteReference"/>
          <w:rFonts w:eastAsiaTheme="minorEastAsia"/>
          <w:spacing w:val="-2"/>
          <w:vertAlign w:val="baseline"/>
          <w:rtl/>
        </w:rPr>
        <w:t>)</w:t>
      </w:r>
      <w:r w:rsidRPr="00FE4954">
        <w:rPr>
          <w:rFonts w:eastAsiaTheme="minorEastAsia"/>
          <w:spacing w:val="-2"/>
          <w:rtl/>
        </w:rPr>
        <w:tab/>
      </w:r>
      <w:r w:rsidRPr="00FE4954">
        <w:rPr>
          <w:rFonts w:eastAsiaTheme="minorEastAsia" w:hint="cs"/>
          <w:spacing w:val="-2"/>
          <w:rtl/>
        </w:rPr>
        <w:t>في الفترة 2017/2018، تجاوز عدد الأشخاص الذين تهدف برامج التوعية والتعريف بالدستور الوصول إليهم العدد السنوي المستهدف وهو مليونا شخص ليصل إلى 900 7 مليون شخص. ولقد أمكن الوصول إلى هذا العدد الإجمالي من الأشخاص باستخدام الوسائط التالية: وسائل التواصل الاجتماعي (فيسبوك وتويتر) - 337 659 شخصاً؛ وشهر المرأة - 000 814 شخص؛ وشهر التوعية بحقوق الإنسان لعام 2018 - 208 467 1 أشخاص؛ وسلسلة المناقشات الكبرى</w:t>
      </w:r>
      <w:r w:rsidRPr="00FE4954">
        <w:rPr>
          <w:rFonts w:eastAsiaTheme="minorEastAsia" w:hint="eastAsia"/>
          <w:spacing w:val="-2"/>
          <w:rtl/>
        </w:rPr>
        <w:t> </w:t>
      </w:r>
      <w:r w:rsidRPr="00FE4954">
        <w:rPr>
          <w:rFonts w:eastAsiaTheme="minorEastAsia" w:hint="cs"/>
          <w:spacing w:val="-2"/>
          <w:rtl/>
        </w:rPr>
        <w:t>- 717 959 4 شخصاً.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728B" w14:textId="443E184C" w:rsidR="009460BA" w:rsidRPr="00A445A1" w:rsidRDefault="009460BA" w:rsidP="00A445A1">
    <w:pPr>
      <w:pStyle w:val="Header"/>
      <w:jc w:val="left"/>
    </w:pPr>
    <w:r w:rsidRPr="00FE4954">
      <w:rPr>
        <w:rtl/>
      </w:rPr>
      <w:fldChar w:fldCharType="begin"/>
    </w:r>
    <w:r w:rsidRPr="00FE4954">
      <w:rPr>
        <w:rtl/>
      </w:rPr>
      <w:instrText xml:space="preserve"> </w:instrText>
    </w:r>
    <w:r w:rsidRPr="00FE4954">
      <w:instrText>TITLE</w:instrText>
    </w:r>
    <w:r w:rsidRPr="00FE4954">
      <w:rPr>
        <w:rtl/>
      </w:rPr>
      <w:instrText xml:space="preserve">  \* </w:instrText>
    </w:r>
    <w:r w:rsidRPr="00FE4954">
      <w:instrText>MERGEFORMAT</w:instrText>
    </w:r>
    <w:r w:rsidRPr="00FE4954">
      <w:rPr>
        <w:rtl/>
      </w:rPr>
      <w:instrText xml:space="preserve"> </w:instrText>
    </w:r>
    <w:r w:rsidRPr="00FE4954">
      <w:rPr>
        <w:rtl/>
      </w:rPr>
      <w:fldChar w:fldCharType="separate"/>
    </w:r>
    <w:r w:rsidR="006138FE">
      <w:t>HRI/CORE/ZAF/2021</w:t>
    </w:r>
    <w:r w:rsidRPr="00FE4954">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D0D9" w14:textId="60509000" w:rsidR="009460BA" w:rsidRPr="00A445A1" w:rsidRDefault="009460BA" w:rsidP="00A445A1">
    <w:pPr>
      <w:pStyle w:val="Header"/>
      <w:bidi w:val="0"/>
    </w:pPr>
    <w:r w:rsidRPr="00FE4954">
      <w:rPr>
        <w:rtl/>
      </w:rPr>
      <w:fldChar w:fldCharType="begin"/>
    </w:r>
    <w:r w:rsidRPr="00FE4954">
      <w:rPr>
        <w:rtl/>
      </w:rPr>
      <w:instrText xml:space="preserve"> </w:instrText>
    </w:r>
    <w:r w:rsidRPr="00FE4954">
      <w:instrText>TITLE</w:instrText>
    </w:r>
    <w:r w:rsidRPr="00FE4954">
      <w:rPr>
        <w:rtl/>
      </w:rPr>
      <w:instrText xml:space="preserve">  \* </w:instrText>
    </w:r>
    <w:r w:rsidRPr="00FE4954">
      <w:instrText>MERGEFORMAT</w:instrText>
    </w:r>
    <w:r w:rsidRPr="00FE4954">
      <w:rPr>
        <w:rtl/>
      </w:rPr>
      <w:instrText xml:space="preserve"> </w:instrText>
    </w:r>
    <w:r w:rsidRPr="00FE4954">
      <w:rPr>
        <w:rtl/>
      </w:rPr>
      <w:fldChar w:fldCharType="separate"/>
    </w:r>
    <w:r w:rsidR="006138FE">
      <w:t>HRI/CORE/ZAF/2021</w:t>
    </w:r>
    <w:r w:rsidRPr="00FE4954">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A12325"/>
    <w:multiLevelType w:val="hybridMultilevel"/>
    <w:tmpl w:val="5AEC6D02"/>
    <w:lvl w:ilvl="0" w:tplc="74FC7AFC">
      <w:start w:val="1"/>
      <w:numFmt w:val="bullet"/>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33A60"/>
    <w:multiLevelType w:val="hybridMultilevel"/>
    <w:tmpl w:val="627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23FE3"/>
    <w:multiLevelType w:val="hybridMultilevel"/>
    <w:tmpl w:val="705E40EA"/>
    <w:lvl w:ilvl="0" w:tplc="0F3497C8">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15"/>
  </w:num>
  <w:num w:numId="3">
    <w:abstractNumId w:val="2"/>
  </w:num>
  <w:num w:numId="4">
    <w:abstractNumId w:val="14"/>
  </w:num>
  <w:num w:numId="5">
    <w:abstractNumId w:val="10"/>
  </w:num>
  <w:num w:numId="6">
    <w:abstractNumId w:val="6"/>
  </w:num>
  <w:num w:numId="7">
    <w:abstractNumId w:val="23"/>
  </w:num>
  <w:num w:numId="8">
    <w:abstractNumId w:val="2"/>
  </w:num>
  <w:num w:numId="9">
    <w:abstractNumId w:val="14"/>
  </w:num>
  <w:num w:numId="10">
    <w:abstractNumId w:val="6"/>
  </w:num>
  <w:num w:numId="11">
    <w:abstractNumId w:val="23"/>
  </w:num>
  <w:num w:numId="12">
    <w:abstractNumId w:val="4"/>
  </w:num>
  <w:num w:numId="13">
    <w:abstractNumId w:val="3"/>
  </w:num>
  <w:num w:numId="14">
    <w:abstractNumId w:val="20"/>
  </w:num>
  <w:num w:numId="15">
    <w:abstractNumId w:val="16"/>
  </w:num>
  <w:num w:numId="16">
    <w:abstractNumId w:val="1"/>
  </w:num>
  <w:num w:numId="17">
    <w:abstractNumId w:val="18"/>
  </w:num>
  <w:num w:numId="18">
    <w:abstractNumId w:val="0"/>
  </w:num>
  <w:num w:numId="19">
    <w:abstractNumId w:val="12"/>
  </w:num>
  <w:num w:numId="20">
    <w:abstractNumId w:val="1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9"/>
    <w:lvlOverride w:ilvl="0">
      <w:lvl w:ilvl="0" w:tplc="74FC7AFC">
        <w:start w:val="1"/>
        <w:numFmt w:val="bullet"/>
        <w:lvlText w:val="•"/>
        <w:lvlJc w:val="left"/>
        <w:pPr>
          <w:tabs>
            <w:tab w:val="num" w:pos="1701"/>
          </w:tabs>
          <w:ind w:left="1701" w:hanging="170"/>
        </w:pPr>
        <w:rPr>
          <w:rFonts w:ascii="Times New Roman" w:hAnsi="Times New Roman" w:cs="Times New Roman" w:hint="default"/>
          <w:b w:val="0"/>
          <w:i w:val="0"/>
          <w:sz w:val="20"/>
          <w:vertAlign w:val="baseline"/>
        </w:rPr>
      </w:lvl>
    </w:lvlOverride>
  </w:num>
  <w:num w:numId="29">
    <w:abstractNumId w:val="5"/>
  </w:num>
  <w:num w:numId="30">
    <w:abstractNumId w:val="17"/>
  </w:num>
  <w:num w:numId="31">
    <w:abstractNumId w:val="22"/>
  </w:num>
  <w:num w:numId="32">
    <w:abstractNumId w:val="11"/>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E0"/>
    <w:rsid w:val="0000563E"/>
    <w:rsid w:val="000076D5"/>
    <w:rsid w:val="00043663"/>
    <w:rsid w:val="000505CF"/>
    <w:rsid w:val="00065AAF"/>
    <w:rsid w:val="0006642E"/>
    <w:rsid w:val="00084F69"/>
    <w:rsid w:val="0009460F"/>
    <w:rsid w:val="000B462C"/>
    <w:rsid w:val="000D5B62"/>
    <w:rsid w:val="000D701C"/>
    <w:rsid w:val="000E2A71"/>
    <w:rsid w:val="0013513C"/>
    <w:rsid w:val="00136F05"/>
    <w:rsid w:val="00147093"/>
    <w:rsid w:val="00154606"/>
    <w:rsid w:val="00160263"/>
    <w:rsid w:val="00181F96"/>
    <w:rsid w:val="00192573"/>
    <w:rsid w:val="001931C3"/>
    <w:rsid w:val="001A1371"/>
    <w:rsid w:val="001A2D9D"/>
    <w:rsid w:val="001B2F42"/>
    <w:rsid w:val="001B346A"/>
    <w:rsid w:val="001B5FD3"/>
    <w:rsid w:val="001D0336"/>
    <w:rsid w:val="001E1CAD"/>
    <w:rsid w:val="001E290D"/>
    <w:rsid w:val="002144FA"/>
    <w:rsid w:val="0023469A"/>
    <w:rsid w:val="00243C8A"/>
    <w:rsid w:val="00263EED"/>
    <w:rsid w:val="00267A0E"/>
    <w:rsid w:val="002705E5"/>
    <w:rsid w:val="002802DA"/>
    <w:rsid w:val="002901D9"/>
    <w:rsid w:val="002976C2"/>
    <w:rsid w:val="002B72E6"/>
    <w:rsid w:val="002E196D"/>
    <w:rsid w:val="002F53CB"/>
    <w:rsid w:val="00302EAB"/>
    <w:rsid w:val="0030721F"/>
    <w:rsid w:val="00313F43"/>
    <w:rsid w:val="003260FF"/>
    <w:rsid w:val="00343D95"/>
    <w:rsid w:val="0034591C"/>
    <w:rsid w:val="00351141"/>
    <w:rsid w:val="0035195D"/>
    <w:rsid w:val="00354CC2"/>
    <w:rsid w:val="00356749"/>
    <w:rsid w:val="00374341"/>
    <w:rsid w:val="00394C64"/>
    <w:rsid w:val="003957A0"/>
    <w:rsid w:val="00397D00"/>
    <w:rsid w:val="003A445D"/>
    <w:rsid w:val="003A4ADA"/>
    <w:rsid w:val="003B355E"/>
    <w:rsid w:val="003C71A7"/>
    <w:rsid w:val="003D1062"/>
    <w:rsid w:val="003F1827"/>
    <w:rsid w:val="004029C5"/>
    <w:rsid w:val="00420D7B"/>
    <w:rsid w:val="004443A4"/>
    <w:rsid w:val="00450B21"/>
    <w:rsid w:val="00453B63"/>
    <w:rsid w:val="00455780"/>
    <w:rsid w:val="004A3298"/>
    <w:rsid w:val="004B0A1C"/>
    <w:rsid w:val="004D298E"/>
    <w:rsid w:val="004E525B"/>
    <w:rsid w:val="004F6383"/>
    <w:rsid w:val="0053722C"/>
    <w:rsid w:val="0054472E"/>
    <w:rsid w:val="00553A77"/>
    <w:rsid w:val="00556AB9"/>
    <w:rsid w:val="005662A9"/>
    <w:rsid w:val="005827D4"/>
    <w:rsid w:val="0059622A"/>
    <w:rsid w:val="005B41CD"/>
    <w:rsid w:val="005B754C"/>
    <w:rsid w:val="005C5878"/>
    <w:rsid w:val="005C7CEA"/>
    <w:rsid w:val="005D14BD"/>
    <w:rsid w:val="005D3C0B"/>
    <w:rsid w:val="005E13DB"/>
    <w:rsid w:val="005E5217"/>
    <w:rsid w:val="005F0FA4"/>
    <w:rsid w:val="005F2563"/>
    <w:rsid w:val="005F30EE"/>
    <w:rsid w:val="0060473A"/>
    <w:rsid w:val="00611E78"/>
    <w:rsid w:val="006138FE"/>
    <w:rsid w:val="00623495"/>
    <w:rsid w:val="00624B9B"/>
    <w:rsid w:val="0063775D"/>
    <w:rsid w:val="0065091C"/>
    <w:rsid w:val="0065136D"/>
    <w:rsid w:val="00656392"/>
    <w:rsid w:val="00676B5E"/>
    <w:rsid w:val="0068781D"/>
    <w:rsid w:val="00692C50"/>
    <w:rsid w:val="006959B0"/>
    <w:rsid w:val="006B3E27"/>
    <w:rsid w:val="006B6507"/>
    <w:rsid w:val="006B736E"/>
    <w:rsid w:val="006C104C"/>
    <w:rsid w:val="006E68C4"/>
    <w:rsid w:val="006F382D"/>
    <w:rsid w:val="00706D34"/>
    <w:rsid w:val="00727F12"/>
    <w:rsid w:val="00733704"/>
    <w:rsid w:val="00766266"/>
    <w:rsid w:val="00772128"/>
    <w:rsid w:val="007801B1"/>
    <w:rsid w:val="0078071A"/>
    <w:rsid w:val="007A1249"/>
    <w:rsid w:val="007A3956"/>
    <w:rsid w:val="007A63CA"/>
    <w:rsid w:val="007B10BC"/>
    <w:rsid w:val="007B10EC"/>
    <w:rsid w:val="007C1295"/>
    <w:rsid w:val="007C4384"/>
    <w:rsid w:val="007D69FD"/>
    <w:rsid w:val="007E37A9"/>
    <w:rsid w:val="00803069"/>
    <w:rsid w:val="00825757"/>
    <w:rsid w:val="00852A9A"/>
    <w:rsid w:val="008B0906"/>
    <w:rsid w:val="008C28E2"/>
    <w:rsid w:val="008D1EE5"/>
    <w:rsid w:val="008F49E1"/>
    <w:rsid w:val="0090370F"/>
    <w:rsid w:val="00911912"/>
    <w:rsid w:val="009269D2"/>
    <w:rsid w:val="00933EC3"/>
    <w:rsid w:val="00942135"/>
    <w:rsid w:val="00942AFC"/>
    <w:rsid w:val="009460BA"/>
    <w:rsid w:val="009521B0"/>
    <w:rsid w:val="00955693"/>
    <w:rsid w:val="00957371"/>
    <w:rsid w:val="00970B7C"/>
    <w:rsid w:val="00973E2A"/>
    <w:rsid w:val="009815E4"/>
    <w:rsid w:val="00994130"/>
    <w:rsid w:val="009A7E9F"/>
    <w:rsid w:val="009B1970"/>
    <w:rsid w:val="009D1D31"/>
    <w:rsid w:val="009D5E4B"/>
    <w:rsid w:val="009E5018"/>
    <w:rsid w:val="00A12B37"/>
    <w:rsid w:val="00A130A4"/>
    <w:rsid w:val="00A1373C"/>
    <w:rsid w:val="00A27F2B"/>
    <w:rsid w:val="00A445A1"/>
    <w:rsid w:val="00A465FE"/>
    <w:rsid w:val="00A519EC"/>
    <w:rsid w:val="00A575B0"/>
    <w:rsid w:val="00A6363A"/>
    <w:rsid w:val="00A9440B"/>
    <w:rsid w:val="00A95363"/>
    <w:rsid w:val="00AA29CE"/>
    <w:rsid w:val="00AB5D9F"/>
    <w:rsid w:val="00AB6758"/>
    <w:rsid w:val="00AD51A5"/>
    <w:rsid w:val="00AD765E"/>
    <w:rsid w:val="00AF0202"/>
    <w:rsid w:val="00AF2F75"/>
    <w:rsid w:val="00AF6EC9"/>
    <w:rsid w:val="00B038BD"/>
    <w:rsid w:val="00B03BF8"/>
    <w:rsid w:val="00B13763"/>
    <w:rsid w:val="00B157F1"/>
    <w:rsid w:val="00B228F1"/>
    <w:rsid w:val="00B340F1"/>
    <w:rsid w:val="00B452DB"/>
    <w:rsid w:val="00B477A4"/>
    <w:rsid w:val="00B54045"/>
    <w:rsid w:val="00B627BA"/>
    <w:rsid w:val="00B706DA"/>
    <w:rsid w:val="00C2304B"/>
    <w:rsid w:val="00C254F0"/>
    <w:rsid w:val="00C277BB"/>
    <w:rsid w:val="00C438D7"/>
    <w:rsid w:val="00C518D2"/>
    <w:rsid w:val="00C5590C"/>
    <w:rsid w:val="00C81B50"/>
    <w:rsid w:val="00CA0158"/>
    <w:rsid w:val="00CA22EA"/>
    <w:rsid w:val="00CA7385"/>
    <w:rsid w:val="00CB28F9"/>
    <w:rsid w:val="00CB6827"/>
    <w:rsid w:val="00CD1801"/>
    <w:rsid w:val="00CE7A0A"/>
    <w:rsid w:val="00D01CC9"/>
    <w:rsid w:val="00D1004E"/>
    <w:rsid w:val="00D10EF1"/>
    <w:rsid w:val="00D16080"/>
    <w:rsid w:val="00D42810"/>
    <w:rsid w:val="00D432B8"/>
    <w:rsid w:val="00D671DF"/>
    <w:rsid w:val="00D72D17"/>
    <w:rsid w:val="00D823A4"/>
    <w:rsid w:val="00D82754"/>
    <w:rsid w:val="00D8475F"/>
    <w:rsid w:val="00D914A7"/>
    <w:rsid w:val="00DB1D2F"/>
    <w:rsid w:val="00DC4300"/>
    <w:rsid w:val="00DD13C3"/>
    <w:rsid w:val="00DD1C04"/>
    <w:rsid w:val="00DD596E"/>
    <w:rsid w:val="00DD621E"/>
    <w:rsid w:val="00DE7BB1"/>
    <w:rsid w:val="00DF0575"/>
    <w:rsid w:val="00DF44EC"/>
    <w:rsid w:val="00E0049B"/>
    <w:rsid w:val="00E04793"/>
    <w:rsid w:val="00E04909"/>
    <w:rsid w:val="00E165E2"/>
    <w:rsid w:val="00E20734"/>
    <w:rsid w:val="00E40CC2"/>
    <w:rsid w:val="00E474C9"/>
    <w:rsid w:val="00E672A8"/>
    <w:rsid w:val="00E70E04"/>
    <w:rsid w:val="00E73021"/>
    <w:rsid w:val="00E76499"/>
    <w:rsid w:val="00E777FD"/>
    <w:rsid w:val="00E9006F"/>
    <w:rsid w:val="00EC05A7"/>
    <w:rsid w:val="00EC4B6B"/>
    <w:rsid w:val="00EC6FD0"/>
    <w:rsid w:val="00ED60E0"/>
    <w:rsid w:val="00EF1EE5"/>
    <w:rsid w:val="00EF2964"/>
    <w:rsid w:val="00EF37CC"/>
    <w:rsid w:val="00F51074"/>
    <w:rsid w:val="00F62C8F"/>
    <w:rsid w:val="00F763B4"/>
    <w:rsid w:val="00F81761"/>
    <w:rsid w:val="00F85F38"/>
    <w:rsid w:val="00F900C3"/>
    <w:rsid w:val="00FA212B"/>
    <w:rsid w:val="00FB096D"/>
    <w:rsid w:val="00FB4E2D"/>
    <w:rsid w:val="00FC4405"/>
    <w:rsid w:val="00FE4954"/>
    <w:rsid w:val="00FE6CE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654FDDC"/>
  <w15:docId w15:val="{FC83C474-B26A-4A34-9D87-1DF69E95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54"/>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D82754"/>
    <w:pPr>
      <w:bidi w:val="0"/>
      <w:outlineLvl w:val="0"/>
    </w:pPr>
  </w:style>
  <w:style w:type="paragraph" w:styleId="Heading2">
    <w:name w:val="heading 2"/>
    <w:basedOn w:val="Normal"/>
    <w:next w:val="Normal"/>
    <w:link w:val="Heading2Char"/>
    <w:uiPriority w:val="9"/>
    <w:unhideWhenUsed/>
    <w:rsid w:val="00D82754"/>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82754"/>
    <w:pPr>
      <w:keepNext/>
      <w:keepLines/>
      <w:spacing w:before="200"/>
      <w:outlineLvl w:val="2"/>
    </w:pPr>
    <w:rPr>
      <w:b/>
      <w:bCs/>
      <w:color w:val="4F81BD"/>
    </w:rPr>
  </w:style>
  <w:style w:type="paragraph" w:styleId="Heading4">
    <w:name w:val="heading 4"/>
    <w:basedOn w:val="Normal"/>
    <w:next w:val="Normal"/>
    <w:link w:val="Heading4Char"/>
    <w:uiPriority w:val="9"/>
    <w:unhideWhenUsed/>
    <w:rsid w:val="00D82754"/>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82754"/>
    <w:pPr>
      <w:keepNext/>
      <w:keepLines/>
      <w:spacing w:before="200"/>
      <w:outlineLvl w:val="4"/>
    </w:pPr>
    <w:rPr>
      <w:color w:val="243F60"/>
    </w:rPr>
  </w:style>
  <w:style w:type="paragraph" w:styleId="Heading6">
    <w:name w:val="heading 6"/>
    <w:basedOn w:val="Normal"/>
    <w:next w:val="Normal"/>
    <w:link w:val="Heading6Char"/>
    <w:uiPriority w:val="9"/>
    <w:unhideWhenUsed/>
    <w:rsid w:val="00D82754"/>
    <w:pPr>
      <w:keepNext/>
      <w:keepLines/>
      <w:spacing w:before="200"/>
      <w:outlineLvl w:val="5"/>
    </w:pPr>
    <w:rPr>
      <w:i/>
      <w:iCs/>
      <w:color w:val="243F60"/>
    </w:rPr>
  </w:style>
  <w:style w:type="paragraph" w:styleId="Heading7">
    <w:name w:val="heading 7"/>
    <w:basedOn w:val="Normal"/>
    <w:next w:val="Normal"/>
    <w:link w:val="Heading7Char"/>
    <w:uiPriority w:val="9"/>
    <w:unhideWhenUsed/>
    <w:rsid w:val="00D82754"/>
    <w:pPr>
      <w:keepNext/>
      <w:keepLines/>
      <w:spacing w:before="200"/>
      <w:outlineLvl w:val="6"/>
    </w:pPr>
    <w:rPr>
      <w:i/>
      <w:iCs/>
      <w:color w:val="404040"/>
    </w:rPr>
  </w:style>
  <w:style w:type="paragraph" w:styleId="Heading8">
    <w:name w:val="heading 8"/>
    <w:basedOn w:val="Normal"/>
    <w:next w:val="Normal"/>
    <w:link w:val="Heading8Char"/>
    <w:uiPriority w:val="9"/>
    <w:unhideWhenUsed/>
    <w:rsid w:val="00D82754"/>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82754"/>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82754"/>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82754"/>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D82754"/>
    <w:rPr>
      <w:szCs w:val="18"/>
      <w:vertAlign w:val="superscript"/>
    </w:rPr>
  </w:style>
  <w:style w:type="paragraph" w:customStyle="1" w:styleId="HMGA">
    <w:name w:val="_ H __M_GA"/>
    <w:basedOn w:val="Normal"/>
    <w:next w:val="SingleTxtGA"/>
    <w:qFormat/>
    <w:rsid w:val="00D82754"/>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82754"/>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82754"/>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82754"/>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82754"/>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82754"/>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82754"/>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82754"/>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82754"/>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82754"/>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82754"/>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82754"/>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82754"/>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82754"/>
    <w:pPr>
      <w:numPr>
        <w:numId w:val="5"/>
      </w:numPr>
      <w:bidi w:val="0"/>
    </w:pPr>
    <w:rPr>
      <w:lang w:val="en-US"/>
    </w:rPr>
  </w:style>
  <w:style w:type="paragraph" w:customStyle="1" w:styleId="Roman1GA">
    <w:name w:val="_Roman 1_GA"/>
    <w:basedOn w:val="Bullet1GA"/>
    <w:qFormat/>
    <w:rsid w:val="00D82754"/>
    <w:pPr>
      <w:numPr>
        <w:numId w:val="6"/>
      </w:numPr>
      <w:tabs>
        <w:tab w:val="clear" w:pos="2310"/>
        <w:tab w:val="left" w:pos="2486"/>
      </w:tabs>
      <w:ind w:left="2486" w:hanging="378"/>
    </w:pPr>
  </w:style>
  <w:style w:type="paragraph" w:customStyle="1" w:styleId="Roman2GA">
    <w:name w:val="_Roman 2_GA"/>
    <w:basedOn w:val="Bullet2GA"/>
    <w:qFormat/>
    <w:rsid w:val="00D82754"/>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D82754"/>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D82754"/>
    <w:rPr>
      <w:rFonts w:ascii="Times New Roman" w:eastAsia="PMingLiU" w:hAnsi="Times New Roman" w:cs="Simplified Arabic"/>
      <w:sz w:val="18"/>
      <w:szCs w:val="20"/>
      <w:lang w:val="en-GB"/>
    </w:rPr>
  </w:style>
  <w:style w:type="character" w:customStyle="1" w:styleId="EndtnoteReference">
    <w:name w:val="Endtnote Reference"/>
    <w:aliases w:val="1_GA"/>
    <w:qFormat/>
    <w:rsid w:val="00D82754"/>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82754"/>
    <w:pPr>
      <w:suppressAutoHyphens/>
      <w:bidi w:val="0"/>
      <w:spacing w:line="240" w:lineRule="auto"/>
    </w:pPr>
    <w:rPr>
      <w:sz w:val="16"/>
      <w:lang w:val="en-GB"/>
    </w:rPr>
  </w:style>
  <w:style w:type="character" w:customStyle="1" w:styleId="FooterChar">
    <w:name w:val="Footer Char"/>
    <w:aliases w:val="3_GA Char,3_G Char"/>
    <w:link w:val="Footer"/>
    <w:rsid w:val="00D82754"/>
    <w:rPr>
      <w:rFonts w:ascii="Times New Roman" w:eastAsia="PMingLiU" w:hAnsi="Times New Roman" w:cs="Simplified Arabic"/>
      <w:sz w:val="16"/>
      <w:lang w:val="en-GB"/>
    </w:rPr>
  </w:style>
  <w:style w:type="paragraph" w:customStyle="1" w:styleId="FootnoteText1">
    <w:name w:val="Footnote Text1"/>
    <w:aliases w:val="5_GA"/>
    <w:basedOn w:val="Normal"/>
    <w:qFormat/>
    <w:rsid w:val="00D82754"/>
    <w:pPr>
      <w:spacing w:after="60" w:line="280" w:lineRule="exact"/>
      <w:ind w:left="1247" w:right="1247" w:hanging="567"/>
    </w:pPr>
    <w:rPr>
      <w:sz w:val="18"/>
      <w:szCs w:val="18"/>
    </w:rPr>
  </w:style>
  <w:style w:type="paragraph" w:styleId="Header">
    <w:name w:val="header"/>
    <w:aliases w:val="6_GA,6_G"/>
    <w:basedOn w:val="Normal"/>
    <w:link w:val="HeaderChar"/>
    <w:qFormat/>
    <w:rsid w:val="00D82754"/>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D82754"/>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D82754"/>
    <w:rPr>
      <w:rFonts w:ascii="Times New Roman" w:eastAsia="PMingLiU" w:hAnsi="Times New Roman" w:cs="Simplified Arabic"/>
      <w:lang w:val="en-GB"/>
    </w:rPr>
  </w:style>
  <w:style w:type="character" w:styleId="PageNumber">
    <w:name w:val="page number"/>
    <w:aliases w:val="7_GA,7_G"/>
    <w:qFormat/>
    <w:rsid w:val="00D82754"/>
    <w:rPr>
      <w:rFonts w:ascii="Times New Roman Bold" w:hAnsi="Times New Roman Bold"/>
      <w:b/>
      <w:i w:val="0"/>
      <w:sz w:val="18"/>
      <w:szCs w:val="18"/>
    </w:rPr>
  </w:style>
  <w:style w:type="paragraph" w:customStyle="1" w:styleId="XXLargeGA">
    <w:name w:val="XXLarge_GA"/>
    <w:basedOn w:val="Normal"/>
    <w:next w:val="SingleTxtGA"/>
    <w:qFormat/>
    <w:rsid w:val="00D82754"/>
    <w:pPr>
      <w:suppressAutoHyphens/>
      <w:spacing w:line="820" w:lineRule="exact"/>
    </w:pPr>
    <w:rPr>
      <w:spacing w:val="-8"/>
      <w:w w:val="96"/>
      <w:sz w:val="57"/>
      <w:szCs w:val="86"/>
      <w:lang w:val="en-GB"/>
    </w:rPr>
  </w:style>
  <w:style w:type="character" w:customStyle="1" w:styleId="Heading2Char">
    <w:name w:val="Heading 2 Char"/>
    <w:link w:val="Heading2"/>
    <w:uiPriority w:val="9"/>
    <w:rsid w:val="00D82754"/>
    <w:rPr>
      <w:rFonts w:ascii="Times New Roman" w:eastAsia="PMingLiU" w:hAnsi="Times New Roman" w:cs="Simplified Arabic"/>
      <w:b/>
      <w:bCs/>
      <w:color w:val="4F81BD"/>
      <w:sz w:val="26"/>
      <w:szCs w:val="26"/>
    </w:rPr>
  </w:style>
  <w:style w:type="character" w:styleId="BookTitle">
    <w:name w:val="Book Title"/>
    <w:uiPriority w:val="33"/>
    <w:rsid w:val="00D82754"/>
    <w:rPr>
      <w:b/>
      <w:bCs/>
      <w:smallCaps/>
      <w:spacing w:val="5"/>
    </w:rPr>
  </w:style>
  <w:style w:type="character" w:customStyle="1" w:styleId="Heading3Char">
    <w:name w:val="Heading 3 Char"/>
    <w:link w:val="Heading3"/>
    <w:uiPriority w:val="9"/>
    <w:rsid w:val="00D82754"/>
    <w:rPr>
      <w:rFonts w:ascii="Times New Roman" w:eastAsia="PMingLiU" w:hAnsi="Times New Roman" w:cs="Simplified Arabic"/>
      <w:b/>
      <w:bCs/>
      <w:color w:val="4F81BD"/>
      <w:sz w:val="20"/>
    </w:rPr>
  </w:style>
  <w:style w:type="character" w:customStyle="1" w:styleId="Heading4Char">
    <w:name w:val="Heading 4 Char"/>
    <w:link w:val="Heading4"/>
    <w:uiPriority w:val="9"/>
    <w:rsid w:val="00D82754"/>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D82754"/>
    <w:rPr>
      <w:rFonts w:ascii="Times New Roman" w:eastAsia="PMingLiU" w:hAnsi="Times New Roman" w:cs="Simplified Arabic"/>
      <w:color w:val="243F60"/>
      <w:sz w:val="20"/>
    </w:rPr>
  </w:style>
  <w:style w:type="character" w:customStyle="1" w:styleId="Heading6Char">
    <w:name w:val="Heading 6 Char"/>
    <w:link w:val="Heading6"/>
    <w:uiPriority w:val="9"/>
    <w:rsid w:val="00D82754"/>
    <w:rPr>
      <w:rFonts w:ascii="Times New Roman" w:eastAsia="PMingLiU" w:hAnsi="Times New Roman" w:cs="Simplified Arabic"/>
      <w:i/>
      <w:iCs/>
      <w:color w:val="243F60"/>
      <w:sz w:val="20"/>
    </w:rPr>
  </w:style>
  <w:style w:type="character" w:customStyle="1" w:styleId="Heading7Char">
    <w:name w:val="Heading 7 Char"/>
    <w:link w:val="Heading7"/>
    <w:uiPriority w:val="9"/>
    <w:rsid w:val="00D82754"/>
    <w:rPr>
      <w:rFonts w:ascii="Times New Roman" w:eastAsia="PMingLiU" w:hAnsi="Times New Roman" w:cs="Simplified Arabic"/>
      <w:i/>
      <w:iCs/>
      <w:color w:val="404040"/>
      <w:sz w:val="20"/>
    </w:rPr>
  </w:style>
  <w:style w:type="character" w:customStyle="1" w:styleId="Heading8Char">
    <w:name w:val="Heading 8 Char"/>
    <w:link w:val="Heading8"/>
    <w:uiPriority w:val="9"/>
    <w:rsid w:val="00D82754"/>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D82754"/>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D82754"/>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82754"/>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D82754"/>
    <w:pPr>
      <w:numPr>
        <w:ilvl w:val="1"/>
      </w:numPr>
    </w:pPr>
    <w:rPr>
      <w:i/>
      <w:iCs/>
      <w:color w:val="4F81BD"/>
      <w:spacing w:val="15"/>
      <w:sz w:val="24"/>
      <w:szCs w:val="24"/>
    </w:rPr>
  </w:style>
  <w:style w:type="character" w:customStyle="1" w:styleId="SubtitleChar">
    <w:name w:val="Subtitle Char"/>
    <w:link w:val="Subtitle"/>
    <w:uiPriority w:val="11"/>
    <w:rsid w:val="00D82754"/>
    <w:rPr>
      <w:rFonts w:ascii="Times New Roman" w:eastAsia="PMingLiU" w:hAnsi="Times New Roman" w:cs="Simplified Arabic"/>
      <w:i/>
      <w:iCs/>
      <w:color w:val="4F81BD"/>
      <w:spacing w:val="15"/>
      <w:sz w:val="24"/>
      <w:szCs w:val="24"/>
    </w:rPr>
  </w:style>
  <w:style w:type="character" w:styleId="SubtleEmphasis">
    <w:name w:val="Subtle Emphasis"/>
    <w:uiPriority w:val="19"/>
    <w:rsid w:val="00D82754"/>
    <w:rPr>
      <w:i/>
      <w:iCs/>
      <w:color w:val="808080"/>
    </w:rPr>
  </w:style>
  <w:style w:type="table" w:styleId="ColorfulGrid-Accent6">
    <w:name w:val="Colorful Grid Accent 6"/>
    <w:basedOn w:val="TableNormal"/>
    <w:uiPriority w:val="73"/>
    <w:rsid w:val="00D82754"/>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D82754"/>
    <w:rPr>
      <w:i/>
      <w:iCs/>
    </w:rPr>
  </w:style>
  <w:style w:type="character" w:styleId="IntenseEmphasis">
    <w:name w:val="Intense Emphasis"/>
    <w:uiPriority w:val="21"/>
    <w:rsid w:val="00D82754"/>
    <w:rPr>
      <w:b/>
      <w:bCs/>
      <w:i/>
      <w:iCs/>
      <w:color w:val="4F81BD"/>
    </w:rPr>
  </w:style>
  <w:style w:type="character" w:styleId="Strong">
    <w:name w:val="Strong"/>
    <w:uiPriority w:val="22"/>
    <w:rsid w:val="00D82754"/>
    <w:rPr>
      <w:b/>
      <w:bCs/>
    </w:rPr>
  </w:style>
  <w:style w:type="paragraph" w:styleId="Quote">
    <w:name w:val="Quote"/>
    <w:basedOn w:val="Normal"/>
    <w:next w:val="Normal"/>
    <w:link w:val="QuoteChar"/>
    <w:uiPriority w:val="29"/>
    <w:rsid w:val="00D82754"/>
    <w:rPr>
      <w:i/>
      <w:iCs/>
      <w:color w:val="000000"/>
    </w:rPr>
  </w:style>
  <w:style w:type="character" w:customStyle="1" w:styleId="QuoteChar">
    <w:name w:val="Quote Char"/>
    <w:link w:val="Quote"/>
    <w:uiPriority w:val="29"/>
    <w:rsid w:val="00D82754"/>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D827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754"/>
    <w:rPr>
      <w:rFonts w:ascii="Times New Roman" w:eastAsia="PMingLiU" w:hAnsi="Times New Roman" w:cs="Simplified Arabic"/>
      <w:b/>
      <w:bCs/>
      <w:i/>
      <w:iCs/>
      <w:color w:val="4F81BD"/>
      <w:sz w:val="20"/>
    </w:rPr>
  </w:style>
  <w:style w:type="character" w:styleId="SubtleReference">
    <w:name w:val="Subtle Reference"/>
    <w:uiPriority w:val="31"/>
    <w:rsid w:val="00D82754"/>
    <w:rPr>
      <w:smallCaps/>
      <w:color w:val="C0504D"/>
      <w:u w:val="single"/>
    </w:rPr>
  </w:style>
  <w:style w:type="character" w:styleId="IntenseReference">
    <w:name w:val="Intense Reference"/>
    <w:uiPriority w:val="32"/>
    <w:rsid w:val="00D82754"/>
    <w:rPr>
      <w:b/>
      <w:bCs/>
      <w:smallCaps/>
      <w:color w:val="C0504D"/>
      <w:spacing w:val="5"/>
      <w:u w:val="single"/>
    </w:rPr>
  </w:style>
  <w:style w:type="paragraph" w:styleId="ListParagraph">
    <w:name w:val="List Paragraph"/>
    <w:basedOn w:val="Normal"/>
    <w:uiPriority w:val="34"/>
    <w:qFormat/>
    <w:rsid w:val="00D82754"/>
    <w:pPr>
      <w:ind w:left="720"/>
      <w:contextualSpacing/>
    </w:pPr>
  </w:style>
  <w:style w:type="table" w:styleId="MediumShading1-Accent4">
    <w:name w:val="Medium Shading 1 Accent 4"/>
    <w:basedOn w:val="TableNormal"/>
    <w:uiPriority w:val="63"/>
    <w:rsid w:val="00D82754"/>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iPriority w:val="99"/>
    <w:unhideWhenUsed/>
    <w:qFormat/>
    <w:rsid w:val="00D82754"/>
    <w:rPr>
      <w:rFonts w:eastAsia="MS Mincho"/>
      <w:sz w:val="18"/>
      <w:vertAlign w:val="superscript"/>
    </w:rPr>
  </w:style>
  <w:style w:type="table" w:styleId="TableGrid">
    <w:name w:val="Table Grid"/>
    <w:basedOn w:val="TableNormal"/>
    <w:rsid w:val="00D82754"/>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754"/>
    <w:pPr>
      <w:spacing w:line="240" w:lineRule="auto"/>
    </w:pPr>
    <w:rPr>
      <w:sz w:val="16"/>
      <w:szCs w:val="16"/>
    </w:rPr>
  </w:style>
  <w:style w:type="character" w:customStyle="1" w:styleId="BalloonTextChar">
    <w:name w:val="Balloon Text Char"/>
    <w:link w:val="BalloonText"/>
    <w:uiPriority w:val="99"/>
    <w:semiHidden/>
    <w:rsid w:val="00D82754"/>
    <w:rPr>
      <w:rFonts w:ascii="Times New Roman" w:eastAsia="PMingLiU" w:hAnsi="Times New Roman" w:cs="Simplified Arabic"/>
      <w:sz w:val="16"/>
      <w:szCs w:val="16"/>
    </w:rPr>
  </w:style>
  <w:style w:type="character" w:styleId="Hyperlink">
    <w:name w:val="Hyperlink"/>
    <w:uiPriority w:val="99"/>
    <w:unhideWhenUsed/>
    <w:rsid w:val="00D82754"/>
    <w:rPr>
      <w:color w:val="0000FF"/>
      <w:u w:val="none"/>
    </w:rPr>
  </w:style>
  <w:style w:type="paragraph" w:styleId="TOC1">
    <w:name w:val="toc 1"/>
    <w:basedOn w:val="Normal"/>
    <w:link w:val="TOC1Char"/>
    <w:autoRedefine/>
    <w:uiPriority w:val="39"/>
    <w:unhideWhenUsed/>
    <w:rsid w:val="00D82754"/>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82754"/>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82754"/>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82754"/>
    <w:rPr>
      <w:rFonts w:eastAsia="DengXian"/>
      <w:color w:val="auto"/>
      <w:sz w:val="20"/>
      <w:szCs w:val="20"/>
      <w:u w:val="none"/>
      <w:lang w:eastAsia="zh-CN" w:bidi="ar-EG"/>
    </w:rPr>
  </w:style>
  <w:style w:type="paragraph" w:styleId="TOC4">
    <w:name w:val="toc 4"/>
    <w:basedOn w:val="Normal"/>
    <w:link w:val="TOC4Char"/>
    <w:autoRedefine/>
    <w:uiPriority w:val="39"/>
    <w:unhideWhenUsed/>
    <w:rsid w:val="00D82754"/>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82754"/>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82754"/>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82754"/>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D82754"/>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82754"/>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D82754"/>
    <w:rPr>
      <w:color w:val="605E5C"/>
      <w:shd w:val="clear" w:color="auto" w:fill="E1DFDD"/>
    </w:rPr>
  </w:style>
  <w:style w:type="character" w:customStyle="1" w:styleId="TOC1Char">
    <w:name w:val="TOC 1 Char"/>
    <w:basedOn w:val="DefaultParagraphFont"/>
    <w:link w:val="TOC1"/>
    <w:uiPriority w:val="39"/>
    <w:rsid w:val="00D82754"/>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D82754"/>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D82754"/>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D82754"/>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D82754"/>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D82754"/>
    <w:rPr>
      <w:rFonts w:ascii="Times New Roman" w:eastAsia="PMingLiU" w:hAnsi="Times New Roman" w:cs="Simplified Arabic"/>
      <w:sz w:val="20"/>
      <w:szCs w:val="20"/>
      <w:lang w:val="en-GB"/>
    </w:rPr>
  </w:style>
  <w:style w:type="paragraph" w:customStyle="1" w:styleId="SessionDate">
    <w:name w:val="Session_Date"/>
    <w:basedOn w:val="Normal"/>
    <w:qFormat/>
    <w:rsid w:val="00D82754"/>
    <w:pPr>
      <w:spacing w:before="240" w:after="240" w:line="460" w:lineRule="exact"/>
      <w:ind w:left="1247"/>
    </w:pPr>
    <w:rPr>
      <w:b/>
      <w:bCs/>
      <w:sz w:val="32"/>
      <w:szCs w:val="44"/>
    </w:rPr>
  </w:style>
  <w:style w:type="paragraph" w:customStyle="1" w:styleId="SessionNumber">
    <w:name w:val="Session_Number"/>
    <w:basedOn w:val="Normal"/>
    <w:qFormat/>
    <w:rsid w:val="00D82754"/>
    <w:pPr>
      <w:spacing w:line="480" w:lineRule="exact"/>
      <w:ind w:left="1247"/>
    </w:pPr>
    <w:rPr>
      <w:b/>
      <w:bCs/>
      <w:sz w:val="28"/>
      <w:szCs w:val="38"/>
    </w:rPr>
  </w:style>
  <w:style w:type="paragraph" w:customStyle="1" w:styleId="CityandYear">
    <w:name w:val="City and Year"/>
    <w:basedOn w:val="SingleTxtGA"/>
    <w:qFormat/>
    <w:rsid w:val="00D82754"/>
    <w:pPr>
      <w:spacing w:line="480" w:lineRule="exact"/>
    </w:pPr>
    <w:rPr>
      <w:b/>
      <w:bCs/>
      <w:sz w:val="30"/>
      <w:szCs w:val="38"/>
      <w:lang w:eastAsia="ar-SA"/>
    </w:rPr>
  </w:style>
  <w:style w:type="paragraph" w:customStyle="1" w:styleId="NormalA">
    <w:name w:val="Normal_A"/>
    <w:basedOn w:val="Normal"/>
    <w:qFormat/>
    <w:rsid w:val="00D82754"/>
  </w:style>
  <w:style w:type="paragraph" w:customStyle="1" w:styleId="SingleTxtG">
    <w:name w:val="_ Single Txt_G"/>
    <w:basedOn w:val="Normal"/>
    <w:link w:val="SingleTxtGChar"/>
    <w:qFormat/>
    <w:rsid w:val="00D82754"/>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D82754"/>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D82754"/>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D82754"/>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82754"/>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82754"/>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82754"/>
    <w:rPr>
      <w:sz w:val="44"/>
      <w:szCs w:val="44"/>
      <w:lang w:val="en-US" w:bidi="ar-DZ"/>
    </w:rPr>
  </w:style>
  <w:style w:type="paragraph" w:customStyle="1" w:styleId="FootnoteGA0">
    <w:name w:val="Footnote_GA"/>
    <w:basedOn w:val="Normal"/>
    <w:qFormat/>
    <w:rsid w:val="00D82754"/>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82754"/>
    <w:pPr>
      <w:keepNext/>
      <w:keepLines/>
      <w:spacing w:after="120" w:line="400" w:lineRule="exact"/>
      <w:outlineLvl w:val="0"/>
    </w:pPr>
    <w:rPr>
      <w:b/>
      <w:bCs/>
      <w:kern w:val="14"/>
      <w:sz w:val="24"/>
      <w:szCs w:val="32"/>
    </w:rPr>
  </w:style>
  <w:style w:type="paragraph" w:customStyle="1" w:styleId="HCh">
    <w:name w:val="_ H _Ch"/>
    <w:basedOn w:val="H1"/>
    <w:next w:val="SingleTxt"/>
    <w:qFormat/>
    <w:rsid w:val="00D82754"/>
    <w:pPr>
      <w:spacing w:line="440" w:lineRule="exact"/>
    </w:pPr>
    <w:rPr>
      <w:spacing w:val="-2"/>
      <w:sz w:val="28"/>
      <w:szCs w:val="36"/>
    </w:rPr>
  </w:style>
  <w:style w:type="character" w:styleId="CommentReference">
    <w:name w:val="annotation reference"/>
    <w:uiPriority w:val="99"/>
    <w:semiHidden/>
    <w:rsid w:val="00D82754"/>
    <w:rPr>
      <w:sz w:val="6"/>
      <w:szCs w:val="9"/>
    </w:rPr>
  </w:style>
  <w:style w:type="paragraph" w:customStyle="1" w:styleId="HM">
    <w:name w:val="_ H __M"/>
    <w:basedOn w:val="HCh"/>
    <w:next w:val="Normal"/>
    <w:qFormat/>
    <w:rsid w:val="00D82754"/>
    <w:pPr>
      <w:suppressAutoHyphens/>
      <w:spacing w:line="520" w:lineRule="exact"/>
    </w:pPr>
    <w:rPr>
      <w:spacing w:val="-3"/>
      <w:sz w:val="34"/>
      <w:szCs w:val="48"/>
    </w:rPr>
  </w:style>
  <w:style w:type="paragraph" w:customStyle="1" w:styleId="SingleTxt">
    <w:name w:val="__Single Txt"/>
    <w:basedOn w:val="Normal"/>
    <w:qFormat/>
    <w:rsid w:val="00D82754"/>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82754"/>
    <w:pPr>
      <w:suppressAutoHyphens/>
      <w:spacing w:line="360" w:lineRule="exact"/>
      <w:outlineLvl w:val="1"/>
    </w:pPr>
    <w:rPr>
      <w:spacing w:val="2"/>
      <w:sz w:val="20"/>
      <w:szCs w:val="28"/>
    </w:rPr>
  </w:style>
  <w:style w:type="paragraph" w:customStyle="1" w:styleId="H4">
    <w:name w:val="_ H_4"/>
    <w:basedOn w:val="Normal"/>
    <w:next w:val="Normal"/>
    <w:qFormat/>
    <w:rsid w:val="00D82754"/>
    <w:pPr>
      <w:keepNext/>
      <w:keepLines/>
      <w:spacing w:after="120" w:line="360" w:lineRule="exact"/>
      <w:outlineLvl w:val="3"/>
    </w:pPr>
    <w:rPr>
      <w:i/>
      <w:iCs/>
      <w:kern w:val="14"/>
      <w:szCs w:val="28"/>
    </w:rPr>
  </w:style>
  <w:style w:type="paragraph" w:customStyle="1" w:styleId="H56">
    <w:name w:val="_ H_5/6"/>
    <w:basedOn w:val="Normal"/>
    <w:next w:val="Normal"/>
    <w:qFormat/>
    <w:rsid w:val="00D82754"/>
    <w:pPr>
      <w:keepNext/>
      <w:keepLines/>
      <w:spacing w:after="120" w:line="360" w:lineRule="exact"/>
      <w:outlineLvl w:val="4"/>
    </w:pPr>
    <w:rPr>
      <w:kern w:val="14"/>
      <w:szCs w:val="28"/>
    </w:rPr>
  </w:style>
  <w:style w:type="paragraph" w:customStyle="1" w:styleId="DualTxt">
    <w:name w:val="__Dual Txt"/>
    <w:basedOn w:val="Normal"/>
    <w:qFormat/>
    <w:rsid w:val="00D82754"/>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82754"/>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82754"/>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82754"/>
    <w:pPr>
      <w:spacing w:after="120" w:line="440" w:lineRule="exact"/>
      <w:jc w:val="center"/>
    </w:pPr>
    <w:rPr>
      <w:b/>
      <w:bCs/>
      <w:sz w:val="25"/>
      <w:szCs w:val="38"/>
    </w:rPr>
  </w:style>
  <w:style w:type="paragraph" w:customStyle="1" w:styleId="JH1">
    <w:name w:val="J_H_1"/>
    <w:basedOn w:val="JCH"/>
    <w:qFormat/>
    <w:rsid w:val="00D82754"/>
    <w:pPr>
      <w:spacing w:line="420" w:lineRule="exact"/>
    </w:pPr>
    <w:rPr>
      <w:sz w:val="23"/>
      <w:szCs w:val="34"/>
    </w:rPr>
  </w:style>
  <w:style w:type="paragraph" w:customStyle="1" w:styleId="JH2">
    <w:name w:val="J_H_2"/>
    <w:basedOn w:val="JH1"/>
    <w:qFormat/>
    <w:rsid w:val="00D82754"/>
    <w:pPr>
      <w:spacing w:line="400" w:lineRule="exact"/>
    </w:pPr>
    <w:rPr>
      <w:sz w:val="20"/>
      <w:szCs w:val="30"/>
    </w:rPr>
  </w:style>
  <w:style w:type="paragraph" w:customStyle="1" w:styleId="JSmall">
    <w:name w:val="J_Small"/>
    <w:basedOn w:val="JSingleTxt"/>
    <w:next w:val="JSingleTxt"/>
    <w:qFormat/>
    <w:rsid w:val="00D8275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82754"/>
    <w:pPr>
      <w:tabs>
        <w:tab w:val="right" w:leader="dot" w:pos="360"/>
      </w:tabs>
      <w:spacing w:line="310" w:lineRule="exact"/>
      <w:jc w:val="right"/>
    </w:pPr>
    <w:rPr>
      <w:spacing w:val="5"/>
      <w:w w:val="104"/>
      <w:kern w:val="14"/>
      <w:sz w:val="17"/>
      <w:szCs w:val="25"/>
    </w:rPr>
  </w:style>
  <w:style w:type="character" w:styleId="LineNumber">
    <w:name w:val="line number"/>
    <w:qFormat/>
    <w:rsid w:val="00D82754"/>
    <w:rPr>
      <w:sz w:val="14"/>
      <w:szCs w:val="16"/>
    </w:rPr>
  </w:style>
  <w:style w:type="paragraph" w:customStyle="1" w:styleId="SmallX">
    <w:name w:val="SmallX"/>
    <w:basedOn w:val="Small"/>
    <w:next w:val="Normal"/>
    <w:qFormat/>
    <w:rsid w:val="00D82754"/>
    <w:pPr>
      <w:spacing w:line="240" w:lineRule="exact"/>
    </w:pPr>
    <w:rPr>
      <w:spacing w:val="6"/>
      <w:w w:val="106"/>
      <w:sz w:val="14"/>
      <w:szCs w:val="21"/>
    </w:rPr>
  </w:style>
  <w:style w:type="paragraph" w:customStyle="1" w:styleId="XLarge">
    <w:name w:val="XLarge"/>
    <w:basedOn w:val="HM"/>
    <w:qFormat/>
    <w:rsid w:val="00D82754"/>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82754"/>
    <w:pPr>
      <w:spacing w:line="820" w:lineRule="exact"/>
    </w:pPr>
    <w:rPr>
      <w:spacing w:val="-8"/>
      <w:w w:val="96"/>
      <w:sz w:val="57"/>
      <w:szCs w:val="86"/>
    </w:rPr>
  </w:style>
  <w:style w:type="paragraph" w:customStyle="1" w:styleId="Distribution">
    <w:name w:val="Distribution"/>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82754"/>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D82754"/>
    <w:pPr>
      <w:tabs>
        <w:tab w:val="left" w:pos="662"/>
        <w:tab w:val="left" w:pos="1267"/>
        <w:tab w:val="left" w:pos="1987"/>
        <w:tab w:val="left" w:pos="2650"/>
      </w:tabs>
      <w:spacing w:after="0"/>
      <w:ind w:left="662" w:hanging="662"/>
    </w:pPr>
  </w:style>
  <w:style w:type="paragraph" w:customStyle="1" w:styleId="Committee">
    <w:name w:val="Committee"/>
    <w:basedOn w:val="H1"/>
    <w:qFormat/>
    <w:rsid w:val="00D82754"/>
    <w:pPr>
      <w:tabs>
        <w:tab w:val="left" w:pos="662"/>
        <w:tab w:val="left" w:pos="1267"/>
        <w:tab w:val="left" w:pos="1987"/>
        <w:tab w:val="left" w:pos="2650"/>
      </w:tabs>
      <w:ind w:right="1264"/>
    </w:pPr>
  </w:style>
  <w:style w:type="paragraph" w:customStyle="1" w:styleId="AgendaItemNormal">
    <w:name w:val="Agenda_Item_Normal"/>
    <w:next w:val="Normal"/>
    <w:qFormat/>
    <w:rsid w:val="00D82754"/>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D82754"/>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82754"/>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8275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82754"/>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82754"/>
    <w:rPr>
      <w:i w:val="0"/>
      <w:color w:val="0000FF"/>
      <w:u w:val="none"/>
    </w:rPr>
  </w:style>
  <w:style w:type="paragraph" w:customStyle="1" w:styleId="Bullet1">
    <w:name w:val="Bullet 1"/>
    <w:basedOn w:val="Normal"/>
    <w:qFormat/>
    <w:rsid w:val="00D82754"/>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82754"/>
    <w:pPr>
      <w:numPr>
        <w:numId w:val="14"/>
      </w:numPr>
      <w:spacing w:after="120" w:line="360" w:lineRule="exact"/>
      <w:ind w:right="1264"/>
    </w:pPr>
    <w:rPr>
      <w:kern w:val="14"/>
      <w:szCs w:val="28"/>
    </w:rPr>
  </w:style>
  <w:style w:type="paragraph" w:customStyle="1" w:styleId="Bullet3">
    <w:name w:val="Bullet 3"/>
    <w:basedOn w:val="SingleTxt"/>
    <w:qFormat/>
    <w:rsid w:val="00D82754"/>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82754"/>
    <w:pPr>
      <w:ind w:right="5760"/>
      <w:outlineLvl w:val="1"/>
    </w:pPr>
    <w:rPr>
      <w:spacing w:val="2"/>
      <w:sz w:val="20"/>
      <w:szCs w:val="28"/>
    </w:rPr>
  </w:style>
  <w:style w:type="paragraph" w:customStyle="1" w:styleId="STitleM">
    <w:name w:val="S_Title_M"/>
    <w:basedOn w:val="Normal"/>
    <w:next w:val="Normal"/>
    <w:qFormat/>
    <w:rsid w:val="00D82754"/>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82754"/>
    <w:pPr>
      <w:spacing w:line="600" w:lineRule="exact"/>
      <w:ind w:left="1267" w:right="1267"/>
    </w:pPr>
    <w:rPr>
      <w:w w:val="103"/>
      <w:sz w:val="60"/>
      <w:szCs w:val="60"/>
    </w:rPr>
  </w:style>
  <w:style w:type="paragraph" w:customStyle="1" w:styleId="STitleL">
    <w:name w:val="S_Title_L"/>
    <w:basedOn w:val="XLarge"/>
    <w:next w:val="Normal"/>
    <w:qFormat/>
    <w:rsid w:val="00D82754"/>
    <w:rPr>
      <w:spacing w:val="-8"/>
      <w:w w:val="96"/>
      <w:sz w:val="57"/>
    </w:rPr>
  </w:style>
  <w:style w:type="paragraph" w:styleId="CommentText">
    <w:name w:val="annotation text"/>
    <w:basedOn w:val="Normal"/>
    <w:link w:val="CommentTextChar"/>
    <w:uiPriority w:val="99"/>
    <w:semiHidden/>
    <w:unhideWhenUsed/>
    <w:rsid w:val="00D82754"/>
    <w:pPr>
      <w:spacing w:line="240" w:lineRule="auto"/>
    </w:pPr>
    <w:rPr>
      <w:kern w:val="14"/>
    </w:rPr>
  </w:style>
  <w:style w:type="character" w:customStyle="1" w:styleId="CommentTextChar">
    <w:name w:val="Comment Text Char"/>
    <w:basedOn w:val="DefaultParagraphFont"/>
    <w:link w:val="CommentText"/>
    <w:uiPriority w:val="99"/>
    <w:semiHidden/>
    <w:rsid w:val="00D82754"/>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D82754"/>
    <w:rPr>
      <w:b/>
      <w:bCs/>
    </w:rPr>
  </w:style>
  <w:style w:type="character" w:customStyle="1" w:styleId="CommentSubjectChar">
    <w:name w:val="Comment Subject Char"/>
    <w:basedOn w:val="CommentTextChar"/>
    <w:link w:val="CommentSubject"/>
    <w:uiPriority w:val="99"/>
    <w:semiHidden/>
    <w:rsid w:val="00D82754"/>
    <w:rPr>
      <w:rFonts w:ascii="Times New Roman" w:eastAsia="PMingLiU" w:hAnsi="Times New Roman" w:cs="Simplified Arabic"/>
      <w:b/>
      <w:bCs/>
      <w:kern w:val="14"/>
      <w:sz w:val="20"/>
    </w:rPr>
  </w:style>
  <w:style w:type="paragraph" w:customStyle="1" w:styleId="Bullet1G">
    <w:name w:val="_Bullet 1_G"/>
    <w:basedOn w:val="Normal"/>
    <w:qFormat/>
    <w:rsid w:val="00D82754"/>
    <w:pPr>
      <w:numPr>
        <w:numId w:val="16"/>
      </w:numPr>
      <w:bidi w:val="0"/>
      <w:spacing w:after="120"/>
      <w:ind w:right="1134"/>
      <w:jc w:val="both"/>
    </w:pPr>
    <w:rPr>
      <w:sz w:val="22"/>
    </w:rPr>
  </w:style>
  <w:style w:type="character" w:customStyle="1" w:styleId="SingleTxtGChar">
    <w:name w:val="_ Single Txt_G Char"/>
    <w:link w:val="SingleTxtG"/>
    <w:rsid w:val="00D82754"/>
    <w:rPr>
      <w:rFonts w:ascii="Times New Roman" w:eastAsia="PMingLiU" w:hAnsi="Times New Roman" w:cs="Simplified Arabic"/>
      <w:sz w:val="20"/>
      <w:szCs w:val="20"/>
      <w:lang w:val="en-GB"/>
    </w:rPr>
  </w:style>
  <w:style w:type="paragraph" w:customStyle="1" w:styleId="Preparedby">
    <w:name w:val="Prepared by:"/>
    <w:basedOn w:val="H23GA"/>
    <w:qFormat/>
    <w:rsid w:val="00D82754"/>
    <w:rPr>
      <w:sz w:val="32"/>
      <w:szCs w:val="32"/>
    </w:rPr>
  </w:style>
  <w:style w:type="paragraph" w:customStyle="1" w:styleId="ParaNoG">
    <w:name w:val="_ParaNo._G"/>
    <w:basedOn w:val="SingleTxtG"/>
    <w:rsid w:val="00D82754"/>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D82754"/>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82754"/>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82754"/>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82754"/>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82754"/>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82754"/>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82754"/>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82754"/>
    <w:pPr>
      <w:spacing w:after="0" w:line="240" w:lineRule="auto"/>
    </w:pPr>
    <w:rPr>
      <w:rFonts w:eastAsiaTheme="minorEastAsia"/>
      <w:sz w:val="24"/>
      <w:szCs w:val="24"/>
      <w:lang w:val="fr-FR" w:eastAsia="fr-FR"/>
    </w:rPr>
  </w:style>
  <w:style w:type="paragraph" w:customStyle="1" w:styleId="Default">
    <w:name w:val="Default"/>
    <w:semiHidden/>
    <w:rsid w:val="00D82754"/>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82754"/>
  </w:style>
  <w:style w:type="character" w:customStyle="1" w:styleId="preferred">
    <w:name w:val="preferred"/>
    <w:basedOn w:val="DefaultParagraphFont"/>
    <w:rsid w:val="00D82754"/>
  </w:style>
  <w:style w:type="character" w:customStyle="1" w:styleId="admitted">
    <w:name w:val="admitted"/>
    <w:basedOn w:val="DefaultParagraphFont"/>
    <w:rsid w:val="00D82754"/>
  </w:style>
  <w:style w:type="paragraph" w:styleId="TOC7">
    <w:name w:val="toc 7"/>
    <w:basedOn w:val="Normal"/>
    <w:next w:val="Normal"/>
    <w:autoRedefine/>
    <w:uiPriority w:val="39"/>
    <w:unhideWhenUsed/>
    <w:rsid w:val="003A4AD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A4AD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A4AD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D82754"/>
    <w:pPr>
      <w:bidi w:val="0"/>
      <w:spacing w:after="160" w:line="240" w:lineRule="exact"/>
      <w:jc w:val="both"/>
    </w:pPr>
    <w:rPr>
      <w:rFonts w:asciiTheme="minorHAnsi" w:eastAsia="Times New Roman" w:hAnsiTheme="minorHAnsi" w:cstheme="minorBidi"/>
      <w:sz w:val="22"/>
      <w:szCs w:val="18"/>
      <w:vertAlign w:val="superscript"/>
    </w:rPr>
  </w:style>
  <w:style w:type="numbering" w:styleId="111111">
    <w:name w:val="Outline List 2"/>
    <w:basedOn w:val="NoList"/>
    <w:semiHidden/>
    <w:rsid w:val="00803069"/>
    <w:pPr>
      <w:numPr>
        <w:numId w:val="30"/>
      </w:numPr>
    </w:pPr>
  </w:style>
  <w:style w:type="numbering" w:styleId="1ai">
    <w:name w:val="Outline List 1"/>
    <w:basedOn w:val="NoList"/>
    <w:semiHidden/>
    <w:rsid w:val="0080306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iranti-org.co.za/content/Resources/National-Intersex/National-Intersex-Meeting-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21879</Words>
  <Characters>117057</Characters>
  <Application>Microsoft Office Word</Application>
  <DocSecurity>0</DocSecurity>
  <Lines>3163</Lines>
  <Paragraphs>1903</Paragraphs>
  <ScaleCrop>false</ScaleCrop>
  <HeadingPairs>
    <vt:vector size="2" baseType="variant">
      <vt:variant>
        <vt:lpstr>Title</vt:lpstr>
      </vt:variant>
      <vt:variant>
        <vt:i4>1</vt:i4>
      </vt:variant>
    </vt:vector>
  </HeadingPairs>
  <TitlesOfParts>
    <vt:vector size="1" baseType="lpstr">
      <vt:lpstr>HRI/CORE/ZAF/2021</vt:lpstr>
    </vt:vector>
  </TitlesOfParts>
  <Company>DCM</Company>
  <LinksUpToDate>false</LinksUpToDate>
  <CharactersWithSpaces>137033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subject>GE.2111743(A)</dc:subject>
  <dc:creator>Jamila Chedad - </dc:creator>
  <cp:keywords>GE.(A)</cp:keywords>
  <dc:description>_x000d_
_x000d_
Arabic_x000d_
</dc:description>
  <cp:lastModifiedBy>Jamela CHEDAD</cp:lastModifiedBy>
  <cp:revision>3</cp:revision>
  <cp:lastPrinted>2022-01-13T15:36:00Z</cp:lastPrinted>
  <dcterms:created xsi:type="dcterms:W3CDTF">2022-01-13T15:36:00Z</dcterms:created>
  <dcterms:modified xsi:type="dcterms:W3CDTF">2022-01-13T15:36:00Z</dcterms:modified>
</cp:coreProperties>
</file>