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953D9" w:rsidTr="000B243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953D9" w:rsidRDefault="00B56E9C" w:rsidP="000B243C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B243C" w:rsidRDefault="00B56E9C" w:rsidP="000B243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B243C">
              <w:rPr>
                <w:sz w:val="28"/>
                <w:szCs w:val="28"/>
              </w:rPr>
              <w:t>United</w:t>
            </w:r>
            <w:r w:rsidR="000B5A3E" w:rsidRPr="000B243C">
              <w:rPr>
                <w:sz w:val="28"/>
                <w:szCs w:val="28"/>
              </w:rPr>
              <w:t xml:space="preserve"> </w:t>
            </w:r>
            <w:r w:rsidRPr="000B243C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953D9" w:rsidRDefault="00D370D3" w:rsidP="000B243C">
            <w:pPr>
              <w:suppressAutoHyphens w:val="0"/>
              <w:spacing w:after="20"/>
              <w:jc w:val="right"/>
            </w:pPr>
            <w:r w:rsidRPr="000B243C">
              <w:rPr>
                <w:sz w:val="40"/>
              </w:rPr>
              <w:t>HRI</w:t>
            </w:r>
            <w:r w:rsidRPr="006953D9">
              <w:t>/CORE/CYP/2018</w:t>
            </w:r>
          </w:p>
        </w:tc>
      </w:tr>
      <w:tr w:rsidR="00B56E9C" w:rsidRPr="006953D9" w:rsidTr="000B243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953D9" w:rsidRDefault="00EC4B12" w:rsidP="000B243C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3740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B243C" w:rsidRDefault="00B56E9C" w:rsidP="000B243C">
            <w:pPr>
              <w:spacing w:before="120" w:line="380" w:lineRule="exact"/>
              <w:rPr>
                <w:sz w:val="34"/>
              </w:rPr>
            </w:pPr>
            <w:r w:rsidRPr="000B243C">
              <w:rPr>
                <w:b/>
                <w:sz w:val="34"/>
                <w:szCs w:val="40"/>
              </w:rPr>
              <w:t>International</w:t>
            </w:r>
            <w:r w:rsidR="000B5A3E" w:rsidRPr="000B243C">
              <w:rPr>
                <w:b/>
                <w:sz w:val="34"/>
                <w:szCs w:val="40"/>
              </w:rPr>
              <w:t xml:space="preserve"> </w:t>
            </w:r>
            <w:r w:rsidR="00584DAE" w:rsidRPr="000B243C">
              <w:rPr>
                <w:b/>
                <w:sz w:val="34"/>
                <w:szCs w:val="40"/>
              </w:rPr>
              <w:t>Human</w:t>
            </w:r>
            <w:r w:rsidR="000B5A3E" w:rsidRPr="000B243C">
              <w:rPr>
                <w:b/>
                <w:sz w:val="34"/>
                <w:szCs w:val="40"/>
              </w:rPr>
              <w:t xml:space="preserve"> </w:t>
            </w:r>
            <w:r w:rsidR="00584DAE" w:rsidRPr="000B243C">
              <w:rPr>
                <w:b/>
                <w:sz w:val="34"/>
                <w:szCs w:val="40"/>
              </w:rPr>
              <w:t>Rights</w:t>
            </w:r>
            <w:r w:rsidR="000B5A3E" w:rsidRPr="000B243C">
              <w:rPr>
                <w:b/>
                <w:sz w:val="34"/>
                <w:szCs w:val="40"/>
              </w:rPr>
              <w:t xml:space="preserve"> </w:t>
            </w:r>
            <w:r w:rsidR="00584DAE" w:rsidRPr="000B243C">
              <w:rPr>
                <w:b/>
                <w:sz w:val="34"/>
                <w:szCs w:val="40"/>
              </w:rPr>
              <w:t>Instruments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953D9" w:rsidRDefault="00D370D3" w:rsidP="000B243C">
            <w:pPr>
              <w:suppressAutoHyphens w:val="0"/>
              <w:spacing w:before="240" w:line="240" w:lineRule="exact"/>
            </w:pPr>
            <w:r w:rsidRPr="006953D9">
              <w:t>Distr.:</w:t>
            </w:r>
            <w:r w:rsidR="000B5A3E" w:rsidRPr="006953D9">
              <w:t xml:space="preserve"> </w:t>
            </w:r>
            <w:r w:rsidRPr="006953D9">
              <w:t>General</w:t>
            </w:r>
          </w:p>
          <w:p w:rsidR="00D370D3" w:rsidRPr="006953D9" w:rsidRDefault="000B243C" w:rsidP="000B243C">
            <w:pPr>
              <w:suppressAutoHyphens w:val="0"/>
            </w:pPr>
            <w:r>
              <w:t>22</w:t>
            </w:r>
            <w:r w:rsidR="00D95B89">
              <w:t xml:space="preserve"> </w:t>
            </w:r>
            <w:r w:rsidR="00D370D3" w:rsidRPr="006953D9">
              <w:t>March</w:t>
            </w:r>
            <w:r w:rsidR="000B5A3E" w:rsidRPr="006953D9">
              <w:t xml:space="preserve"> </w:t>
            </w:r>
            <w:r w:rsidR="00D370D3" w:rsidRPr="006953D9">
              <w:t>2018</w:t>
            </w:r>
          </w:p>
          <w:p w:rsidR="00D370D3" w:rsidRPr="006953D9" w:rsidRDefault="00D370D3" w:rsidP="000B243C">
            <w:pPr>
              <w:suppressAutoHyphens w:val="0"/>
            </w:pPr>
          </w:p>
          <w:p w:rsidR="00D370D3" w:rsidRPr="006953D9" w:rsidRDefault="00D370D3" w:rsidP="000B243C">
            <w:pPr>
              <w:suppressAutoHyphens w:val="0"/>
            </w:pPr>
            <w:r w:rsidRPr="006953D9">
              <w:t>Original:</w:t>
            </w:r>
            <w:r w:rsidR="000B5A3E" w:rsidRPr="006953D9">
              <w:t xml:space="preserve"> </w:t>
            </w:r>
            <w:r w:rsidRPr="006953D9">
              <w:t>English</w:t>
            </w:r>
          </w:p>
        </w:tc>
      </w:tr>
    </w:tbl>
    <w:p w:rsidR="00200C10" w:rsidRPr="006953D9" w:rsidRDefault="00200C10" w:rsidP="00200C10">
      <w:pPr>
        <w:pStyle w:val="HMG"/>
      </w:pPr>
      <w:r w:rsidRPr="006953D9">
        <w:tab/>
      </w:r>
      <w:r w:rsidRPr="006953D9">
        <w:tab/>
        <w:t>Common</w:t>
      </w:r>
      <w:r w:rsidR="000B5A3E" w:rsidRPr="006953D9">
        <w:t xml:space="preserve"> </w:t>
      </w:r>
      <w:r w:rsidRPr="006953D9">
        <w:t>core</w:t>
      </w:r>
      <w:r w:rsidR="000B5A3E" w:rsidRPr="006953D9">
        <w:t xml:space="preserve"> </w:t>
      </w:r>
      <w:r w:rsidRPr="006953D9">
        <w:t>document</w:t>
      </w:r>
      <w:r w:rsidR="000B5A3E" w:rsidRPr="006953D9">
        <w:t xml:space="preserve"> </w:t>
      </w:r>
      <w:r w:rsidRPr="006953D9">
        <w:t>forming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reports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States</w:t>
      </w:r>
      <w:r w:rsidR="000B5A3E" w:rsidRPr="006953D9">
        <w:t xml:space="preserve"> </w:t>
      </w:r>
      <w:r w:rsidRPr="006953D9">
        <w:t>parties</w:t>
      </w:r>
    </w:p>
    <w:p w:rsidR="00200C10" w:rsidRPr="006953D9" w:rsidRDefault="00200C10" w:rsidP="006235A4">
      <w:pPr>
        <w:pStyle w:val="HMG"/>
      </w:pPr>
      <w:r w:rsidRPr="006953D9">
        <w:tab/>
      </w:r>
      <w:r w:rsidRPr="006953D9">
        <w:tab/>
        <w:t>Cyprus</w:t>
      </w:r>
      <w:r w:rsidR="006235A4" w:rsidRPr="006953D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200C10" w:rsidRPr="006953D9" w:rsidRDefault="00200C10" w:rsidP="00200C10">
      <w:pPr>
        <w:pStyle w:val="SingleTxtG"/>
        <w:jc w:val="right"/>
      </w:pPr>
      <w:r w:rsidRPr="006953D9">
        <w:t>[Date</w:t>
      </w:r>
      <w:r w:rsidR="000B5A3E" w:rsidRPr="006953D9">
        <w:t xml:space="preserve"> </w:t>
      </w:r>
      <w:r w:rsidRPr="006953D9">
        <w:t>received:</w:t>
      </w:r>
      <w:r w:rsidR="000B5A3E" w:rsidRPr="006953D9">
        <w:t xml:space="preserve"> </w:t>
      </w:r>
      <w:r w:rsidRPr="006953D9">
        <w:t>8</w:t>
      </w:r>
      <w:r w:rsidR="000B5A3E" w:rsidRPr="006953D9">
        <w:t xml:space="preserve"> </w:t>
      </w:r>
      <w:r w:rsidRPr="006953D9">
        <w:t>February</w:t>
      </w:r>
      <w:r w:rsidR="000B5A3E" w:rsidRPr="006953D9">
        <w:t xml:space="preserve"> </w:t>
      </w:r>
      <w:r w:rsidRPr="006953D9">
        <w:t>2018]</w:t>
      </w:r>
    </w:p>
    <w:p w:rsidR="006235A4" w:rsidRPr="006953D9" w:rsidRDefault="00D370D3" w:rsidP="00200C10">
      <w:r w:rsidRPr="006953D9">
        <w:br w:type="page"/>
      </w:r>
    </w:p>
    <w:p w:rsidR="006235A4" w:rsidRPr="006953D9" w:rsidRDefault="006235A4" w:rsidP="006235A4">
      <w:pPr>
        <w:spacing w:after="120"/>
        <w:rPr>
          <w:sz w:val="28"/>
        </w:rPr>
      </w:pPr>
      <w:r w:rsidRPr="006953D9">
        <w:rPr>
          <w:sz w:val="28"/>
        </w:rPr>
        <w:t>Contents</w:t>
      </w:r>
    </w:p>
    <w:p w:rsidR="006235A4" w:rsidRPr="006953D9" w:rsidRDefault="006235A4" w:rsidP="006235A4">
      <w:pPr>
        <w:tabs>
          <w:tab w:val="right" w:pos="9638"/>
        </w:tabs>
        <w:spacing w:after="120"/>
        <w:ind w:left="283"/>
        <w:rPr>
          <w:sz w:val="18"/>
        </w:rPr>
      </w:pPr>
      <w:r w:rsidRPr="006953D9">
        <w:rPr>
          <w:i/>
          <w:sz w:val="18"/>
        </w:rPr>
        <w:tab/>
        <w:t>Page</w:t>
      </w:r>
    </w:p>
    <w:p w:rsidR="00200C10" w:rsidRPr="006953D9" w:rsidRDefault="00200C10" w:rsidP="006235A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  <w:t>I.</w:t>
      </w:r>
      <w:r w:rsidRPr="006953D9">
        <w:tab/>
        <w:t>Introduction</w:t>
      </w:r>
      <w:r w:rsidRPr="006953D9">
        <w:tab/>
      </w:r>
      <w:r w:rsidRPr="006953D9">
        <w:tab/>
        <w:t>3</w:t>
      </w:r>
    </w:p>
    <w:p w:rsidR="00200C10" w:rsidRPr="006953D9" w:rsidRDefault="00200C10" w:rsidP="006235A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  <w:t>II.</w:t>
      </w:r>
      <w:r w:rsidRPr="006953D9">
        <w:tab/>
        <w:t>General</w:t>
      </w:r>
      <w:r w:rsidR="000B5A3E" w:rsidRPr="006953D9">
        <w:t xml:space="preserve"> </w:t>
      </w:r>
      <w:r w:rsidRPr="006953D9">
        <w:t>information</w:t>
      </w:r>
      <w:r w:rsidRPr="006953D9">
        <w:tab/>
      </w:r>
      <w:r w:rsidRPr="006953D9">
        <w:tab/>
        <w:t>3</w:t>
      </w:r>
    </w:p>
    <w:p w:rsidR="00200C10" w:rsidRPr="006953D9" w:rsidRDefault="00200C10" w:rsidP="006235A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</w:r>
      <w:r w:rsidRPr="006953D9">
        <w:tab/>
        <w:t>A.</w:t>
      </w:r>
      <w:r w:rsidRPr="006953D9">
        <w:tab/>
        <w:t>Demographic,</w:t>
      </w:r>
      <w:r w:rsidR="000B5A3E" w:rsidRPr="006953D9">
        <w:t xml:space="preserve"> </w:t>
      </w:r>
      <w:r w:rsidRPr="006953D9">
        <w:t>economic,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cultural</w:t>
      </w:r>
      <w:r w:rsidR="000B5A3E" w:rsidRPr="006953D9">
        <w:t xml:space="preserve"> </w:t>
      </w:r>
      <w:r w:rsidRPr="006953D9">
        <w:t>characteristics</w:t>
      </w:r>
      <w:r w:rsidRPr="006953D9">
        <w:tab/>
      </w:r>
      <w:r w:rsidRPr="006953D9">
        <w:tab/>
        <w:t>3</w:t>
      </w:r>
    </w:p>
    <w:p w:rsidR="00200C10" w:rsidRPr="006953D9" w:rsidRDefault="00200C10" w:rsidP="00A26FA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</w:r>
      <w:r w:rsidRPr="006953D9">
        <w:tab/>
        <w:t>B.</w:t>
      </w:r>
      <w:r w:rsidRPr="006953D9">
        <w:tab/>
        <w:t>Constitutional,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structure</w:t>
      </w:r>
      <w:r w:rsidR="000B5A3E" w:rsidRPr="006953D9">
        <w:t xml:space="preserve"> </w:t>
      </w:r>
      <w:r w:rsidRPr="006953D9">
        <w:tab/>
      </w:r>
      <w:r w:rsidRPr="006953D9">
        <w:tab/>
        <w:t>1</w:t>
      </w:r>
      <w:r w:rsidR="00A26FA5" w:rsidRPr="006953D9">
        <w:t>3</w:t>
      </w:r>
    </w:p>
    <w:p w:rsidR="00200C10" w:rsidRPr="006953D9" w:rsidRDefault="00200C10" w:rsidP="006235A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  <w:t>III.</w:t>
      </w:r>
      <w:r w:rsidRPr="006953D9">
        <w:tab/>
        <w:t>General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Pr="006953D9">
        <w:tab/>
      </w:r>
      <w:r w:rsidRPr="006953D9">
        <w:tab/>
        <w:t>21</w:t>
      </w:r>
    </w:p>
    <w:p w:rsidR="00200C10" w:rsidRPr="006953D9" w:rsidRDefault="00200C10" w:rsidP="006235A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</w:r>
      <w:r w:rsidRPr="006953D9">
        <w:tab/>
        <w:t>A.</w:t>
      </w:r>
      <w:r w:rsidRPr="006953D9">
        <w:tab/>
        <w:t>Acceptance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norms</w:t>
      </w:r>
      <w:r w:rsidRPr="006953D9">
        <w:tab/>
      </w:r>
      <w:r w:rsidRPr="006953D9">
        <w:tab/>
        <w:t>21</w:t>
      </w:r>
    </w:p>
    <w:p w:rsidR="00200C10" w:rsidRPr="006953D9" w:rsidRDefault="00200C10" w:rsidP="006235A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</w:r>
      <w:r w:rsidRPr="006953D9">
        <w:tab/>
        <w:t>B.</w:t>
      </w:r>
      <w:r w:rsidRPr="006953D9">
        <w:tab/>
        <w:t>Legal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level</w:t>
      </w:r>
      <w:r w:rsidRPr="006953D9">
        <w:tab/>
      </w:r>
      <w:r w:rsidRPr="006953D9">
        <w:tab/>
        <w:t>21</w:t>
      </w:r>
    </w:p>
    <w:p w:rsidR="00200C10" w:rsidRPr="006953D9" w:rsidRDefault="00200C10" w:rsidP="006235A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</w:r>
      <w:r w:rsidRPr="006953D9">
        <w:tab/>
        <w:t>C.</w:t>
      </w:r>
      <w:r w:rsidRPr="006953D9">
        <w:tab/>
        <w:t>Framework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promoted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level</w:t>
      </w:r>
      <w:r w:rsidRPr="006953D9">
        <w:tab/>
      </w:r>
      <w:r w:rsidRPr="006953D9">
        <w:tab/>
        <w:t>24</w:t>
      </w:r>
    </w:p>
    <w:p w:rsidR="00200C10" w:rsidRPr="006953D9" w:rsidRDefault="00200C10" w:rsidP="006235A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</w:r>
      <w:r w:rsidRPr="006953D9">
        <w:tab/>
        <w:t>D.</w:t>
      </w:r>
      <w:r w:rsidRPr="006953D9">
        <w:tab/>
        <w:t>Reporting</w:t>
      </w:r>
      <w:r w:rsidR="000B5A3E" w:rsidRPr="006953D9">
        <w:t xml:space="preserve"> </w:t>
      </w:r>
      <w:r w:rsidRPr="006953D9">
        <w:t>process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level</w:t>
      </w:r>
      <w:r w:rsidRPr="006953D9">
        <w:tab/>
      </w:r>
      <w:r w:rsidRPr="006953D9">
        <w:tab/>
        <w:t>28</w:t>
      </w:r>
    </w:p>
    <w:p w:rsidR="00200C10" w:rsidRPr="006953D9" w:rsidRDefault="00200C10" w:rsidP="006235A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</w:r>
      <w:r w:rsidRPr="006953D9">
        <w:tab/>
        <w:t>Ε.</w:t>
      </w:r>
      <w:r w:rsidRPr="006953D9">
        <w:tab/>
        <w:t>Other</w:t>
      </w:r>
      <w:r w:rsidR="000B5A3E" w:rsidRPr="006953D9">
        <w:t xml:space="preserve"> </w:t>
      </w:r>
      <w:r w:rsidRPr="006953D9">
        <w:t>related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information</w:t>
      </w:r>
      <w:r w:rsidRPr="006953D9">
        <w:tab/>
      </w:r>
      <w:r w:rsidRPr="006953D9">
        <w:tab/>
        <w:t>29</w:t>
      </w:r>
    </w:p>
    <w:p w:rsidR="00200C10" w:rsidRPr="006953D9" w:rsidRDefault="00200C10" w:rsidP="006235A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  <w:t>IV.</w:t>
      </w:r>
      <w:r w:rsidRPr="006953D9">
        <w:tab/>
        <w:t>Information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non-discrimination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effective</w:t>
      </w:r>
      <w:r w:rsidR="000B5A3E" w:rsidRPr="006953D9">
        <w:t xml:space="preserve"> </w:t>
      </w:r>
      <w:r w:rsidRPr="006953D9">
        <w:t>remedies</w:t>
      </w:r>
      <w:r w:rsidRPr="006953D9">
        <w:tab/>
      </w:r>
      <w:r w:rsidRPr="006953D9">
        <w:tab/>
        <w:t>29</w:t>
      </w:r>
    </w:p>
    <w:p w:rsidR="00200C10" w:rsidRPr="006953D9" w:rsidRDefault="00200C10" w:rsidP="00F326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  <w:t>V.</w:t>
      </w:r>
      <w:r w:rsidRPr="006953D9">
        <w:tab/>
        <w:t>Latest</w:t>
      </w:r>
      <w:r w:rsidR="000B5A3E" w:rsidRPr="006953D9">
        <w:t xml:space="preserve"> </w:t>
      </w:r>
      <w:r w:rsidRPr="006953D9">
        <w:t>developments</w:t>
      </w:r>
      <w:r w:rsidR="000B5A3E" w:rsidRPr="006953D9">
        <w:t xml:space="preserve"> </w:t>
      </w:r>
      <w:r w:rsidRPr="006953D9">
        <w:t>concerning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="00F326B8" w:rsidRPr="006953D9">
        <w:t>q</w:t>
      </w:r>
      <w:r w:rsidRPr="006953D9">
        <w:t>uestion</w:t>
      </w:r>
      <w:r w:rsidRPr="006953D9">
        <w:tab/>
      </w:r>
      <w:r w:rsidRPr="006953D9">
        <w:tab/>
        <w:t>3</w:t>
      </w:r>
      <w:r w:rsidR="00F326B8" w:rsidRPr="006953D9">
        <w:t>1</w:t>
      </w:r>
    </w:p>
    <w:p w:rsidR="00200C10" w:rsidRPr="006953D9" w:rsidRDefault="00200C10" w:rsidP="007A4F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953D9">
        <w:tab/>
      </w:r>
      <w:r w:rsidR="007A4FEA" w:rsidRPr="006953D9">
        <w:tab/>
      </w:r>
      <w:r w:rsidRPr="006953D9">
        <w:t>Annexes</w:t>
      </w:r>
      <w:r w:rsidR="000B5A3E" w:rsidRPr="006953D9">
        <w:t xml:space="preserve"> </w:t>
      </w:r>
      <w:r w:rsidRPr="006953D9">
        <w:t>I,</w:t>
      </w:r>
      <w:r w:rsidR="000B5A3E" w:rsidRPr="006953D9">
        <w:t xml:space="preserve"> </w:t>
      </w:r>
      <w:r w:rsidRPr="006953D9">
        <w:t>II,</w:t>
      </w:r>
      <w:r w:rsidR="000B5A3E" w:rsidRPr="006953D9">
        <w:t xml:space="preserve"> </w:t>
      </w:r>
      <w:r w:rsidRPr="006953D9">
        <w:t>III,</w:t>
      </w:r>
      <w:r w:rsidR="000B5A3E" w:rsidRPr="006953D9">
        <w:t xml:space="preserve"> </w:t>
      </w:r>
      <w:r w:rsidRPr="006953D9">
        <w:t>IV,</w:t>
      </w:r>
      <w:r w:rsidR="000B5A3E" w:rsidRPr="006953D9">
        <w:t xml:space="preserve"> </w:t>
      </w:r>
      <w:r w:rsidRPr="006953D9">
        <w:t>V</w:t>
      </w:r>
      <w:r w:rsidR="007A4FEA" w:rsidRPr="006953D9">
        <w:rPr>
          <w:rStyle w:val="FootnoteReference"/>
          <w:sz w:val="20"/>
          <w:vertAlign w:val="baseline"/>
        </w:rPr>
        <w:footnoteReference w:customMarkFollows="1" w:id="3"/>
        <w:t>**</w:t>
      </w:r>
    </w:p>
    <w:p w:rsidR="00200C10" w:rsidRPr="006953D9" w:rsidRDefault="00200C10">
      <w:pPr>
        <w:suppressAutoHyphens w:val="0"/>
        <w:spacing w:line="240" w:lineRule="auto"/>
      </w:pPr>
      <w:r w:rsidRPr="006953D9">
        <w:br w:type="page"/>
      </w:r>
    </w:p>
    <w:p w:rsidR="00200C10" w:rsidRPr="006953D9" w:rsidRDefault="00200C10" w:rsidP="00D37FAE">
      <w:pPr>
        <w:pStyle w:val="HChG"/>
      </w:pPr>
      <w:r w:rsidRPr="006953D9">
        <w:tab/>
      </w:r>
      <w:bookmarkStart w:id="1" w:name="_Toc509325394"/>
      <w:r w:rsidRPr="006953D9">
        <w:t>I.</w:t>
      </w:r>
      <w:r w:rsidRPr="006953D9">
        <w:tab/>
        <w:t>Introduction</w:t>
      </w:r>
      <w:bookmarkEnd w:id="1"/>
    </w:p>
    <w:p w:rsidR="00200C10" w:rsidRPr="006953D9" w:rsidRDefault="00200C10" w:rsidP="00830021">
      <w:pPr>
        <w:pStyle w:val="SingleTxtG"/>
      </w:pPr>
      <w:r w:rsidRPr="006953D9">
        <w:t>1.</w:t>
      </w:r>
      <w:r w:rsidRPr="006953D9">
        <w:tab/>
        <w:t>The</w:t>
      </w:r>
      <w:r w:rsidR="000B5A3E" w:rsidRPr="006953D9">
        <w:t xml:space="preserve"> </w:t>
      </w:r>
      <w:r w:rsidRPr="006953D9">
        <w:t>common</w:t>
      </w:r>
      <w:r w:rsidR="000B5A3E" w:rsidRPr="006953D9">
        <w:t xml:space="preserve"> </w:t>
      </w:r>
      <w:r w:rsidRPr="006953D9">
        <w:t>core</w:t>
      </w:r>
      <w:r w:rsidR="000B5A3E" w:rsidRPr="006953D9">
        <w:t xml:space="preserve"> </w:t>
      </w:r>
      <w:r w:rsidRPr="006953D9">
        <w:t>document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integral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reports</w:t>
      </w:r>
      <w:r w:rsidR="000B5A3E" w:rsidRPr="006953D9">
        <w:t xml:space="preserve"> </w:t>
      </w:r>
      <w:r w:rsidRPr="006953D9">
        <w:t>submitted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Treaties</w:t>
      </w:r>
      <w:r w:rsidR="000B5A3E" w:rsidRPr="006953D9">
        <w:t xml:space="preserve"> </w:t>
      </w:r>
      <w:r w:rsidRPr="006953D9">
        <w:t>Bodies,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fulfilling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reporting</w:t>
      </w:r>
      <w:r w:rsidR="000B5A3E" w:rsidRPr="006953D9">
        <w:t xml:space="preserve"> </w:t>
      </w:r>
      <w:r w:rsidRPr="006953D9">
        <w:t>obligations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Party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Treaties.</w:t>
      </w:r>
    </w:p>
    <w:p w:rsidR="00200C10" w:rsidRPr="006953D9" w:rsidRDefault="00200C10" w:rsidP="00830021">
      <w:pPr>
        <w:pStyle w:val="SingleTxtG"/>
      </w:pPr>
      <w:r w:rsidRPr="006953D9">
        <w:t>2.</w:t>
      </w:r>
      <w:r w:rsidRPr="006953D9">
        <w:tab/>
        <w:t>The</w:t>
      </w:r>
      <w:r w:rsidR="000B5A3E" w:rsidRPr="006953D9">
        <w:t xml:space="preserve"> </w:t>
      </w:r>
      <w:r w:rsidRPr="006953D9">
        <w:t>present</w:t>
      </w:r>
      <w:r w:rsidR="000B5A3E" w:rsidRPr="006953D9">
        <w:t xml:space="preserve"> </w:t>
      </w:r>
      <w:r w:rsidRPr="006953D9">
        <w:t>common</w:t>
      </w:r>
      <w:r w:rsidR="000B5A3E" w:rsidRPr="006953D9">
        <w:t xml:space="preserve"> </w:t>
      </w:r>
      <w:r w:rsidRPr="006953D9">
        <w:t>core</w:t>
      </w:r>
      <w:r w:rsidR="000B5A3E" w:rsidRPr="006953D9">
        <w:t xml:space="preserve"> </w:t>
      </w:r>
      <w:r w:rsidRPr="006953D9">
        <w:t>document</w:t>
      </w:r>
      <w:r w:rsidR="000B5A3E" w:rsidRPr="006953D9">
        <w:t xml:space="preserve"> </w:t>
      </w:r>
      <w:r w:rsidRPr="006953D9">
        <w:t>revises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previous</w:t>
      </w:r>
      <w:r w:rsidR="000B5A3E" w:rsidRPr="006953D9">
        <w:t xml:space="preserve"> </w:t>
      </w:r>
      <w:r w:rsidRPr="006953D9">
        <w:t>documents</w:t>
      </w:r>
      <w:r w:rsidR="000B5A3E" w:rsidRPr="006953D9">
        <w:t xml:space="preserve"> </w:t>
      </w:r>
      <w:r w:rsidRPr="006953D9">
        <w:t>submitted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drafted</w:t>
      </w:r>
      <w:r w:rsidR="000B5A3E" w:rsidRPr="006953D9">
        <w:t xml:space="preserve"> </w:t>
      </w:r>
      <w:r w:rsidRPr="006953D9">
        <w:t>according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revised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Guidelines,</w:t>
      </w:r>
      <w:r w:rsidR="000B5A3E" w:rsidRPr="006953D9">
        <w:t xml:space="preserve"> </w:t>
      </w:r>
      <w:r w:rsidRPr="006953D9">
        <w:t>(HRI/GEN/2/Rev.6).</w:t>
      </w:r>
    </w:p>
    <w:p w:rsidR="00200C10" w:rsidRPr="006953D9" w:rsidRDefault="00200C10" w:rsidP="00830021">
      <w:pPr>
        <w:pStyle w:val="SingleTxtG"/>
      </w:pPr>
      <w:r w:rsidRPr="006953D9">
        <w:t>3.</w:t>
      </w:r>
      <w:r w:rsidRPr="006953D9">
        <w:tab/>
        <w:t>It</w:t>
      </w:r>
      <w:r w:rsidR="000B5A3E" w:rsidRPr="006953D9">
        <w:t xml:space="preserve"> </w:t>
      </w:r>
      <w:r w:rsidRPr="006953D9">
        <w:t>contains</w:t>
      </w:r>
      <w:r w:rsidR="000B5A3E" w:rsidRPr="006953D9">
        <w:t xml:space="preserve"> </w:t>
      </w:r>
      <w:r w:rsidRPr="006953D9">
        <w:t>general</w:t>
      </w:r>
      <w:r w:rsidR="000B5A3E" w:rsidRPr="006953D9">
        <w:t xml:space="preserve"> </w:t>
      </w:r>
      <w:r w:rsidRPr="006953D9">
        <w:t>factual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statistical</w:t>
      </w:r>
      <w:r w:rsidR="000B5A3E" w:rsidRPr="006953D9">
        <w:t xml:space="preserve"> </w:t>
      </w:r>
      <w:r w:rsidRPr="006953D9">
        <w:t>information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assist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Committees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understanding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political,</w:t>
      </w:r>
      <w:r w:rsidR="000B5A3E" w:rsidRPr="006953D9">
        <w:t xml:space="preserve"> </w:t>
      </w:r>
      <w:r w:rsidRPr="006953D9">
        <w:t>legal,</w:t>
      </w:r>
      <w:r w:rsidR="000B5A3E" w:rsidRPr="006953D9">
        <w:t xml:space="preserve"> </w:t>
      </w:r>
      <w:r w:rsidRPr="006953D9">
        <w:t>social,</w:t>
      </w:r>
      <w:r w:rsidR="000B5A3E" w:rsidRPr="006953D9">
        <w:t xml:space="preserve"> </w:t>
      </w:r>
      <w:r w:rsidRPr="006953D9">
        <w:t>economic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cultural</w:t>
      </w:r>
      <w:r w:rsidR="000B5A3E" w:rsidRPr="006953D9">
        <w:t xml:space="preserve"> </w:t>
      </w:r>
      <w:r w:rsidRPr="006953D9">
        <w:t>context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implemented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Cyprus.</w:t>
      </w:r>
    </w:p>
    <w:p w:rsidR="00200C10" w:rsidRPr="006953D9" w:rsidRDefault="00200C10" w:rsidP="00830021">
      <w:pPr>
        <w:pStyle w:val="SingleTxtG"/>
      </w:pPr>
      <w:r w:rsidRPr="006953D9">
        <w:t>4.</w:t>
      </w:r>
      <w:r w:rsidRPr="006953D9">
        <w:tab/>
        <w:t>All</w:t>
      </w:r>
      <w:r w:rsidR="000B5A3E" w:rsidRPr="006953D9">
        <w:t xml:space="preserve"> </w:t>
      </w:r>
      <w:r w:rsidRPr="006953D9">
        <w:t>statistical</w:t>
      </w:r>
      <w:r w:rsidR="000B5A3E" w:rsidRPr="006953D9">
        <w:t xml:space="preserve"> </w:t>
      </w:r>
      <w:r w:rsidRPr="006953D9">
        <w:t>information</w:t>
      </w:r>
      <w:r w:rsidR="000B5A3E" w:rsidRPr="006953D9">
        <w:t xml:space="preserve"> </w:t>
      </w:r>
      <w:r w:rsidRPr="006953D9">
        <w:t>contained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common</w:t>
      </w:r>
      <w:r w:rsidR="000B5A3E" w:rsidRPr="006953D9">
        <w:t xml:space="preserve"> </w:t>
      </w:r>
      <w:r w:rsidRPr="006953D9">
        <w:t>core</w:t>
      </w:r>
      <w:r w:rsidR="000B5A3E" w:rsidRPr="006953D9">
        <w:t xml:space="preserve"> </w:t>
      </w:r>
      <w:r w:rsidRPr="006953D9">
        <w:t>document</w:t>
      </w:r>
      <w:r w:rsidR="000B5A3E" w:rsidRPr="006953D9">
        <w:t xml:space="preserve"> </w:t>
      </w:r>
      <w:r w:rsidRPr="006953D9">
        <w:t>(in</w:t>
      </w:r>
      <w:r w:rsidR="000B5A3E" w:rsidRPr="006953D9">
        <w:t xml:space="preserve"> </w:t>
      </w:r>
      <w:r w:rsidRPr="006953D9">
        <w:t>tables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forms)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Statistical</w:t>
      </w:r>
      <w:r w:rsidR="000B5A3E" w:rsidRPr="006953D9">
        <w:t xml:space="preserve"> </w:t>
      </w:r>
      <w:r w:rsidRPr="006953D9">
        <w:t>Service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competent</w:t>
      </w:r>
      <w:r w:rsidR="000B5A3E" w:rsidRPr="006953D9">
        <w:t xml:space="preserve"> </w:t>
      </w:r>
      <w:r w:rsidRPr="006953D9">
        <w:t>Ministries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5.</w:t>
      </w:r>
      <w:r w:rsidRPr="006953D9">
        <w:tab/>
        <w:t>Due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continued</w:t>
      </w:r>
      <w:r w:rsidR="000B5A3E" w:rsidRPr="006953D9">
        <w:t xml:space="preserve"> </w:t>
      </w:r>
      <w:r w:rsidRPr="006953D9">
        <w:t>illegal</w:t>
      </w:r>
      <w:r w:rsidR="000B5A3E" w:rsidRPr="006953D9">
        <w:t xml:space="preserve"> </w:t>
      </w:r>
      <w:r w:rsidRPr="006953D9">
        <w:t>occupation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36.2%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territory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military</w:t>
      </w:r>
      <w:r w:rsidR="000B5A3E" w:rsidRPr="006953D9">
        <w:t xml:space="preserve"> </w:t>
      </w:r>
      <w:r w:rsidRPr="006953D9">
        <w:t>forces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1974,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does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effective</w:t>
      </w:r>
      <w:r w:rsidR="000B5A3E" w:rsidRPr="006953D9">
        <w:t xml:space="preserve"> </w:t>
      </w:r>
      <w:r w:rsidRPr="006953D9">
        <w:t>control</w:t>
      </w:r>
      <w:r w:rsidR="000B5A3E" w:rsidRPr="006953D9">
        <w:t xml:space="preserve"> </w:t>
      </w:r>
      <w:r w:rsidRPr="006953D9">
        <w:t>over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territory.</w:t>
      </w:r>
      <w:r w:rsidR="000B5A3E" w:rsidRPr="006953D9">
        <w:t xml:space="preserve"> </w:t>
      </w:r>
      <w:r w:rsidRPr="006953D9">
        <w:t>Consequently,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information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data</w:t>
      </w:r>
      <w:r w:rsidR="000B5A3E" w:rsidRPr="006953D9">
        <w:t xml:space="preserve"> </w:t>
      </w:r>
      <w:r w:rsidRPr="006953D9">
        <w:t>included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present</w:t>
      </w:r>
      <w:r w:rsidR="000B5A3E" w:rsidRPr="006953D9">
        <w:t xml:space="preserve"> </w:t>
      </w:r>
      <w:r w:rsidRPr="006953D9">
        <w:t>common</w:t>
      </w:r>
      <w:r w:rsidR="000B5A3E" w:rsidRPr="006953D9">
        <w:t xml:space="preserve"> </w:t>
      </w:r>
      <w:r w:rsidRPr="006953D9">
        <w:t>core</w:t>
      </w:r>
      <w:r w:rsidR="000B5A3E" w:rsidRPr="006953D9">
        <w:t xml:space="preserve"> </w:t>
      </w:r>
      <w:r w:rsidRPr="006953D9">
        <w:t>document</w:t>
      </w:r>
      <w:r w:rsidR="000B5A3E" w:rsidRPr="006953D9">
        <w:t xml:space="preserve"> </w:t>
      </w:r>
      <w:r w:rsidRPr="006953D9">
        <w:t>concern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Government-controlled</w:t>
      </w:r>
      <w:r w:rsidR="000B5A3E" w:rsidRPr="006953D9">
        <w:t xml:space="preserve"> </w:t>
      </w:r>
      <w:r w:rsidRPr="006953D9">
        <w:t>areas.</w:t>
      </w:r>
    </w:p>
    <w:p w:rsidR="00200C10" w:rsidRPr="006953D9" w:rsidRDefault="00200C10" w:rsidP="00830021">
      <w:pPr>
        <w:pStyle w:val="SingleTxtG"/>
      </w:pPr>
      <w:r w:rsidRPr="006953D9">
        <w:t>6.</w:t>
      </w:r>
      <w:r w:rsidRPr="006953D9">
        <w:tab/>
        <w:t>The</w:t>
      </w:r>
      <w:r w:rsidR="000B5A3E" w:rsidRPr="006953D9">
        <w:t xml:space="preserve"> </w:t>
      </w:r>
      <w:r w:rsidRPr="006953D9">
        <w:t>revised</w:t>
      </w:r>
      <w:r w:rsidR="000B5A3E" w:rsidRPr="006953D9">
        <w:t xml:space="preserve"> </w:t>
      </w:r>
      <w:r w:rsidRPr="006953D9">
        <w:t>common</w:t>
      </w:r>
      <w:r w:rsidR="000B5A3E" w:rsidRPr="006953D9">
        <w:t xml:space="preserve"> </w:t>
      </w:r>
      <w:r w:rsidRPr="006953D9">
        <w:t>core</w:t>
      </w:r>
      <w:r w:rsidR="000B5A3E" w:rsidRPr="006953D9">
        <w:t xml:space="preserve"> </w:t>
      </w:r>
      <w:r w:rsidRPr="006953D9">
        <w:t>document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prepared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coordination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Ministry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Foreign</w:t>
      </w:r>
      <w:r w:rsidR="000B5A3E" w:rsidRPr="006953D9">
        <w:t xml:space="preserve"> </w:t>
      </w:r>
      <w:r w:rsidRPr="006953D9">
        <w:t>Affairs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cooperation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Ministries,</w:t>
      </w:r>
      <w:r w:rsidR="000B5A3E" w:rsidRPr="006953D9">
        <w:t xml:space="preserve"> </w:t>
      </w:r>
      <w:r w:rsidRPr="006953D9">
        <w:t>Departments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Services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Institutions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</w:p>
    <w:p w:rsidR="00200C10" w:rsidRPr="006953D9" w:rsidRDefault="00200C10" w:rsidP="000B5A3E">
      <w:pPr>
        <w:pStyle w:val="HChG"/>
      </w:pPr>
      <w:r w:rsidRPr="006953D9">
        <w:tab/>
      </w:r>
      <w:bookmarkStart w:id="2" w:name="_Toc509325395"/>
      <w:r w:rsidRPr="006953D9">
        <w:t>ΙI.</w:t>
      </w:r>
      <w:r w:rsidRPr="006953D9">
        <w:tab/>
        <w:t>General</w:t>
      </w:r>
      <w:r w:rsidR="000B5A3E" w:rsidRPr="006953D9">
        <w:t xml:space="preserve"> </w:t>
      </w:r>
      <w:r w:rsidRPr="006953D9">
        <w:t>information</w:t>
      </w:r>
      <w:bookmarkEnd w:id="2"/>
    </w:p>
    <w:p w:rsidR="00200C10" w:rsidRPr="006953D9" w:rsidRDefault="00200C10" w:rsidP="000B5A3E">
      <w:pPr>
        <w:pStyle w:val="H1G"/>
      </w:pPr>
      <w:r w:rsidRPr="006953D9">
        <w:tab/>
      </w:r>
      <w:bookmarkStart w:id="3" w:name="_Toc509325396"/>
      <w:r w:rsidRPr="006953D9">
        <w:t>A.</w:t>
      </w:r>
      <w:r w:rsidRPr="006953D9">
        <w:tab/>
        <w:t>Demographic,</w:t>
      </w:r>
      <w:r w:rsidR="000B5A3E" w:rsidRPr="006953D9">
        <w:t xml:space="preserve"> </w:t>
      </w:r>
      <w:r w:rsidRPr="006953D9">
        <w:t>economic,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cultural</w:t>
      </w:r>
      <w:r w:rsidR="000B5A3E" w:rsidRPr="006953D9">
        <w:t xml:space="preserve"> </w:t>
      </w:r>
      <w:r w:rsidRPr="006953D9">
        <w:t>characteristics</w:t>
      </w:r>
      <w:bookmarkEnd w:id="3"/>
    </w:p>
    <w:p w:rsidR="00200C10" w:rsidRPr="006953D9" w:rsidRDefault="00200C10" w:rsidP="00830021">
      <w:pPr>
        <w:pStyle w:val="SingleTxtG"/>
      </w:pPr>
      <w:r w:rsidRPr="006953D9">
        <w:t>7.</w:t>
      </w:r>
      <w:r w:rsidRPr="006953D9">
        <w:tab/>
        <w:t>Cyprus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third</w:t>
      </w:r>
      <w:r w:rsidR="000B5A3E" w:rsidRPr="006953D9">
        <w:t xml:space="preserve"> </w:t>
      </w:r>
      <w:r w:rsidRPr="006953D9">
        <w:t>largest</w:t>
      </w:r>
      <w:r w:rsidR="000B5A3E" w:rsidRPr="006953D9">
        <w:t xml:space="preserve"> </w:t>
      </w:r>
      <w:r w:rsidRPr="006953D9">
        <w:t>island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Mediterranean</w:t>
      </w:r>
      <w:r w:rsidR="000B5A3E" w:rsidRPr="006953D9">
        <w:t xml:space="preserve"> </w:t>
      </w:r>
      <w:r w:rsidRPr="006953D9">
        <w:t>Sea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area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9</w:t>
      </w:r>
      <w:r w:rsidR="00602D26">
        <w:t>,</w:t>
      </w:r>
      <w:r w:rsidRPr="006953D9">
        <w:t>251</w:t>
      </w:r>
      <w:r w:rsidR="000B5A3E" w:rsidRPr="006953D9">
        <w:t xml:space="preserve"> </w:t>
      </w:r>
      <w:r w:rsidRPr="006953D9">
        <w:t>sq.</w:t>
      </w:r>
      <w:r w:rsidR="000B5A3E" w:rsidRPr="006953D9">
        <w:t xml:space="preserve"> </w:t>
      </w:r>
      <w:r w:rsidRPr="006953D9">
        <w:t>km,</w:t>
      </w:r>
      <w:r w:rsidR="000B5A3E" w:rsidRPr="006953D9">
        <w:t xml:space="preserve"> </w:t>
      </w:r>
      <w:r w:rsidRPr="006953D9">
        <w:t>33</w:t>
      </w:r>
      <w:r w:rsidRPr="00C63A32">
        <w:rPr>
          <w:vertAlign w:val="superscript"/>
        </w:rPr>
        <w:t>o</w:t>
      </w:r>
      <w:r w:rsidR="000B5A3E" w:rsidRPr="006953D9">
        <w:t xml:space="preserve"> </w:t>
      </w:r>
      <w:r w:rsidRPr="006953D9">
        <w:t>east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Greenwich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35</w:t>
      </w:r>
      <w:r w:rsidRPr="00C63A32">
        <w:rPr>
          <w:vertAlign w:val="superscript"/>
        </w:rPr>
        <w:t>o</w:t>
      </w:r>
      <w:r w:rsidR="000B5A3E" w:rsidRPr="006953D9">
        <w:t xml:space="preserve"> </w:t>
      </w:r>
      <w:r w:rsidRPr="006953D9">
        <w:t>north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Equator.</w:t>
      </w:r>
    </w:p>
    <w:p w:rsidR="00200C10" w:rsidRPr="006953D9" w:rsidRDefault="00200C10" w:rsidP="00830021">
      <w:pPr>
        <w:pStyle w:val="SingleTxtG"/>
      </w:pPr>
      <w:r w:rsidRPr="006953D9">
        <w:t>8.</w:t>
      </w:r>
      <w:r w:rsidRPr="006953D9">
        <w:tab/>
        <w:t>It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situated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proofErr w:type="spellStart"/>
      <w:r w:rsidR="009007D2" w:rsidRPr="006953D9">
        <w:t>northeastern</w:t>
      </w:r>
      <w:proofErr w:type="spellEnd"/>
      <w:r w:rsidR="000B5A3E" w:rsidRPr="006953D9">
        <w:t xml:space="preserve"> </w:t>
      </w:r>
      <w:r w:rsidRPr="006953D9">
        <w:t>Mediterranean,</w:t>
      </w:r>
      <w:r w:rsidR="000B5A3E" w:rsidRPr="006953D9">
        <w:t xml:space="preserve"> </w:t>
      </w:r>
      <w:r w:rsidRPr="006953D9">
        <w:t>approximately</w:t>
      </w:r>
      <w:r w:rsidR="000B5A3E" w:rsidRPr="006953D9">
        <w:t xml:space="preserve"> </w:t>
      </w:r>
      <w:r w:rsidRPr="006953D9">
        <w:t>360</w:t>
      </w:r>
      <w:r w:rsidR="000B5A3E" w:rsidRPr="006953D9">
        <w:t xml:space="preserve"> </w:t>
      </w:r>
      <w:r w:rsidRPr="006953D9">
        <w:t>km</w:t>
      </w:r>
      <w:r w:rsidR="000B5A3E" w:rsidRPr="006953D9">
        <w:t xml:space="preserve"> </w:t>
      </w:r>
      <w:r w:rsidRPr="006953D9">
        <w:t>east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Greece,</w:t>
      </w:r>
      <w:r w:rsidR="000B5A3E" w:rsidRPr="006953D9">
        <w:t xml:space="preserve"> </w:t>
      </w:r>
      <w:r w:rsidRPr="006953D9">
        <w:t>300</w:t>
      </w:r>
      <w:r w:rsidR="000B5A3E" w:rsidRPr="006953D9">
        <w:t xml:space="preserve"> </w:t>
      </w:r>
      <w:r w:rsidRPr="006953D9">
        <w:t>km</w:t>
      </w:r>
      <w:r w:rsidR="000B5A3E" w:rsidRPr="006953D9">
        <w:t xml:space="preserve"> </w:t>
      </w:r>
      <w:r w:rsidRPr="006953D9">
        <w:t>north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Egypt,</w:t>
      </w:r>
      <w:r w:rsidR="000B5A3E" w:rsidRPr="006953D9">
        <w:t xml:space="preserve"> </w:t>
      </w:r>
      <w:r w:rsidRPr="006953D9">
        <w:t>105</w:t>
      </w:r>
      <w:r w:rsidR="000B5A3E" w:rsidRPr="006953D9">
        <w:t xml:space="preserve"> </w:t>
      </w:r>
      <w:r w:rsidRPr="006953D9">
        <w:t>km</w:t>
      </w:r>
      <w:r w:rsidR="000B5A3E" w:rsidRPr="006953D9">
        <w:t xml:space="preserve"> </w:t>
      </w:r>
      <w:r w:rsidRPr="006953D9">
        <w:t>west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Syria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75</w:t>
      </w:r>
      <w:r w:rsidR="000B5A3E" w:rsidRPr="006953D9">
        <w:t xml:space="preserve"> </w:t>
      </w:r>
      <w:r w:rsidRPr="006953D9">
        <w:t>km</w:t>
      </w:r>
      <w:r w:rsidR="000B5A3E" w:rsidRPr="006953D9">
        <w:t xml:space="preserve"> </w:t>
      </w:r>
      <w:r w:rsidRPr="006953D9">
        <w:t>south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Turkey.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9.</w:t>
      </w:r>
      <w:r w:rsidRPr="006953D9">
        <w:tab/>
        <w:t>Cyprus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mainly</w:t>
      </w:r>
      <w:r w:rsidR="000B5A3E" w:rsidRPr="006953D9">
        <w:t xml:space="preserve"> </w:t>
      </w:r>
      <w:r w:rsidRPr="006953D9">
        <w:t>mountainous</w:t>
      </w:r>
      <w:r w:rsidR="000B5A3E" w:rsidRPr="006953D9">
        <w:t xml:space="preserve"> </w:t>
      </w:r>
      <w:r w:rsidRPr="006953D9">
        <w:t>terrain,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proofErr w:type="spellStart"/>
      <w:r w:rsidRPr="006953D9">
        <w:t>Pentadaktylos</w:t>
      </w:r>
      <w:proofErr w:type="spellEnd"/>
      <w:r w:rsidR="000B5A3E" w:rsidRPr="006953D9">
        <w:t xml:space="preserve"> </w:t>
      </w:r>
      <w:r w:rsidRPr="006953D9">
        <w:t>mountain</w:t>
      </w:r>
      <w:r w:rsidR="000B5A3E" w:rsidRPr="006953D9">
        <w:t xml:space="preserve"> </w:t>
      </w:r>
      <w:r w:rsidRPr="006953D9">
        <w:t>range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north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Troodos</w:t>
      </w:r>
      <w:r w:rsidR="000B5A3E" w:rsidRPr="006953D9">
        <w:t xml:space="preserve"> </w:t>
      </w:r>
      <w:r w:rsidRPr="006953D9">
        <w:t>mountain</w:t>
      </w:r>
      <w:r w:rsidR="000B5A3E" w:rsidRPr="006953D9">
        <w:t xml:space="preserve"> </w:t>
      </w:r>
      <w:r w:rsidRPr="006953D9">
        <w:t>range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south-west.</w:t>
      </w:r>
      <w:r w:rsidR="000B5A3E" w:rsidRPr="006953D9">
        <w:t xml:space="preserve"> </w:t>
      </w:r>
      <w:r w:rsidRPr="006953D9">
        <w:t>Cyprus</w:t>
      </w:r>
      <w:r w:rsidR="002206DB" w:rsidRPr="006953D9">
        <w:t>’</w:t>
      </w:r>
      <w:r w:rsidR="000B5A3E" w:rsidRPr="006953D9">
        <w:t xml:space="preserve"> </w:t>
      </w:r>
      <w:r w:rsidRPr="006953D9">
        <w:t>highest</w:t>
      </w:r>
      <w:r w:rsidR="000B5A3E" w:rsidRPr="006953D9">
        <w:t xml:space="preserve"> </w:t>
      </w:r>
      <w:r w:rsidRPr="006953D9">
        <w:t>peak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Mount</w:t>
      </w:r>
      <w:r w:rsidR="000B5A3E" w:rsidRPr="006953D9">
        <w:t xml:space="preserve"> </w:t>
      </w:r>
      <w:r w:rsidRPr="006953D9">
        <w:t>Olympus</w:t>
      </w:r>
      <w:r w:rsidR="000B5A3E" w:rsidRPr="006953D9">
        <w:t xml:space="preserve"> </w:t>
      </w:r>
      <w:r w:rsidRPr="006953D9">
        <w:t>(at</w:t>
      </w:r>
      <w:r w:rsidR="000B5A3E" w:rsidRPr="006953D9">
        <w:t xml:space="preserve"> </w:t>
      </w:r>
      <w:r w:rsidRPr="006953D9">
        <w:t>1</w:t>
      </w:r>
      <w:r w:rsidR="00602D26">
        <w:t>,</w:t>
      </w:r>
      <w:r w:rsidRPr="006953D9">
        <w:t>952</w:t>
      </w:r>
      <w:r w:rsidR="000B5A3E" w:rsidRPr="006953D9">
        <w:t xml:space="preserve"> </w:t>
      </w:r>
      <w:r w:rsidRPr="006953D9">
        <w:t>m)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Troodos</w:t>
      </w:r>
      <w:r w:rsidR="000B5A3E" w:rsidRPr="006953D9">
        <w:t xml:space="preserve"> </w:t>
      </w:r>
      <w:r w:rsidRPr="006953D9">
        <w:t>range.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largest</w:t>
      </w:r>
      <w:r w:rsidR="000B5A3E" w:rsidRPr="006953D9">
        <w:t xml:space="preserve"> </w:t>
      </w:r>
      <w:r w:rsidRPr="006953D9">
        <w:t>plain,</w:t>
      </w:r>
      <w:r w:rsidR="000B5A3E" w:rsidRPr="006953D9">
        <w:t xml:space="preserve"> </w:t>
      </w:r>
      <w:proofErr w:type="spellStart"/>
      <w:r w:rsidRPr="006953D9">
        <w:t>Mesaoria</w:t>
      </w:r>
      <w:proofErr w:type="spellEnd"/>
      <w:r w:rsidRPr="006953D9">
        <w:t>,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situated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between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ranges.</w:t>
      </w:r>
    </w:p>
    <w:p w:rsidR="00200C10" w:rsidRPr="006953D9" w:rsidRDefault="00200C10" w:rsidP="00830021">
      <w:pPr>
        <w:pStyle w:val="SingleTxtG"/>
      </w:pPr>
      <w:r w:rsidRPr="006953D9">
        <w:t>10.</w:t>
      </w:r>
      <w:r w:rsidRPr="006953D9">
        <w:tab/>
        <w:t>The</w:t>
      </w:r>
      <w:r w:rsidR="000B5A3E" w:rsidRPr="006953D9">
        <w:t xml:space="preserve"> </w:t>
      </w:r>
      <w:r w:rsidRPr="006953D9">
        <w:t>climate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Mediterranean</w:t>
      </w:r>
      <w:r w:rsidR="000B5A3E" w:rsidRPr="006953D9">
        <w:t xml:space="preserve"> </w:t>
      </w:r>
      <w:r w:rsidRPr="006953D9">
        <w:t>(temperate).</w:t>
      </w:r>
      <w:r w:rsidR="000B5A3E" w:rsidRPr="006953D9">
        <w:t xml:space="preserve"> </w:t>
      </w:r>
      <w:r w:rsidRPr="006953D9">
        <w:t>Hot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dry</w:t>
      </w:r>
      <w:r w:rsidR="000B5A3E" w:rsidRPr="006953D9">
        <w:t xml:space="preserve"> </w:t>
      </w:r>
      <w:r w:rsidRPr="006953D9">
        <w:t>summers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mid-May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mid-October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mild,</w:t>
      </w:r>
      <w:r w:rsidR="000B5A3E" w:rsidRPr="006953D9">
        <w:t xml:space="preserve"> </w:t>
      </w:r>
      <w:r w:rsidRPr="006953D9">
        <w:t>rainy,</w:t>
      </w:r>
      <w:r w:rsidR="000B5A3E" w:rsidRPr="006953D9">
        <w:t xml:space="preserve"> </w:t>
      </w:r>
      <w:r w:rsidRPr="006953D9">
        <w:t>rather</w:t>
      </w:r>
      <w:r w:rsidR="000B5A3E" w:rsidRPr="006953D9">
        <w:t xml:space="preserve"> </w:t>
      </w:r>
      <w:r w:rsidRPr="006953D9">
        <w:t>changeable,</w:t>
      </w:r>
      <w:r w:rsidR="000B5A3E" w:rsidRPr="006953D9">
        <w:t xml:space="preserve"> </w:t>
      </w:r>
      <w:r w:rsidRPr="006953D9">
        <w:t>winters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November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mid-March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separated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short</w:t>
      </w:r>
      <w:r w:rsidR="000B5A3E" w:rsidRPr="006953D9">
        <w:t xml:space="preserve"> </w:t>
      </w:r>
      <w:r w:rsidRPr="006953D9">
        <w:t>autumn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spring</w:t>
      </w:r>
      <w:r w:rsidR="000B5A3E" w:rsidRPr="006953D9">
        <w:t xml:space="preserve"> </w:t>
      </w:r>
      <w:r w:rsidRPr="006953D9">
        <w:t>seasons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rapid</w:t>
      </w:r>
      <w:r w:rsidR="000B5A3E" w:rsidRPr="006953D9">
        <w:t xml:space="preserve"> </w:t>
      </w:r>
      <w:r w:rsidRPr="006953D9">
        <w:t>change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weather</w:t>
      </w:r>
      <w:r w:rsidR="000B5A3E" w:rsidRPr="006953D9">
        <w:t xml:space="preserve"> </w:t>
      </w:r>
      <w:r w:rsidRPr="006953D9">
        <w:t>conditions.</w:t>
      </w:r>
      <w:r w:rsidR="000B5A3E" w:rsidRPr="006953D9">
        <w:t xml:space="preserve"> </w:t>
      </w:r>
      <w:r w:rsidRPr="006953D9">
        <w:t>Two-thirds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average</w:t>
      </w:r>
      <w:r w:rsidR="000B5A3E" w:rsidRPr="006953D9">
        <w:t xml:space="preserve"> </w:t>
      </w:r>
      <w:r w:rsidRPr="006953D9">
        <w:t>annual</w:t>
      </w:r>
      <w:r w:rsidR="000B5A3E" w:rsidRPr="006953D9">
        <w:t xml:space="preserve"> </w:t>
      </w:r>
      <w:r w:rsidRPr="006953D9">
        <w:t>rainfall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503</w:t>
      </w:r>
      <w:r w:rsidR="000B5A3E" w:rsidRPr="006953D9">
        <w:t xml:space="preserve"> </w:t>
      </w:r>
      <w:r w:rsidRPr="006953D9">
        <w:t>mm</w:t>
      </w:r>
      <w:r w:rsidR="000B5A3E" w:rsidRPr="006953D9">
        <w:t xml:space="preserve"> </w:t>
      </w:r>
      <w:r w:rsidRPr="006953D9">
        <w:t>(period</w:t>
      </w:r>
      <w:r w:rsidR="000B5A3E" w:rsidRPr="006953D9">
        <w:t xml:space="preserve"> </w:t>
      </w:r>
      <w:r w:rsidRPr="006953D9">
        <w:t>1961–90)</w:t>
      </w:r>
      <w:r w:rsidR="000B5A3E" w:rsidRPr="006953D9">
        <w:t xml:space="preserve"> </w:t>
      </w:r>
      <w:r w:rsidRPr="006953D9">
        <w:t>occurs</w:t>
      </w:r>
      <w:r w:rsidR="000B5A3E" w:rsidRPr="006953D9">
        <w:t xml:space="preserve"> </w:t>
      </w:r>
      <w:r w:rsidRPr="006953D9">
        <w:t>between</w:t>
      </w:r>
      <w:r w:rsidR="000B5A3E" w:rsidRPr="006953D9">
        <w:t xml:space="preserve"> </w:t>
      </w:r>
      <w:r w:rsidRPr="006953D9">
        <w:t>December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February.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lowest</w:t>
      </w:r>
      <w:r w:rsidR="000B5A3E" w:rsidRPr="006953D9">
        <w:t xml:space="preserve"> </w:t>
      </w:r>
      <w:r w:rsidRPr="006953D9">
        <w:t>mean</w:t>
      </w:r>
      <w:r w:rsidR="000B5A3E" w:rsidRPr="006953D9">
        <w:t xml:space="preserve"> </w:t>
      </w:r>
      <w:r w:rsidRPr="006953D9">
        <w:t>annual</w:t>
      </w:r>
      <w:r w:rsidR="000B5A3E" w:rsidRPr="006953D9">
        <w:t xml:space="preserve"> </w:t>
      </w:r>
      <w:r w:rsidRPr="006953D9">
        <w:t>precipitation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213</w:t>
      </w:r>
      <w:r w:rsidR="000B5A3E" w:rsidRPr="006953D9">
        <w:t xml:space="preserve"> </w:t>
      </w:r>
      <w:r w:rsidRPr="006953D9">
        <w:t>mm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1972–73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highest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800</w:t>
      </w:r>
      <w:r w:rsidR="000B5A3E" w:rsidRPr="006953D9">
        <w:t xml:space="preserve"> </w:t>
      </w:r>
      <w:r w:rsidRPr="006953D9">
        <w:t>mm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1968–69.</w:t>
      </w:r>
      <w:r w:rsidR="000B5A3E" w:rsidRPr="006953D9">
        <w:t xml:space="preserve"> </w:t>
      </w:r>
      <w:r w:rsidRPr="006953D9">
        <w:t>Periodically,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country</w:t>
      </w:r>
      <w:r w:rsidR="000B5A3E" w:rsidRPr="006953D9">
        <w:t xml:space="preserve"> </w:t>
      </w:r>
      <w:r w:rsidRPr="006953D9">
        <w:t>suffers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drought.</w:t>
      </w:r>
    </w:p>
    <w:p w:rsidR="00200C10" w:rsidRPr="006953D9" w:rsidRDefault="00200C10" w:rsidP="000B5A3E">
      <w:pPr>
        <w:pStyle w:val="H23G"/>
      </w:pPr>
      <w:r w:rsidRPr="006953D9">
        <w:tab/>
        <w:t>1.</w:t>
      </w:r>
      <w:r w:rsidRPr="006953D9">
        <w:tab/>
        <w:t>Historical</w:t>
      </w:r>
      <w:r w:rsidR="000B5A3E" w:rsidRPr="006953D9">
        <w:t xml:space="preserve"> </w:t>
      </w:r>
      <w:r w:rsidRPr="006953D9">
        <w:t>background</w:t>
      </w:r>
    </w:p>
    <w:p w:rsidR="00200C10" w:rsidRPr="006953D9" w:rsidRDefault="00200C10" w:rsidP="00830021">
      <w:pPr>
        <w:pStyle w:val="SingleTxtG"/>
      </w:pPr>
      <w:r w:rsidRPr="006953D9">
        <w:t>11.</w:t>
      </w:r>
      <w:r w:rsidRPr="006953D9">
        <w:tab/>
        <w:t>Cyprus</w:t>
      </w:r>
      <w:r w:rsidR="002206DB" w:rsidRPr="006953D9">
        <w:t>’</w:t>
      </w:r>
      <w:r w:rsidR="000B5A3E" w:rsidRPr="006953D9">
        <w:t xml:space="preserve"> </w:t>
      </w:r>
      <w:r w:rsidRPr="006953D9">
        <w:t>history</w:t>
      </w:r>
      <w:r w:rsidR="000B5A3E" w:rsidRPr="006953D9">
        <w:t xml:space="preserve"> </w:t>
      </w:r>
      <w:r w:rsidRPr="006953D9">
        <w:t>spans</w:t>
      </w:r>
      <w:r w:rsidR="000B5A3E" w:rsidRPr="006953D9">
        <w:t xml:space="preserve"> </w:t>
      </w:r>
      <w:r w:rsidRPr="006953D9">
        <w:t>nine</w:t>
      </w:r>
      <w:r w:rsidR="000B5A3E" w:rsidRPr="006953D9">
        <w:t xml:space="preserve"> </w:t>
      </w:r>
      <w:r w:rsidRPr="006953D9">
        <w:t>millennia.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second</w:t>
      </w:r>
      <w:r w:rsidR="000B5A3E" w:rsidRPr="006953D9">
        <w:t xml:space="preserve"> </w:t>
      </w:r>
      <w:r w:rsidRPr="006953D9">
        <w:t>millennium</w:t>
      </w:r>
      <w:r w:rsidR="000B5A3E" w:rsidRPr="006953D9">
        <w:t xml:space="preserve"> </w:t>
      </w:r>
      <w:r w:rsidRPr="006953D9">
        <w:t>B.C.,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Achaean</w:t>
      </w:r>
      <w:r w:rsidR="000B5A3E" w:rsidRPr="006953D9">
        <w:t xml:space="preserve"> </w:t>
      </w:r>
      <w:r w:rsidRPr="006953D9">
        <w:t>Greeks</w:t>
      </w:r>
      <w:r w:rsidR="000B5A3E" w:rsidRPr="006953D9">
        <w:t xml:space="preserve"> </w:t>
      </w:r>
      <w:r w:rsidRPr="006953D9">
        <w:t>established</w:t>
      </w:r>
      <w:r w:rsidR="000B5A3E" w:rsidRPr="006953D9">
        <w:t xml:space="preserve"> </w:t>
      </w:r>
      <w:r w:rsidRPr="006953D9">
        <w:t>city-kingdoms</w:t>
      </w:r>
      <w:r w:rsidR="000B5A3E" w:rsidRPr="006953D9">
        <w:t xml:space="preserve"> </w:t>
      </w:r>
      <w:r w:rsidRPr="006953D9">
        <w:t>based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Mycenaean</w:t>
      </w:r>
      <w:r w:rsidR="000B5A3E" w:rsidRPr="006953D9">
        <w:t xml:space="preserve"> </w:t>
      </w:r>
      <w:r w:rsidRPr="006953D9">
        <w:t>model,</w:t>
      </w:r>
      <w:r w:rsidR="000B5A3E" w:rsidRPr="006953D9">
        <w:t xml:space="preserve"> </w:t>
      </w:r>
      <w:r w:rsidRPr="006953D9">
        <w:t>introducing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language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culture,</w:t>
      </w:r>
      <w:r w:rsidR="000B5A3E" w:rsidRPr="006953D9">
        <w:t xml:space="preserve"> </w:t>
      </w:r>
      <w:r w:rsidRPr="006953D9">
        <w:t>preserved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day</w:t>
      </w:r>
      <w:r w:rsidR="000B5A3E" w:rsidRPr="006953D9">
        <w:t xml:space="preserve"> </w:t>
      </w:r>
      <w:r w:rsidRPr="006953D9">
        <w:t>despite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vicissitudes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history.</w:t>
      </w:r>
      <w:r w:rsidR="000B5A3E" w:rsidRPr="006953D9">
        <w:t xml:space="preserve"> </w:t>
      </w:r>
    </w:p>
    <w:p w:rsidR="00200C10" w:rsidRPr="006953D9" w:rsidRDefault="00200C10" w:rsidP="000B5A3E">
      <w:pPr>
        <w:pStyle w:val="SingleTxtG"/>
      </w:pPr>
      <w:r w:rsidRPr="006953D9">
        <w:t>12.</w:t>
      </w:r>
      <w:r w:rsidRPr="006953D9">
        <w:tab/>
        <w:t>Cyprus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known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ancient</w:t>
      </w:r>
      <w:r w:rsidR="000B5A3E" w:rsidRPr="006953D9">
        <w:t xml:space="preserve"> </w:t>
      </w:r>
      <w:r w:rsidRPr="006953D9">
        <w:t>world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copper</w:t>
      </w:r>
      <w:r w:rsidR="000B5A3E" w:rsidRPr="006953D9">
        <w:t xml:space="preserve"> </w:t>
      </w:r>
      <w:r w:rsidRPr="006953D9">
        <w:t>mines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forests.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geostrategic</w:t>
      </w:r>
      <w:r w:rsidR="000B5A3E" w:rsidRPr="006953D9">
        <w:t xml:space="preserve"> </w:t>
      </w:r>
      <w:r w:rsidRPr="006953D9">
        <w:t>position,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crossroads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three</w:t>
      </w:r>
      <w:r w:rsidR="000B5A3E" w:rsidRPr="006953D9">
        <w:t xml:space="preserve"> </w:t>
      </w:r>
      <w:r w:rsidRPr="006953D9">
        <w:t>continents,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wealth,</w:t>
      </w:r>
      <w:r w:rsidR="000B5A3E" w:rsidRPr="006953D9">
        <w:t xml:space="preserve"> </w:t>
      </w:r>
      <w:r w:rsidRPr="006953D9">
        <w:t>accounted</w:t>
      </w:r>
      <w:r w:rsidR="000B5A3E" w:rsidRPr="006953D9">
        <w:t xml:space="preserve"> </w:t>
      </w:r>
      <w:r w:rsidRPr="006953D9">
        <w:lastRenderedPageBreak/>
        <w:t>for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succession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conquerors,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Assyrians</w:t>
      </w:r>
      <w:r w:rsidR="000B5A3E" w:rsidRPr="006953D9">
        <w:t xml:space="preserve"> </w:t>
      </w:r>
      <w:r w:rsidRPr="006953D9">
        <w:t>(673–669</w:t>
      </w:r>
      <w:r w:rsidR="000B5A3E" w:rsidRPr="006953D9">
        <w:t xml:space="preserve"> </w:t>
      </w:r>
      <w:r w:rsidRPr="006953D9">
        <w:t>B.C.),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Egyptians</w:t>
      </w:r>
      <w:r w:rsidR="000B5A3E" w:rsidRPr="006953D9">
        <w:t xml:space="preserve"> </w:t>
      </w:r>
      <w:r w:rsidRPr="006953D9">
        <w:t>(560</w:t>
      </w:r>
      <w:r w:rsidR="000B5A3E" w:rsidRPr="006953D9">
        <w:t>–</w:t>
      </w:r>
      <w:r w:rsidRPr="006953D9">
        <w:t>545</w:t>
      </w:r>
      <w:r w:rsidR="000B5A3E" w:rsidRPr="006953D9">
        <w:t xml:space="preserve"> </w:t>
      </w:r>
      <w:r w:rsidRPr="006953D9">
        <w:t>B.C.)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Persians</w:t>
      </w:r>
      <w:r w:rsidR="000B5A3E" w:rsidRPr="006953D9">
        <w:t xml:space="preserve"> </w:t>
      </w:r>
      <w:r w:rsidRPr="006953D9">
        <w:t>(545–332</w:t>
      </w:r>
      <w:r w:rsidR="000B5A3E" w:rsidRPr="006953D9">
        <w:t xml:space="preserve"> </w:t>
      </w:r>
      <w:r w:rsidRPr="006953D9">
        <w:t>B.C.).</w:t>
      </w:r>
    </w:p>
    <w:p w:rsidR="00200C10" w:rsidRPr="006953D9" w:rsidRDefault="00200C10" w:rsidP="00830021">
      <w:pPr>
        <w:pStyle w:val="SingleTxtG"/>
      </w:pPr>
      <w:r w:rsidRPr="006953D9">
        <w:t>13.</w:t>
      </w:r>
      <w:r w:rsidRPr="006953D9">
        <w:tab/>
        <w:t>During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fifth</w:t>
      </w:r>
      <w:r w:rsidR="000B5A3E" w:rsidRPr="006953D9">
        <w:t xml:space="preserve"> </w:t>
      </w:r>
      <w:r w:rsidRPr="006953D9">
        <w:t>century</w:t>
      </w:r>
      <w:r w:rsidR="000B5A3E" w:rsidRPr="006953D9">
        <w:t xml:space="preserve"> </w:t>
      </w:r>
      <w:r w:rsidRPr="006953D9">
        <w:t>B.C.,</w:t>
      </w:r>
      <w:r w:rsidR="000B5A3E" w:rsidRPr="006953D9">
        <w:t xml:space="preserve"> </w:t>
      </w:r>
      <w:r w:rsidRPr="006953D9">
        <w:t>there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considerable</w:t>
      </w:r>
      <w:r w:rsidR="000B5A3E" w:rsidRPr="006953D9">
        <w:t xml:space="preserve"> </w:t>
      </w:r>
      <w:r w:rsidRPr="006953D9">
        <w:t>interaction</w:t>
      </w:r>
      <w:r w:rsidR="000B5A3E" w:rsidRPr="006953D9">
        <w:t xml:space="preserve"> </w:t>
      </w:r>
      <w:r w:rsidRPr="006953D9">
        <w:t>between</w:t>
      </w:r>
      <w:r w:rsidR="000B5A3E" w:rsidRPr="006953D9">
        <w:t xml:space="preserve"> </w:t>
      </w:r>
      <w:r w:rsidRPr="006953D9">
        <w:t>Athens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city-states,</w:t>
      </w:r>
      <w:r w:rsidR="000B5A3E" w:rsidRPr="006953D9">
        <w:t xml:space="preserve"> </w:t>
      </w:r>
      <w:r w:rsidRPr="006953D9">
        <w:t>particularly</w:t>
      </w:r>
      <w:r w:rsidR="000B5A3E" w:rsidRPr="006953D9">
        <w:t xml:space="preserve"> </w:t>
      </w:r>
      <w:r w:rsidRPr="006953D9">
        <w:t>Salamis.</w:t>
      </w:r>
    </w:p>
    <w:p w:rsidR="00200C10" w:rsidRPr="006953D9" w:rsidRDefault="00200C10" w:rsidP="00830021">
      <w:pPr>
        <w:pStyle w:val="SingleTxtG"/>
      </w:pPr>
      <w:r w:rsidRPr="006953D9">
        <w:t>14.</w:t>
      </w:r>
      <w:r w:rsidRPr="006953D9">
        <w:tab/>
        <w:t>After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breakup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Alexander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Great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empire,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became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Ptolemaic</w:t>
      </w:r>
      <w:r w:rsidR="000B5A3E" w:rsidRPr="006953D9">
        <w:t xml:space="preserve"> </w:t>
      </w:r>
      <w:r w:rsidRPr="006953D9">
        <w:t>empire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Egypt.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Hellenistic</w:t>
      </w:r>
      <w:r w:rsidR="000B5A3E" w:rsidRPr="006953D9">
        <w:t xml:space="preserve"> </w:t>
      </w:r>
      <w:r w:rsidRPr="006953D9">
        <w:t>period</w:t>
      </w:r>
      <w:r w:rsidR="000B5A3E" w:rsidRPr="006953D9">
        <w:t xml:space="preserve"> </w:t>
      </w:r>
      <w:r w:rsidRPr="006953D9">
        <w:t>ended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58</w:t>
      </w:r>
      <w:r w:rsidR="000B5A3E" w:rsidRPr="006953D9">
        <w:t xml:space="preserve"> </w:t>
      </w:r>
      <w:r w:rsidRPr="006953D9">
        <w:t>B.C.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arrival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Romans.</w:t>
      </w:r>
    </w:p>
    <w:p w:rsidR="00200C10" w:rsidRPr="006953D9" w:rsidRDefault="00200C10" w:rsidP="00830021">
      <w:pPr>
        <w:pStyle w:val="SingleTxtG"/>
      </w:pPr>
      <w:r w:rsidRPr="006953D9">
        <w:t>15.</w:t>
      </w:r>
      <w:r w:rsidRPr="006953D9">
        <w:tab/>
        <w:t>In</w:t>
      </w:r>
      <w:r w:rsidR="000B5A3E" w:rsidRPr="006953D9">
        <w:t xml:space="preserve"> </w:t>
      </w:r>
      <w:r w:rsidRPr="006953D9">
        <w:t>45</w:t>
      </w:r>
      <w:r w:rsidR="000B5A3E" w:rsidRPr="006953D9">
        <w:t xml:space="preserve"> </w:t>
      </w:r>
      <w:r w:rsidRPr="006953D9">
        <w:t>A.D.</w:t>
      </w:r>
      <w:r w:rsidR="000B5A3E" w:rsidRPr="006953D9">
        <w:t xml:space="preserve"> </w:t>
      </w:r>
      <w:r w:rsidRPr="006953D9">
        <w:t>Christianity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introduced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Apostles</w:t>
      </w:r>
      <w:r w:rsidR="000B5A3E" w:rsidRPr="006953D9">
        <w:t xml:space="preserve"> </w:t>
      </w:r>
      <w:r w:rsidRPr="006953D9">
        <w:t>Paul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Barnabas,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Cypriot.</w:t>
      </w:r>
    </w:p>
    <w:p w:rsidR="00200C10" w:rsidRPr="006953D9" w:rsidRDefault="00200C10" w:rsidP="00830021">
      <w:pPr>
        <w:pStyle w:val="SingleTxtG"/>
      </w:pPr>
      <w:r w:rsidRPr="006953D9">
        <w:t>16.</w:t>
      </w:r>
      <w:r w:rsidRPr="006953D9">
        <w:tab/>
        <w:t>In</w:t>
      </w:r>
      <w:r w:rsidR="000B5A3E" w:rsidRPr="006953D9">
        <w:t xml:space="preserve"> </w:t>
      </w:r>
      <w:r w:rsidRPr="006953D9">
        <w:t>330</w:t>
      </w:r>
      <w:r w:rsidR="000B5A3E" w:rsidRPr="006953D9">
        <w:t xml:space="preserve"> </w:t>
      </w:r>
      <w:r w:rsidRPr="006953D9">
        <w:t>A.D.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became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Eastern</w:t>
      </w:r>
      <w:r w:rsidR="000B5A3E" w:rsidRPr="006953D9">
        <w:t xml:space="preserve"> </w:t>
      </w:r>
      <w:r w:rsidRPr="006953D9">
        <w:t>Section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Roman</w:t>
      </w:r>
      <w:r w:rsidR="000B5A3E" w:rsidRPr="006953D9">
        <w:t xml:space="preserve"> </w:t>
      </w:r>
      <w:r w:rsidRPr="006953D9">
        <w:t>Empire,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later</w:t>
      </w:r>
      <w:r w:rsidR="000B5A3E" w:rsidRPr="006953D9">
        <w:t xml:space="preserve"> </w:t>
      </w:r>
      <w:r w:rsidRPr="006953D9">
        <w:t>(395</w:t>
      </w:r>
      <w:r w:rsidR="000B5A3E" w:rsidRPr="006953D9">
        <w:t xml:space="preserve"> </w:t>
      </w:r>
      <w:r w:rsidRPr="006953D9">
        <w:t>A.D.)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Byzantine</w:t>
      </w:r>
      <w:r w:rsidR="000B5A3E" w:rsidRPr="006953D9">
        <w:t xml:space="preserve"> </w:t>
      </w:r>
      <w:r w:rsidRPr="006953D9">
        <w:t>Empire</w:t>
      </w:r>
      <w:r w:rsidR="000B5A3E" w:rsidRPr="006953D9">
        <w:t xml:space="preserve"> </w:t>
      </w:r>
      <w:r w:rsidRPr="006953D9">
        <w:t>until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12th</w:t>
      </w:r>
      <w:r w:rsidR="000B5A3E" w:rsidRPr="006953D9">
        <w:t xml:space="preserve"> </w:t>
      </w:r>
      <w:r w:rsidRPr="006953D9">
        <w:t>century</w:t>
      </w:r>
      <w:r w:rsidR="000B5A3E" w:rsidRPr="006953D9">
        <w:t xml:space="preserve"> </w:t>
      </w:r>
      <w:r w:rsidRPr="006953D9">
        <w:t>A.D.</w:t>
      </w:r>
    </w:p>
    <w:p w:rsidR="00200C10" w:rsidRPr="006953D9" w:rsidRDefault="00200C10" w:rsidP="00830021">
      <w:pPr>
        <w:pStyle w:val="SingleTxtG"/>
      </w:pPr>
      <w:r w:rsidRPr="006953D9">
        <w:t>17.</w:t>
      </w:r>
      <w:r w:rsidRPr="006953D9">
        <w:tab/>
        <w:t>During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Crusades,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conquered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Richard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Lionheart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England</w:t>
      </w:r>
      <w:r w:rsidR="000B5A3E" w:rsidRPr="006953D9">
        <w:t xml:space="preserve"> </w:t>
      </w:r>
      <w:r w:rsidRPr="006953D9">
        <w:t>(1191),</w:t>
      </w:r>
      <w:r w:rsidR="000B5A3E" w:rsidRPr="006953D9">
        <w:t xml:space="preserve"> </w:t>
      </w:r>
      <w:r w:rsidRPr="006953D9">
        <w:t>who</w:t>
      </w:r>
      <w:r w:rsidR="000B5A3E" w:rsidRPr="006953D9">
        <w:t xml:space="preserve"> </w:t>
      </w:r>
      <w:r w:rsidRPr="006953D9">
        <w:t>then</w:t>
      </w:r>
      <w:r w:rsidR="000B5A3E" w:rsidRPr="006953D9">
        <w:t xml:space="preserve"> </w:t>
      </w:r>
      <w:r w:rsidRPr="006953D9">
        <w:t>sold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island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Knights</w:t>
      </w:r>
      <w:r w:rsidR="000B5A3E" w:rsidRPr="006953D9">
        <w:t xml:space="preserve"> </w:t>
      </w:r>
      <w:r w:rsidRPr="006953D9">
        <w:t>Templar.</w:t>
      </w:r>
      <w:r w:rsidR="000B5A3E" w:rsidRPr="006953D9">
        <w:t xml:space="preserve"> </w:t>
      </w:r>
      <w:r w:rsidRPr="006953D9">
        <w:t>Between</w:t>
      </w:r>
      <w:r w:rsidR="000B5A3E" w:rsidRPr="006953D9">
        <w:t xml:space="preserve"> </w:t>
      </w:r>
      <w:r w:rsidRPr="006953D9">
        <w:t>1192–1489,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Frankish</w:t>
      </w:r>
      <w:r w:rsidR="000B5A3E" w:rsidRPr="006953D9">
        <w:t xml:space="preserve"> </w:t>
      </w:r>
      <w:proofErr w:type="spellStart"/>
      <w:r w:rsidRPr="006953D9">
        <w:t>Lusignans</w:t>
      </w:r>
      <w:proofErr w:type="spellEnd"/>
      <w:r w:rsidR="000B5A3E" w:rsidRPr="006953D9">
        <w:t xml:space="preserve"> </w:t>
      </w:r>
      <w:r w:rsidRPr="006953D9">
        <w:t>established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Kingdom</w:t>
      </w:r>
      <w:r w:rsidR="000B5A3E" w:rsidRPr="006953D9">
        <w:t xml:space="preserve"> </w:t>
      </w:r>
      <w:r w:rsidRPr="006953D9">
        <w:t>introducing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western</w:t>
      </w:r>
      <w:r w:rsidR="000B5A3E" w:rsidRPr="006953D9">
        <w:t xml:space="preserve"> </w:t>
      </w:r>
      <w:r w:rsidRPr="006953D9">
        <w:t>feudal</w:t>
      </w:r>
      <w:r w:rsidR="000B5A3E" w:rsidRPr="006953D9">
        <w:t xml:space="preserve"> </w:t>
      </w:r>
      <w:r w:rsidRPr="006953D9">
        <w:t>model.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then</w:t>
      </w:r>
      <w:r w:rsidR="000B5A3E" w:rsidRPr="006953D9">
        <w:t xml:space="preserve"> </w:t>
      </w:r>
      <w:r w:rsidRPr="006953D9">
        <w:t>ruled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Venice</w:t>
      </w:r>
      <w:r w:rsidR="000B5A3E" w:rsidRPr="006953D9">
        <w:t xml:space="preserve"> </w:t>
      </w:r>
      <w:r w:rsidRPr="006953D9">
        <w:t>until</w:t>
      </w:r>
      <w:r w:rsidR="000B5A3E" w:rsidRPr="006953D9">
        <w:t xml:space="preserve"> </w:t>
      </w:r>
      <w:r w:rsidRPr="006953D9">
        <w:t>1571,</w:t>
      </w:r>
      <w:r w:rsidR="000B5A3E" w:rsidRPr="006953D9">
        <w:t xml:space="preserve"> </w:t>
      </w:r>
      <w:r w:rsidRPr="006953D9">
        <w:t>when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island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conquered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Ottomans.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Ottoman</w:t>
      </w:r>
      <w:r w:rsidR="000B5A3E" w:rsidRPr="006953D9">
        <w:t xml:space="preserve"> </w:t>
      </w:r>
      <w:r w:rsidRPr="006953D9">
        <w:t>rule</w:t>
      </w:r>
      <w:r w:rsidR="000B5A3E" w:rsidRPr="006953D9">
        <w:t xml:space="preserve"> </w:t>
      </w:r>
      <w:r w:rsidRPr="006953D9">
        <w:t>lasted</w:t>
      </w:r>
      <w:r w:rsidR="000B5A3E" w:rsidRPr="006953D9">
        <w:t xml:space="preserve"> </w:t>
      </w:r>
      <w:r w:rsidRPr="006953D9">
        <w:t>until</w:t>
      </w:r>
      <w:r w:rsidR="000B5A3E" w:rsidRPr="006953D9">
        <w:t xml:space="preserve"> </w:t>
      </w:r>
      <w:r w:rsidRPr="006953D9">
        <w:t>1878</w:t>
      </w:r>
      <w:r w:rsidR="000B5A3E" w:rsidRPr="006953D9">
        <w:t xml:space="preserve"> </w:t>
      </w:r>
      <w:r w:rsidRPr="006953D9">
        <w:t>when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ceded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Britain.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1923,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Treaty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Lausanne,</w:t>
      </w:r>
      <w:r w:rsidR="000B5A3E" w:rsidRPr="006953D9">
        <w:t xml:space="preserve"> </w:t>
      </w:r>
      <w:r w:rsidRPr="006953D9">
        <w:t>Turkey</w:t>
      </w:r>
      <w:r w:rsidR="000B5A3E" w:rsidRPr="006953D9">
        <w:t xml:space="preserve"> </w:t>
      </w:r>
      <w:r w:rsidRPr="006953D9">
        <w:t>relinquished</w:t>
      </w:r>
      <w:r w:rsidR="000B5A3E" w:rsidRPr="006953D9">
        <w:t xml:space="preserve"> </w:t>
      </w:r>
      <w:r w:rsidRPr="006953D9">
        <w:t>every</w:t>
      </w:r>
      <w:r w:rsidR="000B5A3E" w:rsidRPr="006953D9">
        <w:t xml:space="preserve"> </w:t>
      </w: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recognised</w:t>
      </w:r>
      <w:r w:rsidR="000B5A3E" w:rsidRPr="006953D9">
        <w:t xml:space="preserve"> </w:t>
      </w:r>
      <w:r w:rsidRPr="006953D9">
        <w:t>Cyprus</w:t>
      </w:r>
      <w:r w:rsidR="002206DB" w:rsidRPr="006953D9">
        <w:t>’</w:t>
      </w:r>
      <w:r w:rsidR="000B5A3E" w:rsidRPr="006953D9">
        <w:t xml:space="preserve"> </w:t>
      </w:r>
      <w:r w:rsidRPr="006953D9">
        <w:t>annexation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Britain,</w:t>
      </w:r>
      <w:r w:rsidR="000B5A3E" w:rsidRPr="006953D9">
        <w:t xml:space="preserve"> </w:t>
      </w:r>
      <w:r w:rsidRPr="006953D9">
        <w:t>already</w:t>
      </w:r>
      <w:r w:rsidR="000B5A3E" w:rsidRPr="006953D9">
        <w:t xml:space="preserve"> </w:t>
      </w:r>
      <w:r w:rsidRPr="006953D9">
        <w:t>proclaimed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British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1914.</w:t>
      </w:r>
    </w:p>
    <w:p w:rsidR="00200C10" w:rsidRPr="006953D9" w:rsidRDefault="00200C10" w:rsidP="00830021">
      <w:pPr>
        <w:pStyle w:val="SingleTxtG"/>
      </w:pPr>
      <w:r w:rsidRPr="006953D9">
        <w:t>18.</w:t>
      </w:r>
      <w:r w:rsidRPr="006953D9">
        <w:tab/>
        <w:t>After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long</w:t>
      </w:r>
      <w:r w:rsidR="000B5A3E" w:rsidRPr="006953D9">
        <w:t xml:space="preserve"> </w:t>
      </w:r>
      <w:r w:rsidRPr="006953D9">
        <w:t>but</w:t>
      </w:r>
      <w:r w:rsidR="000B5A3E" w:rsidRPr="006953D9">
        <w:t xml:space="preserve"> </w:t>
      </w:r>
      <w:r w:rsidRPr="006953D9">
        <w:t>unsuccessful</w:t>
      </w:r>
      <w:r w:rsidR="000B5A3E" w:rsidRPr="006953D9">
        <w:t xml:space="preserve"> </w:t>
      </w:r>
      <w:r w:rsidRPr="006953D9">
        <w:t>peaceful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diplomatic</w:t>
      </w:r>
      <w:r w:rsidR="000B5A3E" w:rsidRPr="006953D9">
        <w:t xml:space="preserve"> </w:t>
      </w:r>
      <w:r w:rsidRPr="006953D9">
        <w:t>effort,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included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1950</w:t>
      </w:r>
      <w:r w:rsidR="000B5A3E" w:rsidRPr="006953D9">
        <w:t xml:space="preserve"> </w:t>
      </w:r>
      <w:r w:rsidRPr="006953D9">
        <w:t>referendum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self-determination,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1955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took</w:t>
      </w:r>
      <w:r w:rsidR="000B5A3E" w:rsidRPr="006953D9">
        <w:t xml:space="preserve"> </w:t>
      </w:r>
      <w:r w:rsidRPr="006953D9">
        <w:t>up</w:t>
      </w:r>
      <w:r w:rsidR="000B5A3E" w:rsidRPr="006953D9">
        <w:t xml:space="preserve"> </w:t>
      </w:r>
      <w:r w:rsidRPr="006953D9">
        <w:t>arms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colonial</w:t>
      </w:r>
      <w:r w:rsidR="000B5A3E" w:rsidRPr="006953D9">
        <w:t xml:space="preserve"> </w:t>
      </w:r>
      <w:r w:rsidRPr="006953D9">
        <w:t>power.</w:t>
      </w:r>
    </w:p>
    <w:p w:rsidR="00200C10" w:rsidRPr="006953D9" w:rsidRDefault="00200C10" w:rsidP="00830021">
      <w:pPr>
        <w:pStyle w:val="SingleTxtG"/>
      </w:pPr>
      <w:r w:rsidRPr="006953D9">
        <w:t>19.</w:t>
      </w:r>
      <w:r w:rsidRPr="006953D9">
        <w:tab/>
        <w:t>On</w:t>
      </w:r>
      <w:r w:rsidR="000B5A3E" w:rsidRPr="006953D9">
        <w:t xml:space="preserve"> </w:t>
      </w:r>
      <w:r w:rsidRPr="006953D9">
        <w:t>16</w:t>
      </w:r>
      <w:r w:rsidR="000B5A3E" w:rsidRPr="006953D9">
        <w:t xml:space="preserve"> </w:t>
      </w:r>
      <w:r w:rsidRPr="006953D9">
        <w:t>August</w:t>
      </w:r>
      <w:r w:rsidR="000B5A3E" w:rsidRPr="006953D9">
        <w:t xml:space="preserve"> </w:t>
      </w:r>
      <w:r w:rsidRPr="006953D9">
        <w:t>1960,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basis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Zurich-London</w:t>
      </w:r>
      <w:r w:rsidR="000B5A3E" w:rsidRPr="006953D9">
        <w:t xml:space="preserve"> </w:t>
      </w:r>
      <w:r w:rsidRPr="006953D9">
        <w:t>Agreements,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became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Republic.</w:t>
      </w:r>
    </w:p>
    <w:p w:rsidR="00200C10" w:rsidRPr="006953D9" w:rsidRDefault="00200C10" w:rsidP="00717C2A">
      <w:pPr>
        <w:pStyle w:val="SingleTxtG"/>
      </w:pPr>
      <w:r w:rsidRPr="006953D9">
        <w:t>20.</w:t>
      </w:r>
      <w:r w:rsidRPr="006953D9">
        <w:tab/>
        <w:t>On</w:t>
      </w:r>
      <w:r w:rsidR="000B5A3E" w:rsidRPr="006953D9">
        <w:t xml:space="preserve"> </w:t>
      </w:r>
      <w:r w:rsidRPr="006953D9">
        <w:t>15</w:t>
      </w:r>
      <w:r w:rsidR="000B5A3E" w:rsidRPr="006953D9">
        <w:t xml:space="preserve"> </w:t>
      </w:r>
      <w:r w:rsidRPr="006953D9">
        <w:t>July</w:t>
      </w:r>
      <w:r w:rsidR="000B5A3E" w:rsidRPr="006953D9">
        <w:t xml:space="preserve"> </w:t>
      </w:r>
      <w:r w:rsidRPr="006953D9">
        <w:t>1974,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military</w:t>
      </w:r>
      <w:r w:rsidR="000B5A3E" w:rsidRPr="006953D9">
        <w:t xml:space="preserve"> </w:t>
      </w:r>
      <w:r w:rsidRPr="006953D9">
        <w:t>junta</w:t>
      </w:r>
      <w:r w:rsidR="000B5A3E" w:rsidRPr="006953D9">
        <w:t xml:space="preserve"> </w:t>
      </w:r>
      <w:r w:rsidRPr="006953D9">
        <w:t>then</w:t>
      </w:r>
      <w:r w:rsidR="000B5A3E" w:rsidRPr="006953D9">
        <w:t xml:space="preserve"> </w:t>
      </w:r>
      <w:r w:rsidRPr="006953D9">
        <w:t>ruling</w:t>
      </w:r>
      <w:r w:rsidR="000B5A3E" w:rsidRPr="006953D9">
        <w:t xml:space="preserve"> </w:t>
      </w:r>
      <w:r w:rsidRPr="006953D9">
        <w:t>Greece,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collusion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collaborators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island,</w:t>
      </w:r>
      <w:r w:rsidR="000B5A3E" w:rsidRPr="006953D9">
        <w:t xml:space="preserve"> </w:t>
      </w:r>
      <w:r w:rsidRPr="006953D9">
        <w:t>carried</w:t>
      </w:r>
      <w:r w:rsidR="000B5A3E" w:rsidRPr="006953D9">
        <w:t xml:space="preserve"> </w:t>
      </w:r>
      <w:r w:rsidRPr="006953D9">
        <w:t>out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coup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overthrow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democratically</w:t>
      </w:r>
      <w:r w:rsidR="000B5A3E" w:rsidRPr="006953D9">
        <w:t xml:space="preserve"> </w:t>
      </w:r>
      <w:r w:rsidRPr="006953D9">
        <w:t>elected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20</w:t>
      </w:r>
      <w:r w:rsidR="000B5A3E" w:rsidRPr="006953D9">
        <w:t xml:space="preserve"> </w:t>
      </w:r>
      <w:r w:rsidRPr="006953D9">
        <w:t>July</w:t>
      </w:r>
      <w:r w:rsidR="000B5A3E" w:rsidRPr="006953D9">
        <w:t xml:space="preserve"> </w:t>
      </w:r>
      <w:r w:rsidRPr="006953D9">
        <w:t>1974,</w:t>
      </w:r>
      <w:r w:rsidR="000B5A3E" w:rsidRPr="006953D9">
        <w:t xml:space="preserve"> </w:t>
      </w:r>
      <w:r w:rsidRPr="006953D9">
        <w:t>Turkey,</w:t>
      </w:r>
      <w:r w:rsidR="000B5A3E" w:rsidRPr="006953D9">
        <w:t xml:space="preserve"> </w:t>
      </w:r>
      <w:r w:rsidRPr="006953D9">
        <w:t>using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coup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pretext,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violation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codes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conduct</w:t>
      </w:r>
      <w:r w:rsidR="000B5A3E" w:rsidRPr="006953D9">
        <w:t xml:space="preserve"> </w:t>
      </w:r>
      <w:r w:rsidRPr="006953D9">
        <w:t>established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treaties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signatory,</w:t>
      </w:r>
      <w:r w:rsidR="000B5A3E" w:rsidRPr="006953D9">
        <w:t xml:space="preserve"> </w:t>
      </w:r>
      <w:r w:rsidRPr="006953D9">
        <w:t>invaded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purportedly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restore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order.</w:t>
      </w:r>
      <w:r w:rsidR="000B5A3E" w:rsidRPr="006953D9">
        <w:t xml:space="preserve"> </w:t>
      </w:r>
      <w:r w:rsidRPr="006953D9">
        <w:t>Instead,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seized</w:t>
      </w:r>
      <w:r w:rsidR="000B5A3E" w:rsidRPr="006953D9">
        <w:t xml:space="preserve"> </w:t>
      </w:r>
      <w:r w:rsidRPr="006953D9">
        <w:t>36</w:t>
      </w:r>
      <w:r w:rsidR="00717C2A" w:rsidRPr="006953D9">
        <w:t>.</w:t>
      </w:r>
      <w:r w:rsidRPr="006953D9">
        <w:t>2%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sovereign</w:t>
      </w:r>
      <w:r w:rsidR="000B5A3E" w:rsidRPr="006953D9">
        <w:t xml:space="preserve"> </w:t>
      </w:r>
      <w:r w:rsidRPr="006953D9">
        <w:t>territory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violation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Charter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fundamental</w:t>
      </w:r>
      <w:r w:rsidR="000B5A3E" w:rsidRPr="006953D9">
        <w:t xml:space="preserve"> </w:t>
      </w:r>
      <w:r w:rsidRPr="006953D9">
        <w:t>principles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law.</w:t>
      </w:r>
      <w:r w:rsidR="000B5A3E" w:rsidRPr="006953D9">
        <w:t xml:space="preserve"> </w:t>
      </w:r>
      <w:r w:rsidRPr="006953D9">
        <w:t>Turkey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military</w:t>
      </w:r>
      <w:r w:rsidR="000B5A3E" w:rsidRPr="006953D9">
        <w:t xml:space="preserve"> </w:t>
      </w:r>
      <w:r w:rsidRPr="006953D9">
        <w:t>aggression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continues</w:t>
      </w:r>
      <w:r w:rsidR="000B5A3E" w:rsidRPr="006953D9">
        <w:t xml:space="preserve"> </w:t>
      </w:r>
      <w:r w:rsidRPr="006953D9">
        <w:t>unabated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four</w:t>
      </w:r>
      <w:r w:rsidR="000B5A3E" w:rsidRPr="006953D9">
        <w:t xml:space="preserve"> </w:t>
      </w:r>
      <w:r w:rsidRPr="006953D9">
        <w:t>decades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spite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resolutions</w:t>
      </w:r>
      <w:r w:rsidR="000B5A3E" w:rsidRPr="006953D9">
        <w:t xml:space="preserve"> </w:t>
      </w:r>
      <w:r w:rsidRPr="006953D9">
        <w:t>calling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withdrawal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foreign</w:t>
      </w:r>
      <w:r w:rsidR="000B5A3E" w:rsidRPr="006953D9">
        <w:t xml:space="preserve"> </w:t>
      </w:r>
      <w:r w:rsidRPr="006953D9">
        <w:t>troops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21.</w:t>
      </w:r>
      <w:r w:rsidRPr="006953D9">
        <w:tab/>
        <w:t>On</w:t>
      </w:r>
      <w:r w:rsidR="000B5A3E" w:rsidRPr="006953D9">
        <w:t xml:space="preserve"> </w:t>
      </w:r>
      <w:r w:rsidRPr="006953D9">
        <w:t>1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2004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became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Member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Union.</w:t>
      </w:r>
    </w:p>
    <w:p w:rsidR="00200C10" w:rsidRPr="006953D9" w:rsidRDefault="00200C10" w:rsidP="000B5A3E">
      <w:pPr>
        <w:pStyle w:val="H23G"/>
      </w:pPr>
      <w:r w:rsidRPr="006953D9">
        <w:tab/>
        <w:t>2.</w:t>
      </w:r>
      <w:r w:rsidRPr="006953D9">
        <w:tab/>
        <w:t>Population</w:t>
      </w:r>
    </w:p>
    <w:p w:rsidR="00200C10" w:rsidRPr="006953D9" w:rsidRDefault="00200C10" w:rsidP="00830021">
      <w:pPr>
        <w:pStyle w:val="SingleTxtG"/>
      </w:pPr>
      <w:r w:rsidRPr="006953D9">
        <w:t>22.</w:t>
      </w:r>
      <w:r w:rsidRPr="006953D9">
        <w:tab/>
        <w:t>The</w:t>
      </w:r>
      <w:r w:rsidR="000B5A3E" w:rsidRPr="006953D9">
        <w:t xml:space="preserve"> </w:t>
      </w:r>
      <w:r w:rsidRPr="006953D9">
        <w:t>total</w:t>
      </w:r>
      <w:r w:rsidR="000B5A3E" w:rsidRPr="006953D9">
        <w:t xml:space="preserve"> </w:t>
      </w:r>
      <w:r w:rsidRPr="006953D9">
        <w:t>population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(end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2012)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865,900.SBOY.</w:t>
      </w:r>
    </w:p>
    <w:p w:rsidR="00200C10" w:rsidRPr="006953D9" w:rsidRDefault="00200C10" w:rsidP="00717C2A">
      <w:pPr>
        <w:pStyle w:val="SingleTxtG"/>
      </w:pPr>
      <w:r w:rsidRPr="006953D9">
        <w:t>23.</w:t>
      </w:r>
      <w:r w:rsidRPr="006953D9">
        <w:tab/>
        <w:t>Population</w:t>
      </w:r>
      <w:r w:rsidR="000B5A3E" w:rsidRPr="006953D9">
        <w:t xml:space="preserve"> </w:t>
      </w:r>
      <w:r w:rsidRPr="006953D9">
        <w:t>distribution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ethnic</w:t>
      </w:r>
      <w:r w:rsidR="000B5A3E" w:rsidRPr="006953D9">
        <w:t xml:space="preserve"> </w:t>
      </w:r>
      <w:r w:rsidRPr="006953D9">
        <w:t>group:</w:t>
      </w:r>
      <w:r w:rsidR="000B5A3E" w:rsidRPr="006953D9">
        <w:t xml:space="preserve"> </w:t>
      </w:r>
      <w:r w:rsidRPr="006953D9">
        <w:t>71</w:t>
      </w:r>
      <w:r w:rsidR="00717C2A" w:rsidRPr="006953D9">
        <w:t>.</w:t>
      </w:r>
      <w:r w:rsidRPr="006953D9">
        <w:t>9%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(out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0</w:t>
      </w:r>
      <w:r w:rsidR="00717C2A" w:rsidRPr="006953D9">
        <w:t>.</w:t>
      </w:r>
      <w:r w:rsidRPr="006953D9">
        <w:t>4%</w:t>
      </w:r>
      <w:r w:rsidR="000B5A3E" w:rsidRPr="006953D9">
        <w:t xml:space="preserve"> </w:t>
      </w:r>
      <w:r w:rsidRPr="006953D9">
        <w:t>Armenians;</w:t>
      </w:r>
      <w:r w:rsidR="000B5A3E" w:rsidRPr="006953D9">
        <w:t xml:space="preserve"> </w:t>
      </w:r>
      <w:r w:rsidRPr="006953D9">
        <w:t>0</w:t>
      </w:r>
      <w:r w:rsidR="00717C2A" w:rsidRPr="006953D9">
        <w:t>.</w:t>
      </w:r>
      <w:r w:rsidRPr="006953D9">
        <w:t>7%</w:t>
      </w:r>
      <w:r w:rsidR="000B5A3E" w:rsidRPr="006953D9">
        <w:t xml:space="preserve"> </w:t>
      </w:r>
      <w:proofErr w:type="spellStart"/>
      <w:r w:rsidRPr="006953D9">
        <w:t>Maronites</w:t>
      </w:r>
      <w:proofErr w:type="spellEnd"/>
      <w:r w:rsidRPr="006953D9">
        <w:t>;</w:t>
      </w:r>
      <w:r w:rsidR="000B5A3E" w:rsidRPr="006953D9">
        <w:t xml:space="preserve"> </w:t>
      </w:r>
      <w:r w:rsidRPr="006953D9">
        <w:t>0</w:t>
      </w:r>
      <w:r w:rsidR="00717C2A" w:rsidRPr="006953D9">
        <w:t>.</w:t>
      </w:r>
      <w:r w:rsidRPr="006953D9">
        <w:t>1%</w:t>
      </w:r>
      <w:r w:rsidR="000B5A3E" w:rsidRPr="006953D9">
        <w:t xml:space="preserve"> </w:t>
      </w:r>
      <w:r w:rsidRPr="006953D9">
        <w:t>Latins);</w:t>
      </w:r>
      <w:r w:rsidR="000B5A3E" w:rsidRPr="006953D9">
        <w:t xml:space="preserve"> </w:t>
      </w:r>
      <w:r w:rsidRPr="006953D9">
        <w:t>9</w:t>
      </w:r>
      <w:r w:rsidR="00717C2A" w:rsidRPr="006953D9">
        <w:t>.</w:t>
      </w:r>
      <w:r w:rsidRPr="006953D9">
        <w:t>5%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Cypriots;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18</w:t>
      </w:r>
      <w:r w:rsidR="00717C2A" w:rsidRPr="006953D9">
        <w:t>.</w:t>
      </w:r>
      <w:r w:rsidRPr="006953D9">
        <w:t>6%</w:t>
      </w:r>
      <w:r w:rsidR="000B5A3E" w:rsidRPr="006953D9">
        <w:t xml:space="preserve"> </w:t>
      </w:r>
      <w:r w:rsidRPr="006953D9">
        <w:t>others,</w:t>
      </w:r>
      <w:r w:rsidR="000B5A3E" w:rsidRPr="006953D9">
        <w:t xml:space="preserve"> </w:t>
      </w:r>
      <w:r w:rsidRPr="006953D9">
        <w:t>i.e.</w:t>
      </w:r>
      <w:r w:rsidR="000B5A3E" w:rsidRPr="006953D9">
        <w:t xml:space="preserve"> </w:t>
      </w:r>
      <w:r w:rsidRPr="006953D9">
        <w:t>foreign</w:t>
      </w:r>
      <w:r w:rsidR="000B5A3E" w:rsidRPr="006953D9">
        <w:t xml:space="preserve"> </w:t>
      </w:r>
      <w:r w:rsidRPr="006953D9">
        <w:t>residents.</w:t>
      </w:r>
      <w:r w:rsidR="000B5A3E" w:rsidRPr="006953D9">
        <w:t xml:space="preserve"> </w:t>
      </w:r>
      <w:r w:rsidRPr="006953D9">
        <w:t>Note:</w:t>
      </w:r>
      <w:r w:rsidR="000B5A3E" w:rsidRPr="006953D9">
        <w:t xml:space="preserve"> </w:t>
      </w:r>
      <w:r w:rsidRPr="006953D9">
        <w:t>These</w:t>
      </w:r>
      <w:r w:rsidR="000B5A3E" w:rsidRPr="006953D9">
        <w:t xml:space="preserve"> </w:t>
      </w:r>
      <w:r w:rsidRPr="006953D9">
        <w:t>figures</w:t>
      </w:r>
      <w:r w:rsidR="000B5A3E" w:rsidRPr="006953D9">
        <w:t xml:space="preserve"> </w:t>
      </w:r>
      <w:r w:rsidRPr="006953D9">
        <w:t>do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include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settlers,</w:t>
      </w:r>
      <w:r w:rsidR="000B5A3E" w:rsidRPr="006953D9">
        <w:t xml:space="preserve"> </w:t>
      </w:r>
      <w:r w:rsidRPr="006953D9">
        <w:t>approximately</w:t>
      </w:r>
      <w:r w:rsidR="000B5A3E" w:rsidRPr="006953D9">
        <w:t xml:space="preserve"> </w:t>
      </w:r>
      <w:r w:rsidRPr="006953D9">
        <w:t>160–170</w:t>
      </w:r>
      <w:r w:rsidR="000B5A3E" w:rsidRPr="006953D9">
        <w:t xml:space="preserve"> </w:t>
      </w:r>
      <w:r w:rsidRPr="006953D9">
        <w:t>thousands</w:t>
      </w:r>
      <w:r w:rsidR="000B5A3E" w:rsidRPr="006953D9">
        <w:t xml:space="preserve"> </w:t>
      </w:r>
      <w:r w:rsidRPr="006953D9">
        <w:t>illegally</w:t>
      </w:r>
      <w:r w:rsidR="000B5A3E" w:rsidRPr="006953D9">
        <w:t xml:space="preserve"> </w:t>
      </w:r>
      <w:r w:rsidRPr="006953D9">
        <w:t>transferred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Turkey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1974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invasion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alter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demographic</w:t>
      </w:r>
      <w:r w:rsidR="000B5A3E" w:rsidRPr="006953D9">
        <w:t xml:space="preserve"> </w:t>
      </w:r>
      <w:r w:rsidRPr="006953D9">
        <w:t>structure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contravention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law,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occupation</w:t>
      </w:r>
      <w:r w:rsidR="000B5A3E" w:rsidRPr="006953D9">
        <w:t xml:space="preserve"> </w:t>
      </w:r>
      <w:r w:rsidRPr="006953D9">
        <w:t>forces</w:t>
      </w:r>
      <w:r w:rsidR="000B5A3E" w:rsidRPr="006953D9">
        <w:t xml:space="preserve"> </w:t>
      </w:r>
      <w:r w:rsidRPr="006953D9">
        <w:t>(approximately</w:t>
      </w:r>
      <w:r w:rsidR="000B5A3E" w:rsidRPr="006953D9">
        <w:t xml:space="preserve"> </w:t>
      </w:r>
      <w:r w:rsidRPr="006953D9">
        <w:t>40,000</w:t>
      </w:r>
      <w:r w:rsidR="000B5A3E" w:rsidRPr="006953D9">
        <w:t xml:space="preserve"> </w:t>
      </w:r>
      <w:r w:rsidRPr="006953D9">
        <w:t>troops).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estimated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more</w:t>
      </w:r>
      <w:r w:rsidR="000B5A3E" w:rsidRPr="006953D9">
        <w:t xml:space="preserve"> </w:t>
      </w:r>
      <w:r w:rsidRPr="006953D9">
        <w:t>than</w:t>
      </w:r>
      <w:r w:rsidR="000B5A3E" w:rsidRPr="006953D9">
        <w:t xml:space="preserve"> </w:t>
      </w:r>
      <w:r w:rsidRPr="006953D9">
        <w:t>57,000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emigrated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1974.</w:t>
      </w:r>
    </w:p>
    <w:p w:rsidR="00200C10" w:rsidRPr="006953D9" w:rsidRDefault="00200C10" w:rsidP="00830021">
      <w:pPr>
        <w:pStyle w:val="SingleTxtG"/>
      </w:pPr>
      <w:r w:rsidRPr="006953D9">
        <w:t>24.</w:t>
      </w:r>
      <w:r w:rsidRPr="006953D9">
        <w:tab/>
        <w:t>Prior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invasion,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communities</w:t>
      </w:r>
      <w:r w:rsidR="000B5A3E" w:rsidRPr="006953D9">
        <w:t xml:space="preserve"> </w:t>
      </w:r>
      <w:r w:rsidRPr="006953D9">
        <w:t>lived</w:t>
      </w:r>
      <w:r w:rsidR="000B5A3E" w:rsidRPr="006953D9">
        <w:t xml:space="preserve"> </w:t>
      </w:r>
      <w:r w:rsidRPr="006953D9">
        <w:t>together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roughly</w:t>
      </w:r>
      <w:r w:rsidR="000B5A3E" w:rsidRPr="006953D9">
        <w:t xml:space="preserve"> </w:t>
      </w:r>
      <w:r w:rsidRPr="006953D9">
        <w:t>around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same</w:t>
      </w:r>
      <w:r w:rsidR="000B5A3E" w:rsidRPr="006953D9">
        <w:t xml:space="preserve"> </w:t>
      </w:r>
      <w:r w:rsidRPr="006953D9">
        <w:t>proportion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four</w:t>
      </w:r>
      <w:r w:rsidR="000B5A3E" w:rsidRPr="006953D9">
        <w:t xml:space="preserve"> </w:t>
      </w:r>
      <w:r w:rsidRPr="006953D9">
        <w:t>Greeks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Turk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six</w:t>
      </w:r>
      <w:r w:rsidR="000B5A3E" w:rsidRPr="006953D9">
        <w:t xml:space="preserve"> </w:t>
      </w:r>
      <w:r w:rsidRPr="006953D9">
        <w:t>administrative</w:t>
      </w:r>
      <w:r w:rsidR="000B5A3E" w:rsidRPr="006953D9">
        <w:t xml:space="preserve"> </w:t>
      </w:r>
      <w:r w:rsidRPr="006953D9">
        <w:t>districts.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result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invasion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continuing</w:t>
      </w:r>
      <w:r w:rsidR="000B5A3E" w:rsidRPr="006953D9">
        <w:t xml:space="preserve"> </w:t>
      </w:r>
      <w:r w:rsidRPr="006953D9">
        <w:t>occupation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36.2%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territory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forcibly</w:t>
      </w:r>
      <w:r w:rsidR="000B5A3E" w:rsidRPr="006953D9">
        <w:t xml:space="preserve"> </w:t>
      </w:r>
      <w:r w:rsidRPr="006953D9">
        <w:t>expelled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invading</w:t>
      </w:r>
      <w:r w:rsidR="000B5A3E" w:rsidRPr="006953D9">
        <w:t xml:space="preserve"> </w:t>
      </w:r>
      <w:r w:rsidRPr="006953D9">
        <w:t>army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north</w:t>
      </w:r>
      <w:r w:rsidR="000B5A3E" w:rsidRPr="006953D9">
        <w:t xml:space="preserve"> </w:t>
      </w:r>
      <w:r w:rsidRPr="006953D9">
        <w:t>eastern</w:t>
      </w:r>
      <w:r w:rsidR="000B5A3E" w:rsidRPr="006953D9">
        <w:t xml:space="preserve"> </w:t>
      </w:r>
      <w:r w:rsidRPr="006953D9">
        <w:t>area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now</w:t>
      </w:r>
      <w:r w:rsidR="000B5A3E" w:rsidRPr="006953D9">
        <w:t xml:space="preserve"> </w:t>
      </w:r>
      <w:r w:rsidRPr="006953D9">
        <w:t>living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area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effective</w:t>
      </w:r>
      <w:r w:rsidR="000B5A3E" w:rsidRPr="006953D9">
        <w:t xml:space="preserve"> </w:t>
      </w:r>
      <w:r w:rsidRPr="006953D9">
        <w:t>control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  <w:r w:rsidRPr="006953D9">
        <w:t>Almost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southeast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forced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leadership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move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area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troops.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vast</w:t>
      </w:r>
      <w:r w:rsidR="000B5A3E" w:rsidRPr="006953D9">
        <w:t xml:space="preserve"> </w:t>
      </w:r>
      <w:r w:rsidRPr="006953D9">
        <w:t>majority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22,000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Maronite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who</w:t>
      </w:r>
      <w:r w:rsidR="000B5A3E" w:rsidRPr="006953D9">
        <w:t xml:space="preserve"> </w:t>
      </w:r>
      <w:r w:rsidRPr="006953D9">
        <w:t>remained</w:t>
      </w:r>
      <w:r w:rsidR="000B5A3E" w:rsidRPr="006953D9">
        <w:t xml:space="preserve"> </w:t>
      </w:r>
      <w:r w:rsidRPr="006953D9">
        <w:t>enclaved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area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army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subsequently</w:t>
      </w:r>
      <w:r w:rsidR="000B5A3E" w:rsidRPr="006953D9">
        <w:t xml:space="preserve"> </w:t>
      </w:r>
      <w:r w:rsidRPr="006953D9">
        <w:t>expelled.</w:t>
      </w:r>
      <w:r w:rsidR="000B5A3E" w:rsidRPr="006953D9">
        <w:t xml:space="preserve"> </w:t>
      </w:r>
      <w:r w:rsidRPr="006953D9">
        <w:t>Despite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Vienna</w:t>
      </w:r>
      <w:r w:rsidR="000B5A3E" w:rsidRPr="006953D9">
        <w:t xml:space="preserve"> </w:t>
      </w:r>
      <w:r w:rsidRPr="006953D9">
        <w:t>III</w:t>
      </w:r>
      <w:r w:rsidR="000B5A3E" w:rsidRPr="006953D9">
        <w:t xml:space="preserve"> </w:t>
      </w:r>
      <w:r w:rsidRPr="006953D9">
        <w:lastRenderedPageBreak/>
        <w:t>Agreement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2</w:t>
      </w:r>
      <w:r w:rsidR="000B5A3E" w:rsidRPr="006953D9">
        <w:t xml:space="preserve"> </w:t>
      </w:r>
      <w:r w:rsidRPr="006953D9">
        <w:t>August</w:t>
      </w:r>
      <w:r w:rsidR="000B5A3E" w:rsidRPr="006953D9">
        <w:t xml:space="preserve"> </w:t>
      </w:r>
      <w:r w:rsidRPr="006953D9">
        <w:t>1975,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stipulated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="002206DB" w:rsidRPr="006953D9">
        <w:t>“</w:t>
      </w:r>
      <w:r w:rsidRPr="006953D9">
        <w:t>Greek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present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north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island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free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stay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they</w:t>
      </w:r>
      <w:r w:rsidR="000B5A3E" w:rsidRPr="006953D9">
        <w:t xml:space="preserve"> </w:t>
      </w:r>
      <w:r w:rsidRPr="006953D9">
        <w:t>will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given</w:t>
      </w:r>
      <w:r w:rsidR="000B5A3E" w:rsidRPr="006953D9">
        <w:t xml:space="preserve"> </w:t>
      </w:r>
      <w:r w:rsidRPr="006953D9">
        <w:t>every</w:t>
      </w:r>
      <w:r w:rsidR="000B5A3E" w:rsidRPr="006953D9">
        <w:t xml:space="preserve"> </w:t>
      </w:r>
      <w:r w:rsidRPr="006953D9">
        <w:t>help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lead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normal</w:t>
      </w:r>
      <w:r w:rsidR="000B5A3E" w:rsidRPr="006953D9">
        <w:t xml:space="preserve"> </w:t>
      </w:r>
      <w:r w:rsidRPr="006953D9">
        <w:t>life</w:t>
      </w:r>
      <w:r w:rsidR="008D53A7">
        <w:t xml:space="preserve"> </w:t>
      </w:r>
      <w:r w:rsidRPr="006953D9">
        <w:t>…</w:t>
      </w:r>
      <w:r w:rsidR="002206DB" w:rsidRPr="006953D9">
        <w:t>”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occupation</w:t>
      </w:r>
      <w:r w:rsidR="000B5A3E" w:rsidRPr="006953D9">
        <w:t xml:space="preserve"> </w:t>
      </w:r>
      <w:r w:rsidRPr="006953D9">
        <w:t>regime</w:t>
      </w:r>
      <w:r w:rsidR="000B5A3E" w:rsidRPr="006953D9">
        <w:t xml:space="preserve"> </w:t>
      </w:r>
      <w:r w:rsidRPr="006953D9">
        <w:t>never</w:t>
      </w:r>
      <w:r w:rsidR="000B5A3E" w:rsidRPr="006953D9">
        <w:t xml:space="preserve"> </w:t>
      </w:r>
      <w:r w:rsidRPr="006953D9">
        <w:t>honoured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humanitarian</w:t>
      </w:r>
      <w:r w:rsidR="000B5A3E" w:rsidRPr="006953D9">
        <w:t xml:space="preserve"> </w:t>
      </w:r>
      <w:r w:rsidRPr="006953D9">
        <w:t>obligations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instead</w:t>
      </w:r>
      <w:r w:rsidR="000B5A3E" w:rsidRPr="006953D9">
        <w:t xml:space="preserve"> </w:t>
      </w:r>
      <w:r w:rsidRPr="006953D9">
        <w:t>implemented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policy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forced</w:t>
      </w:r>
      <w:r w:rsidR="000B5A3E" w:rsidRPr="006953D9">
        <w:t xml:space="preserve"> </w:t>
      </w:r>
      <w:r w:rsidRPr="006953D9">
        <w:t>expulsion.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November</w:t>
      </w:r>
      <w:r w:rsidR="000B5A3E" w:rsidRPr="006953D9">
        <w:t xml:space="preserve"> </w:t>
      </w:r>
      <w:r w:rsidRPr="006953D9">
        <w:t>2017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enclaved</w:t>
      </w:r>
      <w:r w:rsidR="000B5A3E" w:rsidRPr="006953D9">
        <w:t xml:space="preserve"> </w:t>
      </w:r>
      <w:r w:rsidRPr="006953D9">
        <w:t>had</w:t>
      </w:r>
      <w:r w:rsidR="000B5A3E" w:rsidRPr="006953D9">
        <w:t xml:space="preserve"> </w:t>
      </w:r>
      <w:r w:rsidRPr="006953D9">
        <w:t>dwindled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mere</w:t>
      </w:r>
      <w:r w:rsidR="000B5A3E" w:rsidRPr="006953D9">
        <w:t xml:space="preserve"> </w:t>
      </w:r>
      <w:r w:rsidRPr="006953D9">
        <w:t>405,</w:t>
      </w:r>
      <w:r w:rsidR="000B5A3E" w:rsidRPr="006953D9">
        <w:t xml:space="preserve"> </w:t>
      </w:r>
      <w:r w:rsidRPr="006953D9">
        <w:t>mostly</w:t>
      </w:r>
      <w:r w:rsidR="000B5A3E" w:rsidRPr="006953D9">
        <w:t xml:space="preserve"> </w:t>
      </w:r>
      <w:r w:rsidRPr="006953D9">
        <w:t>elderly,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(325)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Maronite</w:t>
      </w:r>
      <w:r w:rsidR="000B5A3E" w:rsidRPr="006953D9">
        <w:t xml:space="preserve"> </w:t>
      </w:r>
      <w:r w:rsidRPr="006953D9">
        <w:t>(80)</w:t>
      </w:r>
      <w:r w:rsidR="000B5A3E" w:rsidRPr="006953D9">
        <w:t xml:space="preserve"> </w:t>
      </w:r>
      <w:r w:rsidRPr="006953D9">
        <w:t>Cypriots.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25.</w:t>
      </w:r>
      <w:r w:rsidRPr="006953D9">
        <w:tab/>
        <w:t>The</w:t>
      </w:r>
      <w:r w:rsidR="000B5A3E" w:rsidRPr="006953D9">
        <w:t xml:space="preserve"> </w:t>
      </w:r>
      <w:r w:rsidRPr="006953D9">
        <w:t>policies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practices</w:t>
      </w:r>
      <w:r w:rsidR="000B5A3E" w:rsidRPr="006953D9">
        <w:t xml:space="preserve"> </w:t>
      </w:r>
      <w:r w:rsidRPr="006953D9">
        <w:t>pursued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Turkey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area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invasion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constitute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first</w:t>
      </w:r>
      <w:r w:rsidR="000B5A3E" w:rsidRPr="006953D9">
        <w:t xml:space="preserve"> </w:t>
      </w:r>
      <w:r w:rsidRPr="006953D9">
        <w:t>examples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ethnic</w:t>
      </w:r>
      <w:r w:rsidR="000B5A3E" w:rsidRPr="006953D9">
        <w:t xml:space="preserve"> </w:t>
      </w:r>
      <w:r w:rsidRPr="006953D9">
        <w:t>cleansing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post-World-War</w:t>
      </w:r>
      <w:r w:rsidR="000B5A3E" w:rsidRPr="006953D9">
        <w:t xml:space="preserve"> </w:t>
      </w:r>
      <w:r w:rsidRPr="006953D9">
        <w:t>II</w:t>
      </w:r>
      <w:r w:rsidR="000B5A3E" w:rsidRPr="006953D9">
        <w:t xml:space="preserve"> </w:t>
      </w:r>
      <w:r w:rsidRPr="006953D9">
        <w:t>Europe.</w:t>
      </w:r>
    </w:p>
    <w:p w:rsidR="00200C10" w:rsidRPr="006953D9" w:rsidRDefault="00200C10" w:rsidP="00830021">
      <w:pPr>
        <w:pStyle w:val="SingleTxtG"/>
      </w:pPr>
      <w:r w:rsidRPr="006953D9">
        <w:t>26.</w:t>
      </w:r>
      <w:r w:rsidRPr="006953D9">
        <w:tab/>
        <w:t>The</w:t>
      </w:r>
      <w:r w:rsidR="000B5A3E" w:rsidRPr="006953D9">
        <w:t xml:space="preserve"> </w:t>
      </w:r>
      <w:r w:rsidRPr="006953D9">
        <w:t>official</w:t>
      </w:r>
      <w:r w:rsidR="000B5A3E" w:rsidRPr="006953D9">
        <w:t xml:space="preserve"> </w:t>
      </w:r>
      <w:r w:rsidRPr="006953D9">
        <w:t>languages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country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Turkish.</w:t>
      </w:r>
      <w:r w:rsidR="000B5A3E" w:rsidRPr="006953D9">
        <w:t xml:space="preserve"> </w:t>
      </w:r>
      <w:r w:rsidRPr="006953D9">
        <w:t>Nearly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Christian-orthodox;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Moslems;</w:t>
      </w:r>
      <w:r w:rsidR="000B5A3E" w:rsidRPr="006953D9">
        <w:t xml:space="preserve"> </w:t>
      </w:r>
      <w:r w:rsidRPr="006953D9">
        <w:t>members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Armenian,</w:t>
      </w:r>
      <w:r w:rsidR="000B5A3E" w:rsidRPr="006953D9">
        <w:t xml:space="preserve"> </w:t>
      </w:r>
      <w:r w:rsidRPr="006953D9">
        <w:t>Maronite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Latin</w:t>
      </w:r>
      <w:r w:rsidR="000B5A3E" w:rsidRPr="006953D9">
        <w:t xml:space="preserve"> </w:t>
      </w:r>
      <w:r w:rsidRPr="006953D9">
        <w:t>minorities</w:t>
      </w:r>
      <w:r w:rsidR="000B5A3E" w:rsidRPr="006953D9">
        <w:t xml:space="preserve"> </w:t>
      </w:r>
      <w:r w:rsidRPr="006953D9">
        <w:t>adhere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own</w:t>
      </w:r>
      <w:r w:rsidR="000B5A3E" w:rsidRPr="006953D9">
        <w:t xml:space="preserve"> </w:t>
      </w:r>
      <w:r w:rsidRPr="006953D9">
        <w:t>Christian</w:t>
      </w:r>
      <w:r w:rsidR="000B5A3E" w:rsidRPr="006953D9">
        <w:t xml:space="preserve"> </w:t>
      </w:r>
      <w:r w:rsidRPr="006953D9">
        <w:t>denominations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Article</w:t>
      </w:r>
      <w:r w:rsidR="000B5A3E" w:rsidRPr="006953D9">
        <w:t xml:space="preserve"> </w:t>
      </w:r>
      <w:r w:rsidRPr="006953D9">
        <w:t>2</w:t>
      </w:r>
      <w:r w:rsidR="000B5A3E" w:rsidRPr="006953D9">
        <w:t xml:space="preserve"> </w:t>
      </w:r>
      <w:r w:rsidRPr="006953D9">
        <w:t>par.</w:t>
      </w:r>
      <w:r w:rsidR="000B5A3E" w:rsidRPr="006953D9">
        <w:t xml:space="preserve"> </w:t>
      </w:r>
      <w:r w:rsidRPr="006953D9">
        <w:t>3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Constitution,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opted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belong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Community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</w:p>
    <w:p w:rsidR="00200C10" w:rsidRPr="006953D9" w:rsidRDefault="00200C10" w:rsidP="002B1ED2">
      <w:pPr>
        <w:pStyle w:val="H23G"/>
      </w:pPr>
      <w:r w:rsidRPr="006953D9">
        <w:tab/>
      </w:r>
      <w:r w:rsidRPr="006953D9">
        <w:tab/>
        <w:t>Population</w:t>
      </w:r>
      <w:r w:rsidR="000B5A3E" w:rsidRPr="006953D9">
        <w:t xml:space="preserve"> </w:t>
      </w:r>
      <w:r w:rsidRPr="006953D9">
        <w:t>distribution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mother</w:t>
      </w:r>
      <w:r w:rsidR="000B5A3E" w:rsidRPr="006953D9">
        <w:t xml:space="preserve"> </w:t>
      </w:r>
      <w:r w:rsidRPr="006953D9">
        <w:t>tongue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rural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urban</w:t>
      </w:r>
      <w:r w:rsidR="000B5A3E" w:rsidRPr="006953D9">
        <w:t xml:space="preserve"> </w:t>
      </w:r>
      <w:r w:rsidRPr="006953D9">
        <w:t>areas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701"/>
        <w:gridCol w:w="1701"/>
        <w:gridCol w:w="1701"/>
      </w:tblGrid>
      <w:tr w:rsidR="00200C10" w:rsidRPr="006953D9" w:rsidTr="00996D0C">
        <w:trPr>
          <w:trHeight w:val="246"/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2B1ED2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Language*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2B1ED2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2B1ED2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Urban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2B1ED2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Rural</w:t>
            </w:r>
          </w:p>
        </w:tc>
      </w:tr>
      <w:tr w:rsidR="00200C10" w:rsidRPr="006953D9" w:rsidTr="00996D0C">
        <w:trPr>
          <w:trHeight w:val="246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200C10" w:rsidRPr="006953D9" w:rsidRDefault="00200C10" w:rsidP="00996D0C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96D0C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840</w:t>
            </w:r>
            <w:r w:rsidR="00996D0C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407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96D0C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566</w:t>
            </w:r>
            <w:r w:rsidR="00996D0C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191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96D0C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274</w:t>
            </w:r>
            <w:r w:rsidR="00996D0C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216</w:t>
            </w:r>
          </w:p>
        </w:tc>
      </w:tr>
      <w:tr w:rsidR="00200C10" w:rsidRPr="006953D9" w:rsidTr="00996D0C">
        <w:trPr>
          <w:trHeight w:val="24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Greek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679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833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453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226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301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English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34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047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Romanian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24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266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Russian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20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207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Bulgarian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18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508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Arabic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955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Filipino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497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Sri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Lankan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747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Vietnamese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950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Hindi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052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Polish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750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Ukrainian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485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381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Armenian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409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93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Turkish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437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German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512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Chinese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222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French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169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Slovak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298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Hungarian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155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Spanish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116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Yugoslavian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82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Swedish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164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Finnish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102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Portuguese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104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Dutch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150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Italian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78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Czech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73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Danish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72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Other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613</w:t>
            </w:r>
          </w:p>
        </w:tc>
      </w:tr>
      <w:tr w:rsidR="00200C10" w:rsidRPr="006953D9" w:rsidTr="002B1ED2">
        <w:trPr>
          <w:trHeight w:val="246"/>
        </w:trPr>
        <w:tc>
          <w:tcPr>
            <w:tcW w:w="2268" w:type="dxa"/>
            <w:shd w:val="clear" w:color="auto" w:fill="auto"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Not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stated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0C10" w:rsidRPr="006953D9" w:rsidRDefault="00200C10" w:rsidP="002B1ED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96D0C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115</w:t>
            </w:r>
          </w:p>
        </w:tc>
      </w:tr>
    </w:tbl>
    <w:p w:rsidR="00200C10" w:rsidRPr="006953D9" w:rsidRDefault="00200C10" w:rsidP="00996D0C">
      <w:pPr>
        <w:spacing w:before="120"/>
        <w:ind w:left="1134" w:right="1134" w:firstLine="170"/>
        <w:rPr>
          <w:sz w:val="18"/>
        </w:rPr>
      </w:pPr>
      <w:r w:rsidRPr="008D53A7">
        <w:rPr>
          <w:i/>
          <w:iCs/>
          <w:sz w:val="18"/>
        </w:rPr>
        <w:t>Source</w:t>
      </w:r>
      <w:r w:rsidRPr="006953D9">
        <w:rPr>
          <w:sz w:val="18"/>
        </w:rPr>
        <w:t>: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Census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of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Population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2011.</w:t>
      </w:r>
    </w:p>
    <w:p w:rsidR="00200C10" w:rsidRPr="006953D9" w:rsidRDefault="00200C10" w:rsidP="005D4A7F">
      <w:pPr>
        <w:spacing w:after="240"/>
        <w:ind w:left="1134" w:right="1134" w:firstLine="170"/>
        <w:rPr>
          <w:sz w:val="18"/>
        </w:rPr>
      </w:pPr>
      <w:r w:rsidRPr="006953D9">
        <w:rPr>
          <w:sz w:val="18"/>
        </w:rPr>
        <w:lastRenderedPageBreak/>
        <w:t>*</w:t>
      </w:r>
      <w:r w:rsidR="000B5A3E" w:rsidRPr="006953D9">
        <w:rPr>
          <w:sz w:val="18"/>
        </w:rPr>
        <w:t xml:space="preserve"> </w:t>
      </w:r>
      <w:r w:rsidR="00996D0C" w:rsidRPr="006953D9">
        <w:rPr>
          <w:sz w:val="18"/>
        </w:rPr>
        <w:t xml:space="preserve"> </w:t>
      </w:r>
      <w:r w:rsidRPr="006953D9">
        <w:rPr>
          <w:sz w:val="18"/>
        </w:rPr>
        <w:t>The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language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that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the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respondent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spoke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was</w:t>
      </w:r>
      <w:r w:rsidR="000B5A3E" w:rsidRPr="006953D9">
        <w:rPr>
          <w:sz w:val="18"/>
        </w:rPr>
        <w:t xml:space="preserve"> </w:t>
      </w:r>
      <w:r w:rsidRPr="006953D9">
        <w:rPr>
          <w:sz w:val="18"/>
        </w:rPr>
        <w:t>recorded.</w:t>
      </w:r>
    </w:p>
    <w:p w:rsidR="00200C10" w:rsidRPr="006953D9" w:rsidRDefault="00200C10" w:rsidP="005D4A7F">
      <w:pPr>
        <w:pStyle w:val="SingleTxtG"/>
        <w:spacing w:after="240"/>
      </w:pPr>
      <w:r w:rsidRPr="006953D9">
        <w:t>Age</w:t>
      </w:r>
      <w:r w:rsidR="000B5A3E" w:rsidRPr="006953D9">
        <w:t xml:space="preserve"> </w:t>
      </w:r>
      <w:r w:rsidRPr="006953D9">
        <w:t>composition:</w:t>
      </w:r>
      <w:r w:rsidR="000B5A3E" w:rsidRPr="006953D9">
        <w:t xml:space="preserve"> </w:t>
      </w:r>
      <w:r w:rsidRPr="006953D9">
        <w:t>See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table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annex</w:t>
      </w:r>
      <w:r w:rsidR="000B5A3E" w:rsidRPr="006953D9">
        <w:t xml:space="preserve"> </w:t>
      </w:r>
      <w:r w:rsidRPr="006953D9">
        <w:t>I.</w:t>
      </w:r>
      <w:r w:rsidR="000B5A3E" w:rsidRPr="006953D9">
        <w:t xml:space="preserve"> </w:t>
      </w:r>
    </w:p>
    <w:p w:rsidR="00200C10" w:rsidRPr="006953D9" w:rsidRDefault="00200C10" w:rsidP="00996D0C">
      <w:pPr>
        <w:pStyle w:val="H23G"/>
      </w:pPr>
      <w:r w:rsidRPr="006953D9">
        <w:tab/>
      </w:r>
      <w:r w:rsidRPr="006953D9">
        <w:tab/>
        <w:t>Dependency</w:t>
      </w:r>
      <w:r w:rsidR="000B5A3E" w:rsidRPr="006953D9">
        <w:t xml:space="preserve"> </w:t>
      </w:r>
      <w:r w:rsidRPr="006953D9">
        <w:t>ratio</w:t>
      </w:r>
      <w:r w:rsidR="000B5A3E" w:rsidRPr="006953D9">
        <w:t xml:space="preserve"> </w:t>
      </w:r>
      <w:r w:rsidRPr="006953D9">
        <w:t>(percentage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population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15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over</w:t>
      </w:r>
      <w:r w:rsidR="000B5A3E" w:rsidRPr="006953D9">
        <w:t xml:space="preserve"> </w:t>
      </w:r>
      <w:r w:rsidRPr="006953D9">
        <w:t>65</w:t>
      </w:r>
      <w:r w:rsidR="000B5A3E" w:rsidRPr="006953D9">
        <w:t xml:space="preserve"> </w:t>
      </w:r>
      <w:r w:rsidRPr="006953D9">
        <w:t>years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age)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E2527B">
        <w:trPr>
          <w:tblHeader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E2527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E2527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43.1</w:t>
            </w:r>
          </w:p>
        </w:tc>
      </w:tr>
      <w:tr w:rsidR="00200C10" w:rsidRPr="006953D9" w:rsidTr="00E2527B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996D0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996D0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42.3</w:t>
            </w:r>
          </w:p>
        </w:tc>
      </w:tr>
      <w:tr w:rsidR="00200C10" w:rsidRPr="006953D9" w:rsidTr="00996D0C">
        <w:tc>
          <w:tcPr>
            <w:tcW w:w="3686" w:type="dxa"/>
            <w:shd w:val="clear" w:color="auto" w:fill="auto"/>
          </w:tcPr>
          <w:p w:rsidR="00200C10" w:rsidRPr="006953D9" w:rsidRDefault="00200C10" w:rsidP="00996D0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996D0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41.9</w:t>
            </w:r>
          </w:p>
        </w:tc>
      </w:tr>
      <w:tr w:rsidR="00200C10" w:rsidRPr="006953D9" w:rsidTr="00996D0C">
        <w:tc>
          <w:tcPr>
            <w:tcW w:w="3686" w:type="dxa"/>
            <w:shd w:val="clear" w:color="auto" w:fill="auto"/>
          </w:tcPr>
          <w:p w:rsidR="00200C10" w:rsidRPr="006953D9" w:rsidRDefault="00200C10" w:rsidP="00996D0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996D0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41.5</w:t>
            </w:r>
          </w:p>
        </w:tc>
      </w:tr>
      <w:tr w:rsidR="00200C10" w:rsidRPr="006953D9" w:rsidTr="00996D0C">
        <w:tc>
          <w:tcPr>
            <w:tcW w:w="3686" w:type="dxa"/>
            <w:shd w:val="clear" w:color="auto" w:fill="auto"/>
          </w:tcPr>
          <w:p w:rsidR="00200C10" w:rsidRPr="006953D9" w:rsidRDefault="00200C10" w:rsidP="00996D0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996D0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42.0</w:t>
            </w:r>
          </w:p>
        </w:tc>
      </w:tr>
    </w:tbl>
    <w:p w:rsidR="00200C10" w:rsidRPr="006953D9" w:rsidRDefault="00200C10" w:rsidP="00E2527B">
      <w:pPr>
        <w:pStyle w:val="H23G"/>
      </w:pPr>
      <w:r w:rsidRPr="006953D9">
        <w:tab/>
      </w:r>
      <w:r w:rsidRPr="006953D9">
        <w:tab/>
        <w:t>Average</w:t>
      </w:r>
      <w:r w:rsidR="000B5A3E" w:rsidRPr="006953D9">
        <w:t xml:space="preserve"> </w:t>
      </w:r>
      <w:r w:rsidRPr="006953D9">
        <w:t>household</w:t>
      </w:r>
      <w:r w:rsidR="000B5A3E" w:rsidRPr="006953D9">
        <w:t xml:space="preserve"> </w:t>
      </w:r>
      <w:r w:rsidRPr="006953D9">
        <w:t>size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C5788C">
        <w:trPr>
          <w:tblHeader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E000E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  <w:r w:rsidR="000B5A3E" w:rsidRPr="006953D9">
              <w:rPr>
                <w:b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E000E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2.79</w:t>
            </w:r>
          </w:p>
        </w:tc>
      </w:tr>
      <w:tr w:rsidR="00200C10" w:rsidRPr="006953D9" w:rsidTr="00C5788C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Urban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2.73</w:t>
            </w:r>
          </w:p>
        </w:tc>
      </w:tr>
      <w:tr w:rsidR="00200C10" w:rsidRPr="006953D9" w:rsidTr="00B81E59">
        <w:tc>
          <w:tcPr>
            <w:tcW w:w="3686" w:type="dxa"/>
            <w:shd w:val="clear" w:color="auto" w:fill="auto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Rural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2.90</w:t>
            </w:r>
          </w:p>
        </w:tc>
      </w:tr>
    </w:tbl>
    <w:p w:rsidR="00200C10" w:rsidRPr="006953D9" w:rsidRDefault="00200C10" w:rsidP="00B81E59">
      <w:pPr>
        <w:pStyle w:val="H23G"/>
      </w:pPr>
      <w:r w:rsidRPr="006953D9">
        <w:tab/>
      </w:r>
      <w:r w:rsidRPr="006953D9">
        <w:tab/>
        <w:t>Population</w:t>
      </w:r>
      <w:r w:rsidR="000B5A3E" w:rsidRPr="006953D9">
        <w:t xml:space="preserve"> </w:t>
      </w:r>
      <w:r w:rsidRPr="006953D9">
        <w:t>growth</w:t>
      </w:r>
      <w:r w:rsidR="000B5A3E" w:rsidRPr="006953D9">
        <w:t xml:space="preserve"> </w:t>
      </w:r>
      <w:r w:rsidRPr="006953D9">
        <w:t>rate</w:t>
      </w:r>
      <w:r w:rsidR="000B5A3E" w:rsidRPr="006953D9">
        <w:t xml:space="preserve"> </w:t>
      </w:r>
      <w:r w:rsidRPr="006953D9">
        <w:t>(%)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B81E59">
        <w:trPr>
          <w:tblHeader/>
        </w:trPr>
        <w:tc>
          <w:tcPr>
            <w:tcW w:w="617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E000E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618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E000E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2.6</w:t>
            </w:r>
          </w:p>
        </w:tc>
      </w:tr>
      <w:tr w:rsidR="00200C10" w:rsidRPr="006953D9" w:rsidTr="00B81E59">
        <w:tc>
          <w:tcPr>
            <w:tcW w:w="6179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6180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2.8</w:t>
            </w:r>
          </w:p>
        </w:tc>
      </w:tr>
      <w:tr w:rsidR="00200C10" w:rsidRPr="006953D9" w:rsidTr="00B81E59">
        <w:tc>
          <w:tcPr>
            <w:tcW w:w="6179" w:type="dxa"/>
            <w:shd w:val="clear" w:color="auto" w:fill="auto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2.6</w:t>
            </w:r>
          </w:p>
        </w:tc>
      </w:tr>
      <w:tr w:rsidR="00200C10" w:rsidRPr="006953D9" w:rsidTr="00B81E59">
        <w:tc>
          <w:tcPr>
            <w:tcW w:w="6179" w:type="dxa"/>
            <w:shd w:val="clear" w:color="auto" w:fill="auto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2.6</w:t>
            </w:r>
          </w:p>
        </w:tc>
      </w:tr>
      <w:tr w:rsidR="00200C10" w:rsidRPr="006953D9" w:rsidTr="00B81E59">
        <w:tc>
          <w:tcPr>
            <w:tcW w:w="6179" w:type="dxa"/>
            <w:shd w:val="clear" w:color="auto" w:fill="auto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0.5</w:t>
            </w:r>
          </w:p>
        </w:tc>
      </w:tr>
    </w:tbl>
    <w:p w:rsidR="00200C10" w:rsidRPr="006953D9" w:rsidRDefault="00200C10" w:rsidP="00B81E59">
      <w:pPr>
        <w:pStyle w:val="H23G"/>
      </w:pPr>
      <w:r w:rsidRPr="006953D9">
        <w:tab/>
      </w:r>
      <w:r w:rsidRPr="006953D9">
        <w:tab/>
        <w:t>Population</w:t>
      </w:r>
      <w:r w:rsidR="000B5A3E" w:rsidRPr="006953D9">
        <w:t xml:space="preserve"> </w:t>
      </w:r>
      <w:r w:rsidRPr="006953D9">
        <w:t>density</w:t>
      </w:r>
      <w:r w:rsidR="000B5A3E" w:rsidRPr="006953D9">
        <w:t xml:space="preserve"> </w:t>
      </w:r>
      <w:r w:rsidRPr="006953D9">
        <w:t>(per</w:t>
      </w:r>
      <w:r w:rsidR="000B5A3E" w:rsidRPr="006953D9">
        <w:t xml:space="preserve"> </w:t>
      </w:r>
      <w:r w:rsidRPr="006953D9">
        <w:t>square</w:t>
      </w:r>
      <w:r w:rsidR="000B5A3E" w:rsidRPr="006953D9">
        <w:t xml:space="preserve"> </w:t>
      </w:r>
      <w:r w:rsidRPr="006953D9">
        <w:t>km)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8D53A7">
        <w:trPr>
          <w:trHeight w:val="240"/>
          <w:tblHeader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Year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Density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per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km</w:t>
            </w:r>
            <w:r w:rsidRPr="004A7727">
              <w:rPr>
                <w:i/>
                <w:sz w:val="16"/>
                <w:vertAlign w:val="superscript"/>
              </w:rPr>
              <w:t>2</w:t>
            </w:r>
          </w:p>
        </w:tc>
      </w:tr>
      <w:tr w:rsidR="00200C10" w:rsidRPr="006953D9" w:rsidTr="008D53A7">
        <w:trPr>
          <w:trHeight w:val="240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96</w:t>
            </w:r>
          </w:p>
        </w:tc>
      </w:tr>
      <w:tr w:rsidR="00200C10" w:rsidRPr="006953D9" w:rsidTr="00B81E59">
        <w:trPr>
          <w:trHeight w:val="240"/>
        </w:trPr>
        <w:tc>
          <w:tcPr>
            <w:tcW w:w="3686" w:type="dxa"/>
            <w:shd w:val="clear" w:color="auto" w:fill="auto"/>
            <w:noWrap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98</w:t>
            </w:r>
          </w:p>
        </w:tc>
      </w:tr>
      <w:tr w:rsidR="00200C10" w:rsidRPr="006953D9" w:rsidTr="00B81E59">
        <w:trPr>
          <w:trHeight w:val="240"/>
        </w:trPr>
        <w:tc>
          <w:tcPr>
            <w:tcW w:w="3686" w:type="dxa"/>
            <w:shd w:val="clear" w:color="auto" w:fill="auto"/>
            <w:noWrap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100</w:t>
            </w:r>
          </w:p>
        </w:tc>
      </w:tr>
      <w:tr w:rsidR="00200C10" w:rsidRPr="006953D9" w:rsidTr="00B81E59">
        <w:trPr>
          <w:trHeight w:val="240"/>
        </w:trPr>
        <w:tc>
          <w:tcPr>
            <w:tcW w:w="3686" w:type="dxa"/>
            <w:shd w:val="clear" w:color="auto" w:fill="auto"/>
            <w:noWrap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103</w:t>
            </w:r>
          </w:p>
        </w:tc>
      </w:tr>
      <w:tr w:rsidR="00200C10" w:rsidRPr="006953D9" w:rsidTr="00B81E59">
        <w:trPr>
          <w:trHeight w:val="240"/>
        </w:trPr>
        <w:tc>
          <w:tcPr>
            <w:tcW w:w="3686" w:type="dxa"/>
            <w:shd w:val="clear" w:color="auto" w:fill="auto"/>
            <w:noWrap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81E5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103</w:t>
            </w:r>
          </w:p>
        </w:tc>
      </w:tr>
    </w:tbl>
    <w:p w:rsidR="00200C10" w:rsidRPr="006953D9" w:rsidRDefault="00200C10" w:rsidP="00B81E59">
      <w:pPr>
        <w:pStyle w:val="H23G"/>
      </w:pPr>
      <w:r w:rsidRPr="006953D9">
        <w:tab/>
      </w:r>
      <w:r w:rsidRPr="006953D9">
        <w:tab/>
        <w:t>Live</w:t>
      </w:r>
      <w:r w:rsidR="000B5A3E" w:rsidRPr="006953D9">
        <w:t xml:space="preserve"> </w:t>
      </w:r>
      <w:r w:rsidRPr="006953D9">
        <w:t>births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sex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birth</w:t>
      </w:r>
      <w:r w:rsidR="000B5A3E" w:rsidRPr="006953D9">
        <w:t xml:space="preserve"> </w:t>
      </w:r>
      <w:r w:rsidRPr="006953D9">
        <w:t>rates,</w:t>
      </w:r>
      <w:r w:rsidR="000B5A3E" w:rsidRPr="006953D9">
        <w:t xml:space="preserve"> </w:t>
      </w:r>
      <w:r w:rsidRPr="006953D9">
        <w:t>2008–2012</w:t>
      </w:r>
    </w:p>
    <w:tbl>
      <w:tblPr>
        <w:tblW w:w="7368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10"/>
        <w:gridCol w:w="955"/>
        <w:gridCol w:w="873"/>
        <w:gridCol w:w="923"/>
        <w:gridCol w:w="1209"/>
        <w:gridCol w:w="927"/>
        <w:gridCol w:w="927"/>
      </w:tblGrid>
      <w:tr w:rsidR="002B0530" w:rsidRPr="006953D9" w:rsidTr="002B0530">
        <w:trPr>
          <w:trHeight w:val="241"/>
          <w:tblHeader/>
        </w:trPr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Year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Total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Males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Females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Birth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rate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2B053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%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change</w:t>
            </w:r>
            <w:r w:rsidR="002B0530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over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previous</w:t>
            </w:r>
            <w:r w:rsidR="002B0530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year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Sex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ratio</w:t>
            </w:r>
            <w:r w:rsidRPr="006953D9">
              <w:rPr>
                <w:i/>
                <w:sz w:val="16"/>
              </w:rPr>
              <w:br/>
              <w:t>at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birth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Masculinity</w:t>
            </w:r>
            <w:r w:rsidRPr="006953D9">
              <w:rPr>
                <w:i/>
                <w:sz w:val="16"/>
              </w:rPr>
              <w:br/>
              <w:t>proportion</w:t>
            </w:r>
            <w:r w:rsidRPr="006953D9">
              <w:rPr>
                <w:i/>
                <w:sz w:val="16"/>
              </w:rPr>
              <w:br/>
              <w:t>at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birth</w:t>
            </w:r>
          </w:p>
        </w:tc>
      </w:tr>
      <w:tr w:rsidR="002B0530" w:rsidRPr="006953D9" w:rsidTr="002B0530">
        <w:trPr>
          <w:trHeight w:val="241"/>
        </w:trPr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205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727</w:t>
            </w: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478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11.7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056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51.4</w:t>
            </w:r>
          </w:p>
        </w:tc>
      </w:tr>
      <w:tr w:rsidR="002B0530" w:rsidRPr="006953D9" w:rsidTr="002B0530">
        <w:trPr>
          <w:trHeight w:val="241"/>
        </w:trPr>
        <w:tc>
          <w:tcPr>
            <w:tcW w:w="644" w:type="dxa"/>
            <w:shd w:val="clear" w:color="auto" w:fill="auto"/>
            <w:noWrap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608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904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704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043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51.0</w:t>
            </w:r>
          </w:p>
        </w:tc>
      </w:tr>
      <w:tr w:rsidR="002B0530" w:rsidRPr="006953D9" w:rsidTr="002B0530">
        <w:trPr>
          <w:trHeight w:val="241"/>
        </w:trPr>
        <w:tc>
          <w:tcPr>
            <w:tcW w:w="644" w:type="dxa"/>
            <w:shd w:val="clear" w:color="auto" w:fill="auto"/>
            <w:noWrap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801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994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807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51.0</w:t>
            </w:r>
          </w:p>
        </w:tc>
      </w:tr>
      <w:tr w:rsidR="002B0530" w:rsidRPr="006953D9" w:rsidTr="002B0530">
        <w:trPr>
          <w:trHeight w:val="241"/>
        </w:trPr>
        <w:tc>
          <w:tcPr>
            <w:tcW w:w="644" w:type="dxa"/>
            <w:shd w:val="clear" w:color="auto" w:fill="auto"/>
            <w:noWrap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622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891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731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-1.8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034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50.8</w:t>
            </w:r>
          </w:p>
        </w:tc>
      </w:tr>
      <w:tr w:rsidR="002B0530" w:rsidRPr="006953D9" w:rsidTr="002B0530">
        <w:trPr>
          <w:trHeight w:val="241"/>
        </w:trPr>
        <w:tc>
          <w:tcPr>
            <w:tcW w:w="644" w:type="dxa"/>
            <w:shd w:val="clear" w:color="auto" w:fill="auto"/>
            <w:noWrap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161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304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857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EC7075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092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5D4A7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52.2</w:t>
            </w:r>
          </w:p>
        </w:tc>
      </w:tr>
    </w:tbl>
    <w:p w:rsidR="00200C10" w:rsidRPr="006953D9" w:rsidRDefault="00200C10" w:rsidP="00EC7075">
      <w:pPr>
        <w:pStyle w:val="H23G"/>
      </w:pPr>
      <w:r w:rsidRPr="006953D9">
        <w:tab/>
      </w:r>
      <w:r w:rsidRPr="006953D9">
        <w:tab/>
        <w:t>Life</w:t>
      </w:r>
      <w:r w:rsidR="000B5A3E" w:rsidRPr="006953D9">
        <w:t xml:space="preserve"> </w:t>
      </w:r>
      <w:r w:rsidRPr="006953D9">
        <w:t>expectancy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birth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males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females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268"/>
        <w:gridCol w:w="2268"/>
      </w:tblGrid>
      <w:tr w:rsidR="00200C10" w:rsidRPr="006953D9" w:rsidTr="00EC7075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Period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Males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Females</w:t>
            </w:r>
          </w:p>
        </w:tc>
      </w:tr>
      <w:tr w:rsidR="00200C10" w:rsidRPr="006953D9" w:rsidTr="00EC7075">
        <w:trPr>
          <w:trHeight w:val="252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2000/01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76.1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81.0</w:t>
            </w:r>
          </w:p>
        </w:tc>
      </w:tr>
      <w:tr w:rsidR="00200C10" w:rsidRPr="006953D9" w:rsidTr="00EC7075">
        <w:trPr>
          <w:trHeight w:val="252"/>
        </w:trPr>
        <w:tc>
          <w:tcPr>
            <w:tcW w:w="2835" w:type="dxa"/>
            <w:shd w:val="clear" w:color="auto" w:fill="auto"/>
            <w:noWrap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2002/03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77.0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81.4</w:t>
            </w:r>
          </w:p>
        </w:tc>
      </w:tr>
      <w:tr w:rsidR="00200C10" w:rsidRPr="006953D9" w:rsidTr="00EC7075">
        <w:trPr>
          <w:trHeight w:val="252"/>
        </w:trPr>
        <w:tc>
          <w:tcPr>
            <w:tcW w:w="2835" w:type="dxa"/>
            <w:shd w:val="clear" w:color="auto" w:fill="auto"/>
            <w:noWrap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2004/05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77.0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81.7</w:t>
            </w:r>
          </w:p>
        </w:tc>
      </w:tr>
      <w:tr w:rsidR="00200C10" w:rsidRPr="006953D9" w:rsidTr="00EC7075">
        <w:trPr>
          <w:trHeight w:val="252"/>
        </w:trPr>
        <w:tc>
          <w:tcPr>
            <w:tcW w:w="2835" w:type="dxa"/>
            <w:shd w:val="clear" w:color="auto" w:fill="auto"/>
            <w:noWrap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lastRenderedPageBreak/>
              <w:t>2006/07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78.3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81.9</w:t>
            </w:r>
          </w:p>
        </w:tc>
      </w:tr>
      <w:tr w:rsidR="00200C10" w:rsidRPr="006953D9" w:rsidTr="00EC7075">
        <w:trPr>
          <w:trHeight w:val="252"/>
        </w:trPr>
        <w:tc>
          <w:tcPr>
            <w:tcW w:w="2835" w:type="dxa"/>
            <w:tcBorders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2008/09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77.9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82.4</w:t>
            </w:r>
          </w:p>
        </w:tc>
      </w:tr>
      <w:tr w:rsidR="00200C10" w:rsidRPr="006953D9" w:rsidTr="00EC7075">
        <w:trPr>
          <w:trHeight w:val="252"/>
        </w:trPr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2010/11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79.0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82.9</w:t>
            </w:r>
          </w:p>
        </w:tc>
      </w:tr>
    </w:tbl>
    <w:p w:rsidR="00200C10" w:rsidRPr="006953D9" w:rsidRDefault="00200C10" w:rsidP="00EC7075">
      <w:pPr>
        <w:pStyle w:val="H23G"/>
      </w:pPr>
      <w:r w:rsidRPr="006953D9">
        <w:tab/>
      </w:r>
      <w:r w:rsidRPr="006953D9">
        <w:tab/>
        <w:t>Total</w:t>
      </w:r>
      <w:r w:rsidR="000B5A3E" w:rsidRPr="006953D9">
        <w:t xml:space="preserve"> </w:t>
      </w:r>
      <w:r w:rsidRPr="006953D9">
        <w:t>fertility</w:t>
      </w:r>
      <w:r w:rsidR="000B5A3E" w:rsidRPr="006953D9">
        <w:t xml:space="preserve"> </w:t>
      </w:r>
      <w:r w:rsidRPr="006953D9">
        <w:t>rate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EC7075">
        <w:trPr>
          <w:tblHeader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1.48</w:t>
            </w:r>
          </w:p>
        </w:tc>
      </w:tr>
      <w:tr w:rsidR="00200C10" w:rsidRPr="006953D9" w:rsidTr="00EC7075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1.48</w:t>
            </w:r>
          </w:p>
        </w:tc>
      </w:tr>
      <w:tr w:rsidR="00200C10" w:rsidRPr="006953D9" w:rsidTr="00EC7075">
        <w:tc>
          <w:tcPr>
            <w:tcW w:w="3686" w:type="dxa"/>
            <w:shd w:val="clear" w:color="auto" w:fill="auto"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1.44</w:t>
            </w:r>
          </w:p>
        </w:tc>
      </w:tr>
      <w:tr w:rsidR="00200C10" w:rsidRPr="006953D9" w:rsidTr="00EC7075">
        <w:tc>
          <w:tcPr>
            <w:tcW w:w="3686" w:type="dxa"/>
            <w:shd w:val="clear" w:color="auto" w:fill="auto"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1.35</w:t>
            </w:r>
          </w:p>
        </w:tc>
      </w:tr>
      <w:tr w:rsidR="00200C10" w:rsidRPr="006953D9" w:rsidTr="00EC7075">
        <w:tc>
          <w:tcPr>
            <w:tcW w:w="3686" w:type="dxa"/>
            <w:shd w:val="clear" w:color="auto" w:fill="auto"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EC70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1.39</w:t>
            </w:r>
          </w:p>
        </w:tc>
      </w:tr>
    </w:tbl>
    <w:p w:rsidR="00200C10" w:rsidRPr="006953D9" w:rsidRDefault="00200C10" w:rsidP="00BB5212">
      <w:pPr>
        <w:pStyle w:val="SingleTxtG"/>
        <w:spacing w:before="240"/>
      </w:pPr>
      <w:r w:rsidRPr="006953D9">
        <w:t>27.</w:t>
      </w:r>
      <w:r w:rsidRPr="006953D9">
        <w:tab/>
        <w:t>Proportion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single-parent</w:t>
      </w:r>
      <w:r w:rsidR="000B5A3E" w:rsidRPr="006953D9">
        <w:t xml:space="preserve"> </w:t>
      </w:r>
      <w:r w:rsidRPr="006953D9">
        <w:t>households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households</w:t>
      </w:r>
      <w:r w:rsidR="000B5A3E" w:rsidRPr="006953D9">
        <w:t xml:space="preserve"> </w:t>
      </w:r>
      <w:r w:rsidRPr="006953D9">
        <w:t>headed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women:</w:t>
      </w:r>
      <w:r w:rsidR="000B5A3E" w:rsidRPr="006953D9">
        <w:t xml:space="preserve"> </w:t>
      </w:r>
      <w:r w:rsidRPr="006953D9">
        <w:t>7%.</w:t>
      </w:r>
    </w:p>
    <w:p w:rsidR="00200C10" w:rsidRPr="006953D9" w:rsidRDefault="00200C10" w:rsidP="00BB5212">
      <w:pPr>
        <w:pStyle w:val="H23G"/>
      </w:pPr>
      <w:r w:rsidRPr="006953D9">
        <w:tab/>
      </w:r>
      <w:r w:rsidRPr="006953D9">
        <w:tab/>
        <w:t>Share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(household)</w:t>
      </w:r>
      <w:r w:rsidR="000B5A3E" w:rsidRPr="006953D9">
        <w:t xml:space="preserve"> </w:t>
      </w:r>
      <w:r w:rsidRPr="006953D9">
        <w:t>consumption</w:t>
      </w:r>
      <w:r w:rsidR="000B5A3E" w:rsidRPr="006953D9">
        <w:t xml:space="preserve"> </w:t>
      </w:r>
      <w:r w:rsidRPr="006953D9">
        <w:t>expenditures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food,</w:t>
      </w:r>
      <w:r w:rsidR="000B5A3E" w:rsidRPr="006953D9">
        <w:t xml:space="preserve"> </w:t>
      </w:r>
      <w:r w:rsidRPr="006953D9">
        <w:t>housing,</w:t>
      </w:r>
      <w:r w:rsidR="000B5A3E" w:rsidRPr="006953D9">
        <w:t xml:space="preserve"> </w:t>
      </w:r>
      <w:r w:rsidRPr="006953D9">
        <w:t>health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education</w:t>
      </w:r>
      <w:r w:rsidR="000B5A3E" w:rsidRPr="006953D9">
        <w:t xml:space="preserve"> </w:t>
      </w:r>
      <w:r w:rsidRPr="006953D9">
        <w:t>(2009)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3548"/>
      </w:tblGrid>
      <w:tr w:rsidR="00200C10" w:rsidRPr="006953D9" w:rsidTr="00BB5212">
        <w:trPr>
          <w:tblHeader/>
        </w:trPr>
        <w:tc>
          <w:tcPr>
            <w:tcW w:w="382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BB521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Food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Non-Alcoholic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drinks</w:t>
            </w:r>
          </w:p>
        </w:tc>
        <w:tc>
          <w:tcPr>
            <w:tcW w:w="354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BB521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12.3%</w:t>
            </w:r>
          </w:p>
        </w:tc>
      </w:tr>
      <w:tr w:rsidR="00200C10" w:rsidRPr="006953D9" w:rsidTr="00BB5212">
        <w:tc>
          <w:tcPr>
            <w:tcW w:w="3822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BB521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Housing,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electricity,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water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other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fuels</w:t>
            </w:r>
          </w:p>
        </w:tc>
        <w:tc>
          <w:tcPr>
            <w:tcW w:w="3548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BB521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26.6%</w:t>
            </w:r>
          </w:p>
        </w:tc>
      </w:tr>
      <w:tr w:rsidR="00200C10" w:rsidRPr="006953D9" w:rsidTr="00BB5212">
        <w:tc>
          <w:tcPr>
            <w:tcW w:w="3822" w:type="dxa"/>
            <w:shd w:val="clear" w:color="auto" w:fill="auto"/>
          </w:tcPr>
          <w:p w:rsidR="00200C10" w:rsidRPr="006953D9" w:rsidRDefault="00200C10" w:rsidP="00BB521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Health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200C10" w:rsidRPr="006953D9" w:rsidRDefault="00200C10" w:rsidP="00BB521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5.4%</w:t>
            </w:r>
          </w:p>
        </w:tc>
      </w:tr>
      <w:tr w:rsidR="00200C10" w:rsidRPr="006953D9" w:rsidTr="00BB5212">
        <w:tc>
          <w:tcPr>
            <w:tcW w:w="3822" w:type="dxa"/>
            <w:shd w:val="clear" w:color="auto" w:fill="auto"/>
          </w:tcPr>
          <w:p w:rsidR="00200C10" w:rsidRPr="006953D9" w:rsidRDefault="00200C10" w:rsidP="00BB5212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Education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200C10" w:rsidRPr="006953D9" w:rsidRDefault="00200C10" w:rsidP="00BB5212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3.4%</w:t>
            </w:r>
          </w:p>
        </w:tc>
      </w:tr>
    </w:tbl>
    <w:p w:rsidR="00200C10" w:rsidRPr="006953D9" w:rsidRDefault="00200C10" w:rsidP="00577050">
      <w:pPr>
        <w:pStyle w:val="SingleTxtG"/>
        <w:spacing w:before="240"/>
      </w:pPr>
      <w:r w:rsidRPr="006953D9">
        <w:t>28.</w:t>
      </w:r>
      <w:r w:rsidRPr="006953D9">
        <w:tab/>
        <w:t>Proportion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population</w:t>
      </w:r>
      <w:r w:rsidR="000B5A3E" w:rsidRPr="006953D9">
        <w:t xml:space="preserve"> </w:t>
      </w:r>
      <w:r w:rsidRPr="006953D9">
        <w:t>below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poverty</w:t>
      </w:r>
      <w:r w:rsidR="000B5A3E" w:rsidRPr="006953D9">
        <w:t xml:space="preserve"> </w:t>
      </w:r>
      <w:r w:rsidRPr="006953D9">
        <w:t>line</w:t>
      </w:r>
      <w:r w:rsidR="000B5A3E" w:rsidRPr="006953D9">
        <w:t xml:space="preserve"> </w:t>
      </w:r>
      <w:r w:rsidRPr="006953D9">
        <w:t>(2012):</w:t>
      </w:r>
      <w:r w:rsidR="000B5A3E" w:rsidRPr="006953D9">
        <w:t xml:space="preserve"> </w:t>
      </w:r>
      <w:r w:rsidRPr="006953D9">
        <w:t>14.7%,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corresponds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126</w:t>
      </w:r>
      <w:r w:rsidR="00577050">
        <w:t>,</w:t>
      </w:r>
      <w:r w:rsidRPr="006953D9">
        <w:t>716</w:t>
      </w:r>
      <w:r w:rsidR="000B5A3E" w:rsidRPr="006953D9">
        <w:t xml:space="preserve"> </w:t>
      </w:r>
      <w:r w:rsidRPr="006953D9">
        <w:t>people.</w:t>
      </w:r>
      <w:r w:rsidR="000B5A3E" w:rsidRPr="006953D9">
        <w:t xml:space="preserve"> </w:t>
      </w:r>
    </w:p>
    <w:p w:rsidR="00200C10" w:rsidRPr="006953D9" w:rsidRDefault="00200C10" w:rsidP="00C459EC">
      <w:pPr>
        <w:pStyle w:val="H23G"/>
      </w:pPr>
      <w:r w:rsidRPr="006953D9">
        <w:tab/>
      </w:r>
      <w:r w:rsidRPr="006953D9">
        <w:tab/>
        <w:t>Population</w:t>
      </w:r>
      <w:r w:rsidR="000B5A3E" w:rsidRPr="006953D9">
        <w:t xml:space="preserve"> </w:t>
      </w:r>
      <w:r w:rsidRPr="006953D9">
        <w:t>distribution</w:t>
      </w:r>
      <w:r w:rsidR="000B5A3E" w:rsidRPr="006953D9">
        <w:t xml:space="preserve"> </w:t>
      </w:r>
      <w:r w:rsidRPr="006953D9">
        <w:t>(%)</w:t>
      </w:r>
      <w:r w:rsidR="000B5A3E" w:rsidRPr="006953D9">
        <w:t xml:space="preserve"> </w:t>
      </w:r>
      <w:r w:rsidRPr="006953D9">
        <w:t>living</w:t>
      </w:r>
      <w:r w:rsidR="000B5A3E" w:rsidRPr="006953D9">
        <w:t xml:space="preserve"> </w:t>
      </w:r>
      <w:r w:rsidRPr="006953D9">
        <w:t>below</w:t>
      </w:r>
      <w:r w:rsidR="000B5A3E" w:rsidRPr="006953D9">
        <w:t xml:space="preserve"> </w:t>
      </w:r>
      <w:r w:rsidRPr="006953D9">
        <w:t>poverty</w:t>
      </w:r>
      <w:r w:rsidR="000B5A3E" w:rsidRPr="006953D9">
        <w:t xml:space="preserve"> </w:t>
      </w:r>
      <w:r w:rsidRPr="006953D9">
        <w:t>line</w:t>
      </w:r>
      <w:r w:rsidR="000B5A3E" w:rsidRPr="006953D9">
        <w:t xml:space="preserve"> </w:t>
      </w:r>
      <w:r w:rsidRPr="006953D9">
        <w:t>according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age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gender</w:t>
      </w:r>
      <w:r w:rsidR="000B5A3E" w:rsidRPr="006953D9">
        <w:t xml:space="preserve"> </w:t>
      </w:r>
      <w:r w:rsidRPr="006953D9">
        <w:t>2012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701"/>
        <w:gridCol w:w="1701"/>
        <w:gridCol w:w="1701"/>
      </w:tblGrid>
      <w:tr w:rsidR="00200C10" w:rsidRPr="006953D9" w:rsidTr="00C459EC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Males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Females</w:t>
            </w:r>
          </w:p>
        </w:tc>
      </w:tr>
      <w:tr w:rsidR="00200C10" w:rsidRPr="006953D9" w:rsidTr="00C459EC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  <w:r w:rsidR="002206DB" w:rsidRPr="006953D9">
              <w:rPr>
                <w:sz w:val="18"/>
              </w:rPr>
              <w:t>–</w:t>
            </w:r>
            <w:r w:rsidRPr="006953D9">
              <w:rPr>
                <w:sz w:val="18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13.9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13.2</w:t>
            </w:r>
          </w:p>
        </w:tc>
      </w:tr>
      <w:tr w:rsidR="00200C10" w:rsidRPr="006953D9" w:rsidTr="00C459EC">
        <w:tc>
          <w:tcPr>
            <w:tcW w:w="2268" w:type="dxa"/>
            <w:shd w:val="clear" w:color="auto" w:fill="auto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18</w:t>
            </w:r>
            <w:r w:rsidR="002206DB" w:rsidRPr="006953D9">
              <w:rPr>
                <w:sz w:val="18"/>
              </w:rPr>
              <w:t>–</w:t>
            </w:r>
            <w:r w:rsidRPr="006953D9">
              <w:rPr>
                <w:sz w:val="1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12.7</w:t>
            </w:r>
          </w:p>
        </w:tc>
      </w:tr>
      <w:tr w:rsidR="00200C10" w:rsidRPr="006953D9" w:rsidTr="00C459EC">
        <w:tc>
          <w:tcPr>
            <w:tcW w:w="2268" w:type="dxa"/>
            <w:shd w:val="clear" w:color="auto" w:fill="auto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25</w:t>
            </w:r>
            <w:r w:rsidR="002206DB" w:rsidRPr="006953D9">
              <w:rPr>
                <w:sz w:val="18"/>
              </w:rPr>
              <w:t>–</w:t>
            </w:r>
            <w:r w:rsidRPr="006953D9">
              <w:rPr>
                <w:sz w:val="18"/>
              </w:rPr>
              <w:t>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13.9</w:t>
            </w:r>
          </w:p>
        </w:tc>
      </w:tr>
      <w:tr w:rsidR="00200C10" w:rsidRPr="006953D9" w:rsidTr="00C459EC">
        <w:tc>
          <w:tcPr>
            <w:tcW w:w="2268" w:type="dxa"/>
            <w:shd w:val="clear" w:color="auto" w:fill="auto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50</w:t>
            </w:r>
            <w:r w:rsidR="002206DB" w:rsidRPr="006953D9">
              <w:rPr>
                <w:sz w:val="18"/>
              </w:rPr>
              <w:t>–</w:t>
            </w:r>
            <w:r w:rsidRPr="006953D9">
              <w:rPr>
                <w:sz w:val="18"/>
              </w:rPr>
              <w:t>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9.1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14.6</w:t>
            </w:r>
          </w:p>
        </w:tc>
      </w:tr>
      <w:tr w:rsidR="00200C10" w:rsidRPr="006953D9" w:rsidTr="00C459EC">
        <w:tc>
          <w:tcPr>
            <w:tcW w:w="2268" w:type="dxa"/>
            <w:shd w:val="clear" w:color="auto" w:fill="auto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65+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29.3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24.2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33.6</w:t>
            </w:r>
          </w:p>
        </w:tc>
      </w:tr>
      <w:tr w:rsidR="00200C10" w:rsidRPr="006953D9" w:rsidTr="00C459EC">
        <w:tc>
          <w:tcPr>
            <w:tcW w:w="2268" w:type="dxa"/>
            <w:shd w:val="clear" w:color="auto" w:fill="auto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18</w:t>
            </w:r>
            <w:r w:rsidR="002206DB" w:rsidRPr="006953D9">
              <w:rPr>
                <w:sz w:val="18"/>
              </w:rPr>
              <w:t>–</w:t>
            </w:r>
            <w:r w:rsidRPr="006953D9">
              <w:rPr>
                <w:sz w:val="18"/>
              </w:rPr>
              <w:t>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10.3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13.9</w:t>
            </w:r>
          </w:p>
        </w:tc>
      </w:tr>
    </w:tbl>
    <w:p w:rsidR="00200C10" w:rsidRPr="006953D9" w:rsidRDefault="00200C10" w:rsidP="00717C2A">
      <w:pPr>
        <w:pStyle w:val="SingleTxtG"/>
        <w:spacing w:before="240"/>
      </w:pPr>
      <w:r w:rsidRPr="006953D9">
        <w:t>29.</w:t>
      </w:r>
      <w:r w:rsidRPr="006953D9">
        <w:tab/>
        <w:t>Gini</w:t>
      </w:r>
      <w:r w:rsidR="000B5A3E" w:rsidRPr="006953D9">
        <w:t xml:space="preserve"> </w:t>
      </w:r>
      <w:r w:rsidRPr="006953D9">
        <w:t>coefficient</w:t>
      </w:r>
      <w:r w:rsidR="000B5A3E" w:rsidRPr="006953D9">
        <w:t xml:space="preserve"> </w:t>
      </w:r>
      <w:r w:rsidRPr="006953D9">
        <w:t>(relating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distribution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income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household</w:t>
      </w:r>
      <w:r w:rsidR="000B5A3E" w:rsidRPr="006953D9">
        <w:t xml:space="preserve"> </w:t>
      </w:r>
      <w:r w:rsidRPr="006953D9">
        <w:t>consumption</w:t>
      </w:r>
      <w:r w:rsidR="000B5A3E" w:rsidRPr="006953D9">
        <w:t xml:space="preserve"> </w:t>
      </w:r>
      <w:r w:rsidRPr="006953D9">
        <w:t>expenditure)</w:t>
      </w:r>
      <w:r w:rsidR="000B5A3E" w:rsidRPr="006953D9">
        <w:t xml:space="preserve"> </w:t>
      </w:r>
      <w:r w:rsidRPr="006953D9">
        <w:t>(2012):</w:t>
      </w:r>
      <w:r w:rsidR="000B5A3E" w:rsidRPr="006953D9">
        <w:t xml:space="preserve"> </w:t>
      </w:r>
      <w:r w:rsidRPr="006953D9">
        <w:t>31</w:t>
      </w:r>
      <w:r w:rsidR="00717C2A" w:rsidRPr="006953D9">
        <w:t>.</w:t>
      </w:r>
      <w:r w:rsidRPr="006953D9">
        <w:t>0%.</w:t>
      </w:r>
      <w:r w:rsidR="000B5A3E" w:rsidRPr="006953D9">
        <w:t xml:space="preserve"> </w:t>
      </w:r>
    </w:p>
    <w:p w:rsidR="00200C10" w:rsidRPr="006953D9" w:rsidRDefault="00200C10" w:rsidP="00C459EC">
      <w:pPr>
        <w:pStyle w:val="H23G"/>
      </w:pPr>
      <w:r w:rsidRPr="006953D9">
        <w:tab/>
      </w:r>
      <w:r w:rsidRPr="006953D9">
        <w:tab/>
        <w:t>Gross</w:t>
      </w:r>
      <w:r w:rsidR="000B5A3E" w:rsidRPr="006953D9">
        <w:t xml:space="preserve"> </w:t>
      </w:r>
      <w:r w:rsidRPr="006953D9">
        <w:t>enrolment</w:t>
      </w:r>
      <w:r w:rsidR="000B5A3E" w:rsidRPr="006953D9">
        <w:t xml:space="preserve"> </w:t>
      </w:r>
      <w:r w:rsidRPr="006953D9">
        <w:t>ratio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primary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secondary</w:t>
      </w:r>
      <w:r w:rsidR="000B5A3E" w:rsidRPr="006953D9">
        <w:t xml:space="preserve"> </w:t>
      </w:r>
      <w:r w:rsidRPr="006953D9">
        <w:t>education</w:t>
      </w:r>
      <w:r w:rsidR="000B5A3E" w:rsidRPr="006953D9">
        <w:t xml:space="preserve"> </w:t>
      </w:r>
      <w:r w:rsidRPr="006953D9">
        <w:t>(2011)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0940D5">
        <w:trPr>
          <w:tblHeader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0940D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Primary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0940D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100%</w:t>
            </w:r>
          </w:p>
        </w:tc>
      </w:tr>
      <w:tr w:rsidR="00200C10" w:rsidRPr="006953D9" w:rsidTr="000940D5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Secondary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C459EC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97%</w:t>
            </w:r>
          </w:p>
        </w:tc>
      </w:tr>
    </w:tbl>
    <w:p w:rsidR="00F303C5" w:rsidRPr="006953D9" w:rsidRDefault="00200C10" w:rsidP="00031129">
      <w:pPr>
        <w:pStyle w:val="SingleTxtG"/>
        <w:spacing w:before="240" w:after="0"/>
        <w:rPr>
          <w:b/>
          <w:bCs/>
        </w:rPr>
      </w:pPr>
      <w:r w:rsidRPr="006953D9">
        <w:rPr>
          <w:b/>
          <w:bCs/>
        </w:rPr>
        <w:t>Attendance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and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drop-out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rates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in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primary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and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secondary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education</w:t>
      </w:r>
    </w:p>
    <w:p w:rsidR="00200C10" w:rsidRPr="006953D9" w:rsidRDefault="00200C10" w:rsidP="00031129">
      <w:pPr>
        <w:pStyle w:val="SingleTxtG"/>
        <w:rPr>
          <w:sz w:val="16"/>
          <w:szCs w:val="16"/>
        </w:rPr>
      </w:pPr>
      <w:r w:rsidRPr="006953D9">
        <w:rPr>
          <w:sz w:val="16"/>
          <w:szCs w:val="16"/>
        </w:rPr>
        <w:t>Early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leavers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from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education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and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training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(2013)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0940D5">
        <w:trPr>
          <w:tblHeader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0940D5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0940D5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9.1%</w:t>
            </w:r>
          </w:p>
        </w:tc>
      </w:tr>
      <w:tr w:rsidR="00200C10" w:rsidRPr="006953D9" w:rsidTr="000940D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00C10" w:rsidRPr="006953D9" w:rsidRDefault="00200C10" w:rsidP="000940D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0940D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14.8%</w:t>
            </w:r>
          </w:p>
        </w:tc>
      </w:tr>
      <w:tr w:rsidR="00200C10" w:rsidRPr="006953D9" w:rsidTr="000940D5">
        <w:tc>
          <w:tcPr>
            <w:tcW w:w="3686" w:type="dxa"/>
            <w:shd w:val="clear" w:color="auto" w:fill="auto"/>
          </w:tcPr>
          <w:p w:rsidR="00200C10" w:rsidRPr="006953D9" w:rsidRDefault="00200C10" w:rsidP="000940D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0940D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4.2%</w:t>
            </w:r>
          </w:p>
        </w:tc>
      </w:tr>
    </w:tbl>
    <w:p w:rsidR="00200C10" w:rsidRPr="006953D9" w:rsidRDefault="00200C10" w:rsidP="00C459EC">
      <w:pPr>
        <w:pStyle w:val="H23G"/>
      </w:pPr>
      <w:r w:rsidRPr="006953D9">
        <w:lastRenderedPageBreak/>
        <w:tab/>
      </w:r>
      <w:r w:rsidRPr="006953D9">
        <w:tab/>
        <w:t>Pupil/Teacher</w:t>
      </w:r>
      <w:r w:rsidR="000B5A3E" w:rsidRPr="006953D9">
        <w:t xml:space="preserve"> </w:t>
      </w:r>
      <w:r w:rsidRPr="006953D9">
        <w:t>Ratio</w:t>
      </w:r>
      <w:r w:rsidR="000B5A3E" w:rsidRPr="006953D9">
        <w:t xml:space="preserve"> </w:t>
      </w:r>
      <w:r w:rsidRPr="006953D9">
        <w:t>(Total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schools)</w:t>
      </w:r>
      <w:r w:rsidR="000B5A3E" w:rsidRPr="006953D9">
        <w:t xml:space="preserve"> </w:t>
      </w:r>
      <w:r w:rsidR="00B46AAA" w:rsidRPr="006953D9">
        <w:t>2011/</w:t>
      </w:r>
      <w:r w:rsidRPr="006953D9">
        <w:t>12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F303C5">
        <w:trPr>
          <w:tblHeader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F303C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Pre-school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pre-primary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F303C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14.2%</w:t>
            </w:r>
          </w:p>
        </w:tc>
      </w:tr>
      <w:tr w:rsidR="00200C10" w:rsidRPr="006953D9" w:rsidTr="00F303C5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F303C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Primary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education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F303C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11.5%</w:t>
            </w:r>
          </w:p>
        </w:tc>
      </w:tr>
      <w:tr w:rsidR="00200C10" w:rsidRPr="006953D9" w:rsidTr="00F303C5">
        <w:tc>
          <w:tcPr>
            <w:tcW w:w="3685" w:type="dxa"/>
            <w:shd w:val="clear" w:color="auto" w:fill="auto"/>
          </w:tcPr>
          <w:p w:rsidR="00200C10" w:rsidRPr="006953D9" w:rsidRDefault="00200C10" w:rsidP="00F303C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Secondary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education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00C10" w:rsidRPr="006953D9" w:rsidRDefault="00200C10" w:rsidP="00F303C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8.2%</w:t>
            </w:r>
          </w:p>
        </w:tc>
      </w:tr>
      <w:tr w:rsidR="00200C10" w:rsidRPr="006953D9" w:rsidTr="00F303C5">
        <w:tc>
          <w:tcPr>
            <w:tcW w:w="3685" w:type="dxa"/>
            <w:shd w:val="clear" w:color="auto" w:fill="auto"/>
          </w:tcPr>
          <w:p w:rsidR="00200C10" w:rsidRPr="006953D9" w:rsidRDefault="00200C10" w:rsidP="00F303C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Tertiary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education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00C10" w:rsidRPr="006953D9" w:rsidRDefault="00200C10" w:rsidP="00F303C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15.7%</w:t>
            </w:r>
          </w:p>
        </w:tc>
      </w:tr>
    </w:tbl>
    <w:p w:rsidR="00200C10" w:rsidRPr="006953D9" w:rsidRDefault="00200C10" w:rsidP="002206DB">
      <w:pPr>
        <w:pStyle w:val="H23G"/>
      </w:pPr>
      <w:r w:rsidRPr="006953D9">
        <w:tab/>
      </w:r>
      <w:r w:rsidRPr="006953D9">
        <w:tab/>
        <w:t>Per</w:t>
      </w:r>
      <w:r w:rsidR="000B5A3E" w:rsidRPr="006953D9">
        <w:t xml:space="preserve"> </w:t>
      </w:r>
      <w:r w:rsidRPr="006953D9">
        <w:t>capita</w:t>
      </w:r>
      <w:r w:rsidR="000B5A3E" w:rsidRPr="006953D9">
        <w:t xml:space="preserve"> </w:t>
      </w:r>
      <w:r w:rsidRPr="006953D9">
        <w:t>income</w:t>
      </w:r>
      <w:r w:rsidR="002206DB" w:rsidRPr="006953D9">
        <w:t xml:space="preserve"> — </w:t>
      </w:r>
      <w:r w:rsidRPr="006953D9">
        <w:t>Euro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F9551A">
        <w:trPr>
          <w:tblHeader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F9551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F9551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21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546.4</w:t>
            </w:r>
          </w:p>
        </w:tc>
      </w:tr>
      <w:tr w:rsidR="00200C10" w:rsidRPr="006953D9" w:rsidTr="00F9551A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F9551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F9551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974.4</w:t>
            </w:r>
          </w:p>
        </w:tc>
      </w:tr>
      <w:tr w:rsidR="00200C10" w:rsidRPr="006953D9" w:rsidTr="00F9551A">
        <w:tc>
          <w:tcPr>
            <w:tcW w:w="3686" w:type="dxa"/>
            <w:shd w:val="clear" w:color="auto" w:fill="auto"/>
          </w:tcPr>
          <w:p w:rsidR="00200C10" w:rsidRPr="006953D9" w:rsidRDefault="00200C10" w:rsidP="00F9551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F9551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20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310.8</w:t>
            </w:r>
          </w:p>
        </w:tc>
      </w:tr>
      <w:tr w:rsidR="00200C10" w:rsidRPr="006953D9" w:rsidTr="00F9551A">
        <w:tc>
          <w:tcPr>
            <w:tcW w:w="3686" w:type="dxa"/>
            <w:shd w:val="clear" w:color="auto" w:fill="auto"/>
          </w:tcPr>
          <w:p w:rsidR="00200C10" w:rsidRPr="006953D9" w:rsidRDefault="00200C10" w:rsidP="00F9551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F9551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21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383.5</w:t>
            </w:r>
          </w:p>
        </w:tc>
      </w:tr>
      <w:tr w:rsidR="00200C10" w:rsidRPr="006953D9" w:rsidTr="00F9551A">
        <w:tc>
          <w:tcPr>
            <w:tcW w:w="3686" w:type="dxa"/>
            <w:shd w:val="clear" w:color="auto" w:fill="auto"/>
          </w:tcPr>
          <w:p w:rsidR="00200C10" w:rsidRPr="006953D9" w:rsidRDefault="00200C10" w:rsidP="00F9551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F9551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828.2</w:t>
            </w:r>
          </w:p>
        </w:tc>
      </w:tr>
    </w:tbl>
    <w:p w:rsidR="00200C10" w:rsidRPr="006953D9" w:rsidRDefault="00200C10" w:rsidP="004A558F">
      <w:pPr>
        <w:pStyle w:val="H23G"/>
      </w:pPr>
      <w:r w:rsidRPr="006953D9">
        <w:tab/>
      </w:r>
      <w:r w:rsidRPr="006953D9">
        <w:tab/>
        <w:t>Gross</w:t>
      </w:r>
      <w:r w:rsidR="000B5A3E" w:rsidRPr="006953D9">
        <w:t xml:space="preserve"> </w:t>
      </w:r>
      <w:r w:rsidRPr="006953D9">
        <w:t>domestic</w:t>
      </w:r>
      <w:r w:rsidR="000B5A3E" w:rsidRPr="006953D9">
        <w:t xml:space="preserve"> </w:t>
      </w:r>
      <w:r w:rsidRPr="006953D9">
        <w:t>product</w:t>
      </w:r>
      <w:r w:rsidR="000B5A3E" w:rsidRPr="006953D9">
        <w:t xml:space="preserve"> </w:t>
      </w:r>
      <w:r w:rsidRPr="006953D9">
        <w:t>(GDP)</w:t>
      </w:r>
      <w:r w:rsidR="004A558F" w:rsidRPr="006953D9">
        <w:t xml:space="preserve"> — </w:t>
      </w:r>
      <w:r w:rsidRPr="006953D9">
        <w:t>Euro</w:t>
      </w:r>
      <w:r w:rsidR="000B5A3E" w:rsidRPr="006953D9">
        <w:t xml:space="preserve"> </w:t>
      </w:r>
      <w:proofErr w:type="spellStart"/>
      <w:r w:rsidRPr="006953D9">
        <w:t>mn</w:t>
      </w:r>
      <w:proofErr w:type="spellEnd"/>
      <w:r w:rsidR="000B5A3E" w:rsidRPr="006953D9"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4A558F">
        <w:trPr>
          <w:tblHeader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157.1</w:t>
            </w:r>
          </w:p>
        </w:tc>
      </w:tr>
      <w:tr w:rsidR="00200C10" w:rsidRPr="006953D9" w:rsidTr="004A558F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853.5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406.0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878.0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720.2</w:t>
            </w:r>
          </w:p>
        </w:tc>
      </w:tr>
    </w:tbl>
    <w:p w:rsidR="00200C10" w:rsidRPr="006953D9" w:rsidRDefault="00200C10" w:rsidP="004A558F">
      <w:pPr>
        <w:pStyle w:val="H23G"/>
      </w:pPr>
      <w:r w:rsidRPr="006953D9">
        <w:tab/>
      </w:r>
      <w:r w:rsidRPr="006953D9">
        <w:tab/>
        <w:t>Annual</w:t>
      </w:r>
      <w:r w:rsidR="000B5A3E" w:rsidRPr="006953D9">
        <w:t xml:space="preserve"> </w:t>
      </w:r>
      <w:r w:rsidRPr="006953D9">
        <w:t>growth</w:t>
      </w:r>
      <w:r w:rsidR="000B5A3E" w:rsidRPr="006953D9">
        <w:t xml:space="preserve"> </w:t>
      </w:r>
      <w:r w:rsidRPr="006953D9">
        <w:t>rate</w:t>
      </w:r>
      <w:r w:rsidR="000B5A3E" w:rsidRPr="006953D9">
        <w:t xml:space="preserve"> </w:t>
      </w:r>
      <w:r w:rsidRPr="006953D9">
        <w:t>(%)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4A558F">
        <w:trPr>
          <w:tblHeader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3.6</w:t>
            </w:r>
          </w:p>
        </w:tc>
      </w:tr>
      <w:tr w:rsidR="00200C10" w:rsidRPr="006953D9" w:rsidTr="004A558F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-1.9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1.3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0.4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-2.4</w:t>
            </w:r>
          </w:p>
        </w:tc>
      </w:tr>
    </w:tbl>
    <w:p w:rsidR="00200C10" w:rsidRPr="006953D9" w:rsidRDefault="00200C10" w:rsidP="002206DB">
      <w:pPr>
        <w:pStyle w:val="H23G"/>
      </w:pPr>
      <w:r w:rsidRPr="006953D9">
        <w:tab/>
      </w:r>
      <w:r w:rsidRPr="006953D9">
        <w:tab/>
        <w:t>Gross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Income</w:t>
      </w:r>
      <w:r w:rsidR="000B5A3E" w:rsidRPr="006953D9">
        <w:t xml:space="preserve"> </w:t>
      </w:r>
      <w:r w:rsidRPr="006953D9">
        <w:t>(GNI)</w:t>
      </w:r>
      <w:r w:rsidR="002206DB" w:rsidRPr="006953D9">
        <w:t xml:space="preserve"> — </w:t>
      </w:r>
      <w:r w:rsidRPr="006953D9">
        <w:t>Euro</w:t>
      </w:r>
      <w:r w:rsidR="000B5A3E" w:rsidRPr="006953D9">
        <w:t xml:space="preserve"> </w:t>
      </w:r>
      <w:proofErr w:type="spellStart"/>
      <w:r w:rsidRPr="006953D9">
        <w:t>mn</w:t>
      </w:r>
      <w:proofErr w:type="spellEnd"/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4A558F">
        <w:trPr>
          <w:tblHeader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984.4</w:t>
            </w:r>
          </w:p>
        </w:tc>
      </w:tr>
      <w:tr w:rsidR="00200C10" w:rsidRPr="006953D9" w:rsidTr="004A558F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139.3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845.8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18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195.2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129.6</w:t>
            </w:r>
          </w:p>
        </w:tc>
      </w:tr>
    </w:tbl>
    <w:p w:rsidR="00200C10" w:rsidRPr="006953D9" w:rsidRDefault="00200C10" w:rsidP="004A558F">
      <w:pPr>
        <w:pStyle w:val="H23G"/>
      </w:pPr>
      <w:r w:rsidRPr="006953D9">
        <w:tab/>
      </w:r>
      <w:r w:rsidRPr="006953D9">
        <w:tab/>
        <w:t>External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domestic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debt</w:t>
      </w:r>
      <w:r w:rsidR="000B5A3E" w:rsidRPr="006953D9">
        <w:t xml:space="preserve"> </w:t>
      </w:r>
      <w:r w:rsidR="004A558F" w:rsidRPr="006953D9">
        <w:t>—</w:t>
      </w:r>
      <w:r w:rsidR="000B5A3E" w:rsidRPr="006953D9">
        <w:t xml:space="preserve"> </w:t>
      </w:r>
      <w:r w:rsidRPr="006953D9">
        <w:t>Euro</w:t>
      </w:r>
      <w:r w:rsidR="000B5A3E" w:rsidRPr="006953D9">
        <w:t xml:space="preserve"> </w:t>
      </w:r>
      <w:proofErr w:type="spellStart"/>
      <w:r w:rsidRPr="006953D9">
        <w:t>mn</w:t>
      </w:r>
      <w:proofErr w:type="spellEnd"/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4A558F">
        <w:trPr>
          <w:tblHeader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388.2</w:t>
            </w:r>
          </w:p>
        </w:tc>
      </w:tr>
      <w:tr w:rsidR="00200C10" w:rsidRPr="006953D9" w:rsidTr="004A558F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864.5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674.5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778.4</w:t>
            </w:r>
          </w:p>
        </w:tc>
      </w:tr>
      <w:tr w:rsidR="00200C10" w:rsidRPr="006953D9" w:rsidTr="004A558F">
        <w:tc>
          <w:tcPr>
            <w:tcW w:w="3686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</w:t>
            </w:r>
            <w:r w:rsidR="004A558F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349.5</w:t>
            </w:r>
          </w:p>
        </w:tc>
      </w:tr>
    </w:tbl>
    <w:p w:rsidR="00200C10" w:rsidRPr="006953D9" w:rsidRDefault="00200C10" w:rsidP="004A558F">
      <w:pPr>
        <w:pStyle w:val="H23G"/>
      </w:pPr>
      <w:r w:rsidRPr="006953D9">
        <w:tab/>
      </w:r>
      <w:r w:rsidRPr="006953D9">
        <w:tab/>
        <w:t>Consumer</w:t>
      </w:r>
      <w:r w:rsidR="000B5A3E" w:rsidRPr="006953D9">
        <w:t xml:space="preserve"> </w:t>
      </w:r>
      <w:r w:rsidRPr="006953D9">
        <w:t>Price</w:t>
      </w:r>
      <w:r w:rsidR="000B5A3E" w:rsidRPr="006953D9">
        <w:t xml:space="preserve"> </w:t>
      </w:r>
      <w:r w:rsidRPr="006953D9">
        <w:t>Index</w:t>
      </w:r>
      <w:r w:rsidR="000B5A3E" w:rsidRPr="006953D9">
        <w:t xml:space="preserve"> </w:t>
      </w:r>
      <w:r w:rsidRPr="006953D9">
        <w:t>(CPI)</w:t>
      </w:r>
      <w:r w:rsidR="000B5A3E" w:rsidRPr="006953D9">
        <w:t xml:space="preserve"> </w:t>
      </w:r>
      <w:r w:rsidRPr="006953D9">
        <w:t>2009–2013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835"/>
        <w:gridCol w:w="2835"/>
      </w:tblGrid>
      <w:tr w:rsidR="00200C10" w:rsidRPr="006953D9" w:rsidTr="004A558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Year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Average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4A558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Inflation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(%)</w:t>
            </w:r>
          </w:p>
        </w:tc>
      </w:tr>
      <w:tr w:rsidR="00200C10" w:rsidRPr="006953D9" w:rsidTr="004A558F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57705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110</w:t>
            </w:r>
            <w:r w:rsidR="00577050">
              <w:rPr>
                <w:sz w:val="18"/>
              </w:rPr>
              <w:t>.</w:t>
            </w:r>
            <w:r w:rsidRPr="006953D9">
              <w:rPr>
                <w:sz w:val="18"/>
              </w:rPr>
              <w:t>18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717C2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  <w:r w:rsidR="00717C2A" w:rsidRPr="006953D9">
              <w:rPr>
                <w:sz w:val="18"/>
              </w:rPr>
              <w:t>.</w:t>
            </w:r>
            <w:r w:rsidRPr="006953D9">
              <w:rPr>
                <w:sz w:val="18"/>
              </w:rPr>
              <w:t>3</w:t>
            </w:r>
          </w:p>
        </w:tc>
      </w:tr>
      <w:tr w:rsidR="00200C10" w:rsidRPr="006953D9" w:rsidTr="004A558F">
        <w:tc>
          <w:tcPr>
            <w:tcW w:w="1701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00C10" w:rsidRPr="006953D9" w:rsidRDefault="00200C10" w:rsidP="0057705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112</w:t>
            </w:r>
            <w:r w:rsidR="00577050">
              <w:rPr>
                <w:sz w:val="18"/>
              </w:rPr>
              <w:t>.</w:t>
            </w:r>
            <w:r w:rsidRPr="006953D9">
              <w:rPr>
                <w:sz w:val="18"/>
              </w:rPr>
              <w:t>86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00C10" w:rsidRPr="006953D9" w:rsidRDefault="00200C10" w:rsidP="00717C2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717C2A" w:rsidRPr="006953D9">
              <w:rPr>
                <w:sz w:val="18"/>
              </w:rPr>
              <w:t>.</w:t>
            </w:r>
            <w:r w:rsidRPr="006953D9">
              <w:rPr>
                <w:sz w:val="18"/>
              </w:rPr>
              <w:t>4</w:t>
            </w:r>
          </w:p>
        </w:tc>
      </w:tr>
      <w:tr w:rsidR="00200C10" w:rsidRPr="006953D9" w:rsidTr="004A558F">
        <w:tc>
          <w:tcPr>
            <w:tcW w:w="1701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00C10" w:rsidRPr="006953D9" w:rsidRDefault="00200C10" w:rsidP="0057705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116</w:t>
            </w:r>
            <w:r w:rsidR="00577050">
              <w:rPr>
                <w:sz w:val="18"/>
              </w:rPr>
              <w:t>.</w:t>
            </w:r>
            <w:r w:rsidRPr="006953D9">
              <w:rPr>
                <w:sz w:val="18"/>
              </w:rPr>
              <w:t>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00C10" w:rsidRPr="006953D9" w:rsidRDefault="00200C10" w:rsidP="00717C2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  <w:r w:rsidR="00717C2A" w:rsidRPr="006953D9">
              <w:rPr>
                <w:sz w:val="18"/>
              </w:rPr>
              <w:t>.</w:t>
            </w:r>
            <w:r w:rsidRPr="006953D9">
              <w:rPr>
                <w:sz w:val="18"/>
              </w:rPr>
              <w:t>3</w:t>
            </w:r>
          </w:p>
        </w:tc>
      </w:tr>
      <w:tr w:rsidR="00200C10" w:rsidRPr="006953D9" w:rsidTr="004A558F">
        <w:tc>
          <w:tcPr>
            <w:tcW w:w="1701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lastRenderedPageBreak/>
              <w:t>2012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00C10" w:rsidRPr="006953D9" w:rsidRDefault="00200C10" w:rsidP="0057705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119</w:t>
            </w:r>
            <w:r w:rsidR="00577050">
              <w:rPr>
                <w:sz w:val="18"/>
              </w:rPr>
              <w:t>.</w:t>
            </w:r>
            <w:r w:rsidRPr="006953D9">
              <w:rPr>
                <w:sz w:val="18"/>
              </w:rPr>
              <w:t>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00C10" w:rsidRPr="006953D9" w:rsidRDefault="00200C10" w:rsidP="00717C2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717C2A" w:rsidRPr="006953D9">
              <w:rPr>
                <w:sz w:val="18"/>
              </w:rPr>
              <w:t>.</w:t>
            </w:r>
            <w:r w:rsidRPr="006953D9">
              <w:rPr>
                <w:sz w:val="18"/>
              </w:rPr>
              <w:t>4</w:t>
            </w:r>
          </w:p>
        </w:tc>
      </w:tr>
      <w:tr w:rsidR="00200C10" w:rsidRPr="006953D9" w:rsidTr="004A558F">
        <w:tc>
          <w:tcPr>
            <w:tcW w:w="1701" w:type="dxa"/>
            <w:shd w:val="clear" w:color="auto" w:fill="auto"/>
          </w:tcPr>
          <w:p w:rsidR="00200C10" w:rsidRPr="006953D9" w:rsidRDefault="00200C10" w:rsidP="004A558F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00C10" w:rsidRPr="006953D9" w:rsidRDefault="00200C10" w:rsidP="0057705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118</w:t>
            </w:r>
            <w:r w:rsidR="00577050">
              <w:rPr>
                <w:sz w:val="18"/>
              </w:rPr>
              <w:t>.</w:t>
            </w:r>
            <w:r w:rsidRPr="006953D9">
              <w:rPr>
                <w:sz w:val="18"/>
              </w:rPr>
              <w:t>88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00C10" w:rsidRPr="006953D9" w:rsidRDefault="00200C10" w:rsidP="00717C2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-0</w:t>
            </w:r>
            <w:r w:rsidR="00717C2A" w:rsidRPr="006953D9">
              <w:rPr>
                <w:sz w:val="18"/>
              </w:rPr>
              <w:t>.</w:t>
            </w:r>
            <w:r w:rsidRPr="006953D9">
              <w:rPr>
                <w:sz w:val="18"/>
              </w:rPr>
              <w:t>4</w:t>
            </w:r>
          </w:p>
        </w:tc>
      </w:tr>
    </w:tbl>
    <w:p w:rsidR="00200C10" w:rsidRPr="006953D9" w:rsidRDefault="00200C10" w:rsidP="00DB2C75">
      <w:pPr>
        <w:pStyle w:val="H23G"/>
      </w:pPr>
      <w:r w:rsidRPr="006953D9">
        <w:tab/>
      </w:r>
      <w:r w:rsidRPr="006953D9">
        <w:tab/>
        <w:t>Social</w:t>
      </w:r>
      <w:r w:rsidR="000B5A3E" w:rsidRPr="006953D9">
        <w:t xml:space="preserve"> </w:t>
      </w:r>
      <w:r w:rsidRPr="006953D9">
        <w:t>expenditures</w:t>
      </w:r>
      <w:r w:rsidR="000B5A3E" w:rsidRPr="006953D9">
        <w:t xml:space="preserve"> </w:t>
      </w:r>
      <w:r w:rsidRPr="006953D9">
        <w:t>(e</w:t>
      </w:r>
      <w:r w:rsidR="00441B13">
        <w:t>.</w:t>
      </w:r>
      <w:r w:rsidRPr="006953D9">
        <w:t>g.</w:t>
      </w:r>
      <w:r w:rsidR="000B5A3E" w:rsidRPr="006953D9">
        <w:t xml:space="preserve"> </w:t>
      </w:r>
      <w:r w:rsidRPr="006953D9">
        <w:t>food,</w:t>
      </w:r>
      <w:r w:rsidR="000B5A3E" w:rsidRPr="006953D9">
        <w:t xml:space="preserve"> </w:t>
      </w:r>
      <w:r w:rsidRPr="006953D9">
        <w:t>housing,</w:t>
      </w:r>
      <w:r w:rsidR="000B5A3E" w:rsidRPr="006953D9">
        <w:t xml:space="preserve"> </w:t>
      </w:r>
      <w:r w:rsidRPr="006953D9">
        <w:t>health,</w:t>
      </w:r>
      <w:r w:rsidR="000B5A3E" w:rsidRPr="006953D9">
        <w:t xml:space="preserve"> </w:t>
      </w:r>
      <w:r w:rsidRPr="006953D9">
        <w:t>education,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protection,</w:t>
      </w:r>
      <w:r w:rsidR="000B5A3E" w:rsidRPr="006953D9">
        <w:t xml:space="preserve"> </w:t>
      </w:r>
      <w:r w:rsidRPr="006953D9">
        <w:t>etc.)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proportion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total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expenditure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GDP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794"/>
        <w:gridCol w:w="794"/>
        <w:gridCol w:w="794"/>
        <w:gridCol w:w="794"/>
        <w:gridCol w:w="794"/>
        <w:gridCol w:w="794"/>
      </w:tblGrid>
      <w:tr w:rsidR="00200C10" w:rsidRPr="006953D9" w:rsidTr="005B55F1">
        <w:trPr>
          <w:tblHeader/>
        </w:trPr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keepNext/>
              <w:keepLines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2012</w:t>
            </w:r>
          </w:p>
        </w:tc>
      </w:tr>
      <w:tr w:rsidR="00200C10" w:rsidRPr="006953D9" w:rsidTr="005B55F1">
        <w:tc>
          <w:tcPr>
            <w:tcW w:w="260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Housing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%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total</w:t>
            </w:r>
            <w:r w:rsidR="000B5A3E" w:rsidRPr="006953D9">
              <w:rPr>
                <w:sz w:val="18"/>
              </w:rPr>
              <w:t xml:space="preserve"> </w:t>
            </w:r>
            <w:proofErr w:type="spellStart"/>
            <w:r w:rsidRPr="006953D9">
              <w:rPr>
                <w:sz w:val="18"/>
              </w:rPr>
              <w:t>exp</w:t>
            </w:r>
            <w:proofErr w:type="spellEnd"/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6.2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6.4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7.0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6.1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5.8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5.0</w:t>
            </w:r>
          </w:p>
        </w:tc>
      </w:tr>
      <w:tr w:rsidR="00200C10" w:rsidRPr="006953D9" w:rsidTr="005B55F1"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%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GDP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2.5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2.7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3.2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2.8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2.7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2.3</w:t>
            </w:r>
          </w:p>
        </w:tc>
      </w:tr>
      <w:tr w:rsidR="00200C10" w:rsidRPr="006953D9" w:rsidTr="005B55F1"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Health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%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total</w:t>
            </w:r>
            <w:r w:rsidR="000B5A3E" w:rsidRPr="006953D9">
              <w:rPr>
                <w:sz w:val="18"/>
              </w:rPr>
              <w:t xml:space="preserve"> </w:t>
            </w:r>
            <w:proofErr w:type="spellStart"/>
            <w:r w:rsidRPr="006953D9">
              <w:rPr>
                <w:sz w:val="18"/>
              </w:rPr>
              <w:t>exp</w:t>
            </w:r>
            <w:proofErr w:type="spellEnd"/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7.2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7.1</w:t>
            </w:r>
          </w:p>
        </w:tc>
      </w:tr>
      <w:tr w:rsidR="00200C10" w:rsidRPr="006953D9" w:rsidTr="005B55F1"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%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GDP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2.9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3.4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3.3</w:t>
            </w:r>
          </w:p>
        </w:tc>
      </w:tr>
      <w:tr w:rsidR="00200C10" w:rsidRPr="006953D9" w:rsidTr="005B55F1"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Education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%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total</w:t>
            </w:r>
            <w:r w:rsidR="000B5A3E" w:rsidRPr="006953D9">
              <w:rPr>
                <w:sz w:val="18"/>
              </w:rPr>
              <w:t xml:space="preserve"> </w:t>
            </w:r>
            <w:proofErr w:type="spellStart"/>
            <w:r w:rsidRPr="006953D9">
              <w:rPr>
                <w:sz w:val="18"/>
              </w:rPr>
              <w:t>exp</w:t>
            </w:r>
            <w:proofErr w:type="spellEnd"/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16.1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15.7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16.1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15.6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14.6</w:t>
            </w:r>
          </w:p>
        </w:tc>
      </w:tr>
      <w:tr w:rsidR="00200C10" w:rsidRPr="006953D9" w:rsidTr="005B55F1"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%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GDP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6.8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7.2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7.5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7.2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6.7</w:t>
            </w:r>
          </w:p>
        </w:tc>
      </w:tr>
      <w:tr w:rsidR="00200C10" w:rsidRPr="006953D9" w:rsidTr="005B55F1"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Social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Protection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%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total</w:t>
            </w:r>
            <w:r w:rsidR="000B5A3E" w:rsidRPr="006953D9">
              <w:rPr>
                <w:sz w:val="18"/>
              </w:rPr>
              <w:t xml:space="preserve"> </w:t>
            </w:r>
            <w:proofErr w:type="spellStart"/>
            <w:r w:rsidRPr="006953D9">
              <w:rPr>
                <w:sz w:val="18"/>
              </w:rPr>
              <w:t>exp</w:t>
            </w:r>
            <w:proofErr w:type="spellEnd"/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23.8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25.3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26.1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59483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27.2</w:t>
            </w:r>
          </w:p>
        </w:tc>
      </w:tr>
      <w:tr w:rsidR="00200C10" w:rsidRPr="006953D9" w:rsidTr="005B55F1">
        <w:tc>
          <w:tcPr>
            <w:tcW w:w="2608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%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GDP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9.5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9.8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11.7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12.1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12.4</w:t>
            </w:r>
          </w:p>
        </w:tc>
      </w:tr>
    </w:tbl>
    <w:p w:rsidR="00200C10" w:rsidRPr="006953D9" w:rsidRDefault="00200C10" w:rsidP="00DB2C75">
      <w:pPr>
        <w:pStyle w:val="SingleTxtG"/>
        <w:spacing w:before="240"/>
      </w:pPr>
      <w:r w:rsidRPr="006953D9">
        <w:t>30.</w:t>
      </w:r>
      <w:r w:rsidRPr="006953D9">
        <w:tab/>
        <w:t>Proportion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assistance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relation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budget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sector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relation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GNI:</w:t>
      </w:r>
      <w:r w:rsidR="000B5A3E" w:rsidRPr="006953D9">
        <w:t xml:space="preserve"> </w:t>
      </w:r>
      <w:r w:rsidRPr="006953D9">
        <w:t>N/A.</w:t>
      </w:r>
    </w:p>
    <w:p w:rsidR="00200C10" w:rsidRPr="006953D9" w:rsidRDefault="00200C10" w:rsidP="00DB2C75">
      <w:pPr>
        <w:pStyle w:val="H23G"/>
      </w:pPr>
      <w:r w:rsidRPr="006953D9">
        <w:tab/>
      </w:r>
      <w:r w:rsidRPr="006953D9">
        <w:tab/>
        <w:t>Infant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maternal</w:t>
      </w:r>
      <w:r w:rsidR="000B5A3E" w:rsidRPr="006953D9">
        <w:t xml:space="preserve"> </w:t>
      </w:r>
      <w:r w:rsidRPr="006953D9">
        <w:t>mortality</w:t>
      </w:r>
      <w:r w:rsidR="000B5A3E" w:rsidRPr="006953D9">
        <w:t xml:space="preserve"> </w:t>
      </w:r>
      <w:r w:rsidRPr="006953D9">
        <w:t>rates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132"/>
      </w:tblGrid>
      <w:tr w:rsidR="00200C10" w:rsidRPr="006953D9" w:rsidTr="00DB2C75">
        <w:trPr>
          <w:trHeight w:val="300"/>
          <w:tblHeader/>
        </w:trPr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DB2C75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2011: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DB2C7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</w:tr>
      <w:tr w:rsidR="00200C10" w:rsidRPr="006953D9" w:rsidTr="00DB2C75">
        <w:trPr>
          <w:trHeight w:val="300"/>
        </w:trPr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Maternal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mortality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rate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</w:tr>
      <w:tr w:rsidR="00200C10" w:rsidRPr="006953D9" w:rsidTr="00B74359">
        <w:trPr>
          <w:trHeight w:val="300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Infant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mortality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rate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(per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000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live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births)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3.1</w:t>
            </w:r>
          </w:p>
        </w:tc>
      </w:tr>
      <w:tr w:rsidR="00200C10" w:rsidRPr="006953D9" w:rsidTr="00B74359">
        <w:trPr>
          <w:trHeight w:val="300"/>
        </w:trPr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DB2C75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i/>
                <w:sz w:val="16"/>
              </w:rPr>
              <w:t>2012: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200C10" w:rsidRPr="006953D9" w:rsidTr="00B74359">
        <w:trPr>
          <w:trHeight w:val="300"/>
        </w:trPr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Maternal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mortality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rate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</w:tr>
      <w:tr w:rsidR="00200C10" w:rsidRPr="006953D9" w:rsidTr="00DB2C75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Infant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mortality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rate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(per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000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live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births)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200C10" w:rsidRPr="006953D9" w:rsidRDefault="00200C10" w:rsidP="00DB2C7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3.5</w:t>
            </w:r>
          </w:p>
        </w:tc>
      </w:tr>
    </w:tbl>
    <w:p w:rsidR="00200C10" w:rsidRPr="006953D9" w:rsidRDefault="00200C10" w:rsidP="00B74359">
      <w:pPr>
        <w:pStyle w:val="H23G"/>
      </w:pPr>
      <w:r w:rsidRPr="006953D9">
        <w:tab/>
      </w:r>
      <w:r w:rsidRPr="006953D9">
        <w:tab/>
        <w:t>Rates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infection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HIV/AIDS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major</w:t>
      </w:r>
      <w:r w:rsidR="000B5A3E" w:rsidRPr="006953D9">
        <w:t xml:space="preserve"> </w:t>
      </w:r>
      <w:r w:rsidRPr="006953D9">
        <w:t>communicable</w:t>
      </w:r>
      <w:r w:rsidR="000B5A3E" w:rsidRPr="006953D9">
        <w:t xml:space="preserve"> </w:t>
      </w:r>
      <w:r w:rsidRPr="006953D9">
        <w:t>diseases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1146"/>
      </w:tblGrid>
      <w:tr w:rsidR="00200C10" w:rsidRPr="006953D9" w:rsidTr="008E6919">
        <w:trPr>
          <w:trHeight w:val="300"/>
          <w:tblHeader/>
        </w:trPr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2012: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</w:tr>
      <w:tr w:rsidR="00200C10" w:rsidRPr="006953D9" w:rsidTr="008E6919">
        <w:trPr>
          <w:trHeight w:val="300"/>
        </w:trPr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HIV/AIDS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diagnoses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per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100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000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population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6.02</w:t>
            </w:r>
          </w:p>
        </w:tc>
      </w:tr>
      <w:tr w:rsidR="00200C10" w:rsidRPr="006953D9" w:rsidTr="008E6919">
        <w:trPr>
          <w:trHeight w:val="300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(Excluding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among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non-residents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Cyprus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Government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Controlled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Area)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200C10" w:rsidRPr="006953D9" w:rsidTr="008E6919">
        <w:trPr>
          <w:trHeight w:val="300"/>
        </w:trPr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i/>
                <w:sz w:val="16"/>
              </w:rPr>
              <w:t>2013: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200C10" w:rsidRPr="006953D9" w:rsidTr="008E6919">
        <w:trPr>
          <w:trHeight w:val="300"/>
        </w:trPr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HIV/AIDS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diagnoses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per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100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000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population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5.4</w:t>
            </w:r>
          </w:p>
        </w:tc>
      </w:tr>
      <w:tr w:rsidR="00200C10" w:rsidRPr="006953D9" w:rsidTr="008E6919">
        <w:trPr>
          <w:trHeight w:val="300"/>
        </w:trPr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(Excluding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among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non-residents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Cyprus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Government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Controlled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Area)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</w:tbl>
    <w:p w:rsidR="00200C10" w:rsidRPr="006953D9" w:rsidRDefault="00200C10" w:rsidP="008E6919">
      <w:pPr>
        <w:pStyle w:val="SingleTxtG"/>
        <w:spacing w:before="240"/>
      </w:pPr>
      <w:r w:rsidRPr="006953D9">
        <w:t>31.</w:t>
      </w:r>
      <w:r w:rsidRPr="006953D9">
        <w:tab/>
        <w:t>Prevalence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major</w:t>
      </w:r>
      <w:r w:rsidR="000B5A3E" w:rsidRPr="006953D9">
        <w:t xml:space="preserve"> </w:t>
      </w:r>
      <w:r w:rsidRPr="006953D9">
        <w:t>communicable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non-communicable</w:t>
      </w:r>
      <w:r w:rsidR="000B5A3E" w:rsidRPr="006953D9">
        <w:t xml:space="preserve"> </w:t>
      </w:r>
      <w:r w:rsidRPr="006953D9">
        <w:t>diseases:</w:t>
      </w:r>
      <w:r w:rsidR="000B5A3E" w:rsidRPr="006953D9">
        <w:t xml:space="preserve"> </w:t>
      </w:r>
      <w:r w:rsidRPr="006953D9">
        <w:t>See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table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annex</w:t>
      </w:r>
      <w:r w:rsidR="000B5A3E" w:rsidRPr="006953D9">
        <w:t xml:space="preserve"> </w:t>
      </w:r>
      <w:r w:rsidRPr="006953D9">
        <w:t>II.</w:t>
      </w:r>
    </w:p>
    <w:p w:rsidR="00200C10" w:rsidRPr="006953D9" w:rsidRDefault="00200C10" w:rsidP="008E6919">
      <w:pPr>
        <w:pStyle w:val="H23G"/>
      </w:pPr>
      <w:r w:rsidRPr="006953D9">
        <w:tab/>
      </w:r>
      <w:r w:rsidRPr="006953D9">
        <w:tab/>
        <w:t>Ten</w:t>
      </w:r>
      <w:r w:rsidR="000B5A3E" w:rsidRPr="006953D9">
        <w:t xml:space="preserve"> </w:t>
      </w:r>
      <w:r w:rsidRPr="006953D9">
        <w:t>major</w:t>
      </w:r>
      <w:r w:rsidR="000B5A3E" w:rsidRPr="006953D9">
        <w:t xml:space="preserve"> </w:t>
      </w:r>
      <w:r w:rsidRPr="006953D9">
        <w:t>causes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death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993"/>
        <w:gridCol w:w="2319"/>
      </w:tblGrid>
      <w:tr w:rsidR="00200C10" w:rsidRPr="006953D9" w:rsidTr="008E6919">
        <w:trPr>
          <w:trHeight w:val="314"/>
          <w:tblHeader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2011: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0B5A3E" w:rsidP="008E6919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 xml:space="preserve"> </w:t>
            </w:r>
          </w:p>
        </w:tc>
      </w:tr>
      <w:tr w:rsidR="00200C10" w:rsidRPr="006953D9" w:rsidTr="008E6919">
        <w:trPr>
          <w:trHeight w:val="314"/>
          <w:tblHeader/>
        </w:trPr>
        <w:tc>
          <w:tcPr>
            <w:tcW w:w="4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Cause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of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death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Frequency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161578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Percentage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Distribution</w:t>
            </w:r>
          </w:p>
        </w:tc>
      </w:tr>
      <w:tr w:rsidR="00200C10" w:rsidRPr="006953D9" w:rsidTr="008E6919">
        <w:trPr>
          <w:trHeight w:val="314"/>
        </w:trPr>
        <w:tc>
          <w:tcPr>
            <w:tcW w:w="40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Diseases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circulatory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system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942100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119</w:t>
            </w:r>
          </w:p>
        </w:tc>
        <w:tc>
          <w:tcPr>
            <w:tcW w:w="231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39.2%</w:t>
            </w:r>
          </w:p>
        </w:tc>
      </w:tr>
      <w:tr w:rsidR="00200C10" w:rsidRPr="006953D9" w:rsidTr="008E6919">
        <w:trPr>
          <w:trHeight w:val="314"/>
        </w:trPr>
        <w:tc>
          <w:tcPr>
            <w:tcW w:w="4060" w:type="dxa"/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Neoplasms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42100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194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22.1%</w:t>
            </w:r>
          </w:p>
        </w:tc>
      </w:tr>
      <w:tr w:rsidR="00200C10" w:rsidRPr="006953D9" w:rsidTr="008E6919">
        <w:trPr>
          <w:trHeight w:val="314"/>
        </w:trPr>
        <w:tc>
          <w:tcPr>
            <w:tcW w:w="4060" w:type="dxa"/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Endocrine,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nutritional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metabolic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diseases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426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7.9%</w:t>
            </w:r>
          </w:p>
        </w:tc>
      </w:tr>
      <w:tr w:rsidR="00200C10" w:rsidRPr="006953D9" w:rsidTr="008E6919">
        <w:trPr>
          <w:trHeight w:val="314"/>
        </w:trPr>
        <w:tc>
          <w:tcPr>
            <w:tcW w:w="4060" w:type="dxa"/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Diseases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respiratory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system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366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6.8%</w:t>
            </w:r>
          </w:p>
        </w:tc>
      </w:tr>
      <w:tr w:rsidR="00200C10" w:rsidRPr="006953D9" w:rsidTr="008E6919">
        <w:trPr>
          <w:trHeight w:val="314"/>
        </w:trPr>
        <w:tc>
          <w:tcPr>
            <w:tcW w:w="4060" w:type="dxa"/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lastRenderedPageBreak/>
              <w:t>External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causes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morbidity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mortality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278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5.1%</w:t>
            </w:r>
          </w:p>
        </w:tc>
      </w:tr>
      <w:tr w:rsidR="00200C10" w:rsidRPr="006953D9" w:rsidTr="008E6919">
        <w:trPr>
          <w:trHeight w:val="314"/>
        </w:trPr>
        <w:tc>
          <w:tcPr>
            <w:tcW w:w="4060" w:type="dxa"/>
            <w:tcBorders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Diseases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digestive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system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196</w:t>
            </w: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3.6%</w:t>
            </w:r>
          </w:p>
        </w:tc>
      </w:tr>
      <w:tr w:rsidR="00200C10" w:rsidRPr="006953D9" w:rsidTr="00161578">
        <w:trPr>
          <w:trHeight w:val="314"/>
        </w:trPr>
        <w:tc>
          <w:tcPr>
            <w:tcW w:w="40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Diseases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genitourinary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system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174</w:t>
            </w: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3.2%</w:t>
            </w:r>
          </w:p>
        </w:tc>
      </w:tr>
      <w:tr w:rsidR="00200C10" w:rsidRPr="006953D9" w:rsidTr="00161578">
        <w:trPr>
          <w:trHeight w:val="314"/>
        </w:trPr>
        <w:tc>
          <w:tcPr>
            <w:tcW w:w="40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Diseases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nervous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system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sense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organs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164</w:t>
            </w: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3.0%</w:t>
            </w:r>
          </w:p>
        </w:tc>
      </w:tr>
      <w:tr w:rsidR="00200C10" w:rsidRPr="006953D9" w:rsidTr="00161578">
        <w:trPr>
          <w:trHeight w:val="314"/>
        </w:trPr>
        <w:tc>
          <w:tcPr>
            <w:tcW w:w="4060" w:type="dxa"/>
            <w:tcBorders>
              <w:top w:val="nil"/>
            </w:tcBorders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Infectious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parasitic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diseases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85</w:t>
            </w:r>
          </w:p>
        </w:tc>
        <w:tc>
          <w:tcPr>
            <w:tcW w:w="23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1.6%</w:t>
            </w:r>
          </w:p>
        </w:tc>
      </w:tr>
      <w:tr w:rsidR="00200C10" w:rsidRPr="006953D9" w:rsidTr="008E6919">
        <w:trPr>
          <w:trHeight w:val="314"/>
        </w:trPr>
        <w:tc>
          <w:tcPr>
            <w:tcW w:w="4060" w:type="dxa"/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Mental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behavioural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disorders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1.5%</w:t>
            </w:r>
          </w:p>
        </w:tc>
      </w:tr>
      <w:tr w:rsidR="00200C10" w:rsidRPr="006953D9" w:rsidTr="00942100">
        <w:trPr>
          <w:trHeight w:val="314"/>
        </w:trPr>
        <w:tc>
          <w:tcPr>
            <w:tcW w:w="4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Other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causes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death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318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E691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5.9%</w:t>
            </w:r>
          </w:p>
        </w:tc>
      </w:tr>
      <w:tr w:rsidR="00200C10" w:rsidRPr="006953D9" w:rsidTr="00942100">
        <w:trPr>
          <w:trHeight w:val="314"/>
        </w:trPr>
        <w:tc>
          <w:tcPr>
            <w:tcW w:w="4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number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of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deaths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</w:t>
            </w:r>
            <w:r w:rsidR="00942100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401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100.0%</w:t>
            </w:r>
          </w:p>
        </w:tc>
      </w:tr>
    </w:tbl>
    <w:p w:rsidR="00200C10" w:rsidRPr="006953D9" w:rsidRDefault="00200C10" w:rsidP="00830021">
      <w:pPr>
        <w:pStyle w:val="SingleTxtG"/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851"/>
        <w:gridCol w:w="1984"/>
      </w:tblGrid>
      <w:tr w:rsidR="00200C10" w:rsidRPr="006953D9" w:rsidTr="00942100">
        <w:trPr>
          <w:trHeight w:val="301"/>
          <w:tblHeader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2012: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 xml:space="preserve"> </w:t>
            </w:r>
          </w:p>
        </w:tc>
      </w:tr>
      <w:tr w:rsidR="00200C10" w:rsidRPr="006953D9" w:rsidTr="00942100">
        <w:trPr>
          <w:trHeight w:val="301"/>
          <w:tblHeader/>
        </w:trPr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Cause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of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death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Frequency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Percentage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Distribution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Diseases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circulatory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system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942100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116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37.4%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Neoplasms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942100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279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22.6%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Endocrine,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nutritional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metabolic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diseases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7.7%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Diseases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respiratory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system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7.7%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External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causes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morbidity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mortality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293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5.2%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Diseases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genitourinary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system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3.5%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Diseases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nervous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system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sense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organs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3.4%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Diseases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digestive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system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2.9%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Mental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behavioural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disorders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1.6%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Infectious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and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parasitic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diseases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1.6%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Other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causes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death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377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6.7%</w:t>
            </w:r>
          </w:p>
        </w:tc>
      </w:tr>
      <w:tr w:rsidR="00200C10" w:rsidRPr="006953D9" w:rsidTr="00942100">
        <w:trPr>
          <w:trHeight w:val="301"/>
        </w:trPr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number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of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deaths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</w:t>
            </w:r>
            <w:r w:rsidR="00942100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665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100.0%</w:t>
            </w:r>
          </w:p>
        </w:tc>
      </w:tr>
    </w:tbl>
    <w:p w:rsidR="00200C10" w:rsidRPr="006953D9" w:rsidRDefault="00200C10" w:rsidP="00942100">
      <w:pPr>
        <w:pStyle w:val="H23G"/>
      </w:pPr>
      <w:r w:rsidRPr="006953D9">
        <w:tab/>
      </w:r>
      <w:r w:rsidRPr="006953D9">
        <w:tab/>
        <w:t>Unemployment</w:t>
      </w:r>
      <w:r w:rsidR="000B5A3E" w:rsidRPr="006953D9">
        <w:t xml:space="preserve"> </w:t>
      </w:r>
      <w:r w:rsidRPr="006953D9">
        <w:t>rates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age</w:t>
      </w:r>
      <w:r w:rsidR="000B5A3E" w:rsidRPr="006953D9">
        <w:t xml:space="preserve"> </w:t>
      </w:r>
      <w:r w:rsidRPr="006953D9">
        <w:t>group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sex,</w:t>
      </w:r>
      <w:r w:rsidR="000B5A3E" w:rsidRPr="006953D9">
        <w:t xml:space="preserve"> </w:t>
      </w:r>
      <w:r w:rsidRPr="006953D9">
        <w:t>2009–2013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132"/>
        <w:gridCol w:w="851"/>
        <w:gridCol w:w="851"/>
        <w:gridCol w:w="851"/>
        <w:gridCol w:w="851"/>
        <w:gridCol w:w="851"/>
        <w:gridCol w:w="851"/>
      </w:tblGrid>
      <w:tr w:rsidR="00200C10" w:rsidRPr="006953D9" w:rsidTr="009F2727">
        <w:trPr>
          <w:trHeight w:val="251"/>
          <w:tblHeader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4210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Age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groups</w:t>
            </w:r>
          </w:p>
        </w:tc>
      </w:tr>
      <w:tr w:rsidR="00200C10" w:rsidRPr="006953D9" w:rsidTr="009F2727">
        <w:trPr>
          <w:trHeight w:val="251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Year/Sex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15+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15</w:t>
            </w:r>
            <w:r w:rsidR="002206DB" w:rsidRPr="006953D9">
              <w:rPr>
                <w:i/>
                <w:sz w:val="16"/>
              </w:rPr>
              <w:t>–</w:t>
            </w:r>
            <w:r w:rsidRPr="006953D9">
              <w:rPr>
                <w:i/>
                <w:sz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15</w:t>
            </w:r>
            <w:r w:rsidR="002206DB" w:rsidRPr="006953D9">
              <w:rPr>
                <w:i/>
                <w:sz w:val="16"/>
              </w:rPr>
              <w:t>–</w:t>
            </w:r>
            <w:r w:rsidRPr="006953D9">
              <w:rPr>
                <w:i/>
                <w:sz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25</w:t>
            </w:r>
            <w:r w:rsidR="002206DB" w:rsidRPr="006953D9">
              <w:rPr>
                <w:i/>
                <w:sz w:val="16"/>
              </w:rPr>
              <w:t>–</w:t>
            </w:r>
            <w:r w:rsidRPr="006953D9">
              <w:rPr>
                <w:i/>
                <w:sz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55</w:t>
            </w:r>
            <w:r w:rsidR="002206DB" w:rsidRPr="006953D9">
              <w:rPr>
                <w:i/>
                <w:sz w:val="16"/>
              </w:rPr>
              <w:t>–</w:t>
            </w:r>
            <w:r w:rsidRPr="006953D9">
              <w:rPr>
                <w:i/>
                <w:sz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65+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5.4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5.5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13.8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4.6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4.3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0.6</w:t>
            </w:r>
          </w:p>
        </w:tc>
      </w:tr>
      <w:tr w:rsidR="00200C10" w:rsidRPr="006953D9" w:rsidTr="00942100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13.6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0.7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0.5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16.6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0.2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0.3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7.9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22.4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6.8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0.6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0.6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21.5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0.5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11.8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12.1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27.8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9.7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1.1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28.8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10.9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1.5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26.7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15.9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16.1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38.9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13.9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12.4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F2727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5.4</w:t>
            </w:r>
          </w:p>
        </w:tc>
      </w:tr>
      <w:tr w:rsidR="00200C10" w:rsidRPr="006953D9" w:rsidTr="009F2727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41.1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6.9</w:t>
            </w:r>
          </w:p>
        </w:tc>
      </w:tr>
      <w:tr w:rsidR="00200C10" w:rsidRPr="006953D9" w:rsidTr="00942100">
        <w:trPr>
          <w:trHeight w:val="251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36.8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13.4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42100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1.2</w:t>
            </w:r>
          </w:p>
        </w:tc>
      </w:tr>
    </w:tbl>
    <w:p w:rsidR="00200C10" w:rsidRPr="006953D9" w:rsidRDefault="00200C10" w:rsidP="00AA3058">
      <w:pPr>
        <w:pStyle w:val="SingleTxtG"/>
        <w:keepNext/>
        <w:spacing w:before="240"/>
      </w:pPr>
      <w:r w:rsidRPr="006953D9">
        <w:t>32.</w:t>
      </w:r>
      <w:r w:rsidRPr="006953D9">
        <w:tab/>
        <w:t>Employment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major</w:t>
      </w:r>
      <w:r w:rsidR="000B5A3E" w:rsidRPr="006953D9">
        <w:t xml:space="preserve"> </w:t>
      </w:r>
      <w:r w:rsidRPr="006953D9">
        <w:t>sectors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economic</w:t>
      </w:r>
      <w:r w:rsidR="000B5A3E" w:rsidRPr="006953D9">
        <w:t xml:space="preserve"> </w:t>
      </w:r>
      <w:r w:rsidRPr="006953D9">
        <w:t>activity:</w:t>
      </w:r>
      <w:r w:rsidR="000B5A3E" w:rsidRPr="006953D9">
        <w:t xml:space="preserve"> </w:t>
      </w:r>
      <w:r w:rsidRPr="006953D9">
        <w:t>See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table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annex</w:t>
      </w:r>
      <w:r w:rsidR="000B5A3E" w:rsidRPr="006953D9">
        <w:t xml:space="preserve"> </w:t>
      </w:r>
      <w:r w:rsidRPr="006953D9">
        <w:t>III.</w:t>
      </w:r>
    </w:p>
    <w:p w:rsidR="00200C10" w:rsidRPr="006953D9" w:rsidRDefault="00200C10" w:rsidP="00AA3058">
      <w:pPr>
        <w:pStyle w:val="H23G"/>
      </w:pPr>
      <w:r w:rsidRPr="006953D9">
        <w:tab/>
      </w:r>
      <w:r w:rsidRPr="006953D9">
        <w:tab/>
        <w:t>Work</w:t>
      </w:r>
      <w:r w:rsidR="000B5A3E" w:rsidRPr="006953D9">
        <w:t xml:space="preserve"> </w:t>
      </w:r>
      <w:r w:rsidRPr="006953D9">
        <w:t>participation</w:t>
      </w:r>
      <w:r w:rsidR="000B5A3E" w:rsidRPr="006953D9">
        <w:t xml:space="preserve"> </w:t>
      </w:r>
      <w:r w:rsidRPr="006953D9">
        <w:t>rates</w:t>
      </w:r>
      <w:r w:rsidR="000B5A3E" w:rsidRPr="006953D9">
        <w:t xml:space="preserve"> </w:t>
      </w:r>
      <w:r w:rsidRPr="006953D9">
        <w:t>(2008–2012)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132"/>
        <w:gridCol w:w="851"/>
        <w:gridCol w:w="851"/>
        <w:gridCol w:w="851"/>
        <w:gridCol w:w="851"/>
        <w:gridCol w:w="851"/>
        <w:gridCol w:w="851"/>
      </w:tblGrid>
      <w:tr w:rsidR="00200C10" w:rsidRPr="006953D9" w:rsidTr="0087714F">
        <w:trPr>
          <w:trHeight w:val="240"/>
          <w:tblHeader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AA3058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Year/Sex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Age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groups</w:t>
            </w:r>
          </w:p>
        </w:tc>
      </w:tr>
      <w:tr w:rsidR="00200C10" w:rsidRPr="006953D9" w:rsidTr="0087714F">
        <w:trPr>
          <w:trHeight w:val="240"/>
          <w:tblHeader/>
        </w:trPr>
        <w:tc>
          <w:tcPr>
            <w:tcW w:w="226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15+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15</w:t>
            </w:r>
            <w:r w:rsidR="002206DB" w:rsidRPr="006953D9">
              <w:rPr>
                <w:i/>
                <w:sz w:val="16"/>
              </w:rPr>
              <w:t>–</w:t>
            </w:r>
            <w:r w:rsidRPr="006953D9">
              <w:rPr>
                <w:i/>
                <w:sz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15</w:t>
            </w:r>
            <w:r w:rsidR="002206DB" w:rsidRPr="006953D9">
              <w:rPr>
                <w:i/>
                <w:sz w:val="16"/>
              </w:rPr>
              <w:t>–</w:t>
            </w:r>
            <w:r w:rsidRPr="006953D9">
              <w:rPr>
                <w:i/>
                <w:sz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25</w:t>
            </w:r>
            <w:r w:rsidR="002206DB" w:rsidRPr="006953D9">
              <w:rPr>
                <w:i/>
                <w:sz w:val="16"/>
              </w:rPr>
              <w:t>–</w:t>
            </w:r>
            <w:r w:rsidRPr="006953D9">
              <w:rPr>
                <w:i/>
                <w:sz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55</w:t>
            </w:r>
            <w:r w:rsidR="002206DB" w:rsidRPr="006953D9">
              <w:rPr>
                <w:i/>
                <w:sz w:val="16"/>
              </w:rPr>
              <w:t>–</w:t>
            </w:r>
            <w:r w:rsidRPr="006953D9">
              <w:rPr>
                <w:i/>
                <w:sz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65+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64.2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73.6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41.7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86.5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56.6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12.3</w:t>
            </w:r>
          </w:p>
        </w:tc>
      </w:tr>
      <w:tr w:rsidR="00200C10" w:rsidRPr="006953D9" w:rsidTr="00AA3058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73.1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82.0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43.1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94.0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21.4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55.8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65.7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40.5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79.1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41.0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4.5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63.7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73.0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40.4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86.3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58.2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12.4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71.5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80.7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42.1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93.5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74.4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19.0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56.7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66.0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38.8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79.8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42.3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6.6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64.3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73.6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40.6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86.9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59.1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12.9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71.4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80.4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40.9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93.4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74.3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20.4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57.8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67.4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40.2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81.0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44.3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6.3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63.7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73.5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38.8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87.3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57.6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11.2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70.7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80.4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41.4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93.1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72.9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17.5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57.5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67.4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36.6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82.0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42.7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5.8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63.4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73.5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39.0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87.6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56.1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87714F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9.6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shd w:val="clear" w:color="auto" w:fill="auto"/>
            <w:noWrap/>
            <w:hideMark/>
          </w:tcPr>
          <w:p w:rsidR="00200C10" w:rsidRPr="006953D9" w:rsidRDefault="000B5A3E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70.6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80.7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42.8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93.8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71.2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15.0</w:t>
            </w:r>
          </w:p>
        </w:tc>
      </w:tr>
      <w:tr w:rsidR="00200C10" w:rsidRPr="006953D9" w:rsidTr="0087714F">
        <w:trPr>
          <w:trHeight w:val="24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0B5A3E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Females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56.9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66.9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35.5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82.0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41.3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AA3058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4.9</w:t>
            </w:r>
          </w:p>
        </w:tc>
      </w:tr>
    </w:tbl>
    <w:p w:rsidR="00200C10" w:rsidRPr="006953D9" w:rsidRDefault="00200C10" w:rsidP="00D07749">
      <w:pPr>
        <w:pStyle w:val="SingleTxtG"/>
        <w:spacing w:before="240"/>
      </w:pPr>
      <w:r w:rsidRPr="006953D9">
        <w:t>33.</w:t>
      </w:r>
      <w:r w:rsidRPr="006953D9">
        <w:tab/>
        <w:t>Proportion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work</w:t>
      </w:r>
      <w:r w:rsidR="000B5A3E" w:rsidRPr="006953D9">
        <w:t xml:space="preserve"> </w:t>
      </w:r>
      <w:r w:rsidRPr="006953D9">
        <w:t>force</w:t>
      </w:r>
      <w:r w:rsidR="000B5A3E" w:rsidRPr="006953D9">
        <w:t xml:space="preserve"> </w:t>
      </w:r>
      <w:r w:rsidRPr="006953D9">
        <w:t>registered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trade</w:t>
      </w:r>
      <w:r w:rsidR="000B5A3E" w:rsidRPr="006953D9">
        <w:t xml:space="preserve"> </w:t>
      </w:r>
      <w:r w:rsidRPr="006953D9">
        <w:t>unions: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latest</w:t>
      </w:r>
      <w:r w:rsidR="000B5A3E" w:rsidRPr="006953D9">
        <w:t xml:space="preserve"> </w:t>
      </w:r>
      <w:r w:rsidRPr="006953D9">
        <w:t>available</w:t>
      </w:r>
      <w:r w:rsidR="000B5A3E" w:rsidRPr="006953D9">
        <w:t xml:space="preserve"> </w:t>
      </w:r>
      <w:r w:rsidRPr="006953D9">
        <w:t>official</w:t>
      </w:r>
      <w:r w:rsidR="000B5A3E" w:rsidRPr="006953D9">
        <w:t xml:space="preserve"> </w:t>
      </w:r>
      <w:r w:rsidRPr="006953D9">
        <w:t>data</w:t>
      </w:r>
      <w:r w:rsidR="000B5A3E" w:rsidRPr="006953D9">
        <w:t xml:space="preserve"> </w:t>
      </w:r>
      <w:r w:rsidRPr="006953D9">
        <w:t>(2011)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trade</w:t>
      </w:r>
      <w:r w:rsidR="000B5A3E" w:rsidRPr="006953D9">
        <w:t xml:space="preserve"> </w:t>
      </w:r>
      <w:r w:rsidRPr="006953D9">
        <w:t>union</w:t>
      </w:r>
      <w:r w:rsidR="000B5A3E" w:rsidRPr="006953D9">
        <w:t xml:space="preserve"> </w:t>
      </w:r>
      <w:r w:rsidRPr="006953D9">
        <w:t>membership</w:t>
      </w:r>
      <w:r w:rsidR="000B5A3E" w:rsidRPr="006953D9">
        <w:t xml:space="preserve"> </w:t>
      </w:r>
      <w:r w:rsidRPr="006953D9">
        <w:t>shows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approximately</w:t>
      </w:r>
      <w:r w:rsidR="000B5A3E" w:rsidRPr="006953D9">
        <w:t xml:space="preserve"> </w:t>
      </w:r>
      <w:r w:rsidRPr="006953D9">
        <w:t>52%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workforce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organized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major</w:t>
      </w:r>
      <w:r w:rsidR="000B5A3E" w:rsidRPr="006953D9">
        <w:t xml:space="preserve"> </w:t>
      </w:r>
      <w:r w:rsidRPr="006953D9">
        <w:t>trade</w:t>
      </w:r>
      <w:r w:rsidR="000B5A3E" w:rsidRPr="006953D9">
        <w:t xml:space="preserve"> </w:t>
      </w:r>
      <w:r w:rsidRPr="006953D9">
        <w:t>union</w:t>
      </w:r>
      <w:r w:rsidR="000B5A3E" w:rsidRPr="006953D9">
        <w:t xml:space="preserve"> </w:t>
      </w:r>
      <w:r w:rsidRPr="006953D9">
        <w:t>confederations,</w:t>
      </w:r>
      <w:r w:rsidR="000B5A3E" w:rsidRPr="006953D9">
        <w:t xml:space="preserve"> </w:t>
      </w:r>
      <w:proofErr w:type="spellStart"/>
      <w:r w:rsidRPr="006953D9">
        <w:t>Pancyprian</w:t>
      </w:r>
      <w:proofErr w:type="spellEnd"/>
      <w:r w:rsidR="000B5A3E" w:rsidRPr="006953D9">
        <w:t xml:space="preserve"> </w:t>
      </w:r>
      <w:r w:rsidRPr="006953D9">
        <w:t>Federation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Labour</w:t>
      </w:r>
      <w:r w:rsidR="000B5A3E" w:rsidRPr="006953D9">
        <w:t xml:space="preserve"> </w:t>
      </w:r>
      <w:r w:rsidRPr="006953D9">
        <w:t>(PEO)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Workers</w:t>
      </w:r>
      <w:r w:rsidR="000B5A3E" w:rsidRPr="006953D9">
        <w:t xml:space="preserve"> </w:t>
      </w:r>
      <w:r w:rsidRPr="006953D9">
        <w:t>Confederation</w:t>
      </w:r>
      <w:r w:rsidR="000B5A3E" w:rsidRPr="006953D9">
        <w:t xml:space="preserve"> </w:t>
      </w:r>
      <w:r w:rsidRPr="006953D9">
        <w:t>(SEK)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smaller</w:t>
      </w:r>
      <w:r w:rsidR="000B5A3E" w:rsidRPr="006953D9">
        <w:t xml:space="preserve"> </w:t>
      </w:r>
      <w:r w:rsidRPr="006953D9">
        <w:t>one,</w:t>
      </w:r>
      <w:r w:rsidR="000B5A3E" w:rsidRPr="006953D9">
        <w:t xml:space="preserve"> </w:t>
      </w:r>
      <w:r w:rsidRPr="006953D9">
        <w:t>Democratic</w:t>
      </w:r>
      <w:r w:rsidR="000B5A3E" w:rsidRPr="006953D9">
        <w:t xml:space="preserve"> </w:t>
      </w:r>
      <w:r w:rsidRPr="006953D9">
        <w:t>Labour</w:t>
      </w:r>
      <w:r w:rsidR="000B5A3E" w:rsidRPr="006953D9">
        <w:t xml:space="preserve"> </w:t>
      </w:r>
      <w:r w:rsidRPr="006953D9">
        <w:t>Federation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(DEOK),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autonomous</w:t>
      </w:r>
      <w:r w:rsidR="000B5A3E" w:rsidRPr="006953D9">
        <w:t xml:space="preserve"> </w:t>
      </w:r>
      <w:r w:rsidRPr="006953D9">
        <w:t>unions</w:t>
      </w:r>
      <w:r w:rsidR="000B5A3E" w:rsidRPr="006953D9">
        <w:t xml:space="preserve"> </w:t>
      </w:r>
      <w:r w:rsidRPr="006953D9">
        <w:t>representing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sector</w:t>
      </w:r>
      <w:r w:rsidR="000B5A3E" w:rsidRPr="006953D9">
        <w:t xml:space="preserve"> </w:t>
      </w:r>
      <w:r w:rsidRPr="006953D9">
        <w:t>workers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bank</w:t>
      </w:r>
      <w:r w:rsidR="000B5A3E" w:rsidRPr="006953D9">
        <w:t xml:space="preserve"> </w:t>
      </w:r>
      <w:r w:rsidRPr="006953D9">
        <w:t>employees.</w:t>
      </w:r>
      <w:r w:rsidR="000B5A3E" w:rsidRPr="006953D9">
        <w:t xml:space="preserve"> </w:t>
      </w:r>
      <w:r w:rsidRPr="006953D9">
        <w:t>About</w:t>
      </w:r>
      <w:r w:rsidR="000B5A3E" w:rsidRPr="006953D9">
        <w:t xml:space="preserve"> </w:t>
      </w:r>
      <w:r w:rsidRPr="006953D9">
        <w:t>40%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sector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workforce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registered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trade</w:t>
      </w:r>
      <w:r w:rsidR="000B5A3E" w:rsidRPr="006953D9">
        <w:t xml:space="preserve"> </w:t>
      </w:r>
      <w:r w:rsidRPr="006953D9">
        <w:t>unions.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2013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trade</w:t>
      </w:r>
      <w:r w:rsidR="000B5A3E" w:rsidRPr="006953D9">
        <w:t xml:space="preserve"> </w:t>
      </w:r>
      <w:r w:rsidRPr="006953D9">
        <w:t>union</w:t>
      </w:r>
      <w:r w:rsidR="000B5A3E" w:rsidRPr="006953D9">
        <w:t xml:space="preserve"> </w:t>
      </w:r>
      <w:r w:rsidRPr="006953D9">
        <w:t>membership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expected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reduced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48%.</w:t>
      </w:r>
      <w:r w:rsidR="000B5A3E" w:rsidRPr="006953D9">
        <w:t xml:space="preserve"> </w:t>
      </w:r>
    </w:p>
    <w:p w:rsidR="00200C10" w:rsidRPr="006953D9" w:rsidRDefault="00200C10" w:rsidP="00D07749">
      <w:pPr>
        <w:pStyle w:val="H23G"/>
      </w:pPr>
      <w:r w:rsidRPr="006953D9">
        <w:tab/>
        <w:t>3.</w:t>
      </w:r>
      <w:r w:rsidRPr="006953D9">
        <w:tab/>
        <w:t>Economy</w:t>
      </w:r>
    </w:p>
    <w:p w:rsidR="00200C10" w:rsidRPr="006953D9" w:rsidRDefault="00200C10" w:rsidP="00830021">
      <w:pPr>
        <w:pStyle w:val="SingleTxtG"/>
      </w:pPr>
      <w:r w:rsidRPr="006953D9">
        <w:t>34.</w:t>
      </w:r>
      <w:r w:rsidRPr="006953D9">
        <w:tab/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economy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based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free</w:t>
      </w:r>
      <w:r w:rsidR="000B5A3E" w:rsidRPr="006953D9">
        <w:t xml:space="preserve"> </w:t>
      </w:r>
      <w:r w:rsidRPr="006953D9">
        <w:t>market</w:t>
      </w:r>
      <w:r w:rsidR="000B5A3E" w:rsidRPr="006953D9">
        <w:t xml:space="preserve"> </w:t>
      </w:r>
      <w:r w:rsidRPr="006953D9">
        <w:t>system.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sector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backbone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economic</w:t>
      </w:r>
      <w:r w:rsidR="000B5A3E" w:rsidRPr="006953D9">
        <w:t xml:space="preserve"> </w:t>
      </w:r>
      <w:r w:rsidRPr="006953D9">
        <w:t>activity.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role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basically</w:t>
      </w:r>
      <w:r w:rsidR="000B5A3E" w:rsidRPr="006953D9">
        <w:t xml:space="preserve"> </w:t>
      </w:r>
      <w:r w:rsidRPr="006953D9">
        <w:t>limited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safeguarding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transparent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operation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market</w:t>
      </w:r>
      <w:r w:rsidR="000B5A3E" w:rsidRPr="006953D9">
        <w:t xml:space="preserve"> </w:t>
      </w:r>
      <w:r w:rsidRPr="006953D9">
        <w:t>mechanism,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indicative</w:t>
      </w:r>
      <w:r w:rsidR="000B5A3E" w:rsidRPr="006953D9">
        <w:t xml:space="preserve"> </w:t>
      </w:r>
      <w:r w:rsidRPr="006953D9">
        <w:t>planning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provision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utilities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services.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35.</w:t>
      </w:r>
      <w:r w:rsidRPr="006953D9">
        <w:tab/>
        <w:t>International</w:t>
      </w:r>
      <w:r w:rsidR="000B5A3E" w:rsidRPr="006953D9">
        <w:t xml:space="preserve"> </w:t>
      </w:r>
      <w:r w:rsidRPr="006953D9">
        <w:t>trade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considerable</w:t>
      </w:r>
      <w:r w:rsidR="000B5A3E" w:rsidRPr="006953D9">
        <w:t xml:space="preserve"> </w:t>
      </w:r>
      <w:r w:rsidRPr="006953D9">
        <w:t>importance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economy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production</w:t>
      </w:r>
      <w:r w:rsidR="000B5A3E" w:rsidRPr="006953D9">
        <w:t xml:space="preserve"> </w:t>
      </w:r>
      <w:r w:rsidRPr="006953D9">
        <w:t>side,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lack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raw</w:t>
      </w:r>
      <w:r w:rsidR="000B5A3E" w:rsidRPr="006953D9">
        <w:t xml:space="preserve"> </w:t>
      </w:r>
      <w:r w:rsidRPr="006953D9">
        <w:t>materials,</w:t>
      </w:r>
      <w:r w:rsidR="000B5A3E" w:rsidRPr="006953D9">
        <w:t xml:space="preserve"> </w:t>
      </w:r>
      <w:r w:rsidRPr="006953D9">
        <w:t>energy</w:t>
      </w:r>
      <w:r w:rsidR="000B5A3E" w:rsidRPr="006953D9">
        <w:t xml:space="preserve"> </w:t>
      </w:r>
      <w:r w:rsidRPr="006953D9">
        <w:t>resources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heavy</w:t>
      </w:r>
      <w:r w:rsidR="000B5A3E" w:rsidRPr="006953D9">
        <w:t xml:space="preserve"> </w:t>
      </w:r>
      <w:r w:rsidRPr="006953D9">
        <w:t>industry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production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capital</w:t>
      </w:r>
      <w:r w:rsidR="000B5A3E" w:rsidRPr="006953D9">
        <w:t xml:space="preserve"> </w:t>
      </w:r>
      <w:r w:rsidRPr="006953D9">
        <w:t>goods</w:t>
      </w:r>
      <w:r w:rsidR="000B5A3E" w:rsidRPr="006953D9">
        <w:t xml:space="preserve"> </w:t>
      </w:r>
      <w:r w:rsidRPr="006953D9">
        <w:t>necessitates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import.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demand</w:t>
      </w:r>
      <w:r w:rsidR="000B5A3E" w:rsidRPr="006953D9">
        <w:t xml:space="preserve"> </w:t>
      </w:r>
      <w:r w:rsidRPr="006953D9">
        <w:t>side,</w:t>
      </w:r>
      <w:r w:rsidR="000B5A3E" w:rsidRPr="006953D9">
        <w:t xml:space="preserve"> </w:t>
      </w:r>
      <w:r w:rsidRPr="006953D9">
        <w:t>because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small</w:t>
      </w:r>
      <w:r w:rsidR="000B5A3E" w:rsidRPr="006953D9">
        <w:t xml:space="preserve"> </w:t>
      </w:r>
      <w:r w:rsidRPr="006953D9">
        <w:t>size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domestic</w:t>
      </w:r>
      <w:r w:rsidR="000B5A3E" w:rsidRPr="006953D9">
        <w:t xml:space="preserve"> </w:t>
      </w:r>
      <w:r w:rsidRPr="006953D9">
        <w:t>market,</w:t>
      </w:r>
      <w:r w:rsidR="000B5A3E" w:rsidRPr="006953D9">
        <w:t xml:space="preserve"> </w:t>
      </w:r>
      <w:r w:rsidRPr="006953D9">
        <w:t>exports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vital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supplementing</w:t>
      </w:r>
      <w:r w:rsidR="000B5A3E" w:rsidRPr="006953D9">
        <w:t xml:space="preserve"> </w:t>
      </w:r>
      <w:r w:rsidRPr="006953D9">
        <w:t>aggregate</w:t>
      </w:r>
      <w:r w:rsidR="000B5A3E" w:rsidRPr="006953D9">
        <w:t xml:space="preserve"> </w:t>
      </w:r>
      <w:r w:rsidRPr="006953D9">
        <w:t>demand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agricultural,</w:t>
      </w:r>
      <w:r w:rsidR="000B5A3E" w:rsidRPr="006953D9">
        <w:t xml:space="preserve"> </w:t>
      </w:r>
      <w:r w:rsidRPr="006953D9">
        <w:t>manufactured</w:t>
      </w:r>
      <w:r w:rsidR="000B5A3E" w:rsidRPr="006953D9">
        <w:t xml:space="preserve"> </w:t>
      </w:r>
      <w:r w:rsidRPr="006953D9">
        <w:t>products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services.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main</w:t>
      </w:r>
      <w:r w:rsidR="000B5A3E" w:rsidRPr="006953D9">
        <w:t xml:space="preserve"> </w:t>
      </w:r>
      <w:r w:rsidRPr="006953D9">
        <w:t>economic</w:t>
      </w:r>
      <w:r w:rsidR="000B5A3E" w:rsidRPr="006953D9">
        <w:t xml:space="preserve"> </w:t>
      </w:r>
      <w:r w:rsidRPr="006953D9">
        <w:t>partners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Union,</w:t>
      </w:r>
      <w:r w:rsidR="000B5A3E" w:rsidRPr="006953D9">
        <w:t xml:space="preserve"> </w:t>
      </w:r>
      <w:r w:rsidRPr="006953D9">
        <w:t>neighbouring</w:t>
      </w:r>
      <w:r w:rsidR="000B5A3E" w:rsidRPr="006953D9">
        <w:t xml:space="preserve"> </w:t>
      </w:r>
      <w:r w:rsidRPr="006953D9">
        <w:t>Middle-East</w:t>
      </w:r>
      <w:r w:rsidR="000B5A3E" w:rsidRPr="006953D9">
        <w:t xml:space="preserve"> </w:t>
      </w:r>
      <w:r w:rsidRPr="006953D9">
        <w:t>countries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Eastern</w:t>
      </w:r>
      <w:r w:rsidR="000B5A3E" w:rsidRPr="006953D9">
        <w:t xml:space="preserve"> </w:t>
      </w:r>
      <w:r w:rsidRPr="006953D9">
        <w:t>Europe.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36.</w:t>
      </w:r>
      <w:r w:rsidRPr="006953D9">
        <w:tab/>
        <w:t>Although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blow</w:t>
      </w:r>
      <w:r w:rsidR="000B5A3E" w:rsidRPr="006953D9">
        <w:t xml:space="preserve"> </w:t>
      </w:r>
      <w:r w:rsidRPr="006953D9">
        <w:t>inflicted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economy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invasion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1974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devastating</w:t>
      </w:r>
      <w:r w:rsidR="000B5A3E" w:rsidRPr="006953D9">
        <w:t xml:space="preserve"> </w:t>
      </w:r>
      <w:r w:rsidRPr="006953D9">
        <w:t>(the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time</w:t>
      </w:r>
      <w:r w:rsidR="000B5A3E" w:rsidRPr="006953D9">
        <w:t xml:space="preserve"> </w:t>
      </w:r>
      <w:r w:rsidRPr="006953D9">
        <w:t>accounted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almost</w:t>
      </w:r>
      <w:r w:rsidR="000B5A3E" w:rsidRPr="006953D9">
        <w:t xml:space="preserve"> </w:t>
      </w:r>
      <w:r w:rsidRPr="006953D9">
        <w:t>70%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GDP),</w:t>
      </w:r>
      <w:r w:rsidR="000B5A3E" w:rsidRPr="006953D9">
        <w:t xml:space="preserve"> </w:t>
      </w:r>
      <w:r w:rsidRPr="006953D9">
        <w:t>recovery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remarkable.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decline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volume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production</w:t>
      </w:r>
      <w:r w:rsidR="000B5A3E" w:rsidRPr="006953D9">
        <w:t xml:space="preserve"> </w:t>
      </w:r>
      <w:r w:rsidRPr="006953D9">
        <w:t>experienced</w:t>
      </w:r>
      <w:r w:rsidR="000B5A3E" w:rsidRPr="006953D9">
        <w:t xml:space="preserve"> </w:t>
      </w:r>
      <w:r w:rsidRPr="006953D9">
        <w:t>during</w:t>
      </w:r>
      <w:r w:rsidR="000B5A3E" w:rsidRPr="006953D9">
        <w:t xml:space="preserve"> </w:t>
      </w:r>
      <w:r w:rsidRPr="006953D9">
        <w:t>1974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quickly</w:t>
      </w:r>
      <w:r w:rsidR="000B5A3E" w:rsidRPr="006953D9">
        <w:t xml:space="preserve"> </w:t>
      </w:r>
      <w:r w:rsidRPr="006953D9">
        <w:t>reversed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="009007D2" w:rsidRPr="006953D9">
        <w:t>1977,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surpassed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pre-1974</w:t>
      </w:r>
      <w:r w:rsidR="000B5A3E" w:rsidRPr="006953D9">
        <w:t xml:space="preserve"> </w:t>
      </w:r>
      <w:r w:rsidRPr="006953D9">
        <w:t>level.</w:t>
      </w:r>
      <w:r w:rsidR="000B5A3E" w:rsidRPr="006953D9">
        <w:t xml:space="preserve"> </w:t>
      </w:r>
      <w:r w:rsidRPr="006953D9">
        <w:t>Business</w:t>
      </w:r>
      <w:r w:rsidR="000B5A3E" w:rsidRPr="006953D9">
        <w:t xml:space="preserve"> </w:t>
      </w:r>
      <w:r w:rsidRPr="006953D9">
        <w:t>confidence</w:t>
      </w:r>
      <w:r w:rsidR="000B5A3E" w:rsidRPr="006953D9">
        <w:t xml:space="preserve"> </w:t>
      </w:r>
      <w:r w:rsidRPr="006953D9">
        <w:t>returned</w:t>
      </w:r>
      <w:r w:rsidR="000B5A3E" w:rsidRPr="006953D9">
        <w:t xml:space="preserve"> </w:t>
      </w:r>
      <w:r w:rsidRPr="006953D9">
        <w:lastRenderedPageBreak/>
        <w:t>followed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sharp</w:t>
      </w:r>
      <w:r w:rsidR="000B5A3E" w:rsidRPr="006953D9">
        <w:t xml:space="preserve"> </w:t>
      </w:r>
      <w:r w:rsidRPr="006953D9">
        <w:t>upturn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investment.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="009007D2" w:rsidRPr="006953D9">
        <w:t>1979,</w:t>
      </w:r>
      <w:r w:rsidR="000B5A3E" w:rsidRPr="006953D9">
        <w:t xml:space="preserve"> </w:t>
      </w:r>
      <w:r w:rsidRPr="006953D9">
        <w:t>conditions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full</w:t>
      </w:r>
      <w:r w:rsidR="000B5A3E" w:rsidRPr="006953D9">
        <w:t xml:space="preserve"> </w:t>
      </w:r>
      <w:r w:rsidRPr="006953D9">
        <w:t>employment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restored.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rate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unemployment,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approached</w:t>
      </w:r>
      <w:r w:rsidR="000B5A3E" w:rsidRPr="006953D9">
        <w:t xml:space="preserve"> </w:t>
      </w:r>
      <w:r w:rsidRPr="006953D9">
        <w:t>30%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economically</w:t>
      </w:r>
      <w:r w:rsidR="000B5A3E" w:rsidRPr="006953D9">
        <w:t xml:space="preserve"> </w:t>
      </w:r>
      <w:r w:rsidRPr="006953D9">
        <w:t>active</w:t>
      </w:r>
      <w:r w:rsidR="000B5A3E" w:rsidRPr="006953D9">
        <w:t xml:space="preserve"> </w:t>
      </w:r>
      <w:r w:rsidRPr="006953D9">
        <w:t>population</w:t>
      </w:r>
      <w:r w:rsidR="000B5A3E" w:rsidRPr="006953D9">
        <w:t xml:space="preserve"> </w:t>
      </w:r>
      <w:r w:rsidRPr="006953D9">
        <w:t>during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second</w:t>
      </w:r>
      <w:r w:rsidR="000B5A3E" w:rsidRPr="006953D9">
        <w:t xml:space="preserve"> </w:t>
      </w:r>
      <w:r w:rsidRPr="006953D9">
        <w:t>half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1974,</w:t>
      </w:r>
      <w:r w:rsidR="000B5A3E" w:rsidRPr="006953D9">
        <w:t xml:space="preserve"> </w:t>
      </w:r>
      <w:r w:rsidRPr="006953D9">
        <w:t>had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virtually</w:t>
      </w:r>
      <w:r w:rsidR="000B5A3E" w:rsidRPr="006953D9">
        <w:t xml:space="preserve"> </w:t>
      </w:r>
      <w:r w:rsidRPr="006953D9">
        <w:t>eliminated</w:t>
      </w:r>
      <w:r w:rsidR="000B5A3E" w:rsidRPr="006953D9">
        <w:t xml:space="preserve"> </w:t>
      </w:r>
      <w:r w:rsidRPr="006953D9">
        <w:t>(1.8%)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internally</w:t>
      </w:r>
      <w:r w:rsidR="000B5A3E" w:rsidRPr="006953D9">
        <w:t xml:space="preserve"> </w:t>
      </w:r>
      <w:r w:rsidRPr="006953D9">
        <w:t>displaced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temporarily</w:t>
      </w:r>
      <w:r w:rsidR="000B5A3E" w:rsidRPr="006953D9">
        <w:t xml:space="preserve"> </w:t>
      </w:r>
      <w:r w:rsidRPr="006953D9">
        <w:t>re-housed,</w:t>
      </w:r>
      <w:r w:rsidR="000B5A3E" w:rsidRPr="006953D9">
        <w:t xml:space="preserve"> </w:t>
      </w:r>
      <w:r w:rsidRPr="006953D9">
        <w:t>pending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return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ancestral</w:t>
      </w:r>
      <w:r w:rsidR="000B5A3E" w:rsidRPr="006953D9">
        <w:t xml:space="preserve"> </w:t>
      </w:r>
      <w:r w:rsidRPr="006953D9">
        <w:t>homes.</w:t>
      </w:r>
    </w:p>
    <w:p w:rsidR="00200C10" w:rsidRPr="006953D9" w:rsidRDefault="00200C10" w:rsidP="00830021">
      <w:pPr>
        <w:pStyle w:val="SingleTxtG"/>
      </w:pPr>
      <w:r w:rsidRPr="006953D9">
        <w:t>37.</w:t>
      </w:r>
      <w:r w:rsidRPr="006953D9">
        <w:tab/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post-1974</w:t>
      </w:r>
      <w:r w:rsidR="000B5A3E" w:rsidRPr="006953D9">
        <w:t xml:space="preserve"> </w:t>
      </w:r>
      <w:r w:rsidRPr="006953D9">
        <w:t>period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economy</w:t>
      </w:r>
      <w:r w:rsidR="000B5A3E" w:rsidRPr="006953D9">
        <w:t xml:space="preserve"> </w:t>
      </w:r>
      <w:r w:rsidRPr="006953D9">
        <w:t>underwent</w:t>
      </w:r>
      <w:r w:rsidR="000B5A3E" w:rsidRPr="006953D9">
        <w:t xml:space="preserve"> </w:t>
      </w:r>
      <w:r w:rsidRPr="006953D9">
        <w:t>major</w:t>
      </w:r>
      <w:r w:rsidR="000B5A3E" w:rsidRPr="006953D9">
        <w:t xml:space="preserve"> </w:t>
      </w:r>
      <w:r w:rsidRPr="006953D9">
        <w:t>structural</w:t>
      </w:r>
      <w:r w:rsidR="000B5A3E" w:rsidRPr="006953D9">
        <w:t xml:space="preserve"> </w:t>
      </w:r>
      <w:r w:rsidRPr="006953D9">
        <w:t>changes.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manufacturing</w:t>
      </w:r>
      <w:r w:rsidR="000B5A3E" w:rsidRPr="006953D9">
        <w:t xml:space="preserve"> </w:t>
      </w:r>
      <w:r w:rsidRPr="006953D9">
        <w:t>sector</w:t>
      </w:r>
      <w:r w:rsidR="000B5A3E" w:rsidRPr="006953D9">
        <w:t xml:space="preserve"> </w:t>
      </w:r>
      <w:r w:rsidRPr="006953D9">
        <w:t>accounted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growth</w:t>
      </w:r>
      <w:r w:rsidR="000B5A3E" w:rsidRPr="006953D9">
        <w:t xml:space="preserve"> </w:t>
      </w:r>
      <w:r w:rsidRPr="006953D9">
        <w:t>during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second</w:t>
      </w:r>
      <w:r w:rsidR="000B5A3E" w:rsidRPr="006953D9">
        <w:t xml:space="preserve"> </w:t>
      </w:r>
      <w:r w:rsidRPr="006953D9">
        <w:t>half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1970s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early</w:t>
      </w:r>
      <w:r w:rsidR="000B5A3E" w:rsidRPr="006953D9">
        <w:t xml:space="preserve"> </w:t>
      </w:r>
      <w:r w:rsidRPr="006953D9">
        <w:t>1980s,</w:t>
      </w:r>
      <w:r w:rsidR="000B5A3E" w:rsidRPr="006953D9">
        <w:t xml:space="preserve"> </w:t>
      </w:r>
      <w:r w:rsidRPr="006953D9">
        <w:t>overtaken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tourism</w:t>
      </w:r>
      <w:r w:rsidR="000B5A3E" w:rsidRPr="006953D9">
        <w:t xml:space="preserve"> </w:t>
      </w:r>
      <w:r w:rsidRPr="006953D9">
        <w:t>sector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late</w:t>
      </w:r>
      <w:r w:rsidR="000B5A3E" w:rsidRPr="006953D9">
        <w:t xml:space="preserve"> </w:t>
      </w:r>
      <w:r w:rsidRPr="006953D9">
        <w:t>1980s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service</w:t>
      </w:r>
      <w:r w:rsidR="000B5A3E" w:rsidRPr="006953D9">
        <w:t xml:space="preserve"> </w:t>
      </w:r>
      <w:r w:rsidRPr="006953D9">
        <w:t>sectors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early</w:t>
      </w:r>
      <w:r w:rsidR="000B5A3E" w:rsidRPr="006953D9">
        <w:t xml:space="preserve"> </w:t>
      </w:r>
      <w:r w:rsidRPr="006953D9">
        <w:t>1990s.</w:t>
      </w:r>
      <w:r w:rsidR="000B5A3E" w:rsidRPr="006953D9">
        <w:t xml:space="preserve"> </w:t>
      </w:r>
      <w:r w:rsidRPr="006953D9">
        <w:t>These</w:t>
      </w:r>
      <w:r w:rsidR="000B5A3E" w:rsidRPr="006953D9">
        <w:t xml:space="preserve"> </w:t>
      </w:r>
      <w:r w:rsidRPr="006953D9">
        <w:t>structural</w:t>
      </w:r>
      <w:r w:rsidR="000B5A3E" w:rsidRPr="006953D9">
        <w:t xml:space="preserve"> </w:t>
      </w:r>
      <w:r w:rsidRPr="006953D9">
        <w:t>changes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reflected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corresponding</w:t>
      </w:r>
      <w:r w:rsidR="000B5A3E" w:rsidRPr="006953D9">
        <w:t xml:space="preserve"> </w:t>
      </w:r>
      <w:r w:rsidRPr="006953D9">
        <w:t>differentiation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above-mentioned</w:t>
      </w:r>
      <w:r w:rsidR="000B5A3E" w:rsidRPr="006953D9">
        <w:t xml:space="preserve"> </w:t>
      </w:r>
      <w:r w:rsidRPr="006953D9">
        <w:t>sectors</w:t>
      </w:r>
      <w:r w:rsidR="000B5A3E" w:rsidRPr="006953D9">
        <w:t xml:space="preserve"> </w:t>
      </w:r>
      <w:r w:rsidRPr="006953D9">
        <w:t>regarding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contribution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GDP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gainful</w:t>
      </w:r>
      <w:r w:rsidR="000B5A3E" w:rsidRPr="006953D9">
        <w:t xml:space="preserve"> </w:t>
      </w:r>
      <w:r w:rsidRPr="006953D9">
        <w:t>unemployment.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gradually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converted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underdeveloped</w:t>
      </w:r>
      <w:r w:rsidR="000B5A3E" w:rsidRPr="006953D9">
        <w:t xml:space="preserve"> </w:t>
      </w:r>
      <w:r w:rsidRPr="006953D9">
        <w:t>country,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importance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primary</w:t>
      </w:r>
      <w:r w:rsidR="000B5A3E" w:rsidRPr="006953D9">
        <w:t xml:space="preserve"> </w:t>
      </w:r>
      <w:r w:rsidRPr="006953D9">
        <w:t>sectors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dominant,</w:t>
      </w:r>
      <w:r w:rsidR="000B5A3E" w:rsidRPr="006953D9">
        <w:t xml:space="preserve"> </w:t>
      </w:r>
      <w:r w:rsidRPr="006953D9">
        <w:t>into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service-oriented</w:t>
      </w:r>
      <w:r w:rsidR="000B5A3E" w:rsidRPr="006953D9">
        <w:t xml:space="preserve"> </w:t>
      </w:r>
      <w:r w:rsidRPr="006953D9">
        <w:t>economy.</w:t>
      </w:r>
    </w:p>
    <w:p w:rsidR="00200C10" w:rsidRPr="006953D9" w:rsidRDefault="00200C10" w:rsidP="00717C2A">
      <w:pPr>
        <w:pStyle w:val="SingleTxtG"/>
      </w:pPr>
      <w:r w:rsidRPr="006953D9">
        <w:t>38.</w:t>
      </w:r>
      <w:r w:rsidRPr="006953D9">
        <w:tab/>
        <w:t>On</w:t>
      </w:r>
      <w:r w:rsidR="000B5A3E" w:rsidRPr="006953D9">
        <w:t xml:space="preserve"> </w:t>
      </w:r>
      <w:r w:rsidRPr="006953D9">
        <w:t>January</w:t>
      </w:r>
      <w:r w:rsidR="000B5A3E" w:rsidRPr="006953D9">
        <w:t xml:space="preserve"> </w:t>
      </w:r>
      <w:r w:rsidRPr="006953D9">
        <w:t>1st</w:t>
      </w:r>
      <w:r w:rsidR="000B5A3E" w:rsidRPr="006953D9">
        <w:t xml:space="preserve"> </w:t>
      </w:r>
      <w:r w:rsidRPr="006953D9">
        <w:t>2008,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pound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replaced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tender</w:t>
      </w:r>
      <w:r w:rsidR="000B5A3E" w:rsidRPr="006953D9">
        <w:t xml:space="preserve"> </w:t>
      </w:r>
      <w:r w:rsidRPr="006953D9">
        <w:t>money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irrevocable</w:t>
      </w:r>
      <w:r w:rsidR="000B5A3E" w:rsidRPr="006953D9">
        <w:t xml:space="preserve"> </w:t>
      </w:r>
      <w:r w:rsidRPr="006953D9">
        <w:t>fixed</w:t>
      </w:r>
      <w:r w:rsidR="000B5A3E" w:rsidRPr="006953D9">
        <w:t xml:space="preserve"> </w:t>
      </w:r>
      <w:r w:rsidRPr="006953D9">
        <w:t>exchange</w:t>
      </w:r>
      <w:r w:rsidR="000B5A3E" w:rsidRPr="006953D9">
        <w:t xml:space="preserve"> </w:t>
      </w:r>
      <w:r w:rsidRPr="006953D9">
        <w:t>rate</w:t>
      </w:r>
      <w:r w:rsidR="000B5A3E" w:rsidRPr="006953D9">
        <w:t xml:space="preserve"> </w:t>
      </w:r>
      <w:r w:rsidRPr="006953D9">
        <w:t>€1=CY£</w:t>
      </w:r>
      <w:r w:rsidR="000B5A3E" w:rsidRPr="006953D9">
        <w:t xml:space="preserve"> </w:t>
      </w:r>
      <w:r w:rsidRPr="006953D9">
        <w:t>0</w:t>
      </w:r>
      <w:r w:rsidR="00717C2A" w:rsidRPr="006953D9">
        <w:t>.</w:t>
      </w:r>
      <w:r w:rsidRPr="006953D9">
        <w:t>585274.</w:t>
      </w:r>
    </w:p>
    <w:p w:rsidR="00200C10" w:rsidRPr="006953D9" w:rsidRDefault="00200C10" w:rsidP="00830021">
      <w:pPr>
        <w:pStyle w:val="SingleTxtG"/>
      </w:pPr>
      <w:r w:rsidRPr="006953D9">
        <w:t>39.</w:t>
      </w:r>
      <w:r w:rsidRPr="006953D9">
        <w:tab/>
        <w:t>Before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emergence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global</w:t>
      </w:r>
      <w:r w:rsidR="000B5A3E" w:rsidRPr="006953D9">
        <w:t xml:space="preserve"> </w:t>
      </w:r>
      <w:r w:rsidRPr="006953D9">
        <w:t>economic</w:t>
      </w:r>
      <w:r w:rsidR="000B5A3E" w:rsidRPr="006953D9">
        <w:t xml:space="preserve"> </w:t>
      </w:r>
      <w:r w:rsidRPr="006953D9">
        <w:t>crisis,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had</w:t>
      </w:r>
      <w:r w:rsidR="000B5A3E" w:rsidRPr="006953D9">
        <w:t xml:space="preserve"> </w:t>
      </w:r>
      <w:r w:rsidRPr="006953D9">
        <w:t>enjoyed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track</w:t>
      </w:r>
      <w:r w:rsidR="000B5A3E" w:rsidRPr="006953D9">
        <w:t xml:space="preserve"> </w:t>
      </w:r>
      <w:r w:rsidRPr="006953D9">
        <w:t>record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satisfactory</w:t>
      </w:r>
      <w:r w:rsidR="000B5A3E" w:rsidRPr="006953D9">
        <w:t xml:space="preserve"> </w:t>
      </w:r>
      <w:r w:rsidRPr="006953D9">
        <w:t>economic</w:t>
      </w:r>
      <w:r w:rsidR="000B5A3E" w:rsidRPr="006953D9">
        <w:t xml:space="preserve"> </w:t>
      </w:r>
      <w:r w:rsidRPr="006953D9">
        <w:t>growth,</w:t>
      </w:r>
      <w:r w:rsidR="000B5A3E" w:rsidRPr="006953D9">
        <w:t xml:space="preserve"> </w:t>
      </w:r>
      <w:r w:rsidRPr="006953D9">
        <w:t>low</w:t>
      </w:r>
      <w:r w:rsidR="000B5A3E" w:rsidRPr="006953D9">
        <w:t xml:space="preserve"> </w:t>
      </w:r>
      <w:r w:rsidRPr="006953D9">
        <w:t>unemployment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relatively</w:t>
      </w:r>
      <w:r w:rsidR="000B5A3E" w:rsidRPr="006953D9">
        <w:t xml:space="preserve"> </w:t>
      </w:r>
      <w:r w:rsidRPr="006953D9">
        <w:t>stable</w:t>
      </w:r>
      <w:r w:rsidR="000B5A3E" w:rsidRPr="006953D9">
        <w:t xml:space="preserve"> </w:t>
      </w:r>
      <w:r w:rsidRPr="006953D9">
        <w:t>macroeconomic</w:t>
      </w:r>
      <w:r w:rsidR="000B5A3E" w:rsidRPr="006953D9">
        <w:t xml:space="preserve"> </w:t>
      </w:r>
      <w:r w:rsidRPr="006953D9">
        <w:t>conditions.</w:t>
      </w:r>
      <w:r w:rsidR="000B5A3E" w:rsidRPr="006953D9">
        <w:t xml:space="preserve"> </w:t>
      </w:r>
      <w:r w:rsidRPr="006953D9">
        <w:t>However,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economic</w:t>
      </w:r>
      <w:r w:rsidR="000B5A3E" w:rsidRPr="006953D9">
        <w:t xml:space="preserve"> </w:t>
      </w:r>
      <w:r w:rsidRPr="006953D9">
        <w:t>crisis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had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major</w:t>
      </w:r>
      <w:r w:rsidR="000B5A3E" w:rsidRPr="006953D9">
        <w:t xml:space="preserve"> </w:t>
      </w:r>
      <w:r w:rsidRPr="006953D9">
        <w:t>impact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economy,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reflected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main</w:t>
      </w:r>
      <w:r w:rsidR="000B5A3E" w:rsidRPr="006953D9">
        <w:t xml:space="preserve"> </w:t>
      </w:r>
      <w:r w:rsidRPr="006953D9">
        <w:t>economic</w:t>
      </w:r>
      <w:r w:rsidR="000B5A3E" w:rsidRPr="006953D9">
        <w:t xml:space="preserve"> </w:t>
      </w:r>
      <w:r w:rsidRPr="006953D9">
        <w:t>indicators.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fiscal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structural</w:t>
      </w:r>
      <w:r w:rsidR="000B5A3E" w:rsidRPr="006953D9">
        <w:t xml:space="preserve"> </w:t>
      </w:r>
      <w:r w:rsidRPr="006953D9">
        <w:t>imbalances,</w:t>
      </w:r>
      <w:r w:rsidR="000B5A3E" w:rsidRPr="006953D9">
        <w:t xml:space="preserve"> </w:t>
      </w:r>
      <w:r w:rsidRPr="006953D9">
        <w:t>together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exposure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biggest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banks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market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holding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significant</w:t>
      </w:r>
      <w:r w:rsidR="000B5A3E" w:rsidRPr="006953D9">
        <w:t xml:space="preserve"> </w:t>
      </w:r>
      <w:r w:rsidRPr="006953D9">
        <w:t>amount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Bonds,</w:t>
      </w:r>
      <w:r w:rsidR="000B5A3E" w:rsidRPr="006953D9">
        <w:t xml:space="preserve"> </w:t>
      </w:r>
      <w:r w:rsidRPr="006953D9">
        <w:t>played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major</w:t>
      </w:r>
      <w:r w:rsidR="000B5A3E" w:rsidRPr="006953D9">
        <w:t xml:space="preserve"> </w:t>
      </w:r>
      <w:r w:rsidRPr="006953D9">
        <w:t>role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steep</w:t>
      </w:r>
      <w:r w:rsidR="000B5A3E" w:rsidRPr="006953D9">
        <w:t xml:space="preserve"> </w:t>
      </w:r>
      <w:r w:rsidRPr="006953D9">
        <w:t>increase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borrowing</w:t>
      </w:r>
      <w:r w:rsidR="000B5A3E" w:rsidRPr="006953D9">
        <w:t xml:space="preserve"> </w:t>
      </w:r>
      <w:r w:rsidRPr="006953D9">
        <w:t>costs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markets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resulting</w:t>
      </w:r>
      <w:r w:rsidR="000B5A3E" w:rsidRPr="006953D9">
        <w:t xml:space="preserve"> </w:t>
      </w:r>
      <w:r w:rsidRPr="006953D9">
        <w:t>request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assistance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Troika.</w:t>
      </w:r>
    </w:p>
    <w:p w:rsidR="00200C10" w:rsidRPr="006953D9" w:rsidRDefault="00200C10" w:rsidP="00830021">
      <w:pPr>
        <w:pStyle w:val="SingleTxtG"/>
      </w:pPr>
      <w:r w:rsidRPr="006953D9">
        <w:t>40.</w:t>
      </w:r>
      <w:r w:rsidRPr="006953D9">
        <w:tab/>
        <w:t>More</w:t>
      </w:r>
      <w:r w:rsidR="000B5A3E" w:rsidRPr="006953D9">
        <w:t xml:space="preserve"> </w:t>
      </w:r>
      <w:r w:rsidRPr="006953D9">
        <w:t>importantly,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decision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</w:t>
      </w:r>
      <w:r w:rsidR="000B5A3E" w:rsidRPr="006953D9">
        <w:t xml:space="preserve"> </w:t>
      </w:r>
      <w:r w:rsidRPr="006953D9">
        <w:t>group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impose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haircut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uninsured</w:t>
      </w:r>
      <w:r w:rsidR="000B5A3E" w:rsidRPr="006953D9">
        <w:t xml:space="preserve"> </w:t>
      </w:r>
      <w:r w:rsidRPr="006953D9">
        <w:t>deposits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biggest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banks,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had</w:t>
      </w:r>
      <w:r w:rsidR="000B5A3E" w:rsidRPr="006953D9">
        <w:t xml:space="preserve"> </w:t>
      </w:r>
      <w:r w:rsidRPr="006953D9">
        <w:t>significant</w:t>
      </w:r>
      <w:r w:rsidR="000B5A3E" w:rsidRPr="006953D9">
        <w:t xml:space="preserve"> </w:t>
      </w:r>
      <w:r w:rsidRPr="006953D9">
        <w:t>negative</w:t>
      </w:r>
      <w:r w:rsidR="000B5A3E" w:rsidRPr="006953D9">
        <w:t xml:space="preserve"> </w:t>
      </w:r>
      <w:r w:rsidRPr="006953D9">
        <w:t>consequences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main</w:t>
      </w:r>
      <w:r w:rsidR="000B5A3E" w:rsidRPr="006953D9">
        <w:t xml:space="preserve"> </w:t>
      </w:r>
      <w:r w:rsidRPr="006953D9">
        <w:t>drivers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economy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banking</w:t>
      </w:r>
      <w:r w:rsidR="000B5A3E" w:rsidRPr="006953D9">
        <w:t xml:space="preserve"> </w:t>
      </w:r>
      <w:r w:rsidRPr="006953D9">
        <w:t>sector.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abrupt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sudden</w:t>
      </w:r>
      <w:r w:rsidR="000B5A3E" w:rsidRPr="006953D9">
        <w:t xml:space="preserve"> </w:t>
      </w:r>
      <w:r w:rsidRPr="006953D9">
        <w:t>shrinking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banking</w:t>
      </w:r>
      <w:r w:rsidR="000B5A3E" w:rsidRPr="006953D9">
        <w:t xml:space="preserve"> </w:t>
      </w:r>
      <w:r w:rsidRPr="006953D9">
        <w:t>sector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loss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wealth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depositors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unavoidably</w:t>
      </w:r>
      <w:r w:rsidR="000B5A3E" w:rsidRPr="006953D9">
        <w:t xml:space="preserve"> </w:t>
      </w:r>
      <w:r w:rsidRPr="006953D9">
        <w:t>affecting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real</w:t>
      </w:r>
      <w:r w:rsidR="000B5A3E" w:rsidRPr="006953D9">
        <w:t xml:space="preserve"> </w:t>
      </w:r>
      <w:r w:rsidRPr="006953D9">
        <w:t>economy.</w:t>
      </w:r>
    </w:p>
    <w:p w:rsidR="00200C10" w:rsidRPr="006953D9" w:rsidRDefault="00200C10" w:rsidP="00830021">
      <w:pPr>
        <w:pStyle w:val="SingleTxtG"/>
      </w:pPr>
      <w:r w:rsidRPr="006953D9">
        <w:t>41.</w:t>
      </w:r>
      <w:r w:rsidRPr="006953D9">
        <w:tab/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economy</w:t>
      </w:r>
      <w:r w:rsidR="000B5A3E" w:rsidRPr="006953D9">
        <w:t xml:space="preserve"> </w:t>
      </w:r>
      <w:r w:rsidRPr="006953D9">
        <w:t>achieved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growth</w:t>
      </w:r>
      <w:r w:rsidR="000B5A3E" w:rsidRPr="006953D9">
        <w:t xml:space="preserve"> </w:t>
      </w:r>
      <w:r w:rsidRPr="006953D9">
        <w:t>rate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2.8%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real</w:t>
      </w:r>
      <w:r w:rsidR="000B5A3E" w:rsidRPr="006953D9">
        <w:t xml:space="preserve"> </w:t>
      </w:r>
      <w:r w:rsidRPr="006953D9">
        <w:t>terms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2016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2017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2018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estimated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grow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2.9%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each</w:t>
      </w:r>
      <w:r w:rsidR="000B5A3E" w:rsidRPr="006953D9">
        <w:t xml:space="preserve"> </w:t>
      </w:r>
      <w:r w:rsidRPr="006953D9">
        <w:t>year.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years</w:t>
      </w:r>
      <w:r w:rsidR="000B5A3E" w:rsidRPr="006953D9">
        <w:t xml:space="preserve"> </w:t>
      </w:r>
      <w:r w:rsidRPr="006953D9">
        <w:t>2019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2020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estimated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continue</w:t>
      </w:r>
      <w:r w:rsidR="000B5A3E" w:rsidRPr="006953D9">
        <w:t xml:space="preserve"> </w:t>
      </w:r>
      <w:r w:rsidRPr="006953D9">
        <w:t>growing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2.7%.</w:t>
      </w:r>
    </w:p>
    <w:p w:rsidR="00200C10" w:rsidRPr="006953D9" w:rsidRDefault="00200C10" w:rsidP="00830021">
      <w:pPr>
        <w:pStyle w:val="SingleTxtG"/>
      </w:pPr>
      <w:r w:rsidRPr="006953D9">
        <w:t>42.</w:t>
      </w:r>
      <w:r w:rsidRPr="006953D9">
        <w:tab/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medium-term,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outlook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economy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expected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continue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improve</w:t>
      </w:r>
      <w:r w:rsidR="000B5A3E" w:rsidRPr="006953D9">
        <w:t xml:space="preserve"> </w:t>
      </w:r>
      <w:r w:rsidRPr="006953D9">
        <w:t>even</w:t>
      </w:r>
      <w:r w:rsidR="000B5A3E" w:rsidRPr="006953D9">
        <w:t xml:space="preserve"> </w:t>
      </w:r>
      <w:r w:rsidRPr="006953D9">
        <w:t>further.</w:t>
      </w:r>
      <w:r w:rsidR="000B5A3E" w:rsidRPr="006953D9">
        <w:t xml:space="preserve"> </w:t>
      </w:r>
      <w:r w:rsidRPr="006953D9">
        <w:t>Due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environment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improved</w:t>
      </w:r>
      <w:r w:rsidR="000B5A3E" w:rsidRPr="006953D9">
        <w:t xml:space="preserve"> </w:t>
      </w:r>
      <w:r w:rsidRPr="006953D9">
        <w:t>confidence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credit</w:t>
      </w:r>
      <w:r w:rsidR="000B5A3E" w:rsidRPr="006953D9">
        <w:t xml:space="preserve"> </w:t>
      </w:r>
      <w:r w:rsidRPr="006953D9">
        <w:t>conditions,</w:t>
      </w:r>
      <w:r w:rsidR="000B5A3E" w:rsidRPr="006953D9">
        <w:t xml:space="preserve"> </w:t>
      </w:r>
      <w:r w:rsidRPr="006953D9">
        <w:t>created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continuing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restructuring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banking</w:t>
      </w:r>
      <w:r w:rsidR="000B5A3E" w:rsidRPr="006953D9">
        <w:t xml:space="preserve"> </w:t>
      </w:r>
      <w:r w:rsidRPr="006953D9">
        <w:t>system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anticipated</w:t>
      </w:r>
      <w:r w:rsidR="000B5A3E" w:rsidRPr="006953D9">
        <w:t xml:space="preserve"> </w:t>
      </w:r>
      <w:r w:rsidRPr="006953D9">
        <w:t>gradual</w:t>
      </w:r>
      <w:r w:rsidR="000B5A3E" w:rsidRPr="006953D9">
        <w:t xml:space="preserve"> </w:t>
      </w:r>
      <w:r w:rsidRPr="006953D9">
        <w:t>reduction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non-performing</w:t>
      </w:r>
      <w:r w:rsidR="000B5A3E" w:rsidRPr="006953D9">
        <w:t xml:space="preserve"> </w:t>
      </w:r>
      <w:r w:rsidRPr="006953D9">
        <w:t>loans,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gradual</w:t>
      </w:r>
      <w:r w:rsidR="000B5A3E" w:rsidRPr="006953D9">
        <w:t xml:space="preserve"> </w:t>
      </w:r>
      <w:r w:rsidRPr="006953D9">
        <w:t>normalization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labour</w:t>
      </w:r>
      <w:r w:rsidR="000B5A3E" w:rsidRPr="006953D9">
        <w:t xml:space="preserve"> </w:t>
      </w:r>
      <w:r w:rsidRPr="006953D9">
        <w:t>market,</w:t>
      </w:r>
      <w:r w:rsidR="000B5A3E" w:rsidRPr="006953D9">
        <w:t xml:space="preserve"> </w:t>
      </w:r>
      <w:r w:rsidRPr="006953D9">
        <w:t>growth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expected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remain</w:t>
      </w:r>
      <w:r w:rsidR="000B5A3E" w:rsidRPr="006953D9">
        <w:t xml:space="preserve"> </w:t>
      </w:r>
      <w:r w:rsidRPr="006953D9">
        <w:t>robust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forecast</w:t>
      </w:r>
      <w:r w:rsidR="000B5A3E" w:rsidRPr="006953D9">
        <w:t xml:space="preserve"> </w:t>
      </w:r>
      <w:r w:rsidRPr="006953D9">
        <w:t>horizon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Programme.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improved</w:t>
      </w:r>
      <w:r w:rsidR="000B5A3E" w:rsidRPr="006953D9">
        <w:t xml:space="preserve"> </w:t>
      </w:r>
      <w:r w:rsidRPr="006953D9">
        <w:t>macroeconomic</w:t>
      </w:r>
      <w:r w:rsidR="000B5A3E" w:rsidRPr="006953D9">
        <w:t xml:space="preserve"> </w:t>
      </w:r>
      <w:r w:rsidRPr="006953D9">
        <w:t>environment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expected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improve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attractiveness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economy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expected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boost</w:t>
      </w:r>
      <w:r w:rsidR="000B5A3E" w:rsidRPr="006953D9">
        <w:t xml:space="preserve"> </w:t>
      </w:r>
      <w:r w:rsidRPr="006953D9">
        <w:t>investment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external</w:t>
      </w:r>
      <w:r w:rsidR="000B5A3E" w:rsidRPr="006953D9">
        <w:t xml:space="preserve"> </w:t>
      </w:r>
      <w:r w:rsidRPr="006953D9">
        <w:t>demand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services</w:t>
      </w:r>
      <w:r w:rsidR="000B5A3E" w:rsidRPr="006953D9">
        <w:t xml:space="preserve"> </w:t>
      </w:r>
      <w:r w:rsidRPr="006953D9">
        <w:t>contributing</w:t>
      </w:r>
      <w:r w:rsidR="000B5A3E" w:rsidRPr="006953D9">
        <w:t xml:space="preserve"> </w:t>
      </w:r>
      <w:r w:rsidRPr="006953D9">
        <w:t>positively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growth.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addition,</w:t>
      </w:r>
      <w:r w:rsidR="000B5A3E" w:rsidRPr="006953D9">
        <w:t xml:space="preserve"> </w:t>
      </w:r>
      <w:r w:rsidRPr="006953D9">
        <w:t>fiscal</w:t>
      </w:r>
      <w:r w:rsidR="000B5A3E" w:rsidRPr="006953D9">
        <w:t xml:space="preserve"> </w:t>
      </w:r>
      <w:r w:rsidRPr="006953D9">
        <w:t>policy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expected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contribute</w:t>
      </w:r>
      <w:r w:rsidR="000B5A3E" w:rsidRPr="006953D9">
        <w:t xml:space="preserve"> </w:t>
      </w:r>
      <w:r w:rsidRPr="006953D9">
        <w:t>positively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growth</w:t>
      </w:r>
      <w:r w:rsidR="000B5A3E" w:rsidRPr="006953D9">
        <w:t xml:space="preserve"> </w:t>
      </w:r>
      <w:r w:rsidRPr="006953D9">
        <w:t>through</w:t>
      </w:r>
      <w:r w:rsidR="000B5A3E" w:rsidRPr="006953D9">
        <w:t xml:space="preserve"> </w:t>
      </w:r>
      <w:r w:rsidRPr="006953D9">
        <w:t>increased</w:t>
      </w:r>
      <w:r w:rsidR="000B5A3E" w:rsidRPr="006953D9">
        <w:t xml:space="preserve"> </w:t>
      </w:r>
      <w:r w:rsidRPr="006953D9">
        <w:t>investment</w:t>
      </w:r>
      <w:r w:rsidR="000B5A3E" w:rsidRPr="006953D9">
        <w:t xml:space="preserve"> </w:t>
      </w:r>
      <w:r w:rsidRPr="006953D9">
        <w:t>expenditures.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2017,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economy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estimated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expand</w:t>
      </w:r>
      <w:r w:rsidR="000B5A3E" w:rsidRPr="006953D9">
        <w:t xml:space="preserve"> </w:t>
      </w:r>
      <w:r w:rsidRPr="006953D9">
        <w:t>further,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real</w:t>
      </w:r>
      <w:r w:rsidR="000B5A3E" w:rsidRPr="006953D9">
        <w:t xml:space="preserve"> </w:t>
      </w:r>
      <w:r w:rsidRPr="006953D9">
        <w:t>terms,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around</w:t>
      </w:r>
      <w:r w:rsidR="000B5A3E" w:rsidRPr="006953D9">
        <w:t xml:space="preserve"> </w:t>
      </w:r>
      <w:r w:rsidRPr="006953D9">
        <w:t>2.9%.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primarily</w:t>
      </w:r>
      <w:r w:rsidR="000B5A3E" w:rsidRPr="006953D9">
        <w:t xml:space="preserve"> </w:t>
      </w:r>
      <w:r w:rsidRPr="006953D9">
        <w:t>supported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continued</w:t>
      </w:r>
      <w:r w:rsidR="000B5A3E" w:rsidRPr="006953D9">
        <w:t xml:space="preserve"> </w:t>
      </w:r>
      <w:r w:rsidRPr="006953D9">
        <w:t>positive</w:t>
      </w:r>
      <w:r w:rsidR="000B5A3E" w:rsidRPr="006953D9">
        <w:t xml:space="preserve"> </w:t>
      </w:r>
      <w:r w:rsidRPr="006953D9">
        <w:t>contribution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consumption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growth,</w:t>
      </w:r>
      <w:r w:rsidR="000B5A3E" w:rsidRPr="006953D9">
        <w:t xml:space="preserve"> </w:t>
      </w:r>
      <w:r w:rsidRPr="006953D9">
        <w:t>driven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improvement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disposable</w:t>
      </w:r>
      <w:r w:rsidR="000B5A3E" w:rsidRPr="006953D9">
        <w:t xml:space="preserve"> </w:t>
      </w:r>
      <w:r w:rsidRPr="006953D9">
        <w:t>incomes,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net</w:t>
      </w:r>
      <w:r w:rsidR="000B5A3E" w:rsidRPr="006953D9">
        <w:t xml:space="preserve"> </w:t>
      </w:r>
      <w:r w:rsidRPr="006953D9">
        <w:t>exports.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particular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employment,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positive</w:t>
      </w:r>
      <w:r w:rsidR="000B5A3E" w:rsidRPr="006953D9">
        <w:t xml:space="preserve"> </w:t>
      </w:r>
      <w:r w:rsidRPr="006953D9">
        <w:t>trend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2015</w:t>
      </w:r>
      <w:r w:rsidR="000E6337" w:rsidRPr="006953D9">
        <w:t>–</w:t>
      </w:r>
      <w:r w:rsidRPr="006953D9">
        <w:t>1016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expected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continue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line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growth</w:t>
      </w:r>
      <w:r w:rsidR="000B5A3E" w:rsidRPr="006953D9">
        <w:t xml:space="preserve"> </w:t>
      </w:r>
      <w:r w:rsidRPr="006953D9">
        <w:t>expectations.</w:t>
      </w:r>
      <w:r w:rsidR="000B5A3E" w:rsidRPr="006953D9">
        <w:t xml:space="preserve"> </w:t>
      </w:r>
      <w:r w:rsidRPr="006953D9">
        <w:t>Growth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forecast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remain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2.9%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2018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then</w:t>
      </w:r>
      <w:r w:rsidR="000B5A3E" w:rsidRPr="006953D9">
        <w:t xml:space="preserve"> </w:t>
      </w:r>
      <w:r w:rsidRPr="006953D9">
        <w:t>marginally</w:t>
      </w:r>
      <w:r w:rsidR="000B5A3E" w:rsidRPr="006953D9">
        <w:t xml:space="preserve"> </w:t>
      </w:r>
      <w:r w:rsidRPr="006953D9">
        <w:t>decline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about</w:t>
      </w:r>
      <w:r w:rsidR="000B5A3E" w:rsidRPr="006953D9">
        <w:t xml:space="preserve"> </w:t>
      </w:r>
      <w:r w:rsidRPr="006953D9">
        <w:t>2.7%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2019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2020.</w:t>
      </w:r>
      <w:r w:rsidR="000B5A3E" w:rsidRPr="006953D9">
        <w:t xml:space="preserve"> </w:t>
      </w:r>
      <w:r w:rsidRPr="006953D9">
        <w:t>Inflation,</w:t>
      </w:r>
      <w:r w:rsidR="000B5A3E" w:rsidRPr="006953D9">
        <w:t xml:space="preserve"> </w:t>
      </w:r>
      <w:r w:rsidRPr="006953D9">
        <w:t>measured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HICP,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forecast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turn</w:t>
      </w:r>
      <w:r w:rsidR="000B5A3E" w:rsidRPr="006953D9">
        <w:t xml:space="preserve"> </w:t>
      </w:r>
      <w:r w:rsidRPr="006953D9">
        <w:t>positive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2017</w:t>
      </w:r>
      <w:r w:rsidR="000B5A3E" w:rsidRPr="006953D9">
        <w:t xml:space="preserve"> </w:t>
      </w:r>
      <w:r w:rsidRPr="006953D9">
        <w:t>rising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1.1%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then</w:t>
      </w:r>
      <w:r w:rsidR="000B5A3E" w:rsidRPr="006953D9">
        <w:t xml:space="preserve"> </w:t>
      </w:r>
      <w:r w:rsidRPr="006953D9">
        <w:t>projected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marginally</w:t>
      </w:r>
      <w:r w:rsidR="000B5A3E" w:rsidRPr="006953D9">
        <w:t xml:space="preserve"> </w:t>
      </w:r>
      <w:r w:rsidRPr="006953D9">
        <w:t>decline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1.0%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2018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then</w:t>
      </w:r>
      <w:r w:rsidR="000B5A3E" w:rsidRPr="006953D9">
        <w:t xml:space="preserve"> </w:t>
      </w:r>
      <w:r w:rsidRPr="006953D9">
        <w:t>climb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1.5%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2.0%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2019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2020,</w:t>
      </w:r>
      <w:r w:rsidR="000B5A3E" w:rsidRPr="006953D9">
        <w:t xml:space="preserve"> </w:t>
      </w:r>
      <w:r w:rsidRPr="006953D9">
        <w:t>respectively.</w:t>
      </w:r>
      <w:r w:rsidR="000B5A3E" w:rsidRPr="006953D9">
        <w:t xml:space="preserve"> </w:t>
      </w:r>
      <w:r w:rsidRPr="006953D9">
        <w:t>Growth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estimated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remain</w:t>
      </w:r>
      <w:r w:rsidR="000B5A3E" w:rsidRPr="006953D9">
        <w:t xml:space="preserve"> </w:t>
      </w:r>
      <w:r w:rsidRPr="006953D9">
        <w:t>relatively</w:t>
      </w:r>
      <w:r w:rsidR="000B5A3E" w:rsidRPr="006953D9">
        <w:t xml:space="preserve"> </w:t>
      </w:r>
      <w:r w:rsidRPr="006953D9">
        <w:t>strong</w:t>
      </w:r>
      <w:r w:rsidR="000B5A3E" w:rsidRPr="006953D9">
        <w:t xml:space="preserve"> </w:t>
      </w:r>
      <w:r w:rsidRPr="006953D9">
        <w:t>over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projected</w:t>
      </w:r>
      <w:r w:rsidR="000B5A3E" w:rsidRPr="006953D9">
        <w:t xml:space="preserve"> </w:t>
      </w:r>
      <w:r w:rsidRPr="006953D9">
        <w:t>horizon,</w:t>
      </w:r>
      <w:r w:rsidR="000B5A3E" w:rsidRPr="006953D9">
        <w:t xml:space="preserve"> </w:t>
      </w:r>
      <w:r w:rsidRPr="006953D9">
        <w:t>mostly</w:t>
      </w:r>
      <w:r w:rsidR="000B5A3E" w:rsidRPr="006953D9">
        <w:t xml:space="preserve"> </w:t>
      </w:r>
      <w:r w:rsidRPr="006953D9">
        <w:t>due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internal</w:t>
      </w:r>
      <w:r w:rsidR="000B5A3E" w:rsidRPr="006953D9">
        <w:t xml:space="preserve"> </w:t>
      </w:r>
      <w:r w:rsidRPr="006953D9">
        <w:t>drivers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lesser</w:t>
      </w:r>
      <w:r w:rsidR="000B5A3E" w:rsidRPr="006953D9">
        <w:t xml:space="preserve"> </w:t>
      </w:r>
      <w:r w:rsidRPr="006953D9">
        <w:t>extend</w:t>
      </w:r>
      <w:r w:rsidR="000B5A3E" w:rsidRPr="006953D9">
        <w:t xml:space="preserve"> </w:t>
      </w:r>
      <w:r w:rsidRPr="006953D9">
        <w:t>external</w:t>
      </w:r>
      <w:r w:rsidR="000B5A3E" w:rsidRPr="006953D9">
        <w:t xml:space="preserve"> </w:t>
      </w:r>
      <w:r w:rsidRPr="006953D9">
        <w:t>drivers.</w:t>
      </w:r>
      <w:r w:rsidR="000B5A3E" w:rsidRPr="006953D9">
        <w:t xml:space="preserve"> </w:t>
      </w:r>
      <w:r w:rsidRPr="006953D9">
        <w:t>Consumption</w:t>
      </w:r>
      <w:r w:rsidR="000B5A3E" w:rsidRPr="006953D9">
        <w:t xml:space="preserve"> </w:t>
      </w:r>
      <w:r w:rsidRPr="006953D9">
        <w:t>will</w:t>
      </w:r>
      <w:r w:rsidR="000B5A3E" w:rsidRPr="006953D9">
        <w:t xml:space="preserve"> </w:t>
      </w:r>
      <w:r w:rsidRPr="006953D9">
        <w:t>continue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provide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positive</w:t>
      </w:r>
      <w:r w:rsidR="000B5A3E" w:rsidRPr="006953D9">
        <w:t xml:space="preserve"> </w:t>
      </w:r>
      <w:r w:rsidRPr="006953D9">
        <w:t>contribution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growth,</w:t>
      </w:r>
      <w:r w:rsidR="000B5A3E" w:rsidRPr="006953D9">
        <w:t xml:space="preserve"> </w:t>
      </w:r>
      <w:r w:rsidRPr="006953D9">
        <w:t>mainly</w:t>
      </w:r>
      <w:r w:rsidR="000B5A3E" w:rsidRPr="006953D9">
        <w:t xml:space="preserve"> </w:t>
      </w:r>
      <w:r w:rsidRPr="006953D9">
        <w:t>due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labour</w:t>
      </w:r>
      <w:r w:rsidR="000B5A3E" w:rsidRPr="006953D9">
        <w:t xml:space="preserve"> </w:t>
      </w:r>
      <w:r w:rsidRPr="006953D9">
        <w:t>market</w:t>
      </w:r>
      <w:r w:rsidR="000B5A3E" w:rsidRPr="006953D9">
        <w:t xml:space="preserve"> </w:t>
      </w:r>
      <w:r w:rsidRPr="006953D9">
        <w:t>developments,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secondary</w:t>
      </w:r>
      <w:r w:rsidR="000B5A3E" w:rsidRPr="006953D9">
        <w:t xml:space="preserve"> </w:t>
      </w:r>
      <w:r w:rsidRPr="006953D9">
        <w:t>effects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export</w:t>
      </w:r>
      <w:r w:rsidR="000B5A3E" w:rsidRPr="006953D9">
        <w:t xml:space="preserve"> </w:t>
      </w:r>
      <w:r w:rsidRPr="006953D9">
        <w:t>oriented</w:t>
      </w:r>
      <w:r w:rsidR="000B5A3E" w:rsidRPr="006953D9">
        <w:t xml:space="preserve"> </w:t>
      </w:r>
      <w:r w:rsidRPr="006953D9">
        <w:t>service</w:t>
      </w:r>
      <w:r w:rsidR="000B5A3E" w:rsidRPr="006953D9">
        <w:t xml:space="preserve"> </w:t>
      </w:r>
      <w:r w:rsidRPr="006953D9">
        <w:t>sectors.</w:t>
      </w:r>
      <w:r w:rsidR="000B5A3E" w:rsidRPr="006953D9">
        <w:t xml:space="preserve"> </w:t>
      </w:r>
      <w:r w:rsidRPr="006953D9">
        <w:t>Investment</w:t>
      </w:r>
      <w:r w:rsidR="000B5A3E" w:rsidRPr="006953D9">
        <w:t xml:space="preserve"> </w:t>
      </w:r>
      <w:r w:rsidRPr="006953D9">
        <w:t>growth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estimated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continue</w:t>
      </w:r>
      <w:r w:rsidR="000B5A3E" w:rsidRPr="006953D9">
        <w:t xml:space="preserve"> </w:t>
      </w:r>
      <w:r w:rsidRPr="006953D9">
        <w:t>contributing</w:t>
      </w:r>
      <w:r w:rsidR="000B5A3E" w:rsidRPr="006953D9">
        <w:t xml:space="preserve"> </w:t>
      </w:r>
      <w:r w:rsidRPr="006953D9">
        <w:t>positively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growth,</w:t>
      </w:r>
      <w:r w:rsidR="000B5A3E" w:rsidRPr="006953D9">
        <w:t xml:space="preserve"> </w:t>
      </w:r>
      <w:r w:rsidRPr="006953D9">
        <w:t>albeit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more</w:t>
      </w:r>
      <w:r w:rsidR="000B5A3E" w:rsidRPr="006953D9">
        <w:t xml:space="preserve"> </w:t>
      </w:r>
      <w:r w:rsidRPr="006953D9">
        <w:t>moderate</w:t>
      </w:r>
      <w:r w:rsidR="000B5A3E" w:rsidRPr="006953D9">
        <w:t xml:space="preserve"> </w:t>
      </w:r>
      <w:r w:rsidRPr="006953D9">
        <w:t>levels</w:t>
      </w:r>
      <w:r w:rsidR="000B5A3E" w:rsidRPr="006953D9">
        <w:t xml:space="preserve"> </w:t>
      </w:r>
      <w:r w:rsidRPr="006953D9">
        <w:t>compared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2016,</w:t>
      </w:r>
      <w:r w:rsidR="000B5A3E" w:rsidRPr="006953D9">
        <w:t xml:space="preserve"> </w:t>
      </w:r>
      <w:r w:rsidRPr="006953D9">
        <w:t>due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significant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projects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being</w:t>
      </w:r>
      <w:r w:rsidR="000B5A3E" w:rsidRPr="006953D9">
        <w:t xml:space="preserve"> </w:t>
      </w:r>
      <w:r w:rsidRPr="006953D9">
        <w:t>implemented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tourism,</w:t>
      </w:r>
      <w:r w:rsidR="000B5A3E" w:rsidRPr="006953D9">
        <w:t xml:space="preserve"> </w:t>
      </w:r>
      <w:r w:rsidRPr="006953D9">
        <w:t>transport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education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include</w:t>
      </w:r>
      <w:r w:rsidR="000B5A3E" w:rsidRPr="006953D9">
        <w:t xml:space="preserve"> </w:t>
      </w:r>
      <w:r w:rsidRPr="006953D9">
        <w:t>inter</w:t>
      </w:r>
      <w:r w:rsidR="000B5A3E" w:rsidRPr="006953D9">
        <w:t xml:space="preserve"> </w:t>
      </w:r>
      <w:r w:rsidRPr="006953D9">
        <w:t>alia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construction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Marinas,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casino</w:t>
      </w:r>
      <w:r w:rsidR="000B5A3E" w:rsidRPr="006953D9">
        <w:t xml:space="preserve"> </w:t>
      </w:r>
      <w:r w:rsidRPr="006953D9">
        <w:t>resort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infrastructure</w:t>
      </w:r>
      <w:r w:rsidR="000B5A3E" w:rsidRPr="006953D9">
        <w:t xml:space="preserve"> </w:t>
      </w:r>
      <w:r w:rsidRPr="006953D9">
        <w:t>development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University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lastRenderedPageBreak/>
        <w:t>43.</w:t>
      </w:r>
      <w:r w:rsidRPr="006953D9">
        <w:tab/>
        <w:t>The</w:t>
      </w:r>
      <w:r w:rsidR="000B5A3E" w:rsidRPr="006953D9">
        <w:t xml:space="preserve"> </w:t>
      </w:r>
      <w:r w:rsidRPr="006953D9">
        <w:t>per</w:t>
      </w:r>
      <w:r w:rsidR="000B5A3E" w:rsidRPr="006953D9">
        <w:t xml:space="preserve"> </w:t>
      </w:r>
      <w:r w:rsidRPr="006953D9">
        <w:t>capita</w:t>
      </w:r>
      <w:r w:rsidR="000B5A3E" w:rsidRPr="006953D9">
        <w:t xml:space="preserve"> </w:t>
      </w:r>
      <w:r w:rsidRPr="006953D9">
        <w:t>GDP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purchasing</w:t>
      </w:r>
      <w:r w:rsidR="000B5A3E" w:rsidRPr="006953D9">
        <w:t xml:space="preserve"> </w:t>
      </w:r>
      <w:r w:rsidRPr="006953D9">
        <w:t>power</w:t>
      </w:r>
      <w:r w:rsidR="000B5A3E" w:rsidRPr="006953D9">
        <w:t xml:space="preserve"> </w:t>
      </w:r>
      <w:r w:rsidRPr="006953D9">
        <w:t>parities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2016</w:t>
      </w:r>
      <w:r w:rsidR="000B5A3E" w:rsidRPr="006953D9">
        <w:t xml:space="preserve"> </w:t>
      </w:r>
      <w:r w:rsidRPr="006953D9">
        <w:t>stood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81%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</w:t>
      </w:r>
      <w:r w:rsidR="000B5A3E" w:rsidRPr="006953D9">
        <w:t xml:space="preserve"> </w:t>
      </w:r>
      <w:r w:rsidRPr="006953D9">
        <w:t>average</w:t>
      </w:r>
      <w:r w:rsidR="000B5A3E" w:rsidRPr="006953D9">
        <w:t xml:space="preserve"> </w:t>
      </w:r>
      <w:r w:rsidRPr="006953D9">
        <w:t>(28</w:t>
      </w:r>
      <w:r w:rsidR="000B5A3E" w:rsidRPr="006953D9">
        <w:t xml:space="preserve"> </w:t>
      </w:r>
      <w:r w:rsidRPr="006953D9">
        <w:t>countries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time).</w:t>
      </w:r>
    </w:p>
    <w:p w:rsidR="00200C10" w:rsidRPr="006953D9" w:rsidRDefault="00200C10" w:rsidP="000D6098">
      <w:pPr>
        <w:pStyle w:val="H1G"/>
      </w:pPr>
      <w:r w:rsidRPr="006953D9">
        <w:tab/>
      </w:r>
      <w:bookmarkStart w:id="4" w:name="_Toc509325397"/>
      <w:r w:rsidRPr="006953D9">
        <w:t>Β.</w:t>
      </w:r>
      <w:r w:rsidRPr="006953D9">
        <w:tab/>
        <w:t>Constitutional,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structure</w:t>
      </w:r>
      <w:bookmarkEnd w:id="4"/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44.</w:t>
      </w:r>
      <w:r w:rsidRPr="006953D9">
        <w:tab/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established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16</w:t>
      </w:r>
      <w:r w:rsidR="000B5A3E" w:rsidRPr="006953D9">
        <w:t xml:space="preserve"> </w:t>
      </w:r>
      <w:r w:rsidRPr="006953D9">
        <w:t>August</w:t>
      </w:r>
      <w:r w:rsidR="000B5A3E" w:rsidRPr="006953D9">
        <w:t xml:space="preserve"> </w:t>
      </w:r>
      <w:r w:rsidRPr="006953D9">
        <w:t>1960,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coming</w:t>
      </w:r>
      <w:r w:rsidR="000B5A3E" w:rsidRPr="006953D9">
        <w:t xml:space="preserve"> </w:t>
      </w:r>
      <w:r w:rsidRPr="006953D9">
        <w:t>into</w:t>
      </w:r>
      <w:r w:rsidR="000B5A3E" w:rsidRPr="006953D9">
        <w:t xml:space="preserve"> </w:t>
      </w:r>
      <w:r w:rsidRPr="006953D9">
        <w:t>force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three</w:t>
      </w:r>
      <w:r w:rsidR="000B5A3E" w:rsidRPr="006953D9">
        <w:t xml:space="preserve"> </w:t>
      </w:r>
      <w:r w:rsidRPr="006953D9">
        <w:t>main</w:t>
      </w:r>
      <w:r w:rsidR="000B5A3E" w:rsidRPr="006953D9">
        <w:t xml:space="preserve"> </w:t>
      </w:r>
      <w:r w:rsidRPr="006953D9">
        <w:t>treaties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Constitution,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origin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Zurich</w:t>
      </w:r>
      <w:r w:rsidR="000B5A3E" w:rsidRPr="006953D9">
        <w:t xml:space="preserve"> </w:t>
      </w:r>
      <w:r w:rsidRPr="006953D9">
        <w:t>Agreement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11</w:t>
      </w:r>
      <w:r w:rsidR="000B5A3E" w:rsidRPr="006953D9">
        <w:t xml:space="preserve"> </w:t>
      </w:r>
      <w:r w:rsidRPr="006953D9">
        <w:t>February</w:t>
      </w:r>
      <w:r w:rsidR="000B5A3E" w:rsidRPr="006953D9">
        <w:t xml:space="preserve"> </w:t>
      </w:r>
      <w:r w:rsidRPr="006953D9">
        <w:t>1959</w:t>
      </w:r>
      <w:r w:rsidR="000B5A3E" w:rsidRPr="006953D9">
        <w:t xml:space="preserve"> </w:t>
      </w:r>
      <w:r w:rsidRPr="006953D9">
        <w:t>between</w:t>
      </w:r>
      <w:r w:rsidR="000B5A3E" w:rsidRPr="006953D9">
        <w:t xml:space="preserve"> </w:t>
      </w:r>
      <w:r w:rsidRPr="006953D9">
        <w:t>Greece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Turkey,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London</w:t>
      </w:r>
      <w:r w:rsidR="000B5A3E" w:rsidRPr="006953D9">
        <w:t xml:space="preserve"> </w:t>
      </w:r>
      <w:r w:rsidRPr="006953D9">
        <w:t>Agreement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19</w:t>
      </w:r>
      <w:r w:rsidR="000B5A3E" w:rsidRPr="006953D9">
        <w:t xml:space="preserve"> </w:t>
      </w:r>
      <w:r w:rsidRPr="006953D9">
        <w:t>February</w:t>
      </w:r>
      <w:r w:rsidR="000B5A3E" w:rsidRPr="006953D9">
        <w:t xml:space="preserve"> </w:t>
      </w:r>
      <w:r w:rsidRPr="006953D9">
        <w:t>1959</w:t>
      </w:r>
      <w:r w:rsidR="000B5A3E" w:rsidRPr="006953D9">
        <w:t xml:space="preserve"> </w:t>
      </w:r>
      <w:r w:rsidRPr="006953D9">
        <w:t>between</w:t>
      </w:r>
      <w:r w:rsidR="000B5A3E" w:rsidRPr="006953D9">
        <w:t xml:space="preserve"> </w:t>
      </w:r>
      <w:r w:rsidRPr="006953D9">
        <w:t>Greece,</w:t>
      </w:r>
      <w:r w:rsidR="000B5A3E" w:rsidRPr="006953D9">
        <w:t xml:space="preserve"> </w:t>
      </w:r>
      <w:r w:rsidRPr="006953D9">
        <w:t>Turkey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Kingdom.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three</w:t>
      </w:r>
      <w:r w:rsidR="000B5A3E" w:rsidRPr="006953D9">
        <w:t xml:space="preserve"> </w:t>
      </w:r>
      <w:r w:rsidRPr="006953D9">
        <w:t>main</w:t>
      </w:r>
      <w:r w:rsidR="000B5A3E" w:rsidRPr="006953D9">
        <w:t xml:space="preserve"> </w:t>
      </w:r>
      <w:r w:rsidRPr="006953D9">
        <w:t>treaties</w:t>
      </w:r>
      <w:r w:rsidR="000B5A3E" w:rsidRPr="006953D9">
        <w:t xml:space="preserve"> </w:t>
      </w:r>
      <w:r w:rsidRPr="006953D9">
        <w:t>are:</w:t>
      </w:r>
      <w:r w:rsidR="000B5A3E" w:rsidRPr="006953D9">
        <w:t xml:space="preserve"> </w:t>
      </w:r>
    </w:p>
    <w:p w:rsidR="00200C10" w:rsidRPr="006953D9" w:rsidRDefault="000D6098" w:rsidP="00830021">
      <w:pPr>
        <w:pStyle w:val="SingleTxtG"/>
      </w:pPr>
      <w:r w:rsidRPr="006953D9">
        <w:tab/>
      </w:r>
      <w:r w:rsidR="00200C10" w:rsidRPr="006953D9">
        <w:t>(a)</w:t>
      </w:r>
      <w:r w:rsidR="00200C10" w:rsidRPr="006953D9">
        <w:tab/>
      </w:r>
      <w:r w:rsidR="00200C10" w:rsidRPr="00161578">
        <w:rPr>
          <w:b/>
          <w:bCs/>
        </w:rPr>
        <w:t>The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Treaty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concerning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the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Establishment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of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the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Republic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of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Cyprus</w:t>
      </w:r>
      <w:r w:rsidR="000B5A3E" w:rsidRPr="006953D9">
        <w:t xml:space="preserve"> </w:t>
      </w:r>
      <w:r w:rsidR="00200C10" w:rsidRPr="006953D9">
        <w:t>signed</w:t>
      </w:r>
      <w:r w:rsidR="000B5A3E" w:rsidRPr="006953D9">
        <w:t xml:space="preserve"> </w:t>
      </w:r>
      <w:r w:rsidR="00200C10" w:rsidRPr="006953D9">
        <w:t>by</w:t>
      </w:r>
      <w:r w:rsidR="000B5A3E" w:rsidRPr="006953D9">
        <w:t xml:space="preserve"> </w:t>
      </w:r>
      <w:r w:rsidR="00200C10" w:rsidRPr="006953D9">
        <w:t>Cyprus,</w:t>
      </w:r>
      <w:r w:rsidR="000B5A3E" w:rsidRPr="006953D9">
        <w:t xml:space="preserve"> </w:t>
      </w:r>
      <w:r w:rsidR="00200C10" w:rsidRPr="006953D9">
        <w:t>Greece,</w:t>
      </w:r>
      <w:r w:rsidR="000B5A3E" w:rsidRPr="006953D9">
        <w:t xml:space="preserve"> </w:t>
      </w:r>
      <w:r w:rsidR="00200C10" w:rsidRPr="006953D9">
        <w:t>Turkey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United</w:t>
      </w:r>
      <w:r w:rsidR="000B5A3E" w:rsidRPr="006953D9">
        <w:t xml:space="preserve"> </w:t>
      </w:r>
      <w:r w:rsidR="00200C10" w:rsidRPr="006953D9">
        <w:t>Kingdom.</w:t>
      </w:r>
      <w:r w:rsidR="000B5A3E" w:rsidRPr="006953D9">
        <w:t xml:space="preserve"> </w:t>
      </w:r>
      <w:r w:rsidR="00200C10" w:rsidRPr="006953D9">
        <w:t>This</w:t>
      </w:r>
      <w:r w:rsidR="000B5A3E" w:rsidRPr="006953D9">
        <w:t xml:space="preserve"> </w:t>
      </w:r>
      <w:r w:rsidR="00200C10" w:rsidRPr="006953D9">
        <w:t>provided</w:t>
      </w:r>
      <w:r w:rsidR="000B5A3E" w:rsidRPr="006953D9">
        <w:t xml:space="preserve"> </w:t>
      </w:r>
      <w:r w:rsidR="00200C10" w:rsidRPr="006953D9">
        <w:t>for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establishment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Republic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Cyprus</w:t>
      </w:r>
      <w:r w:rsidR="000B5A3E" w:rsidRPr="006953D9">
        <w:t xml:space="preserve"> </w:t>
      </w:r>
      <w:r w:rsidR="00200C10" w:rsidRPr="006953D9">
        <w:t>and,</w:t>
      </w:r>
      <w:r w:rsidR="000B5A3E" w:rsidRPr="006953D9">
        <w:t xml:space="preserve"> </w:t>
      </w:r>
      <w:r w:rsidR="00200C10" w:rsidRPr="006953D9">
        <w:t>inter</w:t>
      </w:r>
      <w:r w:rsidR="000B5A3E" w:rsidRPr="006953D9">
        <w:t xml:space="preserve"> </w:t>
      </w:r>
      <w:r w:rsidR="00200C10" w:rsidRPr="006953D9">
        <w:t>alia,</w:t>
      </w:r>
      <w:r w:rsidR="000B5A3E" w:rsidRPr="006953D9">
        <w:t xml:space="preserve"> </w:t>
      </w:r>
      <w:r w:rsidR="00200C10" w:rsidRPr="006953D9">
        <w:t>for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creation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operation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two</w:t>
      </w:r>
      <w:r w:rsidR="000B5A3E" w:rsidRPr="006953D9">
        <w:t xml:space="preserve"> </w:t>
      </w:r>
      <w:r w:rsidR="00200C10" w:rsidRPr="006953D9">
        <w:t>British</w:t>
      </w:r>
      <w:r w:rsidR="000B5A3E" w:rsidRPr="006953D9">
        <w:t xml:space="preserve"> </w:t>
      </w:r>
      <w:r w:rsidR="00200C10" w:rsidRPr="006953D9">
        <w:t>military</w:t>
      </w:r>
      <w:r w:rsidR="000B5A3E" w:rsidRPr="006953D9">
        <w:t xml:space="preserve"> </w:t>
      </w:r>
      <w:r w:rsidR="00200C10" w:rsidRPr="006953D9">
        <w:t>base</w:t>
      </w:r>
      <w:r w:rsidR="000B5A3E" w:rsidRPr="006953D9">
        <w:t xml:space="preserve"> </w:t>
      </w:r>
      <w:r w:rsidR="00200C10" w:rsidRPr="006953D9">
        <w:t>areas</w:t>
      </w:r>
      <w:r w:rsidR="000B5A3E" w:rsidRPr="006953D9">
        <w:t xml:space="preserve"> </w:t>
      </w:r>
      <w:r w:rsidR="00200C10" w:rsidRPr="006953D9">
        <w:t>in</w:t>
      </w:r>
      <w:r w:rsidR="000B5A3E" w:rsidRPr="006953D9">
        <w:t xml:space="preserve"> </w:t>
      </w:r>
      <w:r w:rsidR="00200C10" w:rsidRPr="006953D9">
        <w:t>Cyprus;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co-operation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Parties</w:t>
      </w:r>
      <w:r w:rsidR="000B5A3E" w:rsidRPr="006953D9">
        <w:t xml:space="preserve"> </w:t>
      </w:r>
      <w:r w:rsidR="00200C10" w:rsidRPr="006953D9">
        <w:t>for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common</w:t>
      </w:r>
      <w:r w:rsidR="000B5A3E" w:rsidRPr="006953D9">
        <w:t xml:space="preserve"> </w:t>
      </w:r>
      <w:r w:rsidR="00200C10" w:rsidRPr="006953D9">
        <w:t>defence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Cyprus;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recognition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respect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human</w:t>
      </w:r>
      <w:r w:rsidR="000B5A3E" w:rsidRPr="006953D9">
        <w:t xml:space="preserve"> </w:t>
      </w:r>
      <w:r w:rsidR="00200C10" w:rsidRPr="006953D9">
        <w:t>rights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everyone</w:t>
      </w:r>
      <w:r w:rsidR="000B5A3E" w:rsidRPr="006953D9">
        <w:t xml:space="preserve"> </w:t>
      </w:r>
      <w:r w:rsidR="00200C10" w:rsidRPr="006953D9">
        <w:t>within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jurisdiction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Republic</w:t>
      </w:r>
      <w:r w:rsidR="000B5A3E" w:rsidRPr="006953D9">
        <w:t xml:space="preserve"> </w:t>
      </w:r>
      <w:r w:rsidR="00200C10" w:rsidRPr="006953D9">
        <w:t>comparable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those</w:t>
      </w:r>
      <w:r w:rsidR="000B5A3E" w:rsidRPr="006953D9">
        <w:t xml:space="preserve"> </w:t>
      </w:r>
      <w:r w:rsidR="00200C10" w:rsidRPr="006953D9">
        <w:t>set</w:t>
      </w:r>
      <w:r w:rsidR="000B5A3E" w:rsidRPr="006953D9">
        <w:t xml:space="preserve"> </w:t>
      </w:r>
      <w:r w:rsidR="00200C10" w:rsidRPr="006953D9">
        <w:t>out</w:t>
      </w:r>
      <w:r w:rsidR="000B5A3E" w:rsidRPr="006953D9">
        <w:t xml:space="preserve"> </w:t>
      </w:r>
      <w:r w:rsidR="00200C10" w:rsidRPr="006953D9">
        <w:t>in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European</w:t>
      </w:r>
      <w:r w:rsidR="000B5A3E" w:rsidRPr="006953D9">
        <w:t xml:space="preserve"> </w:t>
      </w:r>
      <w:r w:rsidR="00200C10" w:rsidRPr="006953D9">
        <w:t>Convention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Human</w:t>
      </w:r>
      <w:r w:rsidR="000B5A3E" w:rsidRPr="006953D9">
        <w:t xml:space="preserve"> </w:t>
      </w:r>
      <w:r w:rsidR="00200C10" w:rsidRPr="006953D9">
        <w:t>Rights</w:t>
      </w:r>
      <w:r w:rsidR="000B5A3E" w:rsidRPr="006953D9">
        <w:t xml:space="preserve"> </w:t>
      </w:r>
      <w:r w:rsidR="00200C10" w:rsidRPr="006953D9">
        <w:t>(United</w:t>
      </w:r>
      <w:r w:rsidR="000B5A3E" w:rsidRPr="006953D9">
        <w:t xml:space="preserve"> </w:t>
      </w:r>
      <w:r w:rsidR="00200C10" w:rsidRPr="006953D9">
        <w:t>Nations</w:t>
      </w:r>
      <w:r w:rsidR="000B5A3E" w:rsidRPr="006953D9">
        <w:t xml:space="preserve"> </w:t>
      </w:r>
      <w:r w:rsidR="00200C10" w:rsidRPr="006953D9">
        <w:t>Treaty</w:t>
      </w:r>
      <w:r w:rsidR="000B5A3E" w:rsidRPr="006953D9">
        <w:t xml:space="preserve"> </w:t>
      </w:r>
      <w:r w:rsidR="00200C10" w:rsidRPr="006953D9">
        <w:t>Series,</w:t>
      </w:r>
      <w:r w:rsidR="000B5A3E" w:rsidRPr="006953D9">
        <w:t xml:space="preserve"> </w:t>
      </w:r>
      <w:r w:rsidR="00200C10" w:rsidRPr="006953D9">
        <w:t>vol.</w:t>
      </w:r>
      <w:r w:rsidR="000B5A3E" w:rsidRPr="006953D9">
        <w:t xml:space="preserve"> </w:t>
      </w:r>
      <w:r w:rsidR="00200C10" w:rsidRPr="006953D9">
        <w:t>382</w:t>
      </w:r>
      <w:r w:rsidR="000B5A3E" w:rsidRPr="006953D9">
        <w:t xml:space="preserve"> </w:t>
      </w:r>
      <w:r w:rsidR="00200C10" w:rsidRPr="006953D9">
        <w:t>(1960)</w:t>
      </w:r>
      <w:r w:rsidR="000B5A3E" w:rsidRPr="006953D9">
        <w:t xml:space="preserve"> </w:t>
      </w:r>
      <w:r w:rsidR="00200C10" w:rsidRPr="006953D9">
        <w:t>no.</w:t>
      </w:r>
      <w:r w:rsidR="000B5A3E" w:rsidRPr="006953D9">
        <w:t xml:space="preserve"> </w:t>
      </w:r>
      <w:r w:rsidR="00200C10" w:rsidRPr="006953D9">
        <w:t>5476);</w:t>
      </w:r>
    </w:p>
    <w:p w:rsidR="00200C10" w:rsidRPr="006953D9" w:rsidRDefault="000D6098" w:rsidP="00830021">
      <w:pPr>
        <w:pStyle w:val="SingleTxtG"/>
      </w:pPr>
      <w:r w:rsidRPr="006953D9">
        <w:tab/>
      </w:r>
      <w:r w:rsidR="00200C10" w:rsidRPr="006953D9">
        <w:t>(b)</w:t>
      </w:r>
      <w:r w:rsidR="00200C10" w:rsidRPr="006953D9">
        <w:tab/>
      </w:r>
      <w:r w:rsidR="00200C10" w:rsidRPr="00161578">
        <w:rPr>
          <w:b/>
          <w:bCs/>
        </w:rPr>
        <w:t>The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Treaty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of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Guarantee</w:t>
      </w:r>
      <w:r w:rsidR="000B5A3E" w:rsidRPr="006953D9">
        <w:t xml:space="preserve"> </w:t>
      </w:r>
      <w:r w:rsidR="00200C10" w:rsidRPr="006953D9">
        <w:t>signed</w:t>
      </w:r>
      <w:r w:rsidR="000B5A3E" w:rsidRPr="006953D9">
        <w:t xml:space="preserve"> </w:t>
      </w:r>
      <w:r w:rsidR="00200C10" w:rsidRPr="006953D9">
        <w:t>by</w:t>
      </w:r>
      <w:r w:rsidR="000B5A3E" w:rsidRPr="006953D9">
        <w:t xml:space="preserve"> </w:t>
      </w:r>
      <w:r w:rsidR="00200C10" w:rsidRPr="006953D9">
        <w:t>Cyprus,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United</w:t>
      </w:r>
      <w:r w:rsidR="000B5A3E" w:rsidRPr="006953D9">
        <w:t xml:space="preserve"> </w:t>
      </w:r>
      <w:r w:rsidR="00200C10" w:rsidRPr="006953D9">
        <w:t>Kingdom,</w:t>
      </w:r>
      <w:r w:rsidR="000B5A3E" w:rsidRPr="006953D9">
        <w:t xml:space="preserve"> </w:t>
      </w:r>
      <w:r w:rsidR="00200C10" w:rsidRPr="006953D9">
        <w:t>Greece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Turkey</w:t>
      </w:r>
      <w:r w:rsidR="000B5A3E" w:rsidRPr="006953D9">
        <w:t xml:space="preserve"> </w:t>
      </w:r>
      <w:r w:rsidR="00200C10" w:rsidRPr="006953D9">
        <w:t>by</w:t>
      </w:r>
      <w:r w:rsidR="000B5A3E" w:rsidRPr="006953D9">
        <w:t xml:space="preserve"> </w:t>
      </w:r>
      <w:r w:rsidR="00200C10" w:rsidRPr="006953D9">
        <w:t>which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independence,</w:t>
      </w:r>
      <w:r w:rsidR="000B5A3E" w:rsidRPr="006953D9">
        <w:t xml:space="preserve"> </w:t>
      </w:r>
      <w:r w:rsidR="00200C10" w:rsidRPr="006953D9">
        <w:t>territorial</w:t>
      </w:r>
      <w:r w:rsidR="000B5A3E" w:rsidRPr="006953D9">
        <w:t xml:space="preserve"> </w:t>
      </w:r>
      <w:r w:rsidR="00200C10" w:rsidRPr="006953D9">
        <w:t>integrity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security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Republic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Cyprus,</w:t>
      </w:r>
      <w:r w:rsidR="000B5A3E" w:rsidRPr="006953D9">
        <w:t xml:space="preserve"> </w:t>
      </w:r>
      <w:r w:rsidR="00200C10" w:rsidRPr="006953D9">
        <w:t>as</w:t>
      </w:r>
      <w:r w:rsidR="000B5A3E" w:rsidRPr="006953D9">
        <w:t xml:space="preserve"> </w:t>
      </w:r>
      <w:r w:rsidR="00200C10" w:rsidRPr="006953D9">
        <w:t>well</w:t>
      </w:r>
      <w:r w:rsidR="000B5A3E" w:rsidRPr="006953D9">
        <w:t xml:space="preserve"> </w:t>
      </w:r>
      <w:r w:rsidR="00200C10" w:rsidRPr="006953D9">
        <w:t>as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state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affairs</w:t>
      </w:r>
      <w:r w:rsidR="000B5A3E" w:rsidRPr="006953D9">
        <w:t xml:space="preserve"> </w:t>
      </w:r>
      <w:r w:rsidR="00200C10" w:rsidRPr="006953D9">
        <w:t>established</w:t>
      </w:r>
      <w:r w:rsidR="000B5A3E" w:rsidRPr="006953D9">
        <w:t xml:space="preserve"> </w:t>
      </w:r>
      <w:r w:rsidR="00200C10" w:rsidRPr="006953D9">
        <w:t>by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Basic</w:t>
      </w:r>
      <w:r w:rsidR="000B5A3E" w:rsidRPr="006953D9">
        <w:t xml:space="preserve"> </w:t>
      </w:r>
      <w:r w:rsidR="00200C10" w:rsidRPr="006953D9">
        <w:t>Articles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its</w:t>
      </w:r>
      <w:r w:rsidR="000B5A3E" w:rsidRPr="006953D9">
        <w:t xml:space="preserve"> </w:t>
      </w:r>
      <w:r w:rsidR="00200C10" w:rsidRPr="006953D9">
        <w:t>Constitution,</w:t>
      </w:r>
      <w:r w:rsidR="000B5A3E" w:rsidRPr="006953D9">
        <w:t xml:space="preserve"> </w:t>
      </w:r>
      <w:r w:rsidR="00200C10" w:rsidRPr="006953D9">
        <w:t>are</w:t>
      </w:r>
      <w:r w:rsidR="000B5A3E" w:rsidRPr="006953D9">
        <w:t xml:space="preserve"> </w:t>
      </w:r>
      <w:r w:rsidR="00200C10" w:rsidRPr="006953D9">
        <w:t>recognized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guaranteed</w:t>
      </w:r>
      <w:r w:rsidR="000B5A3E" w:rsidRPr="006953D9">
        <w:t xml:space="preserve"> </w:t>
      </w:r>
      <w:r w:rsidR="00200C10" w:rsidRPr="006953D9">
        <w:t>(United</w:t>
      </w:r>
      <w:r w:rsidR="000B5A3E" w:rsidRPr="006953D9">
        <w:t xml:space="preserve"> </w:t>
      </w:r>
      <w:r w:rsidR="00200C10" w:rsidRPr="006953D9">
        <w:t>Nations</w:t>
      </w:r>
      <w:r w:rsidR="000B5A3E" w:rsidRPr="006953D9">
        <w:t xml:space="preserve"> </w:t>
      </w:r>
      <w:r w:rsidR="00200C10" w:rsidRPr="006953D9">
        <w:t>Treaty</w:t>
      </w:r>
      <w:r w:rsidR="000B5A3E" w:rsidRPr="006953D9">
        <w:t xml:space="preserve"> </w:t>
      </w:r>
      <w:r w:rsidR="00200C10" w:rsidRPr="006953D9">
        <w:t>Series,</w:t>
      </w:r>
      <w:r w:rsidR="000B5A3E" w:rsidRPr="006953D9">
        <w:t xml:space="preserve"> </w:t>
      </w:r>
      <w:r w:rsidR="00200C10" w:rsidRPr="006953D9">
        <w:t>vol.</w:t>
      </w:r>
      <w:r w:rsidR="000B5A3E" w:rsidRPr="006953D9">
        <w:t xml:space="preserve"> </w:t>
      </w:r>
      <w:r w:rsidR="00200C10" w:rsidRPr="006953D9">
        <w:t>382</w:t>
      </w:r>
      <w:r w:rsidR="000B5A3E" w:rsidRPr="006953D9">
        <w:t xml:space="preserve"> </w:t>
      </w:r>
      <w:r w:rsidR="00200C10" w:rsidRPr="006953D9">
        <w:t>(1960)</w:t>
      </w:r>
      <w:r w:rsidR="000B5A3E" w:rsidRPr="006953D9">
        <w:t xml:space="preserve"> </w:t>
      </w:r>
      <w:r w:rsidR="00200C10" w:rsidRPr="006953D9">
        <w:t>no.</w:t>
      </w:r>
      <w:r w:rsidR="000B5A3E" w:rsidRPr="006953D9">
        <w:t xml:space="preserve"> </w:t>
      </w:r>
      <w:r w:rsidR="00200C10" w:rsidRPr="006953D9">
        <w:t>5475);</w:t>
      </w:r>
    </w:p>
    <w:p w:rsidR="00200C10" w:rsidRPr="006953D9" w:rsidRDefault="000D6098" w:rsidP="00830021">
      <w:pPr>
        <w:pStyle w:val="SingleTxtG"/>
      </w:pPr>
      <w:r w:rsidRPr="006953D9">
        <w:tab/>
      </w:r>
      <w:r w:rsidR="00200C10" w:rsidRPr="006953D9">
        <w:t>(c)</w:t>
      </w:r>
      <w:r w:rsidR="00200C10" w:rsidRPr="006953D9">
        <w:tab/>
      </w:r>
      <w:r w:rsidR="00200C10" w:rsidRPr="00161578">
        <w:rPr>
          <w:b/>
          <w:bCs/>
        </w:rPr>
        <w:t>The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Treaty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of</w:t>
      </w:r>
      <w:r w:rsidR="000B5A3E" w:rsidRPr="00161578">
        <w:rPr>
          <w:b/>
          <w:bCs/>
        </w:rPr>
        <w:t xml:space="preserve"> </w:t>
      </w:r>
      <w:r w:rsidR="00200C10" w:rsidRPr="00161578">
        <w:rPr>
          <w:b/>
          <w:bCs/>
        </w:rPr>
        <w:t>Alliance</w:t>
      </w:r>
      <w:r w:rsidR="000B5A3E" w:rsidRPr="006953D9">
        <w:t xml:space="preserve"> </w:t>
      </w:r>
      <w:r w:rsidR="00200C10" w:rsidRPr="006953D9">
        <w:t>signed</w:t>
      </w:r>
      <w:r w:rsidR="000B5A3E" w:rsidRPr="006953D9">
        <w:t xml:space="preserve"> </w:t>
      </w:r>
      <w:r w:rsidR="00200C10" w:rsidRPr="006953D9">
        <w:t>by</w:t>
      </w:r>
      <w:r w:rsidR="000B5A3E" w:rsidRPr="006953D9">
        <w:t xml:space="preserve"> </w:t>
      </w:r>
      <w:r w:rsidR="00200C10" w:rsidRPr="006953D9">
        <w:t>Cyprus,</w:t>
      </w:r>
      <w:r w:rsidR="000B5A3E" w:rsidRPr="006953D9">
        <w:t xml:space="preserve"> </w:t>
      </w:r>
      <w:r w:rsidR="00200C10" w:rsidRPr="006953D9">
        <w:t>Greece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Turkey,</w:t>
      </w:r>
      <w:r w:rsidR="000B5A3E" w:rsidRPr="006953D9">
        <w:t xml:space="preserve"> </w:t>
      </w:r>
      <w:r w:rsidR="00200C10" w:rsidRPr="006953D9">
        <w:t>aiming</w:t>
      </w:r>
      <w:r w:rsidR="000B5A3E" w:rsidRPr="006953D9">
        <w:t xml:space="preserve"> </w:t>
      </w:r>
      <w:r w:rsidR="00200C10" w:rsidRPr="006953D9">
        <w:t>at</w:t>
      </w:r>
      <w:r w:rsidR="000B5A3E" w:rsidRPr="006953D9">
        <w:t xml:space="preserve"> </w:t>
      </w:r>
      <w:r w:rsidR="00200C10" w:rsidRPr="006953D9">
        <w:t>protecting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Republic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Cyprus</w:t>
      </w:r>
      <w:r w:rsidR="000B5A3E" w:rsidRPr="006953D9">
        <w:t xml:space="preserve"> </w:t>
      </w:r>
      <w:r w:rsidR="00200C10" w:rsidRPr="006953D9">
        <w:t>against</w:t>
      </w:r>
      <w:r w:rsidR="000B5A3E" w:rsidRPr="006953D9">
        <w:t xml:space="preserve"> </w:t>
      </w:r>
      <w:r w:rsidR="00200C10" w:rsidRPr="006953D9">
        <w:t>any</w:t>
      </w:r>
      <w:r w:rsidR="000B5A3E" w:rsidRPr="006953D9">
        <w:t xml:space="preserve"> </w:t>
      </w:r>
      <w:r w:rsidR="00200C10" w:rsidRPr="006953D9">
        <w:t>attack</w:t>
      </w:r>
      <w:r w:rsidR="000B5A3E" w:rsidRPr="006953D9">
        <w:t xml:space="preserve"> </w:t>
      </w:r>
      <w:r w:rsidR="00200C10" w:rsidRPr="006953D9">
        <w:t>or</w:t>
      </w:r>
      <w:r w:rsidR="000B5A3E" w:rsidRPr="006953D9">
        <w:t xml:space="preserve"> </w:t>
      </w:r>
      <w:r w:rsidR="00200C10" w:rsidRPr="006953D9">
        <w:t>aggression,</w:t>
      </w:r>
      <w:r w:rsidR="000B5A3E" w:rsidRPr="006953D9">
        <w:t xml:space="preserve"> </w:t>
      </w:r>
      <w:r w:rsidR="00200C10" w:rsidRPr="006953D9">
        <w:t>direct</w:t>
      </w:r>
      <w:r w:rsidR="000B5A3E" w:rsidRPr="006953D9">
        <w:t xml:space="preserve"> </w:t>
      </w:r>
      <w:r w:rsidR="00200C10" w:rsidRPr="006953D9">
        <w:t>or</w:t>
      </w:r>
      <w:r w:rsidR="000B5A3E" w:rsidRPr="006953D9">
        <w:t xml:space="preserve"> </w:t>
      </w:r>
      <w:r w:rsidR="00200C10" w:rsidRPr="006953D9">
        <w:t>indirect,</w:t>
      </w:r>
      <w:r w:rsidR="000B5A3E" w:rsidRPr="006953D9">
        <w:t xml:space="preserve"> </w:t>
      </w:r>
      <w:r w:rsidR="00200C10" w:rsidRPr="006953D9">
        <w:t>directed</w:t>
      </w:r>
      <w:r w:rsidR="000B5A3E" w:rsidRPr="006953D9">
        <w:t xml:space="preserve"> </w:t>
      </w:r>
      <w:r w:rsidR="00200C10" w:rsidRPr="006953D9">
        <w:t>against</w:t>
      </w:r>
      <w:r w:rsidR="000B5A3E" w:rsidRPr="006953D9">
        <w:t xml:space="preserve"> </w:t>
      </w:r>
      <w:r w:rsidR="00200C10" w:rsidRPr="006953D9">
        <w:t>its</w:t>
      </w:r>
      <w:r w:rsidR="000B5A3E" w:rsidRPr="006953D9">
        <w:t xml:space="preserve"> </w:t>
      </w:r>
      <w:r w:rsidR="00200C10" w:rsidRPr="006953D9">
        <w:t>independence</w:t>
      </w:r>
      <w:r w:rsidR="000B5A3E" w:rsidRPr="006953D9">
        <w:t xml:space="preserve"> </w:t>
      </w:r>
      <w:r w:rsidR="00200C10" w:rsidRPr="006953D9">
        <w:t>or</w:t>
      </w:r>
      <w:r w:rsidR="000B5A3E" w:rsidRPr="006953D9">
        <w:t xml:space="preserve"> </w:t>
      </w:r>
      <w:r w:rsidR="00200C10" w:rsidRPr="006953D9">
        <w:t>its</w:t>
      </w:r>
      <w:r w:rsidR="000B5A3E" w:rsidRPr="006953D9">
        <w:t xml:space="preserve"> </w:t>
      </w:r>
      <w:r w:rsidR="00200C10" w:rsidRPr="006953D9">
        <w:t>territorial</w:t>
      </w:r>
      <w:r w:rsidR="000B5A3E" w:rsidRPr="006953D9">
        <w:t xml:space="preserve"> </w:t>
      </w:r>
      <w:r w:rsidR="00200C10" w:rsidRPr="006953D9">
        <w:t>integrity</w:t>
      </w:r>
      <w:r w:rsidR="000B5A3E" w:rsidRPr="006953D9">
        <w:t xml:space="preserve"> </w:t>
      </w:r>
      <w:r w:rsidR="00200C10" w:rsidRPr="006953D9">
        <w:t>(United</w:t>
      </w:r>
      <w:r w:rsidR="000B5A3E" w:rsidRPr="006953D9">
        <w:t xml:space="preserve"> </w:t>
      </w:r>
      <w:r w:rsidR="00200C10" w:rsidRPr="006953D9">
        <w:t>Nations</w:t>
      </w:r>
      <w:r w:rsidR="000B5A3E" w:rsidRPr="006953D9">
        <w:t xml:space="preserve"> </w:t>
      </w:r>
      <w:r w:rsidR="00200C10" w:rsidRPr="006953D9">
        <w:t>Treaty</w:t>
      </w:r>
      <w:r w:rsidR="000B5A3E" w:rsidRPr="006953D9">
        <w:t xml:space="preserve"> </w:t>
      </w:r>
      <w:r w:rsidR="00200C10" w:rsidRPr="006953D9">
        <w:t>Series,</w:t>
      </w:r>
      <w:r w:rsidR="000B5A3E" w:rsidRPr="006953D9">
        <w:t xml:space="preserve"> </w:t>
      </w:r>
      <w:r w:rsidR="00200C10" w:rsidRPr="006953D9">
        <w:t>vol.</w:t>
      </w:r>
      <w:r w:rsidR="000B5A3E" w:rsidRPr="006953D9">
        <w:t xml:space="preserve"> </w:t>
      </w:r>
      <w:r w:rsidR="00200C10" w:rsidRPr="006953D9">
        <w:t>397</w:t>
      </w:r>
      <w:r w:rsidR="000B5A3E" w:rsidRPr="006953D9">
        <w:t xml:space="preserve"> </w:t>
      </w:r>
      <w:r w:rsidR="00200C10" w:rsidRPr="006953D9">
        <w:t>(1961)</w:t>
      </w:r>
      <w:r w:rsidR="000B5A3E" w:rsidRPr="006953D9">
        <w:t xml:space="preserve"> </w:t>
      </w:r>
      <w:r w:rsidR="00200C10" w:rsidRPr="006953D9">
        <w:t>no.</w:t>
      </w:r>
      <w:r w:rsidR="000B5A3E" w:rsidRPr="006953D9">
        <w:t xml:space="preserve"> </w:t>
      </w:r>
      <w:r w:rsidR="00200C10" w:rsidRPr="006953D9">
        <w:t>5712).</w:t>
      </w:r>
    </w:p>
    <w:p w:rsidR="00200C10" w:rsidRPr="006953D9" w:rsidRDefault="00200C10" w:rsidP="00830021">
      <w:pPr>
        <w:pStyle w:val="SingleTxtG"/>
      </w:pPr>
      <w:r w:rsidRPr="006953D9">
        <w:t>45.</w:t>
      </w:r>
      <w:r w:rsidRPr="006953D9">
        <w:tab/>
      </w:r>
      <w:r w:rsidRPr="006953D9">
        <w:rPr>
          <w:b/>
          <w:bCs/>
        </w:rPr>
        <w:t>The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Constitution</w:t>
      </w:r>
      <w:r w:rsidR="000B5A3E" w:rsidRPr="006953D9">
        <w:rPr>
          <w:b/>
          <w:bCs/>
        </w:rPr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whilst</w:t>
      </w:r>
      <w:r w:rsidR="000B5A3E" w:rsidRPr="006953D9">
        <w:t xml:space="preserve"> </w:t>
      </w:r>
      <w:r w:rsidRPr="006953D9">
        <w:t>establishing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sovereign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="002206DB" w:rsidRPr="006953D9">
        <w:t>“</w:t>
      </w:r>
      <w:r w:rsidRPr="006953D9">
        <w:t>unique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tortuous</w:t>
      </w:r>
      <w:r w:rsidR="000B5A3E" w:rsidRPr="006953D9">
        <w:t xml:space="preserve"> </w:t>
      </w:r>
      <w:r w:rsidRPr="006953D9">
        <w:t>complexity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multiplicity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safeguards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provides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principal</w:t>
      </w:r>
      <w:r w:rsidR="000B5A3E" w:rsidRPr="006953D9">
        <w:t xml:space="preserve"> </w:t>
      </w:r>
      <w:r w:rsidRPr="006953D9">
        <w:t>minority</w:t>
      </w:r>
      <w:r w:rsidR="002206DB" w:rsidRPr="006953D9">
        <w:t>”</w:t>
      </w:r>
      <w:r w:rsidR="000B5A3E" w:rsidRPr="006953D9">
        <w:t xml:space="preserve"> </w:t>
      </w:r>
      <w:r w:rsidRPr="006953D9">
        <w:t>(S.A.</w:t>
      </w:r>
      <w:r w:rsidR="000B5A3E" w:rsidRPr="006953D9">
        <w:t xml:space="preserve"> </w:t>
      </w:r>
      <w:r w:rsidRPr="006953D9">
        <w:t>de</w:t>
      </w:r>
      <w:r w:rsidR="000B5A3E" w:rsidRPr="006953D9">
        <w:t xml:space="preserve"> </w:t>
      </w:r>
      <w:r w:rsidRPr="006953D9">
        <w:t>Smith,</w:t>
      </w:r>
      <w:r w:rsidR="000B5A3E" w:rsidRPr="006953D9">
        <w:t xml:space="preserve"> </w:t>
      </w:r>
      <w:r w:rsidRPr="006953D9">
        <w:rPr>
          <w:i/>
          <w:iCs/>
        </w:rPr>
        <w:t>The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new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Commonwealth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and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its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Constitutions</w:t>
      </w:r>
      <w:r w:rsidR="000B5A3E" w:rsidRPr="006953D9">
        <w:t xml:space="preserve"> </w:t>
      </w:r>
      <w:r w:rsidRPr="006953D9">
        <w:t>(London,</w:t>
      </w:r>
      <w:r w:rsidR="000B5A3E" w:rsidRPr="006953D9">
        <w:t xml:space="preserve"> </w:t>
      </w:r>
      <w:r w:rsidRPr="006953D9">
        <w:t>1964,</w:t>
      </w:r>
      <w:r w:rsidR="000B5A3E" w:rsidRPr="006953D9">
        <w:t xml:space="preserve"> </w:t>
      </w:r>
      <w:r w:rsidRPr="006953D9">
        <w:t>p.</w:t>
      </w:r>
      <w:r w:rsidR="000B5A3E" w:rsidRPr="006953D9">
        <w:t xml:space="preserve"> </w:t>
      </w:r>
      <w:r w:rsidRPr="006953D9">
        <w:t>296).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less</w:t>
      </w:r>
      <w:r w:rsidR="000B5A3E" w:rsidRPr="006953D9">
        <w:t xml:space="preserve"> </w:t>
      </w:r>
      <w:r w:rsidRPr="006953D9">
        <w:t>than</w:t>
      </w:r>
      <w:r w:rsidR="000B5A3E" w:rsidRPr="006953D9">
        <w:t xml:space="preserve"> </w:t>
      </w:r>
      <w:r w:rsidRPr="006953D9">
        <w:t>three</w:t>
      </w:r>
      <w:r w:rsidR="000B5A3E" w:rsidRPr="006953D9">
        <w:t xml:space="preserve"> </w:t>
      </w:r>
      <w:r w:rsidRPr="006953D9">
        <w:t>years,</w:t>
      </w:r>
      <w:r w:rsidR="000B5A3E" w:rsidRPr="006953D9">
        <w:t xml:space="preserve"> </w:t>
      </w:r>
      <w:r w:rsidRPr="006953D9">
        <w:t>abuse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safeguards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leadership</w:t>
      </w:r>
      <w:r w:rsidR="000B5A3E" w:rsidRPr="006953D9">
        <w:t xml:space="preserve"> </w:t>
      </w:r>
      <w:r w:rsidRPr="006953D9">
        <w:t>led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total</w:t>
      </w:r>
      <w:r w:rsidR="000B5A3E" w:rsidRPr="006953D9">
        <w:t xml:space="preserve"> </w:t>
      </w:r>
      <w:r w:rsidRPr="006953D9">
        <w:t>dysfunction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1963,</w:t>
      </w:r>
      <w:r w:rsidR="000B5A3E" w:rsidRPr="006953D9">
        <w:t xml:space="preserve"> </w:t>
      </w:r>
      <w:r w:rsidRPr="006953D9">
        <w:t>Turkey</w:t>
      </w:r>
      <w:r w:rsidR="000B5A3E" w:rsidRPr="006953D9">
        <w:t xml:space="preserve"> </w:t>
      </w:r>
      <w:r w:rsidRPr="006953D9">
        <w:t>instigated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leadership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insurrection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state;</w:t>
      </w:r>
      <w:r w:rsidR="000B5A3E" w:rsidRPr="006953D9">
        <w:t xml:space="preserve"> </w:t>
      </w:r>
      <w:r w:rsidRPr="006953D9">
        <w:t>forced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members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executive,</w:t>
      </w:r>
      <w:r w:rsidR="000B5A3E" w:rsidRPr="006953D9">
        <w:t xml:space="preserve"> </w:t>
      </w:r>
      <w:r w:rsidRPr="006953D9">
        <w:t>legislature,</w:t>
      </w:r>
      <w:r w:rsidR="000B5A3E" w:rsidRPr="006953D9">
        <w:t xml:space="preserve"> </w:t>
      </w:r>
      <w:r w:rsidRPr="006953D9">
        <w:t>judiciary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civil</w:t>
      </w:r>
      <w:r w:rsidR="000B5A3E" w:rsidRPr="006953D9">
        <w:t xml:space="preserve"> </w:t>
      </w:r>
      <w:r w:rsidRPr="006953D9">
        <w:t>service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withdraw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posts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created</w:t>
      </w:r>
      <w:r w:rsidR="000B5A3E" w:rsidRPr="006953D9">
        <w:t xml:space="preserve"> </w:t>
      </w:r>
      <w:r w:rsidRPr="006953D9">
        <w:t>military</w:t>
      </w:r>
      <w:r w:rsidR="000B5A3E" w:rsidRPr="006953D9">
        <w:t xml:space="preserve"> </w:t>
      </w:r>
      <w:r w:rsidRPr="006953D9">
        <w:t>enclaves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several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island.</w:t>
      </w:r>
    </w:p>
    <w:p w:rsidR="00200C10" w:rsidRPr="006953D9" w:rsidRDefault="00200C10" w:rsidP="00830021">
      <w:pPr>
        <w:pStyle w:val="SingleTxtG"/>
      </w:pPr>
      <w:r w:rsidRPr="006953D9">
        <w:t>46.</w:t>
      </w:r>
      <w:r w:rsidRPr="006953D9">
        <w:tab/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result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</w:t>
      </w:r>
      <w:r w:rsidR="000B5A3E" w:rsidRPr="006953D9">
        <w:t xml:space="preserve"> </w:t>
      </w:r>
      <w:r w:rsidRPr="006953D9">
        <w:t>communal</w:t>
      </w:r>
      <w:r w:rsidR="000B5A3E" w:rsidRPr="006953D9">
        <w:t xml:space="preserve"> </w:t>
      </w:r>
      <w:r w:rsidRPr="006953D9">
        <w:t>violence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ensued,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Security</w:t>
      </w:r>
      <w:r w:rsidR="000B5A3E" w:rsidRPr="006953D9">
        <w:t xml:space="preserve"> </w:t>
      </w:r>
      <w:r w:rsidRPr="006953D9">
        <w:t>Council,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resolution</w:t>
      </w:r>
      <w:r w:rsidR="000B5A3E" w:rsidRPr="006953D9">
        <w:t xml:space="preserve"> </w:t>
      </w:r>
      <w:r w:rsidRPr="006953D9">
        <w:t>186</w:t>
      </w:r>
      <w:r w:rsidR="000B5A3E" w:rsidRPr="006953D9">
        <w:t xml:space="preserve"> </w:t>
      </w:r>
      <w:r w:rsidRPr="006953D9">
        <w:t>(4</w:t>
      </w:r>
      <w:r w:rsidR="000B5A3E" w:rsidRPr="006953D9">
        <w:t xml:space="preserve"> </w:t>
      </w:r>
      <w:r w:rsidRPr="006953D9">
        <w:t>March</w:t>
      </w:r>
      <w:r w:rsidR="000B5A3E" w:rsidRPr="006953D9">
        <w:t xml:space="preserve"> </w:t>
      </w:r>
      <w:r w:rsidRPr="006953D9">
        <w:t>1964)</w:t>
      </w:r>
      <w:r w:rsidR="000B5A3E" w:rsidRPr="006953D9">
        <w:t xml:space="preserve"> </w:t>
      </w:r>
      <w:r w:rsidRPr="006953D9">
        <w:t>send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Peace-Keeping</w:t>
      </w:r>
      <w:r w:rsidR="000B5A3E" w:rsidRPr="006953D9">
        <w:t xml:space="preserve"> </w:t>
      </w:r>
      <w:r w:rsidRPr="006953D9">
        <w:t>Force</w:t>
      </w:r>
      <w:r w:rsidR="000B5A3E" w:rsidRPr="006953D9">
        <w:t xml:space="preserve"> </w:t>
      </w:r>
      <w:r w:rsidRPr="006953D9">
        <w:t>(UNFICYP)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47.</w:t>
      </w:r>
      <w:r w:rsidRPr="006953D9">
        <w:tab/>
        <w:t>Turkey</w:t>
      </w:r>
      <w:r w:rsidR="000B5A3E" w:rsidRPr="006953D9">
        <w:t xml:space="preserve"> </w:t>
      </w:r>
      <w:r w:rsidRPr="006953D9">
        <w:t>illegally</w:t>
      </w:r>
      <w:r w:rsidR="000B5A3E" w:rsidRPr="006953D9">
        <w:t xml:space="preserve"> </w:t>
      </w:r>
      <w:r w:rsidRPr="006953D9">
        <w:t>invaded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July</w:t>
      </w:r>
      <w:r w:rsidR="000B5A3E" w:rsidRPr="006953D9">
        <w:t xml:space="preserve"> </w:t>
      </w:r>
      <w:r w:rsidRPr="006953D9">
        <w:t>20</w:t>
      </w:r>
      <w:r w:rsidR="000B5A3E" w:rsidRPr="006953D9">
        <w:t xml:space="preserve"> </w:t>
      </w:r>
      <w:r w:rsidRPr="006953D9">
        <w:t>1974,</w:t>
      </w:r>
      <w:r w:rsidR="000B5A3E" w:rsidRPr="006953D9">
        <w:t xml:space="preserve"> </w:t>
      </w:r>
      <w:r w:rsidRPr="006953D9">
        <w:t>using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pretext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coup</w:t>
      </w:r>
      <w:r w:rsidR="000B5A3E" w:rsidRPr="006953D9">
        <w:t xml:space="preserve"> </w:t>
      </w:r>
      <w:r w:rsidRPr="006953D9">
        <w:t>d</w:t>
      </w:r>
      <w:r w:rsidR="002206DB" w:rsidRPr="006953D9">
        <w:t>’</w:t>
      </w:r>
      <w:r w:rsidRPr="006953D9">
        <w:t>état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instigated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then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military</w:t>
      </w:r>
      <w:r w:rsidR="000B5A3E" w:rsidRPr="006953D9">
        <w:t xml:space="preserve"> </w:t>
      </w:r>
      <w:r w:rsidRPr="006953D9">
        <w:t>junta.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then,</w:t>
      </w:r>
      <w:r w:rsidR="000B5A3E" w:rsidRPr="006953D9">
        <w:t xml:space="preserve"> </w:t>
      </w:r>
      <w:r w:rsidRPr="006953D9">
        <w:t>more</w:t>
      </w:r>
      <w:r w:rsidR="000B5A3E" w:rsidRPr="006953D9">
        <w:t xml:space="preserve"> </w:t>
      </w:r>
      <w:r w:rsidRPr="006953D9">
        <w:t>than</w:t>
      </w:r>
      <w:r w:rsidR="000B5A3E" w:rsidRPr="006953D9">
        <w:t xml:space="preserve"> </w:t>
      </w:r>
      <w:r w:rsidRPr="006953D9">
        <w:t>40,000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troops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remained</w:t>
      </w:r>
      <w:r w:rsidR="000B5A3E" w:rsidRPr="006953D9">
        <w:t xml:space="preserve"> </w:t>
      </w:r>
      <w:r w:rsidRPr="006953D9">
        <w:t>illegally</w:t>
      </w:r>
      <w:r w:rsidR="000B5A3E" w:rsidRPr="006953D9">
        <w:t xml:space="preserve"> </w:t>
      </w:r>
      <w:r w:rsidRPr="006953D9">
        <w:t>stationed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island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occupy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36.2%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territory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violation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Charter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Treaties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Guarantee,</w:t>
      </w:r>
      <w:r w:rsidR="000B5A3E" w:rsidRPr="006953D9">
        <w:t xml:space="preserve"> </w:t>
      </w:r>
      <w:r w:rsidRPr="006953D9">
        <w:t>Establishment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Alliance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principles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norms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law.</w:t>
      </w:r>
      <w:r w:rsidR="000B5A3E" w:rsidRPr="006953D9">
        <w:t xml:space="preserve"> </w:t>
      </w:r>
      <w:r w:rsidRPr="006953D9">
        <w:t>40%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total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population,</w:t>
      </w:r>
      <w:r w:rsidR="000B5A3E" w:rsidRPr="006953D9">
        <w:t xml:space="preserve"> </w:t>
      </w:r>
      <w:r w:rsidRPr="006953D9">
        <w:t>representing</w:t>
      </w:r>
      <w:r w:rsidR="000B5A3E" w:rsidRPr="006953D9">
        <w:t xml:space="preserve"> </w:t>
      </w:r>
      <w:r w:rsidRPr="006953D9">
        <w:t>82%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population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forcibly</w:t>
      </w:r>
      <w:r w:rsidR="000B5A3E" w:rsidRPr="006953D9">
        <w:t xml:space="preserve"> </w:t>
      </w:r>
      <w:r w:rsidRPr="006953D9">
        <w:t>expelled.</w:t>
      </w:r>
      <w:r w:rsidR="000B5A3E" w:rsidRPr="006953D9">
        <w:t xml:space="preserve"> </w:t>
      </w:r>
      <w:r w:rsidRPr="006953D9">
        <w:t>Thousands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people,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civilians,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wounded,</w:t>
      </w:r>
      <w:r w:rsidR="000B5A3E" w:rsidRPr="006953D9">
        <w:t xml:space="preserve"> </w:t>
      </w:r>
      <w:r w:rsidRPr="006953D9">
        <w:t>ill-treated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killed.</w:t>
      </w:r>
      <w:r w:rsidR="000B5A3E" w:rsidRPr="006953D9">
        <w:t xml:space="preserve"> </w:t>
      </w:r>
      <w:r w:rsidRPr="006953D9">
        <w:t>Hundreds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Cypriots,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women,</w:t>
      </w:r>
      <w:r w:rsidR="000B5A3E" w:rsidRPr="006953D9">
        <w:t xml:space="preserve"> </w:t>
      </w:r>
      <w:r w:rsidRPr="006953D9">
        <w:t>children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civilians,</w:t>
      </w:r>
      <w:r w:rsidR="000B5A3E" w:rsidRPr="006953D9">
        <w:t xml:space="preserve"> </w:t>
      </w:r>
      <w:r w:rsidRPr="006953D9">
        <w:t>many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whom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known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captured</w:t>
      </w:r>
      <w:r w:rsidR="000B5A3E" w:rsidRPr="006953D9">
        <w:t xml:space="preserve"> </w:t>
      </w:r>
      <w:r w:rsidRPr="006953D9">
        <w:t>alive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army,</w:t>
      </w:r>
      <w:r w:rsidR="000B5A3E" w:rsidRPr="006953D9">
        <w:t xml:space="preserve"> </w:t>
      </w:r>
      <w:r w:rsidRPr="006953D9">
        <w:t>remain</w:t>
      </w:r>
      <w:r w:rsidR="000B5A3E" w:rsidRPr="006953D9">
        <w:t xml:space="preserve"> </w:t>
      </w:r>
      <w:r w:rsidRPr="006953D9">
        <w:t>unaccounted</w:t>
      </w:r>
      <w:r w:rsidR="000B5A3E" w:rsidRPr="006953D9">
        <w:t xml:space="preserve"> </w:t>
      </w:r>
      <w:r w:rsidRPr="006953D9">
        <w:t>for.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cultural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religious</w:t>
      </w:r>
      <w:r w:rsidR="000B5A3E" w:rsidRPr="006953D9">
        <w:t xml:space="preserve"> </w:t>
      </w:r>
      <w:r w:rsidRPr="006953D9">
        <w:t>heritage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target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systematic</w:t>
      </w:r>
      <w:r w:rsidR="000B5A3E" w:rsidRPr="006953D9">
        <w:t xml:space="preserve"> </w:t>
      </w:r>
      <w:r w:rsidRPr="006953D9">
        <w:t>destruction,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concerted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policy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changing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character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said</w:t>
      </w:r>
      <w:r w:rsidR="000B5A3E" w:rsidRPr="006953D9">
        <w:t xml:space="preserve"> </w:t>
      </w:r>
      <w:r w:rsidRPr="006953D9">
        <w:t>areas.</w:t>
      </w:r>
      <w:r w:rsidR="000B5A3E" w:rsidRPr="006953D9">
        <w:t xml:space="preserve"> </w:t>
      </w:r>
      <w:r w:rsidRPr="006953D9">
        <w:t>Most</w:t>
      </w:r>
      <w:r w:rsidR="000B5A3E" w:rsidRPr="006953D9">
        <w:t xml:space="preserve"> </w:t>
      </w:r>
      <w:r w:rsidRPr="006953D9">
        <w:t>worryingly,</w:t>
      </w:r>
      <w:r w:rsidR="000B5A3E" w:rsidRPr="006953D9">
        <w:t xml:space="preserve"> </w:t>
      </w:r>
      <w:r w:rsidRPr="006953D9">
        <w:t>Turkey</w:t>
      </w:r>
      <w:r w:rsidR="000B5A3E" w:rsidRPr="006953D9">
        <w:t xml:space="preserve"> </w:t>
      </w:r>
      <w:r w:rsidRPr="006953D9">
        <w:t>pursues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systematic</w:t>
      </w:r>
      <w:r w:rsidR="000B5A3E" w:rsidRPr="006953D9">
        <w:t xml:space="preserve"> </w:t>
      </w:r>
      <w:r w:rsidRPr="006953D9">
        <w:t>policy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illegal</w:t>
      </w:r>
      <w:r w:rsidR="000B5A3E" w:rsidRPr="006953D9">
        <w:t xml:space="preserve"> </w:t>
      </w:r>
      <w:r w:rsidRPr="006953D9">
        <w:t>colonization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areas,</w:t>
      </w:r>
      <w:r w:rsidR="000B5A3E" w:rsidRPr="006953D9">
        <w:t xml:space="preserve"> </w:t>
      </w:r>
      <w:r w:rsidRPr="006953D9">
        <w:t>resulting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drastic</w:t>
      </w:r>
      <w:r w:rsidR="000B5A3E" w:rsidRPr="006953D9">
        <w:t xml:space="preserve"> </w:t>
      </w:r>
      <w:r w:rsidRPr="006953D9">
        <w:t>demographic</w:t>
      </w:r>
      <w:r w:rsidR="000B5A3E" w:rsidRPr="006953D9">
        <w:t xml:space="preserve"> </w:t>
      </w:r>
      <w:r w:rsidRPr="006953D9">
        <w:t>change.</w:t>
      </w:r>
      <w:r w:rsidR="000B5A3E" w:rsidRPr="006953D9">
        <w:t xml:space="preserve"> </w:t>
      </w:r>
      <w:r w:rsidRPr="006953D9">
        <w:t>Today,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settlers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estimated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least</w:t>
      </w:r>
      <w:r w:rsidR="000B5A3E" w:rsidRPr="006953D9">
        <w:t xml:space="preserve"> </w:t>
      </w:r>
      <w:r w:rsidRPr="006953D9">
        <w:t>twice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many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48.</w:t>
      </w:r>
      <w:r w:rsidRPr="006953D9">
        <w:tab/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General</w:t>
      </w:r>
      <w:r w:rsidR="000B5A3E" w:rsidRPr="006953D9">
        <w:t xml:space="preserve"> </w:t>
      </w:r>
      <w:r w:rsidRPr="006953D9">
        <w:t>Assembly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Security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resolutions</w:t>
      </w:r>
      <w:r w:rsidR="000B5A3E" w:rsidRPr="006953D9">
        <w:t xml:space="preserve"> </w:t>
      </w:r>
      <w:r w:rsidRPr="006953D9">
        <w:t>repeatedly</w:t>
      </w:r>
      <w:r w:rsidR="000B5A3E" w:rsidRPr="006953D9">
        <w:t xml:space="preserve"> </w:t>
      </w:r>
      <w:r w:rsidRPr="006953D9">
        <w:t>called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respect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sovereignty,</w:t>
      </w:r>
      <w:r w:rsidR="000B5A3E" w:rsidRPr="006953D9">
        <w:t xml:space="preserve"> </w:t>
      </w:r>
      <w:r w:rsidRPr="006953D9">
        <w:t>independence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territorial</w:t>
      </w:r>
      <w:r w:rsidR="000B5A3E" w:rsidRPr="006953D9">
        <w:t xml:space="preserve"> </w:t>
      </w:r>
      <w:r w:rsidRPr="006953D9">
        <w:t>integrity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withdrawal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foreign</w:t>
      </w:r>
      <w:r w:rsidR="000B5A3E" w:rsidRPr="006953D9">
        <w:t xml:space="preserve"> </w:t>
      </w:r>
      <w:r w:rsidRPr="006953D9">
        <w:t>military</w:t>
      </w:r>
      <w:r w:rsidR="000B5A3E" w:rsidRPr="006953D9">
        <w:t xml:space="preserve"> </w:t>
      </w:r>
      <w:r w:rsidRPr="006953D9">
        <w:t>forces.</w:t>
      </w:r>
      <w:r w:rsidR="000B5A3E" w:rsidRPr="006953D9">
        <w:t xml:space="preserve"> </w:t>
      </w:r>
      <w:r w:rsidRPr="006953D9">
        <w:t>Moreover,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lastRenderedPageBreak/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demanded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return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internally</w:t>
      </w:r>
      <w:r w:rsidR="000B5A3E" w:rsidRPr="006953D9">
        <w:t xml:space="preserve"> </w:t>
      </w:r>
      <w:r w:rsidRPr="006953D9">
        <w:t>displaced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homes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safety,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tracing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accounting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missing</w:t>
      </w:r>
      <w:r w:rsidR="000B5A3E" w:rsidRPr="006953D9">
        <w:t xml:space="preserve"> </w:t>
      </w:r>
      <w:r w:rsidRPr="006953D9">
        <w:t>persons;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called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respect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Cypriots.</w:t>
      </w:r>
      <w:r w:rsidRPr="006953D9">
        <w:rPr>
          <w:rStyle w:val="FootnoteReference"/>
        </w:rPr>
        <w:footnoteReference w:id="4"/>
      </w:r>
    </w:p>
    <w:p w:rsidR="00200C10" w:rsidRPr="006953D9" w:rsidRDefault="00200C10" w:rsidP="00830021">
      <w:pPr>
        <w:pStyle w:val="SingleTxtG"/>
      </w:pPr>
      <w:r w:rsidRPr="006953D9">
        <w:t>49.</w:t>
      </w:r>
      <w:r w:rsidRPr="006953D9">
        <w:tab/>
        <w:t>On</w:t>
      </w:r>
      <w:r w:rsidR="000B5A3E" w:rsidRPr="006953D9">
        <w:t xml:space="preserve"> </w:t>
      </w:r>
      <w:r w:rsidRPr="006953D9">
        <w:t>15</w:t>
      </w:r>
      <w:r w:rsidR="000B5A3E" w:rsidRPr="006953D9">
        <w:t xml:space="preserve"> </w:t>
      </w:r>
      <w:r w:rsidRPr="006953D9">
        <w:t>November</w:t>
      </w:r>
      <w:r w:rsidR="000B5A3E" w:rsidRPr="006953D9">
        <w:t xml:space="preserve"> </w:t>
      </w:r>
      <w:r w:rsidRPr="006953D9">
        <w:t>1983,</w:t>
      </w:r>
      <w:r w:rsidR="000B5A3E" w:rsidRPr="006953D9">
        <w:t xml:space="preserve"> </w:t>
      </w:r>
      <w:r w:rsidRPr="006953D9">
        <w:t>Turkey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illegal</w:t>
      </w:r>
      <w:r w:rsidR="000B5A3E" w:rsidRPr="006953D9">
        <w:t xml:space="preserve"> </w:t>
      </w:r>
      <w:r w:rsidRPr="006953D9">
        <w:t>subordinate</w:t>
      </w:r>
      <w:r w:rsidR="000B5A3E" w:rsidRPr="006953D9">
        <w:t xml:space="preserve"> </w:t>
      </w:r>
      <w:r w:rsidRPr="006953D9">
        <w:t>local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issued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unilateral</w:t>
      </w:r>
      <w:r w:rsidR="000B5A3E" w:rsidRPr="006953D9">
        <w:t xml:space="preserve"> </w:t>
      </w:r>
      <w:r w:rsidRPr="006953D9">
        <w:t>declaration</w:t>
      </w:r>
      <w:r w:rsidR="000B5A3E" w:rsidRPr="006953D9">
        <w:t xml:space="preserve"> </w:t>
      </w:r>
      <w:r w:rsidRPr="006953D9">
        <w:t>purporting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create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(</w:t>
      </w:r>
      <w:r w:rsidR="002206DB" w:rsidRPr="006953D9">
        <w:t>“</w:t>
      </w:r>
      <w:r w:rsidRPr="006953D9">
        <w:t>TRNC</w:t>
      </w:r>
      <w:r w:rsidR="002206DB" w:rsidRPr="006953D9">
        <w:t>”</w:t>
      </w:r>
      <w:r w:rsidRPr="006953D9">
        <w:t>).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Security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resolutions</w:t>
      </w:r>
      <w:r w:rsidR="000B5A3E" w:rsidRPr="006953D9">
        <w:t xml:space="preserve"> </w:t>
      </w:r>
      <w:r w:rsidRPr="006953D9">
        <w:t>541</w:t>
      </w:r>
      <w:r w:rsidR="000B5A3E" w:rsidRPr="006953D9">
        <w:t xml:space="preserve"> </w:t>
      </w:r>
      <w:r w:rsidRPr="006953D9">
        <w:t>(1983)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550</w:t>
      </w:r>
      <w:r w:rsidR="000B5A3E" w:rsidRPr="006953D9">
        <w:t xml:space="preserve"> </w:t>
      </w:r>
      <w:r w:rsidRPr="006953D9">
        <w:t>(1984)</w:t>
      </w:r>
      <w:r w:rsidR="000B5A3E" w:rsidRPr="006953D9">
        <w:t xml:space="preserve"> </w:t>
      </w:r>
      <w:r w:rsidRPr="006953D9">
        <w:t>condemned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said</w:t>
      </w:r>
      <w:r w:rsidR="000B5A3E" w:rsidRPr="006953D9">
        <w:t xml:space="preserve"> </w:t>
      </w:r>
      <w:r w:rsidRPr="006953D9">
        <w:t>unilateral</w:t>
      </w:r>
      <w:r w:rsidR="000B5A3E" w:rsidRPr="006953D9">
        <w:t xml:space="preserve"> </w:t>
      </w:r>
      <w:r w:rsidRPr="006953D9">
        <w:t>declaration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subsequent</w:t>
      </w:r>
      <w:r w:rsidR="000B5A3E" w:rsidRPr="006953D9">
        <w:t xml:space="preserve"> </w:t>
      </w:r>
      <w:r w:rsidRPr="006953D9">
        <w:t>secessionist</w:t>
      </w:r>
      <w:r w:rsidR="000B5A3E" w:rsidRPr="006953D9">
        <w:t xml:space="preserve"> </w:t>
      </w:r>
      <w:r w:rsidRPr="006953D9">
        <w:t>acts;</w:t>
      </w:r>
      <w:r w:rsidR="000B5A3E" w:rsidRPr="006953D9">
        <w:t xml:space="preserve"> </w:t>
      </w:r>
      <w:r w:rsidRPr="006953D9">
        <w:t>declared</w:t>
      </w:r>
      <w:r w:rsidR="000B5A3E" w:rsidRPr="006953D9">
        <w:t xml:space="preserve"> </w:t>
      </w:r>
      <w:r w:rsidRPr="006953D9">
        <w:t>them</w:t>
      </w:r>
      <w:r w:rsidR="000B5A3E" w:rsidRPr="006953D9">
        <w:t xml:space="preserve"> </w:t>
      </w:r>
      <w:r w:rsidRPr="006953D9">
        <w:t>legally</w:t>
      </w:r>
      <w:r w:rsidR="000B5A3E" w:rsidRPr="006953D9">
        <w:t xml:space="preserve"> </w:t>
      </w:r>
      <w:r w:rsidRPr="006953D9">
        <w:t>invalid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called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immediate</w:t>
      </w:r>
      <w:r w:rsidR="000B5A3E" w:rsidRPr="006953D9">
        <w:t xml:space="preserve"> </w:t>
      </w:r>
      <w:r w:rsidRPr="006953D9">
        <w:t>withdrawal.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resolutions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called</w:t>
      </w:r>
      <w:r w:rsidR="000B5A3E" w:rsidRPr="006953D9">
        <w:t xml:space="preserve"> </w:t>
      </w:r>
      <w:r w:rsidRPr="006953D9">
        <w:t>upon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states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recognize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secessionist</w:t>
      </w:r>
      <w:r w:rsidR="000B5A3E" w:rsidRPr="006953D9">
        <w:t xml:space="preserve"> </w:t>
      </w:r>
      <w:r w:rsidRPr="006953D9">
        <w:t>entity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facilitate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way</w:t>
      </w:r>
      <w:r w:rsidR="000B5A3E" w:rsidRPr="006953D9">
        <w:t xml:space="preserve"> </w:t>
      </w:r>
      <w:r w:rsidRPr="006953D9">
        <w:t>assist</w:t>
      </w:r>
      <w:r w:rsidR="000B5A3E" w:rsidRPr="006953D9">
        <w:t xml:space="preserve"> </w:t>
      </w:r>
      <w:r w:rsidRPr="006953D9">
        <w:t>it.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then,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secessionist</w:t>
      </w:r>
      <w:r w:rsidR="000B5A3E" w:rsidRPr="006953D9">
        <w:t xml:space="preserve"> </w:t>
      </w:r>
      <w:r w:rsidRPr="006953D9">
        <w:t>entity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recognized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country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than</w:t>
      </w:r>
      <w:r w:rsidR="000B5A3E" w:rsidRPr="006953D9">
        <w:t xml:space="preserve"> </w:t>
      </w:r>
      <w:r w:rsidRPr="006953D9">
        <w:t>Turkey,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occupation</w:t>
      </w:r>
      <w:r w:rsidR="000B5A3E" w:rsidRPr="006953D9">
        <w:t xml:space="preserve"> </w:t>
      </w:r>
      <w:r w:rsidRPr="006953D9">
        <w:t>power.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50.</w:t>
      </w:r>
      <w:r w:rsidRPr="006953D9">
        <w:tab/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137722">
        <w:rPr>
          <w:i/>
          <w:iCs/>
        </w:rPr>
        <w:t>Cyprus</w:t>
      </w:r>
      <w:r w:rsidR="000B5A3E" w:rsidRPr="00137722">
        <w:rPr>
          <w:i/>
          <w:iCs/>
        </w:rPr>
        <w:t xml:space="preserve"> </w:t>
      </w:r>
      <w:r w:rsidRPr="00137722">
        <w:rPr>
          <w:i/>
          <w:iCs/>
        </w:rPr>
        <w:t>v.</w:t>
      </w:r>
      <w:r w:rsidR="000B5A3E" w:rsidRPr="00137722">
        <w:rPr>
          <w:i/>
          <w:iCs/>
        </w:rPr>
        <w:t xml:space="preserve"> </w:t>
      </w:r>
      <w:r w:rsidRPr="00137722">
        <w:rPr>
          <w:i/>
          <w:iCs/>
        </w:rPr>
        <w:t>Turkey</w:t>
      </w:r>
      <w:r w:rsidR="000B5A3E" w:rsidRPr="006953D9">
        <w:t xml:space="preserve"> </w:t>
      </w:r>
      <w:r w:rsidRPr="006953D9">
        <w:t>(application</w:t>
      </w:r>
      <w:r w:rsidR="000B5A3E" w:rsidRPr="006953D9">
        <w:t xml:space="preserve"> </w:t>
      </w:r>
      <w:r w:rsidRPr="006953D9">
        <w:t>no.</w:t>
      </w:r>
      <w:r w:rsidR="000B5A3E" w:rsidRPr="006953D9">
        <w:t xml:space="preserve"> </w:t>
      </w:r>
      <w:r w:rsidRPr="006953D9">
        <w:t>25781/94,</w:t>
      </w:r>
      <w:r w:rsidR="000B5A3E" w:rsidRPr="006953D9">
        <w:t xml:space="preserve"> </w:t>
      </w:r>
      <w:r w:rsidRPr="006953D9">
        <w:t>10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2001)</w:t>
      </w:r>
      <w:r w:rsidR="000B5A3E" w:rsidRPr="006953D9">
        <w:t xml:space="preserve"> </w:t>
      </w:r>
      <w:r w:rsidRPr="006953D9">
        <w:t>pronounced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overall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consequences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Turkey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invasion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continued</w:t>
      </w:r>
      <w:r w:rsidR="000B5A3E" w:rsidRPr="006953D9">
        <w:t xml:space="preserve"> </w:t>
      </w:r>
      <w:r w:rsidRPr="006953D9">
        <w:t>military</w:t>
      </w:r>
      <w:r w:rsidR="000B5A3E" w:rsidRPr="006953D9">
        <w:t xml:space="preserve"> </w:t>
      </w:r>
      <w:r w:rsidRPr="006953D9">
        <w:t>presence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reiterated</w:t>
      </w:r>
      <w:r w:rsidR="000B5A3E" w:rsidRPr="006953D9">
        <w:t xml:space="preserve"> </w:t>
      </w:r>
      <w:r w:rsidRPr="006953D9">
        <w:t>that:</w:t>
      </w:r>
    </w:p>
    <w:p w:rsidR="00200C10" w:rsidRPr="006953D9" w:rsidRDefault="00200C10" w:rsidP="00D73656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sole</w:t>
      </w:r>
      <w:r w:rsidR="000B5A3E" w:rsidRPr="006953D9">
        <w:t xml:space="preserve"> </w:t>
      </w:r>
      <w:r w:rsidRPr="006953D9">
        <w:t>legitimate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Cyprus;</w:t>
      </w:r>
    </w:p>
    <w:p w:rsidR="00200C10" w:rsidRPr="006953D9" w:rsidRDefault="00200C10" w:rsidP="00D73656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community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do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consider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="002206DB" w:rsidRPr="006953D9">
        <w:t>“</w:t>
      </w:r>
      <w:r w:rsidRPr="006953D9">
        <w:t>TRNC</w:t>
      </w:r>
      <w:r w:rsidR="002206DB" w:rsidRPr="006953D9">
        <w:t>”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law;</w:t>
      </w:r>
    </w:p>
    <w:p w:rsidR="00200C10" w:rsidRPr="006953D9" w:rsidRDefault="00200C10" w:rsidP="00D73656">
      <w:pPr>
        <w:pStyle w:val="Bullet1G"/>
      </w:pPr>
      <w:r w:rsidRPr="006953D9">
        <w:t>Turkey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subordinate</w:t>
      </w:r>
      <w:r w:rsidR="000B5A3E" w:rsidRPr="006953D9">
        <w:t xml:space="preserve"> </w:t>
      </w:r>
      <w:r w:rsidRPr="006953D9">
        <w:t>local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northern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survives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virtue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military</w:t>
      </w:r>
      <w:r w:rsidR="000B5A3E" w:rsidRPr="006953D9">
        <w:t xml:space="preserve"> </w:t>
      </w:r>
      <w:r w:rsidRPr="006953D9">
        <w:t>occupation;</w:t>
      </w:r>
    </w:p>
    <w:p w:rsidR="00200C10" w:rsidRPr="006953D9" w:rsidRDefault="00200C10" w:rsidP="00D73656">
      <w:pPr>
        <w:pStyle w:val="Bullet1G"/>
      </w:pPr>
      <w:r w:rsidRPr="006953D9">
        <w:t>Turkey,</w:t>
      </w:r>
      <w:r w:rsidR="000B5A3E" w:rsidRPr="006953D9">
        <w:t xml:space="preserve"> </w:t>
      </w:r>
      <w:r w:rsidRPr="006953D9">
        <w:t>having</w:t>
      </w:r>
      <w:r w:rsidR="000B5A3E" w:rsidRPr="006953D9">
        <w:t xml:space="preserve"> </w:t>
      </w:r>
      <w:r w:rsidR="002206DB" w:rsidRPr="006953D9">
        <w:t>“</w:t>
      </w:r>
      <w:r w:rsidRPr="006953D9">
        <w:t>effective</w:t>
      </w:r>
      <w:r w:rsidR="000B5A3E" w:rsidRPr="006953D9">
        <w:t xml:space="preserve"> </w:t>
      </w:r>
      <w:r w:rsidRPr="006953D9">
        <w:t>overall</w:t>
      </w:r>
      <w:r w:rsidR="000B5A3E" w:rsidRPr="006953D9">
        <w:t xml:space="preserve"> </w:t>
      </w:r>
      <w:r w:rsidRPr="006953D9">
        <w:t>control</w:t>
      </w:r>
      <w:r w:rsidR="000B5A3E" w:rsidRPr="006953D9">
        <w:t xml:space="preserve"> </w:t>
      </w:r>
      <w:r w:rsidRPr="006953D9">
        <w:t>over</w:t>
      </w:r>
      <w:r w:rsidR="000B5A3E" w:rsidRPr="006953D9">
        <w:t xml:space="preserve"> </w:t>
      </w:r>
      <w:r w:rsidRPr="006953D9">
        <w:t>northern</w:t>
      </w:r>
      <w:r w:rsidR="000B5A3E" w:rsidRPr="006953D9">
        <w:t xml:space="preserve"> </w:t>
      </w:r>
      <w:r w:rsidRPr="006953D9">
        <w:t>Cyprus</w:t>
      </w:r>
      <w:r w:rsidR="002206DB" w:rsidRPr="006953D9">
        <w:t>”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responsible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violations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her</w:t>
      </w:r>
      <w:r w:rsidR="000B5A3E" w:rsidRPr="006953D9">
        <w:t xml:space="preserve"> </w:t>
      </w:r>
      <w:r w:rsidRPr="006953D9">
        <w:t>own</w:t>
      </w:r>
      <w:r w:rsidR="000B5A3E" w:rsidRPr="006953D9">
        <w:t xml:space="preserve"> </w:t>
      </w:r>
      <w:r w:rsidRPr="006953D9">
        <w:t>soldiers,</w:t>
      </w:r>
      <w:r w:rsidR="000B5A3E" w:rsidRPr="006953D9">
        <w:t xml:space="preserve"> </w:t>
      </w:r>
      <w:r w:rsidRPr="006953D9">
        <w:t>officials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subordinate</w:t>
      </w:r>
      <w:r w:rsidR="000B5A3E" w:rsidRPr="006953D9">
        <w:t xml:space="preserve"> </w:t>
      </w:r>
      <w:r w:rsidRPr="006953D9">
        <w:t>local</w:t>
      </w:r>
      <w:r w:rsidR="000B5A3E" w:rsidRPr="006953D9">
        <w:t xml:space="preserve"> </w:t>
      </w:r>
      <w:r w:rsidRPr="006953D9">
        <w:t>administration.</w:t>
      </w:r>
    </w:p>
    <w:p w:rsidR="00200C10" w:rsidRPr="006953D9" w:rsidRDefault="00200C10" w:rsidP="00830021">
      <w:pPr>
        <w:pStyle w:val="SingleTxtG"/>
      </w:pPr>
      <w:r w:rsidRPr="006953D9">
        <w:t>51.</w:t>
      </w:r>
      <w:r w:rsidRPr="006953D9">
        <w:tab/>
        <w:t>The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pronounced</w:t>
      </w:r>
      <w:r w:rsidR="000B5A3E" w:rsidRPr="006953D9">
        <w:t xml:space="preserve"> </w:t>
      </w:r>
      <w:r w:rsidRPr="006953D9">
        <w:t>important</w:t>
      </w:r>
      <w:r w:rsidR="000B5A3E" w:rsidRPr="006953D9">
        <w:t xml:space="preserve"> </w:t>
      </w:r>
      <w:r w:rsidRPr="006953D9">
        <w:t>judgments</w:t>
      </w:r>
      <w:r w:rsidR="000B5A3E" w:rsidRPr="006953D9">
        <w:t xml:space="preserve"> </w:t>
      </w:r>
      <w:r w:rsidRPr="006953D9">
        <w:t>upon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applications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Cypriots.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landmark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proofErr w:type="spellStart"/>
      <w:r w:rsidRPr="006953D9">
        <w:rPr>
          <w:i/>
          <w:iCs/>
        </w:rPr>
        <w:t>Loizidou</w:t>
      </w:r>
      <w:proofErr w:type="spellEnd"/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v.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Turkey</w:t>
      </w:r>
      <w:r w:rsidRPr="006953D9">
        <w:t>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ordered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Turkey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compensate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applicant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time</w:t>
      </w:r>
      <w:r w:rsidR="000B5A3E" w:rsidRPr="006953D9">
        <w:t xml:space="preserve"> </w:t>
      </w:r>
      <w:r w:rsidRPr="006953D9">
        <w:t>period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deprivation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her</w:t>
      </w:r>
      <w:r w:rsidR="000B5A3E" w:rsidRPr="006953D9">
        <w:t xml:space="preserve"> </w:t>
      </w:r>
      <w:r w:rsidRPr="006953D9">
        <w:t>property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provide</w:t>
      </w:r>
      <w:r w:rsidR="000B5A3E" w:rsidRPr="006953D9">
        <w:t xml:space="preserve"> </w:t>
      </w:r>
      <w:r w:rsidRPr="006953D9">
        <w:t>full</w:t>
      </w:r>
      <w:r w:rsidR="000B5A3E" w:rsidRPr="006953D9">
        <w:t xml:space="preserve"> </w:t>
      </w:r>
      <w:r w:rsidRPr="006953D9">
        <w:t>access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allow</w:t>
      </w:r>
      <w:r w:rsidR="000B5A3E" w:rsidRPr="006953D9">
        <w:t xml:space="preserve"> </w:t>
      </w:r>
      <w:r w:rsidRPr="006953D9">
        <w:t>peaceful</w:t>
      </w:r>
      <w:r w:rsidR="000B5A3E" w:rsidRPr="006953D9">
        <w:t xml:space="preserve"> </w:t>
      </w:r>
      <w:r w:rsidRPr="006953D9">
        <w:t>enjoyment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her</w:t>
      </w:r>
      <w:r w:rsidR="000B5A3E" w:rsidRPr="006953D9">
        <w:t xml:space="preserve"> </w:t>
      </w:r>
      <w:r w:rsidRPr="006953D9">
        <w:t>property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proofErr w:type="spellStart"/>
      <w:r w:rsidRPr="006953D9">
        <w:t>Kyrenia</w:t>
      </w:r>
      <w:proofErr w:type="spellEnd"/>
      <w:r w:rsidRPr="006953D9">
        <w:t>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52.</w:t>
      </w:r>
      <w:r w:rsidRPr="006953D9">
        <w:tab/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became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member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Union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1</w:t>
      </w:r>
      <w:r w:rsidR="000B5A3E" w:rsidRPr="006953D9">
        <w:t xml:space="preserve"> </w:t>
      </w:r>
      <w:r w:rsidRPr="006953D9">
        <w:t>2004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whole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territory.</w:t>
      </w:r>
      <w:r w:rsidR="000B5A3E" w:rsidRPr="006953D9">
        <w:t xml:space="preserve"> </w:t>
      </w:r>
      <w:r w:rsidR="00005B8B" w:rsidRPr="006953D9">
        <w:t>By</w:t>
      </w:r>
      <w:r w:rsidR="000B5A3E" w:rsidRPr="006953D9">
        <w:t xml:space="preserve"> </w:t>
      </w:r>
      <w:r w:rsidRPr="006953D9">
        <w:t>virtue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Protocol</w:t>
      </w:r>
      <w:r w:rsidR="000B5A3E" w:rsidRPr="006953D9">
        <w:t xml:space="preserve"> </w:t>
      </w:r>
      <w:r w:rsidRPr="006953D9">
        <w:t>10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2003</w:t>
      </w:r>
      <w:r w:rsidR="000B5A3E" w:rsidRPr="006953D9">
        <w:t xml:space="preserve"> </w:t>
      </w:r>
      <w:r w:rsidRPr="006953D9">
        <w:t>Treaty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Accession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Union</w:t>
      </w:r>
      <w:r w:rsidR="000B5A3E" w:rsidRPr="006953D9">
        <w:t xml:space="preserve"> </w:t>
      </w:r>
      <w:r w:rsidRPr="006953D9">
        <w:t>(Accession</w:t>
      </w:r>
      <w:r w:rsidR="000B5A3E" w:rsidRPr="006953D9">
        <w:t xml:space="preserve"> </w:t>
      </w:r>
      <w:r w:rsidRPr="006953D9">
        <w:t>Treaty):</w:t>
      </w:r>
      <w:r w:rsidR="000B5A3E" w:rsidRPr="006953D9">
        <w:t xml:space="preserve"> </w:t>
      </w:r>
      <w:r w:rsidR="002206DB" w:rsidRPr="006953D9">
        <w:t>“</w:t>
      </w:r>
      <w:r w:rsidRPr="006953D9">
        <w:t>the</w:t>
      </w:r>
      <w:r w:rsidR="000B5A3E" w:rsidRPr="006953D9">
        <w:t xml:space="preserve"> </w:t>
      </w:r>
      <w:r w:rsidRPr="006953D9">
        <w:t>application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acquis</w:t>
      </w:r>
      <w:r w:rsidR="000B5A3E" w:rsidRPr="006953D9">
        <w:t xml:space="preserve"> </w:t>
      </w:r>
      <w:r w:rsidRPr="006953D9">
        <w:t>shall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suspended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those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does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effective</w:t>
      </w:r>
      <w:r w:rsidR="000B5A3E" w:rsidRPr="006953D9">
        <w:t xml:space="preserve"> </w:t>
      </w:r>
      <w:r w:rsidR="00296E93" w:rsidRPr="006953D9">
        <w:t>control</w:t>
      </w:r>
      <w:r w:rsidR="002206DB" w:rsidRPr="006953D9">
        <w:t>”</w:t>
      </w:r>
      <w:r w:rsidRPr="006953D9">
        <w:t>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lastRenderedPageBreak/>
        <w:t>53.</w:t>
      </w:r>
      <w:r w:rsidRPr="006953D9">
        <w:tab/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Justice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judgment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proofErr w:type="spellStart"/>
      <w:r w:rsidRPr="006953D9">
        <w:rPr>
          <w:i/>
          <w:iCs/>
        </w:rPr>
        <w:t>Meletios</w:t>
      </w:r>
      <w:proofErr w:type="spellEnd"/>
      <w:r w:rsidR="000B5A3E" w:rsidRPr="006953D9">
        <w:rPr>
          <w:i/>
          <w:iCs/>
        </w:rPr>
        <w:t xml:space="preserve"> </w:t>
      </w:r>
      <w:proofErr w:type="spellStart"/>
      <w:r w:rsidRPr="006953D9">
        <w:rPr>
          <w:i/>
          <w:iCs/>
        </w:rPr>
        <w:t>Apostolides</w:t>
      </w:r>
      <w:proofErr w:type="spellEnd"/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v.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David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Charles</w:t>
      </w:r>
      <w:r w:rsidR="000B5A3E" w:rsidRPr="006953D9">
        <w:rPr>
          <w:i/>
          <w:iCs/>
        </w:rPr>
        <w:t xml:space="preserve"> </w:t>
      </w:r>
      <w:proofErr w:type="spellStart"/>
      <w:r w:rsidRPr="006953D9">
        <w:rPr>
          <w:i/>
          <w:iCs/>
        </w:rPr>
        <w:t>Orams</w:t>
      </w:r>
      <w:proofErr w:type="spellEnd"/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and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Linda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Elizabeth</w:t>
      </w:r>
      <w:r w:rsidR="000B5A3E" w:rsidRPr="006953D9">
        <w:rPr>
          <w:i/>
          <w:iCs/>
        </w:rPr>
        <w:t xml:space="preserve"> </w:t>
      </w:r>
      <w:proofErr w:type="spellStart"/>
      <w:r w:rsidRPr="006953D9">
        <w:rPr>
          <w:i/>
          <w:iCs/>
        </w:rPr>
        <w:t>Orams</w:t>
      </w:r>
      <w:proofErr w:type="spellEnd"/>
      <w:r w:rsidR="000B5A3E" w:rsidRPr="006953D9">
        <w:t xml:space="preserve"> </w:t>
      </w:r>
      <w:r w:rsidRPr="006953D9">
        <w:t>(28/4/2009),</w:t>
      </w:r>
      <w:r w:rsidR="000B5A3E" w:rsidRPr="006953D9">
        <w:t xml:space="preserve"> </w:t>
      </w:r>
      <w:r w:rsidRPr="006953D9">
        <w:t>reaffirmed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jurisdiction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courts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effective</w:t>
      </w:r>
      <w:r w:rsidR="000B5A3E" w:rsidRPr="006953D9">
        <w:t xml:space="preserve"> </w:t>
      </w:r>
      <w:r w:rsidRPr="006953D9">
        <w:t>control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Government.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Cypriots,</w:t>
      </w:r>
      <w:r w:rsidR="000B5A3E" w:rsidRPr="006953D9">
        <w:t xml:space="preserve"> </w:t>
      </w:r>
      <w:r w:rsidRPr="006953D9">
        <w:t>who</w:t>
      </w:r>
      <w:r w:rsidR="000B5A3E" w:rsidRPr="006953D9">
        <w:t xml:space="preserve"> </w:t>
      </w:r>
      <w:r w:rsidRPr="006953D9">
        <w:t>own</w:t>
      </w:r>
      <w:r w:rsidR="000B5A3E" w:rsidRPr="006953D9">
        <w:t xml:space="preserve"> </w:t>
      </w:r>
      <w:r w:rsidRPr="006953D9">
        <w:t>properties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Republic,</w:t>
      </w:r>
      <w:r w:rsidR="000B5A3E" w:rsidRPr="006953D9">
        <w:t xml:space="preserve"> </w:t>
      </w:r>
      <w:r w:rsidRPr="006953D9">
        <w:t>remain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owners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properties,</w:t>
      </w:r>
      <w:r w:rsidR="000B5A3E" w:rsidRPr="006953D9">
        <w:t xml:space="preserve"> </w:t>
      </w:r>
      <w:r w:rsidRPr="006953D9">
        <w:t>despite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illegal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occupation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these</w:t>
      </w:r>
      <w:r w:rsidR="000B5A3E" w:rsidRPr="006953D9">
        <w:t xml:space="preserve"> </w:t>
      </w:r>
      <w:r w:rsidRPr="006953D9">
        <w:t>owners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possibility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resorting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justice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prevent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unlawful</w:t>
      </w:r>
      <w:r w:rsidR="000B5A3E" w:rsidRPr="006953D9">
        <w:t xml:space="preserve"> </w:t>
      </w:r>
      <w:r w:rsidRPr="006953D9">
        <w:t>exploitation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property.</w:t>
      </w:r>
    </w:p>
    <w:p w:rsidR="00200C10" w:rsidRPr="006953D9" w:rsidRDefault="00200C10" w:rsidP="00830021">
      <w:pPr>
        <w:pStyle w:val="SingleTxtG"/>
      </w:pPr>
      <w:r w:rsidRPr="006953D9">
        <w:t>54.</w:t>
      </w:r>
      <w:r w:rsidRPr="006953D9">
        <w:tab/>
        <w:t>Due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continuing</w:t>
      </w:r>
      <w:r w:rsidR="000B5A3E" w:rsidRPr="006953D9">
        <w:t xml:space="preserve"> </w:t>
      </w:r>
      <w:r w:rsidRPr="006953D9">
        <w:t>illegal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occupation,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prevented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armed</w:t>
      </w:r>
      <w:r w:rsidR="000B5A3E" w:rsidRPr="006953D9">
        <w:t xml:space="preserve"> </w:t>
      </w:r>
      <w:r w:rsidRPr="006953D9">
        <w:t>force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exercising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control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ensuring</w:t>
      </w:r>
      <w:r w:rsidR="000B5A3E" w:rsidRPr="006953D9">
        <w:t xml:space="preserve"> </w:t>
      </w:r>
      <w:r w:rsidRPr="006953D9">
        <w:t>implementation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respect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occupied</w:t>
      </w:r>
      <w:r w:rsidR="000B5A3E" w:rsidRPr="006953D9">
        <w:t xml:space="preserve"> </w:t>
      </w:r>
      <w:r w:rsidRPr="006953D9">
        <w:t>areas.</w:t>
      </w:r>
    </w:p>
    <w:p w:rsidR="00200C10" w:rsidRPr="006953D9" w:rsidRDefault="00200C10" w:rsidP="00830021">
      <w:pPr>
        <w:pStyle w:val="SingleTxtG"/>
      </w:pPr>
      <w:r w:rsidRPr="006953D9">
        <w:t>55.</w:t>
      </w:r>
      <w:r w:rsidRPr="006953D9">
        <w:tab/>
        <w:t>In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search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peaceful</w:t>
      </w:r>
      <w:r w:rsidR="000B5A3E" w:rsidRPr="006953D9">
        <w:t xml:space="preserve"> </w:t>
      </w:r>
      <w:r w:rsidRPr="006953D9">
        <w:t>solution,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Government,</w:t>
      </w:r>
      <w:r w:rsidR="000B5A3E" w:rsidRPr="006953D9">
        <w:t xml:space="preserve"> </w:t>
      </w:r>
      <w:r w:rsidRPr="006953D9">
        <w:t>despite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continuing</w:t>
      </w:r>
      <w:r w:rsidR="000B5A3E" w:rsidRPr="006953D9">
        <w:t xml:space="preserve"> </w:t>
      </w:r>
      <w:r w:rsidRPr="006953D9">
        <w:t>illegal</w:t>
      </w:r>
      <w:r w:rsidR="000B5A3E" w:rsidRPr="006953D9">
        <w:t xml:space="preserve"> </w:t>
      </w:r>
      <w:r w:rsidRPr="006953D9">
        <w:t>occupation,</w:t>
      </w:r>
      <w:r w:rsidR="000B5A3E" w:rsidRPr="006953D9">
        <w:t xml:space="preserve"> </w:t>
      </w:r>
      <w:r w:rsidRPr="006953D9">
        <w:t>agreed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inter</w:t>
      </w:r>
      <w:r w:rsidR="000B5A3E" w:rsidRPr="006953D9">
        <w:t xml:space="preserve"> </w:t>
      </w:r>
      <w:r w:rsidRPr="006953D9">
        <w:t>communal</w:t>
      </w:r>
      <w:r w:rsidR="000B5A3E" w:rsidRPr="006953D9">
        <w:t xml:space="preserve"> </w:t>
      </w:r>
      <w:r w:rsidRPr="006953D9">
        <w:t>talks</w:t>
      </w:r>
      <w:r w:rsidR="000B5A3E" w:rsidRPr="006953D9">
        <w:t xml:space="preserve"> </w:t>
      </w:r>
      <w:r w:rsidRPr="006953D9">
        <w:t>being</w:t>
      </w:r>
      <w:r w:rsidR="000B5A3E" w:rsidRPr="006953D9">
        <w:t xml:space="preserve"> </w:t>
      </w:r>
      <w:r w:rsidRPr="006953D9">
        <w:t>held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basis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aforesaid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resolutions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through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good</w:t>
      </w:r>
      <w:r w:rsidR="000B5A3E" w:rsidRPr="006953D9">
        <w:t xml:space="preserve"> </w:t>
      </w:r>
      <w:r w:rsidRPr="006953D9">
        <w:t>offices</w:t>
      </w:r>
      <w:r w:rsidR="000B5A3E" w:rsidRPr="006953D9">
        <w:t xml:space="preserve"> </w:t>
      </w:r>
      <w:r w:rsidRPr="006953D9">
        <w:t>mission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Secretary-General.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56.</w:t>
      </w:r>
      <w:r w:rsidRPr="006953D9">
        <w:tab/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aims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just,</w:t>
      </w:r>
      <w:r w:rsidR="000B5A3E" w:rsidRPr="006953D9">
        <w:t xml:space="preserve"> </w:t>
      </w:r>
      <w:r w:rsidRPr="006953D9">
        <w:t>viable,</w:t>
      </w:r>
      <w:r w:rsidR="000B5A3E" w:rsidRPr="006953D9">
        <w:t xml:space="preserve"> </w:t>
      </w:r>
      <w:r w:rsidRPr="006953D9">
        <w:t>comprehensive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functional</w:t>
      </w:r>
      <w:r w:rsidR="000B5A3E" w:rsidRPr="006953D9">
        <w:t xml:space="preserve"> </w:t>
      </w:r>
      <w:r w:rsidRPr="006953D9">
        <w:t>solution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problem,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bi-zonal,</w:t>
      </w:r>
      <w:r w:rsidR="000B5A3E" w:rsidRPr="006953D9">
        <w:t xml:space="preserve"> </w:t>
      </w:r>
      <w:r w:rsidRPr="006953D9">
        <w:t>bi-communal</w:t>
      </w:r>
      <w:r w:rsidR="000B5A3E" w:rsidRPr="006953D9">
        <w:t xml:space="preserve"> </w:t>
      </w:r>
      <w:r w:rsidRPr="006953D9">
        <w:t>federal</w:t>
      </w:r>
      <w:r w:rsidR="000B5A3E" w:rsidRPr="006953D9">
        <w:t xml:space="preserve"> </w:t>
      </w:r>
      <w:r w:rsidRPr="006953D9">
        <w:t>structure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will</w:t>
      </w:r>
      <w:r w:rsidR="000B5A3E" w:rsidRPr="006953D9">
        <w:t xml:space="preserve"> </w:t>
      </w:r>
      <w:r w:rsidRPr="006953D9">
        <w:t>guarantee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independence,</w:t>
      </w:r>
      <w:r w:rsidR="000B5A3E" w:rsidRPr="006953D9">
        <w:t xml:space="preserve"> </w:t>
      </w:r>
      <w:r w:rsidRPr="006953D9">
        <w:t>territorial</w:t>
      </w:r>
      <w:r w:rsidR="000B5A3E" w:rsidRPr="006953D9">
        <w:t xml:space="preserve"> </w:t>
      </w:r>
      <w:r w:rsidRPr="006953D9">
        <w:t>integrity,</w:t>
      </w:r>
      <w:r w:rsidR="000B5A3E" w:rsidRPr="006953D9">
        <w:t xml:space="preserve"> </w:t>
      </w:r>
      <w:r w:rsidRPr="006953D9">
        <w:t>unity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sovereignty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free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occupation</w:t>
      </w:r>
      <w:r w:rsidR="000B5A3E" w:rsidRPr="006953D9">
        <w:t xml:space="preserve"> </w:t>
      </w:r>
      <w:r w:rsidRPr="006953D9">
        <w:t>troops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illegal</w:t>
      </w:r>
      <w:r w:rsidR="000B5A3E" w:rsidRPr="006953D9">
        <w:t xml:space="preserve"> </w:t>
      </w:r>
      <w:r w:rsidRPr="006953D9">
        <w:t>settlers;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solution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will</w:t>
      </w:r>
      <w:r w:rsidR="000B5A3E" w:rsidRPr="006953D9">
        <w:t xml:space="preserve"> </w:t>
      </w:r>
      <w:r w:rsidRPr="006953D9">
        <w:t>reunify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island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people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would</w:t>
      </w:r>
      <w:r w:rsidR="000B5A3E" w:rsidRPr="006953D9">
        <w:t xml:space="preserve"> </w:t>
      </w:r>
      <w:r w:rsidRPr="006953D9">
        <w:t>ensure</w:t>
      </w:r>
      <w:r w:rsidR="000B5A3E" w:rsidRPr="006953D9">
        <w:t xml:space="preserve"> </w:t>
      </w:r>
      <w:r w:rsidRPr="006953D9">
        <w:t>full</w:t>
      </w:r>
      <w:r w:rsidR="000B5A3E" w:rsidRPr="006953D9">
        <w:t xml:space="preserve"> </w:t>
      </w:r>
      <w:r w:rsidRPr="006953D9">
        <w:t>respect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fundamental</w:t>
      </w:r>
      <w:r w:rsidR="000B5A3E" w:rsidRPr="006953D9">
        <w:t xml:space="preserve"> </w:t>
      </w:r>
      <w:r w:rsidRPr="006953D9">
        <w:t>freedoms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Cypriots.</w:t>
      </w:r>
      <w:r w:rsidR="000B5A3E" w:rsidRPr="006953D9">
        <w:t xml:space="preserve"> </w:t>
      </w:r>
    </w:p>
    <w:p w:rsidR="00200C10" w:rsidRPr="006953D9" w:rsidRDefault="00200C10" w:rsidP="00C601B0">
      <w:pPr>
        <w:pStyle w:val="H23G"/>
      </w:pPr>
      <w:r w:rsidRPr="006953D9">
        <w:tab/>
      </w:r>
      <w:r w:rsidRPr="006953D9">
        <w:tab/>
        <w:t>The</w:t>
      </w:r>
      <w:r w:rsidR="000B5A3E" w:rsidRPr="006953D9">
        <w:t xml:space="preserve"> </w:t>
      </w:r>
      <w:r w:rsidRPr="006953D9">
        <w:t>Constitution</w:t>
      </w:r>
    </w:p>
    <w:p w:rsidR="00200C10" w:rsidRPr="006953D9" w:rsidRDefault="00200C10" w:rsidP="00830021">
      <w:pPr>
        <w:pStyle w:val="SingleTxtG"/>
      </w:pPr>
      <w:r w:rsidRPr="006953D9">
        <w:t>57.</w:t>
      </w:r>
      <w:r w:rsidRPr="006953D9">
        <w:tab/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provides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presidential</w:t>
      </w:r>
      <w:r w:rsidR="000B5A3E" w:rsidRPr="006953D9">
        <w:t xml:space="preserve"> </w:t>
      </w:r>
      <w:r w:rsidRPr="006953D9">
        <w:t>system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Vice-President,</w:t>
      </w:r>
      <w:r w:rsidR="000B5A3E" w:rsidRPr="006953D9">
        <w:t xml:space="preserve"> </w:t>
      </w:r>
      <w:r w:rsidRPr="006953D9">
        <w:t>elected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Communities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respectively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fixed</w:t>
      </w:r>
      <w:r w:rsidR="000B5A3E" w:rsidRPr="006953D9">
        <w:t xml:space="preserve"> </w:t>
      </w:r>
      <w:r w:rsidRPr="006953D9">
        <w:t>five-year</w:t>
      </w:r>
      <w:r w:rsidR="000B5A3E" w:rsidRPr="006953D9">
        <w:t xml:space="preserve"> </w:t>
      </w:r>
      <w:r w:rsidRPr="006953D9">
        <w:t>term</w:t>
      </w:r>
      <w:r w:rsidR="000B5A3E" w:rsidRPr="006953D9">
        <w:t xml:space="preserve"> </w:t>
      </w:r>
      <w:r w:rsidRPr="006953D9">
        <w:t>(Article</w:t>
      </w:r>
      <w:r w:rsidR="000B5A3E" w:rsidRPr="006953D9">
        <w:t xml:space="preserve"> </w:t>
      </w:r>
      <w:r w:rsidRPr="006953D9">
        <w:t>1).</w:t>
      </w:r>
    </w:p>
    <w:p w:rsidR="00200C10" w:rsidRPr="006953D9" w:rsidRDefault="00200C10" w:rsidP="000E6337">
      <w:pPr>
        <w:pStyle w:val="SingleTxtG"/>
      </w:pPr>
      <w:r w:rsidRPr="006953D9">
        <w:t>58.</w:t>
      </w:r>
      <w:r w:rsidRPr="006953D9">
        <w:tab/>
        <w:t>According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executive</w:t>
      </w:r>
      <w:r w:rsidR="000B5A3E" w:rsidRPr="006953D9">
        <w:t xml:space="preserve"> </w:t>
      </w:r>
      <w:r w:rsidRPr="006953D9">
        <w:t>power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exercised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Vice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Ministers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each</w:t>
      </w:r>
      <w:r w:rsidR="000B5A3E" w:rsidRPr="006953D9">
        <w:t xml:space="preserve"> </w:t>
      </w:r>
      <w:r w:rsidRPr="006953D9">
        <w:t>Minister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basis.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Ministers,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comprised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7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3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ministers,</w:t>
      </w:r>
      <w:r w:rsidR="000B5A3E" w:rsidRPr="006953D9">
        <w:t xml:space="preserve"> </w:t>
      </w:r>
      <w:r w:rsidRPr="006953D9">
        <w:t>nominated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Vice-</w:t>
      </w:r>
      <w:r w:rsidR="000E6337" w:rsidRPr="006953D9">
        <w:t>P</w:t>
      </w:r>
      <w:r w:rsidRPr="006953D9">
        <w:t>resident</w:t>
      </w:r>
      <w:r w:rsidR="000B5A3E" w:rsidRPr="006953D9">
        <w:t xml:space="preserve"> </w:t>
      </w:r>
      <w:r w:rsidRPr="006953D9">
        <w:t>respectively,</w:t>
      </w:r>
      <w:r w:rsidR="000B5A3E" w:rsidRPr="006953D9">
        <w:t xml:space="preserve"> </w:t>
      </w:r>
      <w:r w:rsidRPr="006953D9">
        <w:t>but</w:t>
      </w:r>
      <w:r w:rsidR="000B5A3E" w:rsidRPr="006953D9">
        <w:t xml:space="preserve"> </w:t>
      </w:r>
      <w:r w:rsidRPr="006953D9">
        <w:t>appointed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them</w:t>
      </w:r>
      <w:r w:rsidR="000B5A3E" w:rsidRPr="006953D9">
        <w:t xml:space="preserve"> </w:t>
      </w:r>
      <w:r w:rsidRPr="006953D9">
        <w:t>jointly.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Ministers</w:t>
      </w:r>
      <w:r w:rsidR="000B5A3E" w:rsidRPr="006953D9">
        <w:t xml:space="preserve"> </w:t>
      </w:r>
      <w:r w:rsidRPr="006953D9">
        <w:t>exercises</w:t>
      </w:r>
      <w:r w:rsidR="000B5A3E" w:rsidRPr="006953D9">
        <w:t xml:space="preserve"> </w:t>
      </w:r>
      <w:r w:rsidRPr="006953D9">
        <w:t>executive</w:t>
      </w:r>
      <w:r w:rsidR="000B5A3E" w:rsidRPr="006953D9">
        <w:t xml:space="preserve"> </w:t>
      </w:r>
      <w:r w:rsidRPr="006953D9">
        <w:t>power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matters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than</w:t>
      </w:r>
      <w:r w:rsidR="000B5A3E" w:rsidRPr="006953D9">
        <w:t xml:space="preserve"> </w:t>
      </w:r>
      <w:r w:rsidRPr="006953D9">
        <w:t>those</w:t>
      </w:r>
      <w:r w:rsidR="000B5A3E" w:rsidRPr="006953D9">
        <w:t xml:space="preserve"> </w:t>
      </w:r>
      <w:r w:rsidRPr="006953D9">
        <w:t>which,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express</w:t>
      </w:r>
      <w:r w:rsidR="000B5A3E" w:rsidRPr="006953D9">
        <w:t xml:space="preserve"> </w:t>
      </w:r>
      <w:r w:rsidRPr="006953D9">
        <w:t>provisions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Constitution,</w:t>
      </w:r>
      <w:r w:rsidR="000B5A3E" w:rsidRPr="006953D9">
        <w:t xml:space="preserve"> </w:t>
      </w:r>
      <w:r w:rsidRPr="006953D9">
        <w:t>fall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competencies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Vice-President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Communal</w:t>
      </w:r>
      <w:r w:rsidR="000B5A3E" w:rsidRPr="006953D9">
        <w:t xml:space="preserve"> </w:t>
      </w:r>
      <w:r w:rsidRPr="006953D9">
        <w:t>Chambers</w:t>
      </w:r>
      <w:r w:rsidR="000B5A3E" w:rsidRPr="006953D9">
        <w:t xml:space="preserve"> </w:t>
      </w:r>
      <w:r w:rsidRPr="006953D9">
        <w:t>(Article</w:t>
      </w:r>
      <w:r w:rsidR="000B5A3E" w:rsidRPr="006953D9">
        <w:t xml:space="preserve"> </w:t>
      </w:r>
      <w:r w:rsidRPr="006953D9">
        <w:t>54).</w:t>
      </w:r>
    </w:p>
    <w:p w:rsidR="00200C10" w:rsidRPr="006953D9" w:rsidRDefault="00200C10" w:rsidP="00830021">
      <w:pPr>
        <w:pStyle w:val="SingleTxtG"/>
      </w:pPr>
      <w:r w:rsidRPr="006953D9">
        <w:t>59.</w:t>
      </w:r>
      <w:r w:rsidRPr="006953D9">
        <w:tab/>
        <w:t>A</w:t>
      </w:r>
      <w:r w:rsidR="000B5A3E" w:rsidRPr="006953D9">
        <w:t xml:space="preserve"> </w:t>
      </w:r>
      <w:r w:rsidRPr="006953D9">
        <w:t>unicameral</w:t>
      </w:r>
      <w:r w:rsidR="000B5A3E" w:rsidRPr="006953D9">
        <w:t xml:space="preserve"> </w:t>
      </w:r>
      <w:r w:rsidRPr="006953D9">
        <w:t>House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Representatives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legislative</w:t>
      </w:r>
      <w:r w:rsidR="000B5A3E" w:rsidRPr="006953D9">
        <w:t xml:space="preserve"> </w:t>
      </w:r>
      <w:r w:rsidRPr="006953D9">
        <w:t>body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Republic,</w:t>
      </w:r>
      <w:r w:rsidR="000B5A3E" w:rsidRPr="006953D9">
        <w:t xml:space="preserve"> </w:t>
      </w:r>
      <w:r w:rsidRPr="006953D9">
        <w:t>composed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80</w:t>
      </w:r>
      <w:r w:rsidR="000B5A3E" w:rsidRPr="006953D9">
        <w:t xml:space="preserve"> </w:t>
      </w:r>
      <w:r w:rsidRPr="006953D9">
        <w:t>representatives,</w:t>
      </w:r>
      <w:r w:rsidR="000B5A3E" w:rsidRPr="006953D9">
        <w:t xml:space="preserve"> </w:t>
      </w:r>
      <w:r w:rsidRPr="006953D9">
        <w:t>56</w:t>
      </w:r>
      <w:r w:rsidR="000B5A3E" w:rsidRPr="006953D9">
        <w:t xml:space="preserve"> </w:t>
      </w:r>
      <w:r w:rsidRPr="006953D9">
        <w:t>elected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Community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24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Community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five-year</w:t>
      </w:r>
      <w:r w:rsidR="000B5A3E" w:rsidRPr="006953D9">
        <w:t xml:space="preserve"> </w:t>
      </w:r>
      <w:r w:rsidRPr="006953D9">
        <w:t>term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Vice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elected</w:t>
      </w:r>
      <w:r w:rsidR="000B5A3E" w:rsidRPr="006953D9">
        <w:t xml:space="preserve"> </w:t>
      </w:r>
      <w:r w:rsidRPr="006953D9">
        <w:t>separately.</w:t>
      </w:r>
    </w:p>
    <w:p w:rsidR="00200C10" w:rsidRPr="006953D9" w:rsidRDefault="00200C10" w:rsidP="00830021">
      <w:pPr>
        <w:pStyle w:val="SingleTxtG"/>
      </w:pPr>
      <w:r w:rsidRPr="006953D9">
        <w:t>60.</w:t>
      </w:r>
      <w:r w:rsidRPr="006953D9">
        <w:tab/>
        <w:t>The</w:t>
      </w:r>
      <w:r w:rsidR="000B5A3E" w:rsidRPr="006953D9">
        <w:t xml:space="preserve"> </w:t>
      </w:r>
      <w:r w:rsidRPr="006953D9">
        <w:t>House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Representatives</w:t>
      </w:r>
      <w:r w:rsidR="000B5A3E" w:rsidRPr="006953D9">
        <w:t xml:space="preserve"> </w:t>
      </w:r>
      <w:r w:rsidRPr="006953D9">
        <w:t>exercises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legislative</w:t>
      </w:r>
      <w:r w:rsidR="000B5A3E" w:rsidRPr="006953D9">
        <w:t xml:space="preserve"> </w:t>
      </w:r>
      <w:r w:rsidRPr="006953D9">
        <w:t>power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matters</w:t>
      </w:r>
      <w:r w:rsidR="000B5A3E" w:rsidRPr="006953D9">
        <w:t xml:space="preserve"> </w:t>
      </w:r>
      <w:r w:rsidRPr="006953D9">
        <w:t>except</w:t>
      </w:r>
      <w:r w:rsidR="000B5A3E" w:rsidRPr="006953D9">
        <w:t xml:space="preserve"> </w:t>
      </w:r>
      <w:r w:rsidRPr="006953D9">
        <w:t>those</w:t>
      </w:r>
      <w:r w:rsidR="000B5A3E" w:rsidRPr="006953D9">
        <w:t xml:space="preserve"> </w:t>
      </w:r>
      <w:r w:rsidRPr="006953D9">
        <w:t>expressly</w:t>
      </w:r>
      <w:r w:rsidR="000B5A3E" w:rsidRPr="006953D9">
        <w:t xml:space="preserve"> </w:t>
      </w:r>
      <w:r w:rsidRPr="006953D9">
        <w:t>reserved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Communal</w:t>
      </w:r>
      <w:r w:rsidR="000B5A3E" w:rsidRPr="006953D9">
        <w:t xml:space="preserve"> </w:t>
      </w:r>
      <w:r w:rsidRPr="006953D9">
        <w:t>Chambers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(Article</w:t>
      </w:r>
      <w:r w:rsidR="000B5A3E" w:rsidRPr="006953D9">
        <w:t xml:space="preserve"> </w:t>
      </w:r>
      <w:r w:rsidRPr="006953D9">
        <w:t>61).</w:t>
      </w:r>
    </w:p>
    <w:p w:rsidR="00200C10" w:rsidRPr="006953D9" w:rsidRDefault="00200C10" w:rsidP="00830021">
      <w:pPr>
        <w:pStyle w:val="SingleTxtG"/>
      </w:pPr>
      <w:r w:rsidRPr="006953D9">
        <w:t>61.</w:t>
      </w:r>
      <w:r w:rsidRPr="006953D9">
        <w:tab/>
        <w:t>Two</w:t>
      </w:r>
      <w:r w:rsidR="000B5A3E" w:rsidRPr="006953D9">
        <w:t xml:space="preserve"> </w:t>
      </w:r>
      <w:r w:rsidRPr="006953D9">
        <w:t>Communal</w:t>
      </w:r>
      <w:r w:rsidR="000B5A3E" w:rsidRPr="006953D9">
        <w:t xml:space="preserve"> </w:t>
      </w:r>
      <w:r w:rsidRPr="006953D9">
        <w:t>Chambers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envisaged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legislative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administrative</w:t>
      </w:r>
      <w:r w:rsidR="000B5A3E" w:rsidRPr="006953D9">
        <w:t xml:space="preserve"> </w:t>
      </w:r>
      <w:r w:rsidRPr="006953D9">
        <w:t>power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certain</w:t>
      </w:r>
      <w:r w:rsidR="000B5A3E" w:rsidRPr="006953D9">
        <w:t xml:space="preserve"> </w:t>
      </w:r>
      <w:r w:rsidRPr="006953D9">
        <w:t>restricted</w:t>
      </w:r>
      <w:r w:rsidR="000B5A3E" w:rsidRPr="006953D9">
        <w:t xml:space="preserve"> </w:t>
      </w:r>
      <w:r w:rsidRPr="006953D9">
        <w:t>subjects,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religious</w:t>
      </w:r>
      <w:r w:rsidR="000B5A3E" w:rsidRPr="006953D9">
        <w:t xml:space="preserve"> </w:t>
      </w:r>
      <w:r w:rsidRPr="006953D9">
        <w:t>affairs,</w:t>
      </w:r>
      <w:r w:rsidR="000B5A3E" w:rsidRPr="006953D9">
        <w:t xml:space="preserve"> </w:t>
      </w:r>
      <w:r w:rsidRPr="006953D9">
        <w:t>educational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cultural</w:t>
      </w:r>
      <w:r w:rsidR="000B5A3E" w:rsidRPr="006953D9">
        <w:t xml:space="preserve"> </w:t>
      </w:r>
      <w:r w:rsidRPr="006953D9">
        <w:t>matters,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over</w:t>
      </w:r>
      <w:r w:rsidR="000B5A3E" w:rsidRPr="006953D9">
        <w:t xml:space="preserve"> </w:t>
      </w:r>
      <w:r w:rsidRPr="006953D9">
        <w:t>communal</w:t>
      </w:r>
      <w:r w:rsidR="000B5A3E" w:rsidRPr="006953D9">
        <w:t xml:space="preserve"> </w:t>
      </w:r>
      <w:r w:rsidRPr="006953D9">
        <w:t>taxes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charges</w:t>
      </w:r>
      <w:r w:rsidR="000B5A3E" w:rsidRPr="006953D9">
        <w:t xml:space="preserve"> </w:t>
      </w:r>
      <w:r w:rsidRPr="006953D9">
        <w:t>levied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provide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needs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bodies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institutions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control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Chamber</w:t>
      </w:r>
      <w:r w:rsidR="000B5A3E" w:rsidRPr="006953D9">
        <w:t xml:space="preserve"> </w:t>
      </w:r>
      <w:r w:rsidRPr="006953D9">
        <w:t>(Articles</w:t>
      </w:r>
      <w:r w:rsidR="000B5A3E" w:rsidRPr="006953D9">
        <w:t xml:space="preserve"> </w:t>
      </w:r>
      <w:r w:rsidRPr="006953D9">
        <w:t>86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90).</w:t>
      </w:r>
    </w:p>
    <w:p w:rsidR="00200C10" w:rsidRPr="006953D9" w:rsidRDefault="00200C10" w:rsidP="00830021">
      <w:pPr>
        <w:pStyle w:val="SingleTxtG"/>
      </w:pPr>
      <w:r w:rsidRPr="006953D9">
        <w:t>62.</w:t>
      </w:r>
      <w:r w:rsidRPr="006953D9">
        <w:tab/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consisting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neutral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judge</w:t>
      </w:r>
      <w:r w:rsidR="000B5A3E" w:rsidRPr="006953D9">
        <w:t xml:space="preserve"> </w:t>
      </w:r>
      <w:r w:rsidRPr="006953D9">
        <w:t>appointed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Vice-President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High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consisting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judges,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judge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neutral</w:t>
      </w:r>
      <w:r w:rsidR="000B5A3E" w:rsidRPr="006953D9">
        <w:t xml:space="preserve"> </w:t>
      </w:r>
      <w:r w:rsidRPr="006953D9">
        <w:t>President,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similarly</w:t>
      </w:r>
      <w:r w:rsidR="000B5A3E" w:rsidRPr="006953D9">
        <w:t xml:space="preserve"> </w:t>
      </w:r>
      <w:r w:rsidRPr="006953D9">
        <w:t>appointed.</w:t>
      </w:r>
    </w:p>
    <w:p w:rsidR="00200C10" w:rsidRPr="006953D9" w:rsidRDefault="00200C10" w:rsidP="00830021">
      <w:pPr>
        <w:pStyle w:val="SingleTxtG"/>
      </w:pPr>
      <w:r w:rsidRPr="006953D9">
        <w:t>63.</w:t>
      </w:r>
      <w:r w:rsidRPr="006953D9">
        <w:tab/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vested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jurisdiction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administrative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matters.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High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highest</w:t>
      </w:r>
      <w:r w:rsidR="000B5A3E" w:rsidRPr="006953D9">
        <w:t xml:space="preserve"> </w:t>
      </w:r>
      <w:r w:rsidRPr="006953D9">
        <w:t>appellate</w:t>
      </w:r>
      <w:r w:rsidR="000B5A3E" w:rsidRPr="006953D9">
        <w:t xml:space="preserve"> </w:t>
      </w:r>
      <w:r w:rsidRPr="006953D9">
        <w:t>court,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proofErr w:type="spellStart"/>
      <w:r w:rsidRPr="006953D9">
        <w:t>revisional</w:t>
      </w:r>
      <w:proofErr w:type="spellEnd"/>
      <w:r w:rsidR="000B5A3E" w:rsidRPr="006953D9">
        <w:t xml:space="preserve"> </w:t>
      </w:r>
      <w:r w:rsidRPr="006953D9">
        <w:t>jurisdiction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power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issue</w:t>
      </w:r>
      <w:r w:rsidR="000B5A3E" w:rsidRPr="006953D9">
        <w:t xml:space="preserve"> </w:t>
      </w:r>
      <w:r w:rsidRPr="006953D9">
        <w:t>orders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nature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habeas</w:t>
      </w:r>
      <w:r w:rsidR="000B5A3E" w:rsidRPr="006953D9">
        <w:t xml:space="preserve"> </w:t>
      </w:r>
      <w:r w:rsidRPr="006953D9">
        <w:t>corpus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prerogative</w:t>
      </w:r>
      <w:r w:rsidR="000B5A3E" w:rsidRPr="006953D9">
        <w:t xml:space="preserve"> </w:t>
      </w:r>
      <w:r w:rsidRPr="006953D9">
        <w:t>writs.</w:t>
      </w:r>
      <w:r w:rsidR="000B5A3E" w:rsidRPr="006953D9">
        <w:t xml:space="preserve"> </w:t>
      </w:r>
      <w:r w:rsidRPr="006953D9">
        <w:t>Ordinary</w:t>
      </w:r>
      <w:r w:rsidR="000B5A3E" w:rsidRPr="006953D9">
        <w:t xml:space="preserve"> </w:t>
      </w:r>
      <w:r w:rsidRPr="006953D9">
        <w:t>civil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criminal</w:t>
      </w:r>
      <w:r w:rsidR="000B5A3E" w:rsidRPr="006953D9">
        <w:t xml:space="preserve"> </w:t>
      </w:r>
      <w:r w:rsidRPr="006953D9">
        <w:t>jurisdiction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first</w:t>
      </w:r>
      <w:r w:rsidR="000B5A3E" w:rsidRPr="006953D9">
        <w:t xml:space="preserve"> </w:t>
      </w:r>
      <w:r w:rsidRPr="006953D9">
        <w:t>instance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lastRenderedPageBreak/>
        <w:t>vested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Assize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District</w:t>
      </w:r>
      <w:r w:rsidR="000B5A3E" w:rsidRPr="006953D9">
        <w:t xml:space="preserve"> </w:t>
      </w:r>
      <w:r w:rsidRPr="006953D9">
        <w:t>Courts.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prohibits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setting</w:t>
      </w:r>
      <w:r w:rsidR="000B5A3E" w:rsidRPr="006953D9">
        <w:t xml:space="preserve"> </w:t>
      </w:r>
      <w:r w:rsidRPr="006953D9">
        <w:t>up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judicial</w:t>
      </w:r>
      <w:r w:rsidR="000B5A3E" w:rsidRPr="006953D9">
        <w:t xml:space="preserve"> </w:t>
      </w:r>
      <w:r w:rsidRPr="006953D9">
        <w:t>committees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exceptional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special</w:t>
      </w:r>
      <w:r w:rsidR="000B5A3E" w:rsidRPr="006953D9">
        <w:t xml:space="preserve"> </w:t>
      </w:r>
      <w:r w:rsidRPr="006953D9">
        <w:t>courts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guise.</w:t>
      </w:r>
    </w:p>
    <w:p w:rsidR="00200C10" w:rsidRPr="006953D9" w:rsidRDefault="00200C10" w:rsidP="00830021">
      <w:pPr>
        <w:pStyle w:val="SingleTxtG"/>
      </w:pPr>
      <w:r w:rsidRPr="006953D9">
        <w:t>64.</w:t>
      </w:r>
      <w:r w:rsidRPr="006953D9">
        <w:tab/>
        <w:t>The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officers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Attorney</w:t>
      </w:r>
      <w:r w:rsidR="000B5A3E" w:rsidRPr="006953D9">
        <w:t xml:space="preserve"> </w:t>
      </w:r>
      <w:r w:rsidRPr="006953D9">
        <w:t>General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his/her</w:t>
      </w:r>
      <w:r w:rsidR="000B5A3E" w:rsidRPr="006953D9">
        <w:t xml:space="preserve"> </w:t>
      </w:r>
      <w:r w:rsidRPr="006953D9">
        <w:t>Deputy,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Auditor-General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his/her</w:t>
      </w:r>
      <w:r w:rsidR="000B5A3E" w:rsidRPr="006953D9">
        <w:t xml:space="preserve"> </w:t>
      </w:r>
      <w:r w:rsidRPr="006953D9">
        <w:t>Deputy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Governor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Deputy-Governor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Central</w:t>
      </w:r>
      <w:r w:rsidR="000B5A3E" w:rsidRPr="006953D9">
        <w:t xml:space="preserve"> </w:t>
      </w:r>
      <w:r w:rsidRPr="006953D9">
        <w:t>Bank.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appointed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Vice-President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community</w:t>
      </w:r>
      <w:r w:rsidR="000B5A3E" w:rsidRPr="006953D9">
        <w:t xml:space="preserve"> </w:t>
      </w:r>
      <w:r w:rsidRPr="006953D9">
        <w:t>basis.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service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should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composed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70%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30%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Service</w:t>
      </w:r>
      <w:r w:rsidR="000B5A3E" w:rsidRPr="006953D9">
        <w:t xml:space="preserve"> </w:t>
      </w:r>
      <w:r w:rsidRPr="006953D9">
        <w:t>Commission</w:t>
      </w:r>
      <w:r w:rsidR="000B5A3E" w:rsidRPr="006953D9">
        <w:t xml:space="preserve"> </w:t>
      </w:r>
      <w:r w:rsidRPr="006953D9">
        <w:t>similarly</w:t>
      </w:r>
      <w:r w:rsidR="000B5A3E" w:rsidRPr="006953D9">
        <w:t xml:space="preserve"> </w:t>
      </w:r>
      <w:r w:rsidRPr="006953D9">
        <w:t>composed,</w:t>
      </w:r>
      <w:r w:rsidR="000B5A3E" w:rsidRPr="006953D9">
        <w:t xml:space="preserve"> </w:t>
      </w:r>
      <w:r w:rsidRPr="006953D9">
        <w:t>responsible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appointments,</w:t>
      </w:r>
      <w:r w:rsidR="000B5A3E" w:rsidRPr="006953D9">
        <w:t xml:space="preserve"> </w:t>
      </w:r>
      <w:r w:rsidRPr="006953D9">
        <w:t>promotions,</w:t>
      </w:r>
      <w:r w:rsidR="000B5A3E" w:rsidRPr="006953D9">
        <w:t xml:space="preserve"> </w:t>
      </w:r>
      <w:r w:rsidRPr="006953D9">
        <w:t>discipline</w:t>
      </w:r>
      <w:r w:rsidR="000B5A3E" w:rsidRPr="006953D9">
        <w:t xml:space="preserve"> </w:t>
      </w:r>
      <w:r w:rsidRPr="006953D9">
        <w:t>etc.</w:t>
      </w:r>
    </w:p>
    <w:p w:rsidR="00200C10" w:rsidRPr="006953D9" w:rsidRDefault="00200C10" w:rsidP="00830021">
      <w:pPr>
        <w:pStyle w:val="SingleTxtG"/>
      </w:pPr>
      <w:r w:rsidRPr="006953D9">
        <w:t>65.</w:t>
      </w:r>
      <w:r w:rsidRPr="006953D9">
        <w:tab/>
        <w:t>Both</w:t>
      </w:r>
      <w:r w:rsidR="000B5A3E" w:rsidRPr="006953D9">
        <w:t xml:space="preserve"> </w:t>
      </w:r>
      <w:r w:rsidRPr="006953D9">
        <w:t>communities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given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maintain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special</w:t>
      </w:r>
      <w:r w:rsidR="000B5A3E" w:rsidRPr="006953D9">
        <w:t xml:space="preserve"> </w:t>
      </w:r>
      <w:r w:rsidRPr="006953D9">
        <w:t>relationship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Greece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Turkey,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receive</w:t>
      </w:r>
      <w:r w:rsidR="000B5A3E" w:rsidRPr="006953D9">
        <w:t xml:space="preserve"> </w:t>
      </w:r>
      <w:r w:rsidRPr="006953D9">
        <w:t>subsidies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educational,</w:t>
      </w:r>
      <w:r w:rsidR="000B5A3E" w:rsidRPr="006953D9">
        <w:t xml:space="preserve"> </w:t>
      </w:r>
      <w:r w:rsidRPr="006953D9">
        <w:t>cultural,</w:t>
      </w:r>
      <w:r w:rsidR="000B5A3E" w:rsidRPr="006953D9">
        <w:t xml:space="preserve"> </w:t>
      </w:r>
      <w:r w:rsidRPr="006953D9">
        <w:t>athletic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charitable</w:t>
      </w:r>
      <w:r w:rsidR="000B5A3E" w:rsidRPr="006953D9">
        <w:t xml:space="preserve"> </w:t>
      </w:r>
      <w:r w:rsidRPr="006953D9">
        <w:t>institutions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obtaining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employing</w:t>
      </w:r>
      <w:r w:rsidR="000B5A3E" w:rsidRPr="006953D9">
        <w:t xml:space="preserve"> </w:t>
      </w:r>
      <w:r w:rsidRPr="006953D9">
        <w:t>schoolmasters,</w:t>
      </w:r>
      <w:r w:rsidR="000B5A3E" w:rsidRPr="006953D9">
        <w:t xml:space="preserve"> </w:t>
      </w:r>
      <w:r w:rsidRPr="006953D9">
        <w:t>professors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clergymen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(Article</w:t>
      </w:r>
      <w:r w:rsidR="000B5A3E" w:rsidRPr="006953D9">
        <w:t xml:space="preserve"> </w:t>
      </w:r>
      <w:r w:rsidRPr="006953D9">
        <w:t>108).</w:t>
      </w:r>
    </w:p>
    <w:p w:rsidR="00200C10" w:rsidRPr="006953D9" w:rsidRDefault="00200C10" w:rsidP="00830021">
      <w:pPr>
        <w:pStyle w:val="SingleTxtG"/>
      </w:pPr>
      <w:r w:rsidRPr="006953D9">
        <w:t>66.</w:t>
      </w:r>
      <w:r w:rsidRPr="006953D9">
        <w:tab/>
        <w:t>The</w:t>
      </w:r>
      <w:r w:rsidR="000B5A3E" w:rsidRPr="006953D9">
        <w:t xml:space="preserve"> </w:t>
      </w:r>
      <w:r w:rsidRPr="006953D9">
        <w:t>entrenched</w:t>
      </w:r>
      <w:r w:rsidR="000B5A3E" w:rsidRPr="006953D9">
        <w:t xml:space="preserve"> </w:t>
      </w:r>
      <w:r w:rsidRPr="006953D9">
        <w:t>communal</w:t>
      </w:r>
      <w:r w:rsidR="000B5A3E" w:rsidRPr="006953D9">
        <w:t xml:space="preserve"> </w:t>
      </w:r>
      <w:r w:rsidRPr="006953D9">
        <w:t>character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confirmed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voting</w:t>
      </w:r>
      <w:r w:rsidR="000B5A3E" w:rsidRPr="006953D9">
        <w:t xml:space="preserve"> </w:t>
      </w:r>
      <w:r w:rsidRPr="006953D9">
        <w:t>system.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elections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conducted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basis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separate</w:t>
      </w:r>
      <w:r w:rsidR="000B5A3E" w:rsidRPr="006953D9">
        <w:t xml:space="preserve"> </w:t>
      </w:r>
      <w:r w:rsidRPr="006953D9">
        <w:t>communal</w:t>
      </w:r>
      <w:r w:rsidR="000B5A3E" w:rsidRPr="006953D9">
        <w:t xml:space="preserve"> </w:t>
      </w:r>
      <w:r w:rsidRPr="006953D9">
        <w:t>electoral</w:t>
      </w:r>
      <w:r w:rsidR="000B5A3E" w:rsidRPr="006953D9">
        <w:t xml:space="preserve"> </w:t>
      </w:r>
      <w:r w:rsidRPr="006953D9">
        <w:t>lists</w:t>
      </w:r>
      <w:r w:rsidR="000B5A3E" w:rsidRPr="006953D9">
        <w:t xml:space="preserve"> </w:t>
      </w:r>
      <w:r w:rsidRPr="006953D9">
        <w:t>(Articles</w:t>
      </w:r>
      <w:r w:rsidR="000B5A3E" w:rsidRPr="006953D9">
        <w:t xml:space="preserve"> </w:t>
      </w:r>
      <w:r w:rsidRPr="006953D9">
        <w:t>63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94)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separate</w:t>
      </w:r>
      <w:r w:rsidR="000B5A3E" w:rsidRPr="006953D9">
        <w:t xml:space="preserve"> </w:t>
      </w:r>
      <w:r w:rsidRPr="006953D9">
        <w:t>voting</w:t>
      </w:r>
      <w:r w:rsidR="000B5A3E" w:rsidRPr="006953D9">
        <w:t xml:space="preserve"> </w:t>
      </w:r>
      <w:r w:rsidRPr="006953D9">
        <w:t>(Articles</w:t>
      </w:r>
      <w:r w:rsidR="000B5A3E" w:rsidRPr="006953D9">
        <w:t xml:space="preserve"> </w:t>
      </w:r>
      <w:r w:rsidRPr="006953D9">
        <w:t>1,</w:t>
      </w:r>
      <w:r w:rsidR="000B5A3E" w:rsidRPr="006953D9">
        <w:t xml:space="preserve"> </w:t>
      </w:r>
      <w:r w:rsidRPr="006953D9">
        <w:t>39,</w:t>
      </w:r>
      <w:r w:rsidR="000B5A3E" w:rsidRPr="006953D9">
        <w:t xml:space="preserve"> </w:t>
      </w:r>
      <w:r w:rsidRPr="006953D9">
        <w:t>62,</w:t>
      </w:r>
      <w:r w:rsidR="000B5A3E" w:rsidRPr="006953D9">
        <w:t xml:space="preserve"> </w:t>
      </w:r>
      <w:r w:rsidRPr="006953D9">
        <w:t>86,</w:t>
      </w:r>
      <w:r w:rsidR="000B5A3E" w:rsidRPr="006953D9">
        <w:t xml:space="preserve"> </w:t>
      </w:r>
      <w:r w:rsidRPr="006953D9">
        <w:t>173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178).</w:t>
      </w:r>
      <w:r w:rsidR="000B5A3E" w:rsidRPr="006953D9">
        <w:t xml:space="preserve"> </w:t>
      </w:r>
      <w:r w:rsidRPr="006953D9">
        <w:t>Elections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now</w:t>
      </w:r>
      <w:r w:rsidR="000B5A3E" w:rsidRPr="006953D9">
        <w:t xml:space="preserve"> </w:t>
      </w:r>
      <w:r w:rsidRPr="006953D9">
        <w:t>based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proportional</w:t>
      </w:r>
      <w:r w:rsidR="000B5A3E" w:rsidRPr="006953D9">
        <w:t xml:space="preserve"> </w:t>
      </w:r>
      <w:r w:rsidRPr="006953D9">
        <w:t>representation</w:t>
      </w:r>
      <w:r w:rsidR="000B5A3E" w:rsidRPr="006953D9">
        <w:t xml:space="preserve"> </w:t>
      </w:r>
      <w:r w:rsidRPr="006953D9">
        <w:t>principle.</w:t>
      </w:r>
    </w:p>
    <w:p w:rsidR="00200C10" w:rsidRPr="006953D9" w:rsidRDefault="00200C10" w:rsidP="00830021">
      <w:pPr>
        <w:pStyle w:val="SingleTxtG"/>
      </w:pPr>
      <w:r w:rsidRPr="006953D9">
        <w:t>67.</w:t>
      </w:r>
      <w:r w:rsidRPr="006953D9">
        <w:tab/>
        <w:t>The</w:t>
      </w:r>
      <w:r w:rsidR="000B5A3E" w:rsidRPr="006953D9">
        <w:t xml:space="preserve"> </w:t>
      </w:r>
      <w:r w:rsidRPr="006953D9">
        <w:t>withdrawal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officials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civil</w:t>
      </w:r>
      <w:r w:rsidR="000B5A3E" w:rsidRPr="006953D9">
        <w:t xml:space="preserve"> </w:t>
      </w:r>
      <w:r w:rsidRPr="006953D9">
        <w:t>servants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refusal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functions</w:t>
      </w:r>
      <w:r w:rsidR="000B5A3E" w:rsidRPr="006953D9">
        <w:t xml:space="preserve"> </w:t>
      </w:r>
      <w:r w:rsidRPr="006953D9">
        <w:t>rendered</w:t>
      </w:r>
      <w:r w:rsidR="000B5A3E" w:rsidRPr="006953D9">
        <w:t xml:space="preserve"> </w:t>
      </w:r>
      <w:r w:rsidRPr="006953D9">
        <w:t>governance,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accordance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certain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provisions,</w:t>
      </w:r>
      <w:r w:rsidR="000B5A3E" w:rsidRPr="006953D9">
        <w:t xml:space="preserve"> </w:t>
      </w:r>
      <w:r w:rsidRPr="006953D9">
        <w:t>impossible.</w:t>
      </w:r>
    </w:p>
    <w:p w:rsidR="00200C10" w:rsidRPr="006953D9" w:rsidRDefault="00200C10" w:rsidP="00830021">
      <w:pPr>
        <w:pStyle w:val="SingleTxtG"/>
      </w:pPr>
      <w:r w:rsidRPr="006953D9">
        <w:t>68.</w:t>
      </w:r>
      <w:r w:rsidRPr="006953D9">
        <w:tab/>
        <w:t>Matters</w:t>
      </w:r>
      <w:r w:rsidR="000B5A3E" w:rsidRPr="006953D9">
        <w:t xml:space="preserve"> </w:t>
      </w:r>
      <w:r w:rsidRPr="006953D9">
        <w:t>came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head</w:t>
      </w:r>
      <w:r w:rsidR="000B5A3E" w:rsidRPr="006953D9">
        <w:t xml:space="preserve"> </w:t>
      </w:r>
      <w:r w:rsidRPr="006953D9">
        <w:t>when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neutral</w:t>
      </w:r>
      <w:r w:rsidR="000B5A3E" w:rsidRPr="006953D9">
        <w:t xml:space="preserve"> </w:t>
      </w:r>
      <w:r w:rsidRPr="006953D9">
        <w:t>Presidents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High</w:t>
      </w:r>
      <w:r w:rsidR="000B5A3E" w:rsidRPr="006953D9">
        <w:t xml:space="preserve"> </w:t>
      </w:r>
      <w:r w:rsidRPr="006953D9">
        <w:t>Courts</w:t>
      </w:r>
      <w:r w:rsidR="000B5A3E" w:rsidRPr="006953D9">
        <w:t xml:space="preserve"> </w:t>
      </w:r>
      <w:r w:rsidRPr="006953D9">
        <w:t>resigned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1963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1964</w:t>
      </w:r>
      <w:r w:rsidR="000B5A3E" w:rsidRPr="006953D9">
        <w:t xml:space="preserve"> </w:t>
      </w:r>
      <w:r w:rsidRPr="006953D9">
        <w:t>respectively</w:t>
      </w:r>
      <w:r w:rsidR="000B5A3E" w:rsidRPr="006953D9">
        <w:t xml:space="preserve"> </w:t>
      </w:r>
      <w:r w:rsidRPr="006953D9">
        <w:t>and,</w:t>
      </w:r>
      <w:r w:rsidR="000B5A3E" w:rsidRPr="006953D9">
        <w:t xml:space="preserve"> </w:t>
      </w:r>
      <w:r w:rsidRPr="006953D9">
        <w:t>therefore</w:t>
      </w:r>
      <w:r w:rsidR="000B5A3E" w:rsidRPr="006953D9">
        <w:t xml:space="preserve"> </w:t>
      </w:r>
      <w:r w:rsidRPr="006953D9">
        <w:t>neither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could</w:t>
      </w:r>
      <w:r w:rsidR="000B5A3E" w:rsidRPr="006953D9">
        <w:t xml:space="preserve"> </w:t>
      </w:r>
      <w:r w:rsidRPr="006953D9">
        <w:t>function.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should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noted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judges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both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superior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district</w:t>
      </w:r>
      <w:r w:rsidR="000B5A3E" w:rsidRPr="006953D9">
        <w:t xml:space="preserve"> </w:t>
      </w:r>
      <w:r w:rsidRPr="006953D9">
        <w:t>courts</w:t>
      </w:r>
      <w:r w:rsidR="000B5A3E" w:rsidRPr="006953D9">
        <w:t xml:space="preserve"> </w:t>
      </w:r>
      <w:r w:rsidRPr="006953D9">
        <w:t>remained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posts</w:t>
      </w:r>
      <w:r w:rsidR="000B5A3E" w:rsidRPr="006953D9">
        <w:t xml:space="preserve"> </w:t>
      </w:r>
      <w:r w:rsidRPr="006953D9">
        <w:t>until</w:t>
      </w:r>
      <w:r w:rsidR="000B5A3E" w:rsidRPr="006953D9">
        <w:t xml:space="preserve"> </w:t>
      </w:r>
      <w:r w:rsidRPr="006953D9">
        <w:t>1966</w:t>
      </w:r>
      <w:r w:rsidR="000B5A3E" w:rsidRPr="006953D9">
        <w:t xml:space="preserve"> </w:t>
      </w:r>
      <w:r w:rsidRPr="006953D9">
        <w:t>when</w:t>
      </w:r>
      <w:r w:rsidR="000B5A3E" w:rsidRPr="006953D9">
        <w:t xml:space="preserve"> </w:t>
      </w:r>
      <w:r w:rsidRPr="006953D9">
        <w:t>they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forced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leadership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leave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bench</w:t>
      </w:r>
      <w:r w:rsidR="000B5A3E" w:rsidRPr="006953D9">
        <w:t xml:space="preserve"> </w:t>
      </w:r>
      <w:r w:rsidRPr="006953D9">
        <w:t>whereupon</w:t>
      </w:r>
      <w:r w:rsidR="000B5A3E" w:rsidRPr="006953D9">
        <w:t xml:space="preserve"> </w:t>
      </w:r>
      <w:r w:rsidRPr="006953D9">
        <w:t>half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them</w:t>
      </w:r>
      <w:r w:rsidR="000B5A3E" w:rsidRPr="006953D9">
        <w:t xml:space="preserve"> </w:t>
      </w:r>
      <w:r w:rsidRPr="006953D9">
        <w:t>fled</w:t>
      </w:r>
      <w:r w:rsidR="000B5A3E" w:rsidRPr="006953D9">
        <w:t xml:space="preserve"> </w:t>
      </w:r>
      <w:r w:rsidRPr="006953D9">
        <w:t>abroad.</w:t>
      </w:r>
    </w:p>
    <w:p w:rsidR="00200C10" w:rsidRPr="006953D9" w:rsidRDefault="00200C10" w:rsidP="00830021">
      <w:pPr>
        <w:pStyle w:val="SingleTxtG"/>
      </w:pPr>
      <w:r w:rsidRPr="006953D9">
        <w:t>69.</w:t>
      </w:r>
      <w:r w:rsidRPr="006953D9">
        <w:tab/>
        <w:t>The</w:t>
      </w:r>
      <w:r w:rsidR="000B5A3E" w:rsidRPr="006953D9">
        <w:t xml:space="preserve"> </w:t>
      </w:r>
      <w:r w:rsidRPr="006953D9">
        <w:t>above</w:t>
      </w:r>
      <w:r w:rsidR="000B5A3E" w:rsidRPr="006953D9">
        <w:t xml:space="preserve"> </w:t>
      </w:r>
      <w:r w:rsidRPr="006953D9">
        <w:t>situation</w:t>
      </w:r>
      <w:r w:rsidR="000B5A3E" w:rsidRPr="006953D9">
        <w:t xml:space="preserve"> </w:t>
      </w:r>
      <w:r w:rsidRPr="006953D9">
        <w:t>necessitated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introduction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remedial</w:t>
      </w:r>
      <w:r w:rsidR="000B5A3E" w:rsidRPr="006953D9">
        <w:t xml:space="preserve"> </w:t>
      </w:r>
      <w:r w:rsidRPr="006953D9">
        <w:t>legislative</w:t>
      </w:r>
      <w:r w:rsidR="000B5A3E" w:rsidRPr="006953D9">
        <w:t xml:space="preserve"> </w:t>
      </w:r>
      <w:r w:rsidRPr="006953D9">
        <w:t>measures.</w:t>
      </w:r>
      <w:r w:rsidR="000B5A3E" w:rsidRPr="006953D9">
        <w:t xml:space="preserve"> </w:t>
      </w:r>
      <w:r w:rsidRPr="006953D9">
        <w:t>Thus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Justice</w:t>
      </w:r>
      <w:r w:rsidR="000B5A3E" w:rsidRPr="006953D9">
        <w:t xml:space="preserve"> </w:t>
      </w:r>
      <w:r w:rsidRPr="006953D9">
        <w:t>(Miscellaneous</w:t>
      </w:r>
      <w:r w:rsidR="000B5A3E" w:rsidRPr="006953D9">
        <w:t xml:space="preserve"> </w:t>
      </w:r>
      <w:r w:rsidRPr="006953D9">
        <w:t>Provisions)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1964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enacted</w:t>
      </w:r>
      <w:r w:rsidR="000B5A3E" w:rsidRPr="006953D9">
        <w:t xml:space="preserve"> </w:t>
      </w:r>
      <w:r w:rsidRPr="006953D9">
        <w:t>creating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Court,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took</w:t>
      </w:r>
      <w:r w:rsidR="000B5A3E" w:rsidRPr="006953D9">
        <w:t xml:space="preserve"> </w:t>
      </w:r>
      <w:r w:rsidRPr="006953D9">
        <w:t>over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jurisdiction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both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High</w:t>
      </w:r>
      <w:r w:rsidR="000B5A3E" w:rsidRPr="006953D9">
        <w:t xml:space="preserve"> </w:t>
      </w:r>
      <w:r w:rsidRPr="006953D9">
        <w:t>Court.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first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Cypriot,</w:t>
      </w:r>
      <w:r w:rsidR="000B5A3E" w:rsidRPr="006953D9">
        <w:t xml:space="preserve"> </w:t>
      </w:r>
      <w:r w:rsidRPr="006953D9">
        <w:t>most</w:t>
      </w:r>
      <w:r w:rsidR="000B5A3E" w:rsidRPr="006953D9">
        <w:t xml:space="preserve"> </w:t>
      </w:r>
      <w:r w:rsidRPr="006953D9">
        <w:t>senior</w:t>
      </w:r>
      <w:r w:rsidR="000B5A3E" w:rsidRPr="006953D9">
        <w:t xml:space="preserve"> </w:t>
      </w:r>
      <w:r w:rsidRPr="006953D9">
        <w:t>judge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High</w:t>
      </w:r>
      <w:r w:rsidR="000B5A3E" w:rsidRPr="006953D9">
        <w:t xml:space="preserve"> </w:t>
      </w:r>
      <w:r w:rsidRPr="006953D9">
        <w:t>Court.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same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reconstituted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Judicature,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body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ensures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independence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judiciary.</w:t>
      </w:r>
    </w:p>
    <w:p w:rsidR="00200C10" w:rsidRPr="006953D9" w:rsidRDefault="00200C10" w:rsidP="00830021">
      <w:pPr>
        <w:pStyle w:val="SingleTxtG"/>
      </w:pPr>
      <w:r w:rsidRPr="006953D9">
        <w:t>70.</w:t>
      </w:r>
      <w:r w:rsidRPr="006953D9">
        <w:tab/>
        <w:t>The</w:t>
      </w:r>
      <w:r w:rsidR="000B5A3E" w:rsidRPr="006953D9">
        <w:t xml:space="preserve"> </w:t>
      </w:r>
      <w:r w:rsidRPr="006953D9">
        <w:t>constitutionality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Justice</w:t>
      </w:r>
      <w:r w:rsidR="000B5A3E" w:rsidRPr="006953D9">
        <w:t xml:space="preserve"> </w:t>
      </w:r>
      <w:r w:rsidRPr="006953D9">
        <w:t>(Miscellaneous</w:t>
      </w:r>
      <w:r w:rsidR="000B5A3E" w:rsidRPr="006953D9">
        <w:t xml:space="preserve"> </w:t>
      </w:r>
      <w:r w:rsidRPr="006953D9">
        <w:t>Provisions)</w:t>
      </w:r>
      <w:r w:rsidR="000B5A3E" w:rsidRPr="006953D9">
        <w:t xml:space="preserve"> </w:t>
      </w:r>
      <w:r w:rsidRPr="006953D9">
        <w:t>Law,</w:t>
      </w:r>
      <w:r w:rsidR="000B5A3E" w:rsidRPr="006953D9">
        <w:t xml:space="preserve"> </w:t>
      </w:r>
      <w:r w:rsidRPr="006953D9">
        <w:t>1964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challenged</w:t>
      </w:r>
      <w:r w:rsidR="000B5A3E" w:rsidRPr="006953D9">
        <w:t xml:space="preserve"> </w:t>
      </w:r>
      <w:r w:rsidRPr="006953D9">
        <w:t>before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which,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rPr>
          <w:i/>
          <w:iCs/>
        </w:rPr>
        <w:t>Attorney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General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of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the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Republic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v.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Mustafa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Ibrahim</w:t>
      </w:r>
      <w:r w:rsidR="000B5A3E" w:rsidRPr="006953D9">
        <w:t xml:space="preserve"> </w:t>
      </w:r>
      <w:r w:rsidRPr="006953D9">
        <w:t>(1964)</w:t>
      </w:r>
      <w:r w:rsidR="000B5A3E" w:rsidRPr="006953D9">
        <w:t xml:space="preserve"> </w:t>
      </w:r>
      <w:r w:rsidRPr="006953D9">
        <w:t>(Cyprus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Reports</w:t>
      </w:r>
      <w:r w:rsidR="000B5A3E" w:rsidRPr="006953D9">
        <w:t xml:space="preserve"> </w:t>
      </w:r>
      <w:r w:rsidRPr="006953D9">
        <w:t>p.</w:t>
      </w:r>
      <w:r w:rsidR="000B5A3E" w:rsidRPr="006953D9">
        <w:t xml:space="preserve"> </w:t>
      </w:r>
      <w:r w:rsidRPr="006953D9">
        <w:t>195)</w:t>
      </w:r>
      <w:r w:rsidR="000B5A3E" w:rsidRPr="006953D9">
        <w:t xml:space="preserve"> </w:t>
      </w:r>
      <w:r w:rsidRPr="006953D9">
        <w:t>decided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justified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doctrine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necessity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view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abnormal</w:t>
      </w:r>
      <w:r w:rsidR="000B5A3E" w:rsidRPr="006953D9">
        <w:t xml:space="preserve"> </w:t>
      </w:r>
      <w:r w:rsidRPr="006953D9">
        <w:t>situation</w:t>
      </w:r>
      <w:r w:rsidR="000B5A3E" w:rsidRPr="006953D9">
        <w:t xml:space="preserve"> </w:t>
      </w:r>
      <w:r w:rsidRPr="006953D9">
        <w:t>prevailing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  <w:r w:rsidRPr="006953D9">
        <w:t>Thereafter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justice</w:t>
      </w:r>
      <w:r w:rsidR="000B5A3E" w:rsidRPr="006953D9">
        <w:t xml:space="preserve"> </w:t>
      </w:r>
      <w:r w:rsidRPr="006953D9">
        <w:t>reverted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normal.</w:t>
      </w:r>
    </w:p>
    <w:p w:rsidR="00200C10" w:rsidRPr="006953D9" w:rsidRDefault="00200C10" w:rsidP="00830021">
      <w:pPr>
        <w:pStyle w:val="SingleTxtG"/>
      </w:pPr>
      <w:r w:rsidRPr="006953D9">
        <w:t>71.</w:t>
      </w:r>
      <w:r w:rsidRPr="006953D9">
        <w:tab/>
        <w:t>Other</w:t>
      </w:r>
      <w:r w:rsidR="000B5A3E" w:rsidRPr="006953D9">
        <w:t xml:space="preserve"> </w:t>
      </w:r>
      <w:r w:rsidRPr="006953D9">
        <w:t>main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where,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basis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same</w:t>
      </w:r>
      <w:r w:rsidR="000B5A3E" w:rsidRPr="006953D9">
        <w:t xml:space="preserve"> </w:t>
      </w:r>
      <w:r w:rsidRPr="006953D9">
        <w:t>doctrine,</w:t>
      </w:r>
      <w:r w:rsidR="000B5A3E" w:rsidRPr="006953D9">
        <w:t xml:space="preserve"> </w:t>
      </w:r>
      <w:r w:rsidRPr="006953D9">
        <w:t>legislative</w:t>
      </w:r>
      <w:r w:rsidR="000B5A3E" w:rsidRPr="006953D9">
        <w:t xml:space="preserve"> </w:t>
      </w:r>
      <w:r w:rsidRPr="006953D9">
        <w:t>action</w:t>
      </w:r>
      <w:r w:rsidR="000B5A3E" w:rsidRPr="006953D9">
        <w:t xml:space="preserve"> </w:t>
      </w:r>
      <w:r w:rsidRPr="006953D9">
        <w:t>remedied</w:t>
      </w:r>
      <w:r w:rsidR="000B5A3E" w:rsidRPr="006953D9">
        <w:t xml:space="preserve"> </w:t>
      </w:r>
      <w:r w:rsidRPr="006953D9">
        <w:t>similar</w:t>
      </w:r>
      <w:r w:rsidR="000B5A3E" w:rsidRPr="006953D9">
        <w:t xml:space="preserve"> </w:t>
      </w:r>
      <w:r w:rsidRPr="006953D9">
        <w:t>situations</w:t>
      </w:r>
      <w:r w:rsidR="000B5A3E" w:rsidRPr="006953D9">
        <w:t xml:space="preserve"> </w:t>
      </w:r>
      <w:proofErr w:type="spellStart"/>
      <w:r w:rsidRPr="006953D9">
        <w:t>were</w:t>
      </w:r>
      <w:proofErr w:type="spellEnd"/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Communal</w:t>
      </w:r>
      <w:r w:rsidR="000B5A3E" w:rsidRPr="006953D9">
        <w:t xml:space="preserve"> </w:t>
      </w:r>
      <w:r w:rsidRPr="006953D9">
        <w:t>Chamber,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Service,</w:t>
      </w:r>
      <w:r w:rsidR="000B5A3E" w:rsidRPr="006953D9">
        <w:t xml:space="preserve"> </w:t>
      </w:r>
      <w:r w:rsidRPr="006953D9">
        <w:t>Commission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membership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House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Representatives.</w:t>
      </w:r>
    </w:p>
    <w:p w:rsidR="00200C10" w:rsidRPr="006953D9" w:rsidRDefault="00200C10" w:rsidP="00830021">
      <w:pPr>
        <w:pStyle w:val="SingleTxtG"/>
      </w:pPr>
      <w:r w:rsidRPr="006953D9">
        <w:t>72.</w:t>
      </w:r>
      <w:r w:rsidRPr="006953D9">
        <w:tab/>
        <w:t>Due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refusal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Communities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participate,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Executive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Legislature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fact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bi-communal</w:t>
      </w:r>
      <w:r w:rsidR="000B5A3E" w:rsidRPr="006953D9">
        <w:t xml:space="preserve"> </w:t>
      </w:r>
      <w:r w:rsidRPr="006953D9">
        <w:t>(see</w:t>
      </w:r>
      <w:r w:rsidR="000B5A3E" w:rsidRPr="006953D9">
        <w:t xml:space="preserve"> </w:t>
      </w:r>
      <w:r w:rsidRPr="006953D9">
        <w:t>paras.</w:t>
      </w:r>
      <w:r w:rsidR="000B5A3E" w:rsidRPr="006953D9">
        <w:t xml:space="preserve"> </w:t>
      </w:r>
      <w:r w:rsidRPr="006953D9">
        <w:t>53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56</w:t>
      </w:r>
      <w:r w:rsidR="000B5A3E" w:rsidRPr="006953D9">
        <w:t xml:space="preserve"> </w:t>
      </w:r>
      <w:r w:rsidRPr="006953D9">
        <w:t>concerning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events</w:t>
      </w:r>
      <w:r w:rsidR="000B5A3E" w:rsidRPr="006953D9">
        <w:t xml:space="preserve"> </w:t>
      </w:r>
      <w:r w:rsidRPr="006953D9">
        <w:t>during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period</w:t>
      </w:r>
      <w:r w:rsidR="000B5A3E" w:rsidRPr="006953D9">
        <w:t xml:space="preserve"> </w:t>
      </w:r>
      <w:r w:rsidRPr="006953D9">
        <w:t>1963–64).</w:t>
      </w:r>
      <w:r w:rsidR="000B5A3E" w:rsidRPr="006953D9">
        <w:t xml:space="preserve"> </w:t>
      </w:r>
      <w:r w:rsidRPr="006953D9">
        <w:t>However,</w:t>
      </w:r>
      <w:r w:rsidR="000B5A3E" w:rsidRPr="006953D9">
        <w:t xml:space="preserve"> </w:t>
      </w:r>
      <w:r w:rsidRPr="006953D9">
        <w:t>when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1985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seats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House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Representatives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increased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50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80,</w:t>
      </w:r>
      <w:r w:rsidR="000B5A3E" w:rsidRPr="006953D9">
        <w:t xml:space="preserve"> </w:t>
      </w:r>
      <w:r w:rsidRPr="006953D9">
        <w:t>24</w:t>
      </w:r>
      <w:r w:rsidR="000B5A3E" w:rsidRPr="006953D9">
        <w:t xml:space="preserve"> </w:t>
      </w:r>
      <w:r w:rsidRPr="006953D9">
        <w:t>seats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allotted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Representatives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elected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Community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Article</w:t>
      </w:r>
      <w:r w:rsidR="000B5A3E" w:rsidRPr="006953D9">
        <w:t xml:space="preserve"> </w:t>
      </w:r>
      <w:r w:rsidRPr="006953D9">
        <w:t>62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currently</w:t>
      </w:r>
      <w:r w:rsidR="000B5A3E" w:rsidRPr="006953D9">
        <w:t xml:space="preserve"> </w:t>
      </w:r>
      <w:r w:rsidRPr="006953D9">
        <w:t>remain</w:t>
      </w:r>
      <w:r w:rsidR="000B5A3E" w:rsidRPr="006953D9">
        <w:t xml:space="preserve"> </w:t>
      </w:r>
      <w:r w:rsidRPr="006953D9">
        <w:t>vacant.</w:t>
      </w:r>
      <w:r w:rsidR="000B5A3E" w:rsidRPr="006953D9">
        <w:t xml:space="preserve"> </w:t>
      </w:r>
      <w:r w:rsidRPr="006953D9">
        <w:t>Thus,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Community</w:t>
      </w:r>
      <w:r w:rsidR="000B5A3E" w:rsidRPr="006953D9">
        <w:t xml:space="preserve"> </w:t>
      </w:r>
      <w:r w:rsidRPr="006953D9">
        <w:t>actually</w:t>
      </w:r>
      <w:r w:rsidR="000B5A3E" w:rsidRPr="006953D9">
        <w:t xml:space="preserve"> </w:t>
      </w:r>
      <w:r w:rsidRPr="006953D9">
        <w:t>elects</w:t>
      </w:r>
      <w:r w:rsidR="000B5A3E" w:rsidRPr="006953D9">
        <w:t xml:space="preserve"> </w:t>
      </w:r>
      <w:r w:rsidRPr="006953D9">
        <w:t>Representatives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only</w:t>
      </w:r>
      <w:r w:rsidR="000B5A3E" w:rsidRPr="006953D9">
        <w:t xml:space="preserve"> </w:t>
      </w:r>
      <w:r w:rsidRPr="006953D9">
        <w:t>56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those</w:t>
      </w:r>
      <w:r w:rsidR="000B5A3E" w:rsidRPr="006953D9">
        <w:t xml:space="preserve"> </w:t>
      </w:r>
      <w:r w:rsidRPr="006953D9">
        <w:t>seats.</w:t>
      </w:r>
    </w:p>
    <w:p w:rsidR="00200C10" w:rsidRPr="006953D9" w:rsidRDefault="00200C10" w:rsidP="00830021">
      <w:pPr>
        <w:pStyle w:val="SingleTxtG"/>
      </w:pPr>
      <w:r w:rsidRPr="006953D9">
        <w:t>73.</w:t>
      </w:r>
      <w:r w:rsidRPr="006953D9">
        <w:tab/>
        <w:t>A</w:t>
      </w:r>
      <w:r w:rsidR="000B5A3E" w:rsidRPr="006953D9">
        <w:t xml:space="preserve"> </w:t>
      </w:r>
      <w:r w:rsidRPr="006953D9">
        <w:t>special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enacted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2006,</w:t>
      </w:r>
      <w:r w:rsidR="000B5A3E" w:rsidRPr="006953D9">
        <w:t xml:space="preserve"> </w:t>
      </w:r>
      <w:r w:rsidR="002206DB" w:rsidRPr="006953D9">
        <w:t>“</w:t>
      </w:r>
      <w:r w:rsidRPr="006953D9">
        <w:t>The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Vote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Elected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Members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Community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Ordinary</w:t>
      </w:r>
      <w:r w:rsidR="000B5A3E" w:rsidRPr="006953D9">
        <w:t xml:space="preserve"> </w:t>
      </w:r>
      <w:r w:rsidRPr="006953D9">
        <w:t>Residence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Free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(Temporary</w:t>
      </w:r>
      <w:r w:rsidR="000B5A3E" w:rsidRPr="006953D9">
        <w:t xml:space="preserve"> </w:t>
      </w:r>
      <w:r w:rsidRPr="006953D9">
        <w:t>Provisions)</w:t>
      </w:r>
      <w:r w:rsidR="002206DB" w:rsidRPr="006953D9">
        <w:t>”</w:t>
      </w:r>
      <w:r w:rsidR="000B5A3E" w:rsidRPr="006953D9">
        <w:t xml:space="preserve"> </w:t>
      </w:r>
      <w:r w:rsidRPr="006953D9">
        <w:t>Law,</w:t>
      </w:r>
      <w:r w:rsidR="000B5A3E" w:rsidRPr="006953D9">
        <w:t xml:space="preserve"> </w:t>
      </w:r>
      <w:r w:rsidRPr="006953D9">
        <w:t>[L.2</w:t>
      </w:r>
      <w:r w:rsidR="000B5A3E" w:rsidRPr="006953D9">
        <w:t xml:space="preserve"> </w:t>
      </w:r>
      <w:r w:rsidRPr="006953D9">
        <w:t>(I)/2006]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virtue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residing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controlled</w:t>
      </w:r>
      <w:r w:rsidR="000B5A3E" w:rsidRPr="006953D9">
        <w:t xml:space="preserve"> </w:t>
      </w:r>
      <w:r w:rsidRPr="006953D9">
        <w:t>area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given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vote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stand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election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elections</w:t>
      </w:r>
      <w:r w:rsidR="000B5A3E" w:rsidRPr="006953D9">
        <w:t xml:space="preserve"> </w:t>
      </w:r>
      <w:r w:rsidRPr="006953D9">
        <w:t>(municipal,</w:t>
      </w:r>
      <w:r w:rsidR="000B5A3E" w:rsidRPr="006953D9">
        <w:t xml:space="preserve"> </w:t>
      </w:r>
      <w:r w:rsidRPr="006953D9">
        <w:t>parliamentary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presidential).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regards</w:t>
      </w:r>
      <w:r w:rsidR="000B5A3E" w:rsidRPr="006953D9">
        <w:t xml:space="preserve"> </w:t>
      </w:r>
      <w:r w:rsidRPr="006953D9">
        <w:t>parliamentary</w:t>
      </w:r>
      <w:r w:rsidR="000B5A3E" w:rsidRPr="006953D9">
        <w:t xml:space="preserve"> </w:t>
      </w:r>
      <w:r w:rsidRPr="006953D9">
        <w:t>elections,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relates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filling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56</w:t>
      </w:r>
      <w:r w:rsidR="000B5A3E" w:rsidRPr="006953D9">
        <w:t xml:space="preserve"> </w:t>
      </w:r>
      <w:r w:rsidRPr="006953D9">
        <w:t>seats</w:t>
      </w:r>
      <w:r w:rsidR="000B5A3E" w:rsidRPr="006953D9">
        <w:t xml:space="preserve"> </w:t>
      </w:r>
      <w:r w:rsidRPr="006953D9">
        <w:t>allotted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Community.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virtue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Election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Member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Parliament</w:t>
      </w:r>
      <w:r w:rsidR="000B5A3E" w:rsidRPr="006953D9">
        <w:t xml:space="preserve"> </w:t>
      </w:r>
      <w:r w:rsidRPr="006953D9">
        <w:t>Law,</w:t>
      </w:r>
      <w:r w:rsidR="000B5A3E" w:rsidRPr="006953D9">
        <w:t xml:space="preserve"> </w:t>
      </w:r>
      <w:r w:rsidRPr="006953D9">
        <w:t>2004</w:t>
      </w:r>
      <w:r w:rsidR="000B5A3E" w:rsidRPr="006953D9">
        <w:t xml:space="preserve"> </w:t>
      </w:r>
      <w:r w:rsidRPr="006953D9">
        <w:t>[L.10(I)/2004,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amended]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vote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stand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election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lastRenderedPageBreak/>
        <w:t>the</w:t>
      </w:r>
      <w:r w:rsidR="000B5A3E" w:rsidRPr="006953D9">
        <w:t xml:space="preserve"> </w:t>
      </w:r>
      <w:r w:rsidRPr="006953D9">
        <w:t>elections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members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Parliament,</w:t>
      </w:r>
      <w:r w:rsidR="000B5A3E" w:rsidRPr="006953D9">
        <w:t xml:space="preserve"> </w:t>
      </w:r>
      <w:r w:rsidRPr="006953D9">
        <w:t>irrespective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place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residence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Cyprus.</w:t>
      </w:r>
    </w:p>
    <w:p w:rsidR="00200C10" w:rsidRPr="006953D9" w:rsidRDefault="00200C10" w:rsidP="00830021">
      <w:pPr>
        <w:pStyle w:val="SingleTxtG"/>
      </w:pPr>
      <w:r w:rsidRPr="006953D9">
        <w:t>74.</w:t>
      </w:r>
      <w:r w:rsidRPr="006953D9">
        <w:tab/>
        <w:t>In</w:t>
      </w:r>
      <w:r w:rsidR="000B5A3E" w:rsidRPr="006953D9">
        <w:t xml:space="preserve"> </w:t>
      </w:r>
      <w:r w:rsidRPr="006953D9">
        <w:t>purporting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safeguard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certain</w:t>
      </w:r>
      <w:r w:rsidR="000B5A3E" w:rsidRPr="006953D9">
        <w:t xml:space="preserve"> </w:t>
      </w:r>
      <w:r w:rsidRPr="006953D9">
        <w:t>groups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people</w:t>
      </w:r>
      <w:r w:rsidR="000B5A3E" w:rsidRPr="006953D9">
        <w:t xml:space="preserve"> </w:t>
      </w:r>
      <w:r w:rsidRPr="006953D9">
        <w:t>who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otherwise</w:t>
      </w:r>
      <w:r w:rsidR="000B5A3E" w:rsidRPr="006953D9">
        <w:t xml:space="preserve"> </w:t>
      </w:r>
      <w:r w:rsidRPr="006953D9">
        <w:t>entitled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citizens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state,</w:t>
      </w:r>
      <w:r w:rsidR="000B5A3E" w:rsidRPr="006953D9">
        <w:t xml:space="preserve"> </w:t>
      </w:r>
      <w:r w:rsidRPr="006953D9">
        <w:t>but</w:t>
      </w:r>
      <w:r w:rsidR="000B5A3E" w:rsidRPr="006953D9">
        <w:t xml:space="preserve"> </w:t>
      </w:r>
      <w:r w:rsidRPr="006953D9">
        <w:t>could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fall</w:t>
      </w:r>
      <w:r w:rsidR="000B5A3E" w:rsidRPr="006953D9">
        <w:t xml:space="preserve"> </w:t>
      </w:r>
      <w:r w:rsidRPr="006953D9">
        <w:t>into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definition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either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Communities</w:t>
      </w:r>
      <w:r w:rsidR="000B5A3E" w:rsidRPr="006953D9">
        <w:t xml:space="preserve"> </w:t>
      </w:r>
      <w:r w:rsidRPr="006953D9">
        <w:t>(Greek/Turkish)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(vis</w:t>
      </w:r>
      <w:r w:rsidR="000B5A3E" w:rsidRPr="006953D9">
        <w:t xml:space="preserve"> </w:t>
      </w:r>
      <w:r w:rsidRPr="006953D9">
        <w:t>Art.</w:t>
      </w:r>
      <w:r w:rsidR="000B5A3E" w:rsidRPr="006953D9">
        <w:t xml:space="preserve"> </w:t>
      </w:r>
      <w:r w:rsidRPr="006953D9">
        <w:t>2),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defined</w:t>
      </w:r>
      <w:r w:rsidR="000B5A3E" w:rsidRPr="006953D9">
        <w:t xml:space="preserve"> </w:t>
      </w:r>
      <w:r w:rsidRPr="006953D9">
        <w:t>them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religious</w:t>
      </w:r>
      <w:r w:rsidR="000B5A3E" w:rsidRPr="006953D9">
        <w:t xml:space="preserve"> </w:t>
      </w:r>
      <w:r w:rsidRPr="006953D9">
        <w:t>groups,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is,</w:t>
      </w:r>
      <w:r w:rsidR="000B5A3E" w:rsidRPr="006953D9">
        <w:t xml:space="preserve"> </w:t>
      </w:r>
      <w:r w:rsidR="002206DB" w:rsidRPr="006953D9">
        <w:t>“</w:t>
      </w:r>
      <w:r w:rsidRPr="006953D9">
        <w:t>a</w:t>
      </w:r>
      <w:r w:rsidR="000B5A3E" w:rsidRPr="006953D9">
        <w:t xml:space="preserve"> </w:t>
      </w:r>
      <w:r w:rsidRPr="006953D9">
        <w:t>group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ordinarily</w:t>
      </w:r>
      <w:r w:rsidR="000B5A3E" w:rsidRPr="006953D9">
        <w:t xml:space="preserve"> </w:t>
      </w:r>
      <w:r w:rsidRPr="006953D9">
        <w:t>resident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professing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same</w:t>
      </w:r>
      <w:r w:rsidR="000B5A3E" w:rsidRPr="006953D9">
        <w:t xml:space="preserve"> </w:t>
      </w:r>
      <w:r w:rsidRPr="006953D9">
        <w:t>religion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either</w:t>
      </w:r>
      <w:r w:rsidR="000B5A3E" w:rsidRPr="006953D9">
        <w:t xml:space="preserve"> </w:t>
      </w:r>
      <w:r w:rsidRPr="006953D9">
        <w:t>belonging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same</w:t>
      </w:r>
      <w:r w:rsidR="000B5A3E" w:rsidRPr="006953D9">
        <w:t xml:space="preserve"> </w:t>
      </w:r>
      <w:r w:rsidRPr="006953D9">
        <w:t>rite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being</w:t>
      </w:r>
      <w:r w:rsidR="000B5A3E" w:rsidRPr="006953D9">
        <w:t xml:space="preserve"> </w:t>
      </w:r>
      <w:r w:rsidRPr="006953D9">
        <w:t>subject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same</w:t>
      </w:r>
      <w:r w:rsidR="000B5A3E" w:rsidRPr="006953D9">
        <w:t xml:space="preserve"> </w:t>
      </w:r>
      <w:r w:rsidRPr="006953D9">
        <w:t>jurisdiction</w:t>
      </w:r>
      <w:r w:rsidR="000B5A3E" w:rsidRPr="006953D9">
        <w:t xml:space="preserve"> </w:t>
      </w:r>
      <w:r w:rsidRPr="006953D9">
        <w:t>thereof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whom,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date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coming</w:t>
      </w:r>
      <w:r w:rsidR="000B5A3E" w:rsidRPr="006953D9">
        <w:t xml:space="preserve"> </w:t>
      </w:r>
      <w:r w:rsidRPr="006953D9">
        <w:t>into</w:t>
      </w:r>
      <w:r w:rsidR="000B5A3E" w:rsidRPr="006953D9">
        <w:t xml:space="preserve"> </w:t>
      </w:r>
      <w:r w:rsidRPr="006953D9">
        <w:t>operation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Constitution,</w:t>
      </w:r>
      <w:r w:rsidR="000B5A3E" w:rsidRPr="006953D9">
        <w:t xml:space="preserve"> </w:t>
      </w:r>
      <w:r w:rsidRPr="006953D9">
        <w:t>exceeds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thousand</w:t>
      </w:r>
      <w:r w:rsidR="000B5A3E" w:rsidRPr="006953D9">
        <w:t xml:space="preserve"> </w:t>
      </w:r>
      <w:r w:rsidRPr="006953D9">
        <w:t>out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least</w:t>
      </w:r>
      <w:r w:rsidR="000B5A3E" w:rsidRPr="006953D9">
        <w:t xml:space="preserve"> </w:t>
      </w:r>
      <w:r w:rsidRPr="006953D9">
        <w:t>five</w:t>
      </w:r>
      <w:r w:rsidR="000B5A3E" w:rsidRPr="006953D9">
        <w:t xml:space="preserve"> </w:t>
      </w:r>
      <w:r w:rsidRPr="006953D9">
        <w:t>hundred</w:t>
      </w:r>
      <w:r w:rsidR="000B5A3E" w:rsidRPr="006953D9">
        <w:t xml:space="preserve"> </w:t>
      </w:r>
      <w:r w:rsidRPr="006953D9">
        <w:t>become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date</w:t>
      </w:r>
      <w:r w:rsidR="000B5A3E" w:rsidRPr="006953D9">
        <w:t xml:space="preserve"> </w:t>
      </w:r>
      <w:r w:rsidRPr="006953D9">
        <w:t>citizens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2206DB" w:rsidRPr="006953D9">
        <w:t>”</w:t>
      </w:r>
      <w:r w:rsidRPr="006953D9">
        <w:t>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1960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proofErr w:type="spellStart"/>
      <w:r w:rsidRPr="006953D9">
        <w:t>Maronites</w:t>
      </w:r>
      <w:proofErr w:type="spellEnd"/>
      <w:r w:rsidRPr="006953D9">
        <w:t>,</w:t>
      </w:r>
      <w:r w:rsidR="000B5A3E" w:rsidRPr="006953D9">
        <w:t xml:space="preserve"> </w:t>
      </w:r>
      <w:r w:rsidRPr="006953D9">
        <w:t>Armenians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Latins</w:t>
      </w:r>
      <w:r w:rsidR="000B5A3E" w:rsidRPr="006953D9">
        <w:t xml:space="preserve"> </w:t>
      </w:r>
      <w:r w:rsidRPr="006953D9">
        <w:t>fell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definition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religious</w:t>
      </w:r>
      <w:r w:rsidR="000B5A3E" w:rsidRPr="006953D9">
        <w:t xml:space="preserve"> </w:t>
      </w:r>
      <w:r w:rsidRPr="006953D9">
        <w:t>groups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recognised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citizens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state.</w:t>
      </w:r>
    </w:p>
    <w:p w:rsidR="00200C10" w:rsidRPr="006953D9" w:rsidRDefault="00200C10" w:rsidP="00830021">
      <w:pPr>
        <w:pStyle w:val="SingleTxtG"/>
      </w:pPr>
      <w:r w:rsidRPr="006953D9">
        <w:t>75.</w:t>
      </w:r>
      <w:r w:rsidRPr="006953D9">
        <w:tab/>
        <w:t>The</w:t>
      </w:r>
      <w:r w:rsidR="000B5A3E" w:rsidRPr="006953D9">
        <w:t xml:space="preserve"> </w:t>
      </w:r>
      <w:r w:rsidRPr="006953D9">
        <w:t>said</w:t>
      </w:r>
      <w:r w:rsidR="000B5A3E" w:rsidRPr="006953D9">
        <w:t xml:space="preserve"> </w:t>
      </w:r>
      <w:r w:rsidRPr="006953D9">
        <w:t>groups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then</w:t>
      </w:r>
      <w:r w:rsidR="000B5A3E" w:rsidRPr="006953D9">
        <w:t xml:space="preserve"> </w:t>
      </w:r>
      <w:r w:rsidRPr="006953D9">
        <w:t>given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option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belong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Communities</w:t>
      </w:r>
      <w:r w:rsidR="000B5A3E" w:rsidRPr="006953D9">
        <w:t xml:space="preserve"> </w:t>
      </w:r>
      <w:r w:rsidRPr="006953D9">
        <w:t>so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they</w:t>
      </w:r>
      <w:r w:rsidR="000B5A3E" w:rsidRPr="006953D9">
        <w:t xml:space="preserve"> </w:t>
      </w:r>
      <w:r w:rsidRPr="006953D9">
        <w:t>could</w:t>
      </w:r>
      <w:r w:rsidR="000B5A3E" w:rsidRPr="006953D9">
        <w:t xml:space="preserve"> </w:t>
      </w:r>
      <w:r w:rsidRPr="006953D9">
        <w:t>enjoy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concept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power</w:t>
      </w:r>
      <w:r w:rsidR="000B5A3E" w:rsidRPr="006953D9">
        <w:t xml:space="preserve"> </w:t>
      </w:r>
      <w:r w:rsidRPr="006953D9">
        <w:t>sharing</w:t>
      </w:r>
      <w:r w:rsidR="000B5A3E" w:rsidRPr="006953D9">
        <w:t xml:space="preserve"> </w:t>
      </w:r>
      <w:r w:rsidRPr="006953D9">
        <w:t>arrangement</w:t>
      </w:r>
      <w:r w:rsidR="000B5A3E" w:rsidRPr="006953D9">
        <w:t xml:space="preserve"> </w:t>
      </w:r>
      <w:r w:rsidRPr="006953D9">
        <w:t>between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Communities.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opted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belong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Community.</w:t>
      </w:r>
    </w:p>
    <w:p w:rsidR="00200C10" w:rsidRPr="006953D9" w:rsidRDefault="00200C10" w:rsidP="00830021">
      <w:pPr>
        <w:pStyle w:val="SingleTxtG"/>
      </w:pPr>
      <w:r w:rsidRPr="006953D9">
        <w:t>76.</w:t>
      </w:r>
      <w:r w:rsidRPr="006953D9">
        <w:tab/>
        <w:t>Each</w:t>
      </w:r>
      <w:r w:rsidR="000B5A3E" w:rsidRPr="006953D9">
        <w:t xml:space="preserve"> </w:t>
      </w:r>
      <w:r w:rsidRPr="006953D9">
        <w:t>religious</w:t>
      </w:r>
      <w:r w:rsidR="000B5A3E" w:rsidRPr="006953D9">
        <w:t xml:space="preserve"> </w:t>
      </w:r>
      <w:r w:rsidRPr="006953D9">
        <w:t>group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additional</w:t>
      </w:r>
      <w:r w:rsidR="000B5A3E" w:rsidRPr="006953D9">
        <w:t xml:space="preserve"> </w:t>
      </w: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elect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representative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represent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House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Representatives,</w:t>
      </w:r>
      <w:r w:rsidR="000B5A3E" w:rsidRPr="006953D9">
        <w:t xml:space="preserve"> </w:t>
      </w:r>
      <w:r w:rsidRPr="006953D9">
        <w:t>exercising</w:t>
      </w:r>
      <w:r w:rsidR="000B5A3E" w:rsidRPr="006953D9">
        <w:t xml:space="preserve"> </w:t>
      </w:r>
      <w:r w:rsidRPr="006953D9">
        <w:t>advisory</w:t>
      </w:r>
      <w:r w:rsidR="000B5A3E" w:rsidRPr="006953D9">
        <w:t xml:space="preserve"> </w:t>
      </w:r>
      <w:r w:rsidRPr="006953D9">
        <w:t>functions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relation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legislation</w:t>
      </w:r>
      <w:r w:rsidR="000B5A3E" w:rsidRPr="006953D9">
        <w:t xml:space="preserve"> </w:t>
      </w:r>
      <w:r w:rsidRPr="006953D9">
        <w:t>concerning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respective</w:t>
      </w:r>
      <w:r w:rsidR="000B5A3E" w:rsidRPr="006953D9">
        <w:t xml:space="preserve"> </w:t>
      </w:r>
      <w:r w:rsidRPr="006953D9">
        <w:t>group.</w:t>
      </w:r>
    </w:p>
    <w:p w:rsidR="00200C10" w:rsidRPr="006953D9" w:rsidRDefault="00200C10" w:rsidP="00830021">
      <w:pPr>
        <w:pStyle w:val="SingleTxtG"/>
      </w:pPr>
      <w:r w:rsidRPr="006953D9">
        <w:t>77.</w:t>
      </w:r>
      <w:r w:rsidRPr="006953D9">
        <w:tab/>
        <w:t>Incidence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violent</w:t>
      </w:r>
      <w:r w:rsidR="000B5A3E" w:rsidRPr="006953D9">
        <w:t xml:space="preserve"> </w:t>
      </w:r>
      <w:r w:rsidRPr="006953D9">
        <w:t>death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life</w:t>
      </w:r>
      <w:r w:rsidR="000B5A3E" w:rsidRPr="006953D9">
        <w:t xml:space="preserve"> </w:t>
      </w:r>
      <w:r w:rsidRPr="006953D9">
        <w:t>threatening</w:t>
      </w:r>
      <w:r w:rsidR="000B5A3E" w:rsidRPr="006953D9">
        <w:t xml:space="preserve"> </w:t>
      </w:r>
      <w:r w:rsidRPr="006953D9">
        <w:t>crimes</w:t>
      </w:r>
      <w:r w:rsidR="000B5A3E" w:rsidRPr="006953D9">
        <w:t xml:space="preserve"> </w:t>
      </w:r>
      <w:r w:rsidRPr="006953D9">
        <w:t>reported</w:t>
      </w:r>
      <w:r w:rsidR="000B5A3E" w:rsidRPr="006953D9">
        <w:t xml:space="preserve"> </w:t>
      </w:r>
      <w:r w:rsidRPr="006953D9">
        <w:t>per</w:t>
      </w:r>
      <w:r w:rsidR="000B5A3E" w:rsidRPr="006953D9">
        <w:t xml:space="preserve"> </w:t>
      </w:r>
      <w:r w:rsidRPr="006953D9">
        <w:t>100,000</w:t>
      </w:r>
      <w:r w:rsidR="000B5A3E" w:rsidRPr="006953D9">
        <w:t xml:space="preserve"> </w:t>
      </w:r>
      <w:r w:rsidRPr="006953D9">
        <w:t>persons:</w:t>
      </w:r>
    </w:p>
    <w:p w:rsidR="00200C10" w:rsidRPr="006953D9" w:rsidRDefault="00200C10" w:rsidP="005570AD">
      <w:pPr>
        <w:pStyle w:val="Bullet1G"/>
      </w:pPr>
      <w:r w:rsidRPr="006953D9">
        <w:t>0.85</w:t>
      </w:r>
      <w:r w:rsidR="000B5A3E" w:rsidRPr="006953D9">
        <w:t xml:space="preserve"> </w:t>
      </w:r>
      <w:r w:rsidRPr="006953D9">
        <w:t>(2010);</w:t>
      </w:r>
    </w:p>
    <w:p w:rsidR="00200C10" w:rsidRPr="006953D9" w:rsidRDefault="00200C10" w:rsidP="005570AD">
      <w:pPr>
        <w:pStyle w:val="Bullet1G"/>
      </w:pPr>
      <w:r w:rsidRPr="006953D9">
        <w:t>15.95.</w:t>
      </w:r>
    </w:p>
    <w:p w:rsidR="005570AD" w:rsidRPr="006953D9" w:rsidRDefault="00200C10" w:rsidP="005570AD">
      <w:pPr>
        <w:pStyle w:val="Heading1"/>
        <w:rPr>
          <w:b/>
          <w:bCs/>
        </w:rPr>
      </w:pPr>
      <w:bookmarkStart w:id="5" w:name="_Toc509325398"/>
      <w:r w:rsidRPr="006953D9">
        <w:rPr>
          <w:b/>
          <w:bCs/>
        </w:rPr>
        <w:t>Number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of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persons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and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rate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(per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100,000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persons)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who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were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arrested/brought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before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a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court/convicted/sentenced/incarcerated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for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violent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or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other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serious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crimes</w:t>
      </w:r>
      <w:r w:rsidR="000B5A3E" w:rsidRPr="006953D9">
        <w:rPr>
          <w:b/>
          <w:bCs/>
        </w:rPr>
        <w:t xml:space="preserve"> </w:t>
      </w:r>
      <w:r w:rsidR="005570AD" w:rsidRPr="006953D9">
        <w:rPr>
          <w:b/>
          <w:bCs/>
        </w:rPr>
        <w:br/>
      </w:r>
      <w:r w:rsidRPr="006953D9">
        <w:rPr>
          <w:b/>
          <w:bCs/>
        </w:rPr>
        <w:t>(such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as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homicide,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robbery,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assault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and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trafficking)</w:t>
      </w:r>
      <w:bookmarkEnd w:id="5"/>
    </w:p>
    <w:p w:rsidR="00200C10" w:rsidRPr="006953D9" w:rsidRDefault="00200C10" w:rsidP="005570AD">
      <w:pPr>
        <w:pStyle w:val="SingleTxtG"/>
        <w:rPr>
          <w:sz w:val="16"/>
          <w:szCs w:val="16"/>
        </w:rPr>
      </w:pPr>
      <w:r w:rsidRPr="006953D9">
        <w:rPr>
          <w:sz w:val="16"/>
          <w:szCs w:val="16"/>
        </w:rPr>
        <w:t>Admissions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of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convicted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prisoners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by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offence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group,</w:t>
      </w:r>
      <w:r w:rsidR="000B5A3E" w:rsidRPr="006953D9">
        <w:rPr>
          <w:sz w:val="16"/>
          <w:szCs w:val="16"/>
        </w:rPr>
        <w:t xml:space="preserve"> </w:t>
      </w:r>
      <w:r w:rsidRPr="006953D9">
        <w:rPr>
          <w:sz w:val="16"/>
          <w:szCs w:val="16"/>
        </w:rPr>
        <w:t>2005–2010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70"/>
        <w:gridCol w:w="705"/>
        <w:gridCol w:w="706"/>
        <w:gridCol w:w="706"/>
        <w:gridCol w:w="706"/>
        <w:gridCol w:w="706"/>
        <w:gridCol w:w="706"/>
      </w:tblGrid>
      <w:tr w:rsidR="00200C10" w:rsidRPr="006953D9" w:rsidTr="00904E89">
        <w:trPr>
          <w:trHeight w:val="220"/>
          <w:tblHeader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B9552B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Offence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group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B9552B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2005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B9552B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2006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B9552B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2007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B9552B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2008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B9552B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2009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B9552B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2010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3136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Absolute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Numbers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I.</w:t>
            </w:r>
          </w:p>
        </w:tc>
        <w:tc>
          <w:tcPr>
            <w:tcW w:w="257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Against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public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order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II.</w:t>
            </w:r>
          </w:p>
        </w:tc>
        <w:tc>
          <w:tcPr>
            <w:tcW w:w="2570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Against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lawful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authority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12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18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III.</w:t>
            </w:r>
          </w:p>
        </w:tc>
        <w:tc>
          <w:tcPr>
            <w:tcW w:w="2570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Injurious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to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public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in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general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102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92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60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IV.</w:t>
            </w:r>
          </w:p>
        </w:tc>
        <w:tc>
          <w:tcPr>
            <w:tcW w:w="2570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Sexual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offences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V.</w:t>
            </w:r>
          </w:p>
        </w:tc>
        <w:tc>
          <w:tcPr>
            <w:tcW w:w="2570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Against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person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71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47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VI.</w:t>
            </w:r>
          </w:p>
        </w:tc>
        <w:tc>
          <w:tcPr>
            <w:tcW w:w="2570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Against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property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229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314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329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259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211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280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VII.</w:t>
            </w:r>
          </w:p>
        </w:tc>
        <w:tc>
          <w:tcPr>
            <w:tcW w:w="2570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Malicious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damages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to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property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VIII.</w:t>
            </w:r>
          </w:p>
        </w:tc>
        <w:tc>
          <w:tcPr>
            <w:tcW w:w="2570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Forgery,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coining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etc.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21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IX.</w:t>
            </w:r>
          </w:p>
        </w:tc>
        <w:tc>
          <w:tcPr>
            <w:tcW w:w="2570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Motoring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offences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X.</w:t>
            </w:r>
          </w:p>
        </w:tc>
        <w:tc>
          <w:tcPr>
            <w:tcW w:w="2570" w:type="dxa"/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Regulatory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offences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04E89">
        <w:trPr>
          <w:trHeight w:val="22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XI.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Miscellaneous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622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750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744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675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957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B9552B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845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904E89" w:rsidRPr="006953D9" w:rsidTr="00904E89">
        <w:trPr>
          <w:trHeight w:val="220"/>
        </w:trPr>
        <w:tc>
          <w:tcPr>
            <w:tcW w:w="313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04E89" w:rsidRPr="006953D9" w:rsidRDefault="00904E89" w:rsidP="00904E89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E89" w:rsidRPr="006953D9" w:rsidRDefault="00904E89" w:rsidP="00904E89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 xml:space="preserve">1 188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E89" w:rsidRPr="006953D9" w:rsidRDefault="00904E89" w:rsidP="00904E89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 xml:space="preserve">1 336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E89" w:rsidRPr="006953D9" w:rsidRDefault="00904E89" w:rsidP="00904E89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 xml:space="preserve">1 281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E89" w:rsidRPr="006953D9" w:rsidRDefault="00904E89" w:rsidP="00904E89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 xml:space="preserve">1 255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E89" w:rsidRPr="006953D9" w:rsidRDefault="00904E89" w:rsidP="00904E89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 xml:space="preserve">1 432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E89" w:rsidRPr="006953D9" w:rsidRDefault="00904E89" w:rsidP="00904E89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 xml:space="preserve">1 301 </w:t>
            </w:r>
          </w:p>
        </w:tc>
      </w:tr>
    </w:tbl>
    <w:p w:rsidR="00200C10" w:rsidRPr="006953D9" w:rsidRDefault="00200C10" w:rsidP="00830021">
      <w:pPr>
        <w:pStyle w:val="SingleTxtG"/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84"/>
        <w:gridCol w:w="703"/>
        <w:gridCol w:w="703"/>
        <w:gridCol w:w="703"/>
        <w:gridCol w:w="703"/>
        <w:gridCol w:w="703"/>
        <w:gridCol w:w="705"/>
      </w:tblGrid>
      <w:tr w:rsidR="00200C10" w:rsidRPr="006953D9" w:rsidTr="003662A1">
        <w:trPr>
          <w:trHeight w:val="220"/>
          <w:tblHeader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7EF5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Offence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group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7EF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2005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7EF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2006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7EF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2007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7EF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2008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7EF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2009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7EF5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2010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</w:tr>
      <w:tr w:rsidR="00200C10" w:rsidRPr="006953D9" w:rsidTr="003662A1">
        <w:trPr>
          <w:trHeight w:val="220"/>
          <w:tblHeader/>
        </w:trPr>
        <w:tc>
          <w:tcPr>
            <w:tcW w:w="315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3662A1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Percentages</w:t>
            </w:r>
          </w:p>
        </w:tc>
      </w:tr>
      <w:tr w:rsidR="00200C10" w:rsidRPr="006953D9" w:rsidTr="003662A1">
        <w:trPr>
          <w:trHeight w:val="22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I.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Against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public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order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0.2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3662A1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II.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Against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lawful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authority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0.2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0.1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0.1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1.4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3662A1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III.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Injurious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to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public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in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general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8.6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4.6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3662A1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IV.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Sexual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offences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1.3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3662A1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V.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Against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person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8.4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3.6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3662A1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VI.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Against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property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19.3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23.5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25.7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20.6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21.5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3662A1">
        <w:trPr>
          <w:trHeight w:val="220"/>
        </w:trPr>
        <w:tc>
          <w:tcPr>
            <w:tcW w:w="566" w:type="dxa"/>
            <w:tcBorders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lastRenderedPageBreak/>
              <w:t>VII.</w:t>
            </w:r>
          </w:p>
        </w:tc>
        <w:tc>
          <w:tcPr>
            <w:tcW w:w="2584" w:type="dxa"/>
            <w:tcBorders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Malicious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damages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to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property</w:t>
            </w:r>
          </w:p>
        </w:tc>
        <w:tc>
          <w:tcPr>
            <w:tcW w:w="7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0.3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0.2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3662A1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VIII.</w:t>
            </w:r>
          </w:p>
        </w:tc>
        <w:tc>
          <w:tcPr>
            <w:tcW w:w="25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Forgery,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coining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etc.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0.2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1.5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3662A1">
        <w:trPr>
          <w:trHeight w:val="220"/>
        </w:trPr>
        <w:tc>
          <w:tcPr>
            <w:tcW w:w="566" w:type="dxa"/>
            <w:tcBorders>
              <w:top w:val="nil"/>
            </w:tcBorders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IX.</w:t>
            </w:r>
          </w:p>
        </w:tc>
        <w:tc>
          <w:tcPr>
            <w:tcW w:w="2584" w:type="dxa"/>
            <w:tcBorders>
              <w:top w:val="nil"/>
            </w:tcBorders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Motoring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offences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1.6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1.2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0.5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0.9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0.8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3662A1">
        <w:trPr>
          <w:trHeight w:val="220"/>
        </w:trPr>
        <w:tc>
          <w:tcPr>
            <w:tcW w:w="566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X.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Regulatory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offences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0.7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1.2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700B4">
        <w:trPr>
          <w:trHeight w:val="22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XI.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Miscellaneous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52.4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56.1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58.1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53.8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66.8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977EF5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65.0</w:t>
            </w:r>
            <w:r w:rsidR="000B5A3E" w:rsidRPr="006953D9">
              <w:rPr>
                <w:sz w:val="18"/>
              </w:rPr>
              <w:t xml:space="preserve"> </w:t>
            </w:r>
          </w:p>
        </w:tc>
      </w:tr>
      <w:tr w:rsidR="00200C10" w:rsidRPr="006953D9" w:rsidTr="009700B4">
        <w:trPr>
          <w:trHeight w:val="220"/>
        </w:trPr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0B5A3E" w:rsidP="003662A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3662A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3662A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  <w:r w:rsidR="000B5A3E" w:rsidRPr="006953D9">
              <w:rPr>
                <w:b/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3662A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  <w:r w:rsidR="000B5A3E" w:rsidRPr="006953D9">
              <w:rPr>
                <w:b/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3662A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  <w:r w:rsidR="000B5A3E" w:rsidRPr="006953D9">
              <w:rPr>
                <w:b/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3662A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  <w:r w:rsidR="000B5A3E" w:rsidRPr="006953D9">
              <w:rPr>
                <w:b/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3662A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  <w:r w:rsidR="000B5A3E" w:rsidRPr="006953D9">
              <w:rPr>
                <w:b/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3662A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  <w:r w:rsidR="000B5A3E" w:rsidRPr="006953D9">
              <w:rPr>
                <w:b/>
                <w:sz w:val="18"/>
              </w:rPr>
              <w:t xml:space="preserve"> </w:t>
            </w:r>
          </w:p>
        </w:tc>
      </w:tr>
    </w:tbl>
    <w:p w:rsidR="00200C10" w:rsidRPr="006953D9" w:rsidRDefault="00200C10" w:rsidP="009700B4">
      <w:pPr>
        <w:pStyle w:val="H23G"/>
      </w:pPr>
      <w:r w:rsidRPr="006953D9">
        <w:tab/>
      </w:r>
      <w:r w:rsidRPr="006953D9">
        <w:tab/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reported</w:t>
      </w:r>
      <w:r w:rsidR="000B5A3E" w:rsidRPr="006953D9">
        <w:t xml:space="preserve"> </w:t>
      </w:r>
      <w:r w:rsidRPr="006953D9">
        <w:t>cases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sexually</w:t>
      </w:r>
      <w:r w:rsidR="000B5A3E" w:rsidRPr="006953D9">
        <w:t xml:space="preserve"> </w:t>
      </w:r>
      <w:r w:rsidRPr="006953D9">
        <w:t>motivated</w:t>
      </w:r>
      <w:r w:rsidR="000B5A3E" w:rsidRPr="006953D9">
        <w:t xml:space="preserve"> </w:t>
      </w:r>
      <w:r w:rsidRPr="006953D9">
        <w:t>violence</w:t>
      </w:r>
      <w:r w:rsidR="000B5A3E" w:rsidRPr="006953D9">
        <w:t xml:space="preserve"> </w:t>
      </w:r>
      <w:r w:rsidRPr="006953D9">
        <w:t>(such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rape,</w:t>
      </w:r>
      <w:r w:rsidR="000B5A3E" w:rsidRPr="006953D9">
        <w:t xml:space="preserve"> </w:t>
      </w:r>
      <w:r w:rsidRPr="006953D9">
        <w:t>female</w:t>
      </w:r>
      <w:r w:rsidR="000B5A3E" w:rsidRPr="006953D9">
        <w:t xml:space="preserve"> </w:t>
      </w:r>
      <w:r w:rsidRPr="006953D9">
        <w:t>genital</w:t>
      </w:r>
      <w:r w:rsidR="000B5A3E" w:rsidRPr="006953D9">
        <w:t xml:space="preserve"> </w:t>
      </w:r>
      <w:r w:rsidRPr="006953D9">
        <w:t>mutilation,</w:t>
      </w:r>
      <w:r w:rsidR="000B5A3E" w:rsidRPr="006953D9">
        <w:t xml:space="preserve"> </w:t>
      </w:r>
      <w:r w:rsidRPr="006953D9">
        <w:t>honour</w:t>
      </w:r>
      <w:r w:rsidR="000B5A3E" w:rsidRPr="006953D9">
        <w:t xml:space="preserve"> </w:t>
      </w:r>
      <w:r w:rsidRPr="006953D9">
        <w:t>crimes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acid</w:t>
      </w:r>
      <w:r w:rsidR="000B5A3E" w:rsidRPr="006953D9">
        <w:t xml:space="preserve"> </w:t>
      </w:r>
      <w:r w:rsidRPr="006953D9">
        <w:t>attacks)</w:t>
      </w:r>
    </w:p>
    <w:tbl>
      <w:tblPr>
        <w:tblW w:w="7369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910"/>
        <w:gridCol w:w="910"/>
        <w:gridCol w:w="911"/>
        <w:gridCol w:w="810"/>
        <w:gridCol w:w="962"/>
        <w:gridCol w:w="962"/>
      </w:tblGrid>
      <w:tr w:rsidR="00200C10" w:rsidRPr="006953D9" w:rsidTr="009700B4">
        <w:trPr>
          <w:trHeight w:val="299"/>
          <w:tblHeader/>
        </w:trPr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True</w:t>
            </w:r>
            <w:r w:rsidR="009700B4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cases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9700B4" w:rsidP="009700B4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Detected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9700B4" w:rsidP="009700B4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Undetected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Pending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Under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Investigation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Detection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rate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%</w:t>
            </w:r>
          </w:p>
        </w:tc>
      </w:tr>
      <w:tr w:rsidR="00200C10" w:rsidRPr="006953D9" w:rsidTr="009700B4">
        <w:trPr>
          <w:trHeight w:val="299"/>
          <w:tblHeader/>
        </w:trPr>
        <w:tc>
          <w:tcPr>
            <w:tcW w:w="190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Sexual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offences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59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34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86.4</w:t>
            </w:r>
          </w:p>
        </w:tc>
      </w:tr>
      <w:tr w:rsidR="00200C10" w:rsidRPr="006953D9" w:rsidTr="009700B4">
        <w:trPr>
          <w:trHeight w:val="299"/>
        </w:trPr>
        <w:tc>
          <w:tcPr>
            <w:tcW w:w="1904" w:type="dxa"/>
            <w:shd w:val="clear" w:color="auto" w:fill="auto"/>
            <w:noWrap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Rape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80.6</w:t>
            </w:r>
          </w:p>
        </w:tc>
      </w:tr>
      <w:tr w:rsidR="00200C10" w:rsidRPr="006953D9" w:rsidTr="009700B4">
        <w:trPr>
          <w:trHeight w:val="299"/>
        </w:trPr>
        <w:tc>
          <w:tcPr>
            <w:tcW w:w="1904" w:type="dxa"/>
            <w:shd w:val="clear" w:color="auto" w:fill="auto"/>
            <w:noWrap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Attempt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to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commit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rape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50</w:t>
            </w:r>
          </w:p>
        </w:tc>
      </w:tr>
      <w:tr w:rsidR="00200C10" w:rsidRPr="006953D9" w:rsidTr="009700B4">
        <w:trPr>
          <w:trHeight w:val="299"/>
        </w:trPr>
        <w:tc>
          <w:tcPr>
            <w:tcW w:w="1904" w:type="dxa"/>
            <w:shd w:val="clear" w:color="auto" w:fill="auto"/>
            <w:noWrap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Abduction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100</w:t>
            </w:r>
          </w:p>
        </w:tc>
      </w:tr>
      <w:tr w:rsidR="00200C10" w:rsidRPr="006953D9" w:rsidTr="009700B4">
        <w:trPr>
          <w:trHeight w:val="299"/>
        </w:trPr>
        <w:tc>
          <w:tcPr>
            <w:tcW w:w="1904" w:type="dxa"/>
            <w:shd w:val="clear" w:color="auto" w:fill="auto"/>
            <w:noWrap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Defilement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girls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br/>
              <w:t>13–17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years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age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100</w:t>
            </w:r>
          </w:p>
        </w:tc>
      </w:tr>
      <w:tr w:rsidR="00200C10" w:rsidRPr="006953D9" w:rsidTr="009700B4">
        <w:trPr>
          <w:trHeight w:val="299"/>
        </w:trPr>
        <w:tc>
          <w:tcPr>
            <w:tcW w:w="1904" w:type="dxa"/>
            <w:shd w:val="clear" w:color="auto" w:fill="auto"/>
            <w:noWrap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Defilement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a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mentally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deficient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woman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100</w:t>
            </w:r>
          </w:p>
        </w:tc>
      </w:tr>
      <w:tr w:rsidR="00200C10" w:rsidRPr="006953D9" w:rsidTr="009700B4">
        <w:trPr>
          <w:trHeight w:val="299"/>
        </w:trPr>
        <w:tc>
          <w:tcPr>
            <w:tcW w:w="1904" w:type="dxa"/>
            <w:shd w:val="clear" w:color="auto" w:fill="auto"/>
            <w:noWrap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Unnatural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offences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75</w:t>
            </w:r>
          </w:p>
        </w:tc>
      </w:tr>
      <w:tr w:rsidR="00200C10" w:rsidRPr="006953D9" w:rsidTr="009700B4">
        <w:trPr>
          <w:trHeight w:val="299"/>
        </w:trPr>
        <w:tc>
          <w:tcPr>
            <w:tcW w:w="1904" w:type="dxa"/>
            <w:shd w:val="clear" w:color="auto" w:fill="auto"/>
            <w:noWrap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Rape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(violence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within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family)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100</w:t>
            </w:r>
          </w:p>
        </w:tc>
      </w:tr>
      <w:tr w:rsidR="00200C10" w:rsidRPr="006953D9" w:rsidTr="009700B4">
        <w:trPr>
          <w:trHeight w:val="299"/>
        </w:trPr>
        <w:tc>
          <w:tcPr>
            <w:tcW w:w="1904" w:type="dxa"/>
            <w:shd w:val="clear" w:color="auto" w:fill="auto"/>
            <w:noWrap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Sexual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exploitation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juveniles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100</w:t>
            </w:r>
          </w:p>
        </w:tc>
      </w:tr>
      <w:tr w:rsidR="00200C10" w:rsidRPr="006953D9" w:rsidTr="009700B4">
        <w:trPr>
          <w:trHeight w:val="299"/>
        </w:trPr>
        <w:tc>
          <w:tcPr>
            <w:tcW w:w="1904" w:type="dxa"/>
            <w:shd w:val="clear" w:color="auto" w:fill="auto"/>
            <w:noWrap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Unnatural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offences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(violence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within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the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family)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9700B4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100</w:t>
            </w:r>
          </w:p>
        </w:tc>
      </w:tr>
    </w:tbl>
    <w:p w:rsidR="00200C10" w:rsidRPr="006953D9" w:rsidRDefault="00200C10" w:rsidP="00134716">
      <w:pPr>
        <w:pStyle w:val="H23G"/>
      </w:pPr>
      <w:r w:rsidRPr="006953D9">
        <w:tab/>
      </w:r>
      <w:r w:rsidRPr="006953D9">
        <w:tab/>
        <w:t>Admissions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convicted</w:t>
      </w:r>
      <w:r w:rsidR="000B5A3E" w:rsidRPr="006953D9">
        <w:t xml:space="preserve"> </w:t>
      </w:r>
      <w:r w:rsidRPr="006953D9">
        <w:t>prisoners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sentence</w:t>
      </w:r>
      <w:r w:rsidR="000B5A3E" w:rsidRPr="006953D9">
        <w:t xml:space="preserve"> </w:t>
      </w:r>
      <w:r w:rsidRPr="006953D9">
        <w:t>imposed,</w:t>
      </w:r>
      <w:r w:rsidR="000B5A3E" w:rsidRPr="006953D9">
        <w:t xml:space="preserve"> </w:t>
      </w:r>
      <w:r w:rsidRPr="006953D9">
        <w:t>2008–2010</w:t>
      </w:r>
      <w:r w:rsidRPr="006953D9">
        <w:br/>
      </w:r>
      <w:r w:rsidRPr="006953D9">
        <w:rPr>
          <w:b w:val="0"/>
          <w:bCs/>
          <w:sz w:val="16"/>
          <w:szCs w:val="16"/>
        </w:rPr>
        <w:t>(life</w:t>
      </w:r>
      <w:r w:rsidR="000B5A3E" w:rsidRPr="006953D9">
        <w:rPr>
          <w:b w:val="0"/>
          <w:bCs/>
          <w:sz w:val="16"/>
          <w:szCs w:val="16"/>
        </w:rPr>
        <w:t xml:space="preserve"> </w:t>
      </w:r>
      <w:r w:rsidRPr="006953D9">
        <w:rPr>
          <w:b w:val="0"/>
          <w:bCs/>
          <w:sz w:val="16"/>
          <w:szCs w:val="16"/>
        </w:rPr>
        <w:t>and</w:t>
      </w:r>
      <w:r w:rsidR="000B5A3E" w:rsidRPr="006953D9">
        <w:rPr>
          <w:b w:val="0"/>
          <w:bCs/>
          <w:sz w:val="16"/>
          <w:szCs w:val="16"/>
        </w:rPr>
        <w:t xml:space="preserve"> </w:t>
      </w:r>
      <w:r w:rsidRPr="006953D9">
        <w:rPr>
          <w:b w:val="0"/>
          <w:bCs/>
          <w:sz w:val="16"/>
          <w:szCs w:val="16"/>
        </w:rPr>
        <w:t>death</w:t>
      </w:r>
      <w:r w:rsidR="000B5A3E" w:rsidRPr="006953D9">
        <w:rPr>
          <w:b w:val="0"/>
          <w:bCs/>
          <w:sz w:val="16"/>
          <w:szCs w:val="16"/>
        </w:rPr>
        <w:t xml:space="preserve"> </w:t>
      </w:r>
      <w:r w:rsidRPr="006953D9">
        <w:rPr>
          <w:b w:val="0"/>
          <w:bCs/>
          <w:sz w:val="16"/>
          <w:szCs w:val="16"/>
        </w:rPr>
        <w:t>sentences</w:t>
      </w:r>
      <w:r w:rsidR="000B5A3E" w:rsidRPr="006953D9">
        <w:rPr>
          <w:b w:val="0"/>
          <w:bCs/>
          <w:sz w:val="16"/>
          <w:szCs w:val="16"/>
        </w:rPr>
        <w:t xml:space="preserve"> </w:t>
      </w:r>
      <w:r w:rsidRPr="006953D9">
        <w:rPr>
          <w:b w:val="0"/>
          <w:bCs/>
          <w:sz w:val="16"/>
          <w:szCs w:val="16"/>
        </w:rPr>
        <w:t>have</w:t>
      </w:r>
      <w:r w:rsidR="000B5A3E" w:rsidRPr="006953D9">
        <w:rPr>
          <w:b w:val="0"/>
          <w:bCs/>
          <w:sz w:val="16"/>
          <w:szCs w:val="16"/>
        </w:rPr>
        <w:t xml:space="preserve"> </w:t>
      </w:r>
      <w:r w:rsidRPr="006953D9">
        <w:rPr>
          <w:b w:val="0"/>
          <w:bCs/>
          <w:sz w:val="16"/>
          <w:szCs w:val="16"/>
        </w:rPr>
        <w:t>been</w:t>
      </w:r>
      <w:r w:rsidR="000B5A3E" w:rsidRPr="006953D9">
        <w:rPr>
          <w:b w:val="0"/>
          <w:bCs/>
          <w:sz w:val="16"/>
          <w:szCs w:val="16"/>
        </w:rPr>
        <w:t xml:space="preserve"> </w:t>
      </w:r>
      <w:r w:rsidRPr="006953D9">
        <w:rPr>
          <w:b w:val="0"/>
          <w:bCs/>
          <w:sz w:val="16"/>
          <w:szCs w:val="16"/>
        </w:rPr>
        <w:t>excluded)</w:t>
      </w:r>
    </w:p>
    <w:tbl>
      <w:tblPr>
        <w:tblW w:w="7372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218"/>
        <w:gridCol w:w="916"/>
        <w:gridCol w:w="916"/>
        <w:gridCol w:w="916"/>
        <w:gridCol w:w="916"/>
        <w:gridCol w:w="916"/>
        <w:gridCol w:w="916"/>
      </w:tblGrid>
      <w:tr w:rsidR="00200C10" w:rsidRPr="006953D9" w:rsidTr="000B243C">
        <w:trPr>
          <w:trHeight w:val="300"/>
          <w:tblHeader/>
        </w:trPr>
        <w:tc>
          <w:tcPr>
            <w:tcW w:w="1876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Sentence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3914E7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3914E7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3914E7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2010</w:t>
            </w:r>
          </w:p>
        </w:tc>
      </w:tr>
      <w:tr w:rsidR="00200C10" w:rsidRPr="006953D9" w:rsidTr="000B243C">
        <w:trPr>
          <w:trHeight w:val="300"/>
          <w:tblHeader/>
        </w:trPr>
        <w:tc>
          <w:tcPr>
            <w:tcW w:w="1876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F04A39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200C10" w:rsidRPr="006953D9" w:rsidRDefault="00200C10" w:rsidP="00F04A39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Penal</w:t>
            </w:r>
            <w:r w:rsidRPr="006953D9">
              <w:rPr>
                <w:i/>
                <w:sz w:val="16"/>
              </w:rPr>
              <w:br/>
              <w:t>Offenders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24" w:space="0" w:color="FFFFFF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F04A39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200C10" w:rsidRPr="006953D9" w:rsidRDefault="00200C10" w:rsidP="00F04A39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Penal</w:t>
            </w:r>
            <w:r w:rsidRPr="006953D9">
              <w:rPr>
                <w:i/>
                <w:sz w:val="16"/>
              </w:rPr>
              <w:br/>
              <w:t>Offenders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24" w:space="0" w:color="FFFFFF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F04A39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F04A39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Penal</w:t>
            </w:r>
            <w:r w:rsidRPr="006953D9">
              <w:rPr>
                <w:i/>
                <w:sz w:val="16"/>
              </w:rPr>
              <w:br/>
              <w:t>Offenders</w:t>
            </w:r>
          </w:p>
        </w:tc>
      </w:tr>
      <w:tr w:rsidR="00200C10" w:rsidRPr="006953D9" w:rsidTr="00063F3A">
        <w:trPr>
          <w:trHeight w:val="300"/>
        </w:trPr>
        <w:tc>
          <w:tcPr>
            <w:tcW w:w="18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549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00710F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Absolute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Numbers</w:t>
            </w:r>
          </w:p>
        </w:tc>
      </w:tr>
      <w:tr w:rsidR="00200C10" w:rsidRPr="006953D9" w:rsidTr="00063F3A">
        <w:trPr>
          <w:trHeight w:val="300"/>
        </w:trPr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Periodic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detention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..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..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0B5A3E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month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99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months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339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6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months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247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12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months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194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18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months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64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1.5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years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25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5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years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61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10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years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35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tcBorders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10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15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years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years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&amp;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over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</w:p>
        </w:tc>
      </w:tr>
      <w:tr w:rsidR="00200C10" w:rsidRPr="006953D9" w:rsidTr="00063F3A">
        <w:trPr>
          <w:trHeight w:val="300"/>
        </w:trPr>
        <w:tc>
          <w:tcPr>
            <w:tcW w:w="187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lastRenderedPageBreak/>
              <w:t>Life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sentence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</w:p>
        </w:tc>
      </w:tr>
      <w:tr w:rsidR="00200C10" w:rsidRPr="006953D9" w:rsidTr="00063F3A">
        <w:trPr>
          <w:trHeight w:val="300"/>
        </w:trPr>
        <w:tc>
          <w:tcPr>
            <w:tcW w:w="1876" w:type="dxa"/>
            <w:gridSpan w:val="2"/>
            <w:shd w:val="clear" w:color="auto" w:fill="auto"/>
            <w:noWrap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Death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sentence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00710F">
            <w:pPr>
              <w:pStyle w:val="SingleTxtG"/>
              <w:keepNext/>
              <w:keepLines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</w:t>
            </w:r>
          </w:p>
        </w:tc>
      </w:tr>
      <w:tr w:rsidR="0000710F" w:rsidRPr="006953D9" w:rsidTr="00063F3A">
        <w:trPr>
          <w:trHeight w:val="340"/>
        </w:trPr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0710F" w:rsidRPr="006953D9" w:rsidRDefault="0000710F" w:rsidP="004765BA">
            <w:pPr>
              <w:pStyle w:val="SingleTxtG"/>
              <w:keepNext/>
              <w:keepLines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F" w:rsidRPr="006953D9" w:rsidRDefault="0000710F" w:rsidP="0000710F">
            <w:pPr>
              <w:pStyle w:val="SingleTxtG"/>
              <w:keepNext/>
              <w:keepLines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</w:t>
            </w:r>
            <w:r w:rsidR="0034534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255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F" w:rsidRPr="006953D9" w:rsidRDefault="0000710F" w:rsidP="0000710F">
            <w:pPr>
              <w:pStyle w:val="SingleTxtG"/>
              <w:keepNext/>
              <w:keepLines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</w:t>
            </w:r>
            <w:r w:rsidR="0034534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093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F" w:rsidRPr="006953D9" w:rsidRDefault="0000710F" w:rsidP="0000710F">
            <w:pPr>
              <w:pStyle w:val="SingleTxtG"/>
              <w:keepNext/>
              <w:keepLines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</w:t>
            </w:r>
            <w:r w:rsidR="0034534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432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F" w:rsidRPr="006953D9" w:rsidRDefault="0000710F" w:rsidP="0000710F">
            <w:pPr>
              <w:pStyle w:val="SingleTxtG"/>
              <w:keepNext/>
              <w:keepLines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</w:t>
            </w:r>
            <w:r w:rsidR="0034534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203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F" w:rsidRPr="006953D9" w:rsidRDefault="0000710F" w:rsidP="0000710F">
            <w:pPr>
              <w:pStyle w:val="SingleTxtG"/>
              <w:keepNext/>
              <w:keepLines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</w:t>
            </w:r>
            <w:r w:rsidR="0034534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301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0F" w:rsidRPr="006953D9" w:rsidRDefault="0000710F" w:rsidP="0000710F">
            <w:pPr>
              <w:pStyle w:val="SingleTxtG"/>
              <w:keepNext/>
              <w:keepLines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</w:t>
            </w:r>
            <w:r w:rsidR="0034534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079</w:t>
            </w:r>
          </w:p>
        </w:tc>
      </w:tr>
      <w:tr w:rsidR="00200C10" w:rsidRPr="006953D9" w:rsidTr="00063F3A">
        <w:trPr>
          <w:trHeight w:val="300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54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895797">
            <w:pPr>
              <w:pStyle w:val="SingleTxtG"/>
              <w:suppressAutoHyphens w:val="0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Percentages</w:t>
            </w:r>
          </w:p>
        </w:tc>
      </w:tr>
      <w:tr w:rsidR="00200C10" w:rsidRPr="006953D9" w:rsidTr="00063F3A">
        <w:trPr>
          <w:trHeight w:val="300"/>
        </w:trPr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Periodic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detention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..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..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0.1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0.2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0B5A3E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month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8.9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9.2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months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28.0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31.7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30.4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35.8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26.1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31.4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6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months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23.3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26.3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19.7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23.0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19.2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22.9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12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months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16.8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17.7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18.0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18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months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14.1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15.4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18.7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5.9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1.5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years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2.3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5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years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7.6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8.8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6.4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4.7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5.7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10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years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1.9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2.7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3.2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-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15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years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0.6</w:t>
            </w:r>
          </w:p>
        </w:tc>
      </w:tr>
      <w:tr w:rsidR="00200C10" w:rsidRPr="006953D9" w:rsidTr="00895797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15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years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&amp;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over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0.5</w:t>
            </w:r>
          </w:p>
        </w:tc>
      </w:tr>
      <w:tr w:rsidR="00200C10" w:rsidRPr="006953D9" w:rsidTr="00063F3A">
        <w:trPr>
          <w:trHeight w:val="300"/>
        </w:trPr>
        <w:tc>
          <w:tcPr>
            <w:tcW w:w="1876" w:type="dxa"/>
            <w:gridSpan w:val="2"/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Life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sentence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0.3</w:t>
            </w:r>
          </w:p>
        </w:tc>
      </w:tr>
      <w:tr w:rsidR="00200C10" w:rsidRPr="006953D9" w:rsidTr="00063F3A">
        <w:trPr>
          <w:trHeight w:val="300"/>
        </w:trPr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Death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sentence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10" w:rsidRPr="006953D9" w:rsidRDefault="00200C10" w:rsidP="00F04A39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0.0</w:t>
            </w:r>
          </w:p>
        </w:tc>
      </w:tr>
      <w:tr w:rsidR="00063F3A" w:rsidRPr="006953D9" w:rsidTr="00063F3A">
        <w:trPr>
          <w:trHeight w:val="300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63F3A" w:rsidRPr="006953D9" w:rsidRDefault="00063F3A" w:rsidP="00063F3A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3F3A" w:rsidRPr="006953D9" w:rsidRDefault="00063F3A" w:rsidP="00063F3A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3F3A" w:rsidRPr="006953D9" w:rsidRDefault="00063F3A" w:rsidP="00063F3A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3F3A" w:rsidRPr="006953D9" w:rsidRDefault="00063F3A" w:rsidP="00063F3A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3F3A" w:rsidRPr="006953D9" w:rsidRDefault="00063F3A" w:rsidP="00063F3A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3F3A" w:rsidRPr="006953D9" w:rsidRDefault="00063F3A" w:rsidP="00063F3A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3F3A" w:rsidRPr="006953D9" w:rsidRDefault="00063F3A" w:rsidP="00063F3A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100.0</w:t>
            </w:r>
          </w:p>
        </w:tc>
      </w:tr>
    </w:tbl>
    <w:p w:rsidR="00200C10" w:rsidRPr="006953D9" w:rsidRDefault="00200C10" w:rsidP="00063F3A">
      <w:pPr>
        <w:pStyle w:val="SingleTxtG"/>
        <w:spacing w:before="240"/>
      </w:pPr>
      <w:r w:rsidRPr="006953D9">
        <w:t>78.</w:t>
      </w:r>
      <w:r w:rsidRPr="006953D9">
        <w:tab/>
        <w:t>Incidence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death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custody: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statistical</w:t>
      </w:r>
      <w:r w:rsidR="000B5A3E" w:rsidRPr="006953D9">
        <w:t xml:space="preserve"> </w:t>
      </w:r>
      <w:r w:rsidRPr="006953D9">
        <w:t>data</w:t>
      </w:r>
      <w:r w:rsidR="000B5A3E" w:rsidRPr="006953D9">
        <w:t xml:space="preserve"> </w:t>
      </w:r>
      <w:r w:rsidRPr="006953D9">
        <w:t>concerns</w:t>
      </w:r>
      <w:r w:rsidR="000B5A3E" w:rsidRPr="006953D9">
        <w:t xml:space="preserve"> </w:t>
      </w:r>
      <w:r w:rsidRPr="006953D9">
        <w:t>only</w:t>
      </w:r>
      <w:r w:rsidR="000B5A3E" w:rsidRPr="006953D9">
        <w:t xml:space="preserve"> </w:t>
      </w:r>
      <w:r w:rsidRPr="006953D9">
        <w:t>suicides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Central</w:t>
      </w:r>
      <w:r w:rsidR="000B5A3E" w:rsidRPr="006953D9">
        <w:t xml:space="preserve"> </w:t>
      </w:r>
      <w:r w:rsidRPr="006953D9">
        <w:t>Prison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proofErr w:type="spellStart"/>
      <w:r w:rsidRPr="006953D9">
        <w:t>Centers</w:t>
      </w:r>
      <w:proofErr w:type="spellEnd"/>
      <w:r w:rsidRPr="006953D9">
        <w:t>.</w:t>
      </w:r>
      <w:r w:rsidR="000B5A3E" w:rsidRPr="006953D9">
        <w:t xml:space="preserve"> </w:t>
      </w:r>
      <w:r w:rsidRPr="006953D9">
        <w:t>Therefore,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2012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detainee</w:t>
      </w:r>
      <w:r w:rsidR="000B5A3E" w:rsidRPr="006953D9">
        <w:t xml:space="preserve"> </w:t>
      </w:r>
      <w:r w:rsidRPr="006953D9">
        <w:t>committed</w:t>
      </w:r>
      <w:r w:rsidR="000B5A3E" w:rsidRPr="006953D9">
        <w:t xml:space="preserve"> </w:t>
      </w:r>
      <w:r w:rsidRPr="006953D9">
        <w:t>suicide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r w:rsidRPr="006953D9">
        <w:t>Center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2013</w:t>
      </w:r>
      <w:r w:rsidR="000B5A3E" w:rsidRPr="006953D9">
        <w:t xml:space="preserve"> </w:t>
      </w:r>
      <w:r w:rsidRPr="006953D9">
        <w:t>three</w:t>
      </w:r>
      <w:r w:rsidR="000B5A3E" w:rsidRPr="006953D9">
        <w:t xml:space="preserve"> </w:t>
      </w:r>
      <w:r w:rsidRPr="006953D9">
        <w:t>prisoners</w:t>
      </w:r>
      <w:r w:rsidR="000B5A3E" w:rsidRPr="006953D9">
        <w:t xml:space="preserve"> </w:t>
      </w:r>
      <w:r w:rsidRPr="006953D9">
        <w:t>committed</w:t>
      </w:r>
      <w:r w:rsidR="000B5A3E" w:rsidRPr="006953D9">
        <w:t xml:space="preserve"> </w:t>
      </w:r>
      <w:r w:rsidRPr="006953D9">
        <w:t>suicide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Central</w:t>
      </w:r>
      <w:r w:rsidR="000B5A3E" w:rsidRPr="006953D9">
        <w:t xml:space="preserve"> </w:t>
      </w:r>
      <w:r w:rsidRPr="006953D9">
        <w:t>Prison.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79.</w:t>
      </w:r>
      <w:r w:rsidRPr="006953D9">
        <w:tab/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executed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death</w:t>
      </w:r>
      <w:r w:rsidR="000B5A3E" w:rsidRPr="006953D9">
        <w:t xml:space="preserve"> </w:t>
      </w:r>
      <w:r w:rsidRPr="006953D9">
        <w:t>penalty</w:t>
      </w:r>
      <w:r w:rsidR="000B5A3E" w:rsidRPr="006953D9">
        <w:t xml:space="preserve"> </w:t>
      </w:r>
      <w:r w:rsidRPr="006953D9">
        <w:t>per</w:t>
      </w:r>
      <w:r w:rsidR="000B5A3E" w:rsidRPr="006953D9">
        <w:t xml:space="preserve"> </w:t>
      </w:r>
      <w:r w:rsidRPr="006953D9">
        <w:t>year:</w:t>
      </w:r>
      <w:r w:rsidR="000B5A3E" w:rsidRPr="006953D9">
        <w:t xml:space="preserve"> </w:t>
      </w:r>
      <w:r w:rsidRPr="006953D9">
        <w:t>Capital</w:t>
      </w:r>
      <w:r w:rsidR="000B5A3E" w:rsidRPr="006953D9">
        <w:t xml:space="preserve"> </w:t>
      </w:r>
      <w:r w:rsidRPr="006953D9">
        <w:t>punishment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murder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abolished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Criminal</w:t>
      </w:r>
      <w:r w:rsidR="000B5A3E" w:rsidRPr="006953D9">
        <w:t xml:space="preserve"> </w:t>
      </w:r>
      <w:r w:rsidRPr="006953D9">
        <w:t>code</w:t>
      </w:r>
      <w:r w:rsidR="000B5A3E" w:rsidRPr="006953D9">
        <w:t xml:space="preserve"> </w:t>
      </w:r>
      <w:r w:rsidRPr="006953D9">
        <w:t>(amendment)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L</w:t>
      </w:r>
      <w:r w:rsidR="000B5A3E" w:rsidRPr="006953D9">
        <w:t xml:space="preserve"> </w:t>
      </w:r>
      <w:r w:rsidRPr="006953D9">
        <w:t>86/1983.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abolished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crimes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15(I)/99.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death</w:t>
      </w:r>
      <w:r w:rsidR="000B5A3E" w:rsidRPr="006953D9">
        <w:t xml:space="preserve"> </w:t>
      </w:r>
      <w:r w:rsidRPr="006953D9">
        <w:t>penalty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replaced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life</w:t>
      </w:r>
      <w:r w:rsidR="000B5A3E" w:rsidRPr="006953D9">
        <w:t xml:space="preserve"> </w:t>
      </w:r>
      <w:r w:rsidRPr="006953D9">
        <w:t>imprisonment.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signatory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Second</w:t>
      </w:r>
      <w:r w:rsidR="000B5A3E" w:rsidRPr="006953D9">
        <w:t xml:space="preserve"> </w:t>
      </w:r>
      <w:r w:rsidRPr="006953D9">
        <w:t>Optional</w:t>
      </w:r>
      <w:r w:rsidR="000B5A3E" w:rsidRPr="006953D9">
        <w:t xml:space="preserve"> </w:t>
      </w:r>
      <w:r w:rsidRPr="006953D9">
        <w:t>Protocol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Covenant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Civil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Rights,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provides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full</w:t>
      </w:r>
      <w:r w:rsidR="000B5A3E" w:rsidRPr="006953D9">
        <w:t xml:space="preserve"> </w:t>
      </w:r>
      <w:r w:rsidRPr="006953D9">
        <w:t>abolition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capital</w:t>
      </w:r>
      <w:r w:rsidR="000B5A3E" w:rsidRPr="006953D9">
        <w:t xml:space="preserve"> </w:t>
      </w:r>
      <w:r w:rsidRPr="006953D9">
        <w:t>punishment.</w:t>
      </w:r>
    </w:p>
    <w:p w:rsidR="00200C10" w:rsidRPr="006953D9" w:rsidRDefault="00200C10" w:rsidP="00830021">
      <w:pPr>
        <w:pStyle w:val="SingleTxtG"/>
      </w:pPr>
      <w:r w:rsidRPr="006953D9">
        <w:t>80.</w:t>
      </w:r>
      <w:r w:rsidRPr="006953D9">
        <w:tab/>
        <w:t>Average</w:t>
      </w:r>
      <w:r w:rsidR="000B5A3E" w:rsidRPr="006953D9">
        <w:t xml:space="preserve"> </w:t>
      </w:r>
      <w:r w:rsidRPr="006953D9">
        <w:t>backlog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cases</w:t>
      </w:r>
      <w:r w:rsidR="000B5A3E" w:rsidRPr="006953D9">
        <w:t xml:space="preserve"> </w:t>
      </w:r>
      <w:r w:rsidRPr="006953D9">
        <w:t>per</w:t>
      </w:r>
      <w:r w:rsidR="000B5A3E" w:rsidRPr="006953D9">
        <w:t xml:space="preserve"> </w:t>
      </w:r>
      <w:r w:rsidRPr="006953D9">
        <w:t>judge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different</w:t>
      </w:r>
      <w:r w:rsidR="000B5A3E" w:rsidRPr="006953D9">
        <w:t xml:space="preserve"> </w:t>
      </w:r>
      <w:r w:rsidRPr="006953D9">
        <w:t>levels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judicial</w:t>
      </w:r>
      <w:r w:rsidR="000B5A3E" w:rsidRPr="006953D9">
        <w:t xml:space="preserve"> </w:t>
      </w:r>
      <w:r w:rsidRPr="006953D9">
        <w:t>system:</w:t>
      </w:r>
      <w:r w:rsidR="000B5A3E" w:rsidRPr="006953D9">
        <w:t xml:space="preserve"> </w:t>
      </w:r>
      <w:r w:rsidRPr="006953D9">
        <w:t>See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table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annex</w:t>
      </w:r>
      <w:r w:rsidR="000B5A3E" w:rsidRPr="006953D9">
        <w:t xml:space="preserve"> </w:t>
      </w:r>
      <w:r w:rsidRPr="006953D9">
        <w:t>IV.</w:t>
      </w:r>
    </w:p>
    <w:p w:rsidR="00200C10" w:rsidRPr="006953D9" w:rsidRDefault="00200C10" w:rsidP="00830021">
      <w:pPr>
        <w:pStyle w:val="SingleTxtG"/>
      </w:pPr>
      <w:r w:rsidRPr="006953D9">
        <w:t>81.</w:t>
      </w:r>
      <w:r w:rsidRPr="006953D9">
        <w:tab/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police/security</w:t>
      </w:r>
      <w:r w:rsidR="000B5A3E" w:rsidRPr="006953D9">
        <w:t xml:space="preserve"> </w:t>
      </w:r>
      <w:r w:rsidRPr="006953D9">
        <w:t>personnel</w:t>
      </w:r>
      <w:r w:rsidR="000B5A3E" w:rsidRPr="006953D9">
        <w:t xml:space="preserve"> </w:t>
      </w:r>
      <w:r w:rsidRPr="006953D9">
        <w:t>per</w:t>
      </w:r>
      <w:r w:rsidR="000B5A3E" w:rsidRPr="006953D9">
        <w:t xml:space="preserve"> </w:t>
      </w:r>
      <w:r w:rsidRPr="006953D9">
        <w:t>100,000</w:t>
      </w:r>
      <w:r w:rsidR="000B5A3E" w:rsidRPr="006953D9">
        <w:t xml:space="preserve"> </w:t>
      </w:r>
      <w:r w:rsidRPr="006953D9">
        <w:t>persons:</w:t>
      </w:r>
      <w:r w:rsidR="000B5A3E" w:rsidRPr="006953D9">
        <w:t xml:space="preserve"> </w:t>
      </w:r>
      <w:r w:rsidRPr="006953D9">
        <w:t>According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last</w:t>
      </w:r>
      <w:r w:rsidR="000B5A3E" w:rsidRPr="006953D9">
        <w:t xml:space="preserve"> </w:t>
      </w:r>
      <w:r w:rsidRPr="006953D9">
        <w:t>census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population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conducted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Statistical</w:t>
      </w:r>
      <w:r w:rsidR="000B5A3E" w:rsidRPr="006953D9">
        <w:t xml:space="preserve"> </w:t>
      </w:r>
      <w:r w:rsidRPr="006953D9">
        <w:t>Service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2012,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estimated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population</w:t>
      </w:r>
      <w:r w:rsidR="000B5A3E" w:rsidRPr="006953D9">
        <w:t xml:space="preserve"> </w:t>
      </w:r>
      <w:r w:rsidRPr="006953D9">
        <w:t>residing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2012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866,000.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officers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2012</w:t>
      </w:r>
      <w:r w:rsidR="000B5A3E" w:rsidRPr="006953D9">
        <w:t xml:space="preserve"> </w:t>
      </w:r>
      <w:r w:rsidRPr="006953D9">
        <w:t>(Fire</w:t>
      </w:r>
      <w:r w:rsidR="000B5A3E" w:rsidRPr="006953D9">
        <w:t xml:space="preserve"> </w:t>
      </w:r>
      <w:r w:rsidRPr="006953D9">
        <w:t>Service</w:t>
      </w:r>
      <w:r w:rsidR="000B5A3E" w:rsidRPr="006953D9">
        <w:t xml:space="preserve"> </w:t>
      </w:r>
      <w:r w:rsidRPr="006953D9">
        <w:t>excluded)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5,263.</w:t>
      </w:r>
      <w:r w:rsidR="000B5A3E" w:rsidRPr="006953D9">
        <w:t xml:space="preserve"> </w:t>
      </w:r>
      <w:r w:rsidRPr="006953D9">
        <w:t>Therefore,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personnel</w:t>
      </w:r>
      <w:r w:rsidR="000B5A3E" w:rsidRPr="006953D9">
        <w:t xml:space="preserve"> </w:t>
      </w:r>
      <w:r w:rsidRPr="006953D9">
        <w:t>per</w:t>
      </w:r>
      <w:r w:rsidR="000B5A3E" w:rsidRPr="006953D9">
        <w:t xml:space="preserve"> </w:t>
      </w:r>
      <w:r w:rsidRPr="006953D9">
        <w:t>100,000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2012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607.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82.</w:t>
      </w:r>
      <w:r w:rsidRPr="006953D9">
        <w:tab/>
        <w:t>It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worth</w:t>
      </w:r>
      <w:r w:rsidR="000B5A3E" w:rsidRPr="006953D9">
        <w:t xml:space="preserve"> </w:t>
      </w:r>
      <w:r w:rsidRPr="006953D9">
        <w:t>noting</w:t>
      </w:r>
      <w:r w:rsidR="000B5A3E" w:rsidRPr="006953D9">
        <w:t xml:space="preserve"> </w:t>
      </w:r>
      <w:r w:rsidRPr="006953D9">
        <w:t>that,</w:t>
      </w:r>
      <w:r w:rsidR="000B5A3E" w:rsidRPr="006953D9">
        <w:t xml:space="preserve"> </w:t>
      </w:r>
      <w:r w:rsidRPr="006953D9">
        <w:t>while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population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increasing,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personnel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reducing.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officers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2014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5</w:t>
      </w:r>
      <w:r w:rsidR="00137722">
        <w:t>,</w:t>
      </w:r>
      <w:r w:rsidRPr="006953D9">
        <w:t>002.</w:t>
      </w:r>
      <w:r w:rsidR="000B5A3E" w:rsidRPr="006953D9">
        <w:t xml:space="preserve"> </w:t>
      </w:r>
    </w:p>
    <w:p w:rsidR="00200C10" w:rsidRPr="006953D9" w:rsidRDefault="00200C10" w:rsidP="00EC3136">
      <w:pPr>
        <w:pStyle w:val="H23G"/>
      </w:pPr>
      <w:r w:rsidRPr="006953D9">
        <w:tab/>
      </w:r>
      <w:r w:rsidRPr="006953D9">
        <w:tab/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prosecutors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judges</w:t>
      </w:r>
      <w:r w:rsidR="000B5A3E" w:rsidRPr="006953D9">
        <w:t xml:space="preserve"> </w:t>
      </w:r>
      <w:r w:rsidRPr="006953D9">
        <w:t>per</w:t>
      </w:r>
      <w:r w:rsidR="000B5A3E" w:rsidRPr="006953D9">
        <w:t xml:space="preserve"> </w:t>
      </w:r>
      <w:r w:rsidRPr="006953D9">
        <w:t>100,000</w:t>
      </w:r>
      <w:r w:rsidR="000B5A3E" w:rsidRPr="006953D9">
        <w:t xml:space="preserve"> </w:t>
      </w:r>
      <w:r w:rsidRPr="006953D9">
        <w:t>persons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200C10" w:rsidRPr="006953D9" w:rsidTr="00EC3136">
        <w:trPr>
          <w:trHeight w:val="304"/>
          <w:tblHeader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EC3136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2008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0C10" w:rsidRPr="006953D9" w:rsidRDefault="00200C10" w:rsidP="00EC313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10.67</w:t>
            </w:r>
          </w:p>
        </w:tc>
      </w:tr>
      <w:tr w:rsidR="00200C10" w:rsidRPr="006953D9" w:rsidTr="00EC3136">
        <w:trPr>
          <w:trHeight w:val="304"/>
        </w:trPr>
        <w:tc>
          <w:tcPr>
            <w:tcW w:w="3685" w:type="dxa"/>
            <w:tcBorders>
              <w:top w:val="nil"/>
            </w:tcBorders>
            <w:shd w:val="clear" w:color="auto" w:fill="auto"/>
          </w:tcPr>
          <w:p w:rsidR="00200C10" w:rsidRPr="006953D9" w:rsidRDefault="00200C10" w:rsidP="00EC3136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vAlign w:val="bottom"/>
          </w:tcPr>
          <w:p w:rsidR="00200C10" w:rsidRPr="006953D9" w:rsidRDefault="00200C10" w:rsidP="00EC313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10.26</w:t>
            </w:r>
          </w:p>
        </w:tc>
      </w:tr>
      <w:tr w:rsidR="00200C10" w:rsidRPr="006953D9" w:rsidTr="00EC3136">
        <w:trPr>
          <w:trHeight w:val="304"/>
        </w:trPr>
        <w:tc>
          <w:tcPr>
            <w:tcW w:w="3685" w:type="dxa"/>
            <w:shd w:val="clear" w:color="auto" w:fill="auto"/>
          </w:tcPr>
          <w:p w:rsidR="00200C10" w:rsidRPr="006953D9" w:rsidRDefault="00200C10" w:rsidP="00EC3136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00C10" w:rsidRPr="006953D9" w:rsidRDefault="00200C10" w:rsidP="00EC313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10.84</w:t>
            </w:r>
          </w:p>
        </w:tc>
      </w:tr>
      <w:tr w:rsidR="00200C10" w:rsidRPr="006953D9" w:rsidTr="00EC3136">
        <w:trPr>
          <w:trHeight w:val="304"/>
        </w:trPr>
        <w:tc>
          <w:tcPr>
            <w:tcW w:w="3685" w:type="dxa"/>
            <w:shd w:val="clear" w:color="auto" w:fill="auto"/>
          </w:tcPr>
          <w:p w:rsidR="00200C10" w:rsidRPr="006953D9" w:rsidRDefault="00200C10" w:rsidP="00EC3136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00C10" w:rsidRPr="006953D9" w:rsidRDefault="00200C10" w:rsidP="00EC313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10.56</w:t>
            </w:r>
          </w:p>
        </w:tc>
      </w:tr>
      <w:tr w:rsidR="00200C10" w:rsidRPr="006953D9" w:rsidTr="00EC3136">
        <w:trPr>
          <w:trHeight w:val="304"/>
        </w:trPr>
        <w:tc>
          <w:tcPr>
            <w:tcW w:w="3685" w:type="dxa"/>
            <w:shd w:val="clear" w:color="auto" w:fill="auto"/>
          </w:tcPr>
          <w:p w:rsidR="00200C10" w:rsidRPr="006953D9" w:rsidRDefault="00200C10" w:rsidP="00EC3136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00C10" w:rsidRPr="006953D9" w:rsidRDefault="00200C10" w:rsidP="00EC3136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10.28</w:t>
            </w:r>
          </w:p>
        </w:tc>
      </w:tr>
    </w:tbl>
    <w:p w:rsidR="0091125D" w:rsidRPr="006953D9" w:rsidRDefault="00200C10" w:rsidP="0091125D">
      <w:pPr>
        <w:pStyle w:val="Heading1"/>
      </w:pPr>
      <w:bookmarkStart w:id="6" w:name="_Toc509325399"/>
      <w:r w:rsidRPr="006953D9">
        <w:lastRenderedPageBreak/>
        <w:t>Share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expenditure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police/security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judiciary</w:t>
      </w:r>
      <w:bookmarkEnd w:id="6"/>
    </w:p>
    <w:p w:rsidR="00200C10" w:rsidRPr="006953D9" w:rsidRDefault="00200C10" w:rsidP="0091125D">
      <w:pPr>
        <w:pStyle w:val="SingleTxtG"/>
        <w:spacing w:after="0"/>
        <w:rPr>
          <w:b/>
          <w:bCs/>
        </w:rPr>
      </w:pPr>
      <w:r w:rsidRPr="006953D9">
        <w:rPr>
          <w:b/>
          <w:bCs/>
        </w:rPr>
        <w:t>Summary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chart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of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actual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expenditure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2008–2012</w:t>
      </w:r>
    </w:p>
    <w:p w:rsidR="00200C10" w:rsidRPr="006953D9" w:rsidRDefault="00200C10" w:rsidP="0091125D">
      <w:pPr>
        <w:pStyle w:val="SingleTxtG"/>
        <w:rPr>
          <w:sz w:val="16"/>
          <w:szCs w:val="16"/>
        </w:rPr>
      </w:pPr>
      <w:r w:rsidRPr="006953D9">
        <w:rPr>
          <w:sz w:val="16"/>
          <w:szCs w:val="16"/>
        </w:rPr>
        <w:t>Police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194"/>
        <w:gridCol w:w="1194"/>
        <w:gridCol w:w="1194"/>
        <w:gridCol w:w="1194"/>
        <w:gridCol w:w="1194"/>
      </w:tblGrid>
      <w:tr w:rsidR="00200C10" w:rsidRPr="006953D9" w:rsidTr="009F2FDB">
        <w:trPr>
          <w:tblHeader/>
        </w:trPr>
        <w:tc>
          <w:tcPr>
            <w:tcW w:w="253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Total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expenditure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2008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2009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2012</w:t>
            </w:r>
          </w:p>
        </w:tc>
      </w:tr>
      <w:tr w:rsidR="00200C10" w:rsidRPr="006953D9" w:rsidTr="009F2FDB">
        <w:tc>
          <w:tcPr>
            <w:tcW w:w="2534" w:type="dxa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1A56D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Actual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expenditure</w:t>
            </w:r>
            <w:r w:rsidR="000B5A3E" w:rsidRPr="006953D9">
              <w:rPr>
                <w:i/>
                <w:sz w:val="16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1A56D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Actual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expenditure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1A56D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Actual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expenditure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1A56D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Actual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expenditure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1A56D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Actual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expenditure</w:t>
            </w:r>
          </w:p>
        </w:tc>
      </w:tr>
      <w:tr w:rsidR="00200C10" w:rsidRPr="006953D9" w:rsidTr="009F2FDB">
        <w:tc>
          <w:tcPr>
            <w:tcW w:w="253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1A56D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1A56D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1A56D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1A56D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1A56D7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€</w:t>
            </w:r>
          </w:p>
        </w:tc>
      </w:tr>
      <w:tr w:rsidR="00200C10" w:rsidRPr="006953D9" w:rsidTr="009F2FDB"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expenditure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of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the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Police</w:t>
            </w:r>
            <w:r w:rsidR="000B5A3E" w:rsidRPr="006953D9">
              <w:rPr>
                <w:b/>
                <w:sz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223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980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017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238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010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973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255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374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542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241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247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552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228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264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048</w:t>
            </w:r>
          </w:p>
        </w:tc>
      </w:tr>
      <w:tr w:rsidR="00200C10" w:rsidRPr="006953D9" w:rsidTr="009F2FDB"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Total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expenditure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of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the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Republic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of</w:t>
            </w:r>
            <w:r w:rsidR="000B5A3E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Cyprus</w:t>
            </w:r>
            <w:r w:rsidR="000B5A3E" w:rsidRPr="006953D9">
              <w:rPr>
                <w:b/>
                <w:sz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7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375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825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939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7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746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961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077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7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718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239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821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8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008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714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983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FE611B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6953D9">
              <w:rPr>
                <w:b/>
                <w:sz w:val="18"/>
              </w:rPr>
              <w:t>8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257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831</w:t>
            </w:r>
            <w:r w:rsidR="00FE611B" w:rsidRPr="006953D9">
              <w:rPr>
                <w:b/>
                <w:sz w:val="18"/>
              </w:rPr>
              <w:t xml:space="preserve"> </w:t>
            </w:r>
            <w:r w:rsidRPr="006953D9">
              <w:rPr>
                <w:b/>
                <w:sz w:val="18"/>
              </w:rPr>
              <w:t>260</w:t>
            </w:r>
          </w:p>
        </w:tc>
      </w:tr>
      <w:tr w:rsidR="00200C10" w:rsidRPr="006953D9" w:rsidTr="009F2FDB"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</w:tcPr>
          <w:p w:rsidR="00200C10" w:rsidRPr="006953D9" w:rsidRDefault="00200C10" w:rsidP="009112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Percentage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of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police</w:t>
            </w:r>
            <w:r w:rsidR="000B5A3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expenditure</w:t>
            </w:r>
            <w:r w:rsidR="000B5A3E" w:rsidRPr="006953D9">
              <w:rPr>
                <w:sz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  <w:r w:rsidR="00FE611B" w:rsidRPr="006953D9">
              <w:rPr>
                <w:sz w:val="18"/>
              </w:rPr>
              <w:t>.</w:t>
            </w:r>
            <w:r w:rsidRPr="006953D9">
              <w:rPr>
                <w:sz w:val="18"/>
              </w:rPr>
              <w:t>04%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  <w:r w:rsidR="00FE611B" w:rsidRPr="006953D9">
              <w:rPr>
                <w:sz w:val="18"/>
              </w:rPr>
              <w:t>.</w:t>
            </w:r>
            <w:r w:rsidRPr="006953D9">
              <w:rPr>
                <w:sz w:val="18"/>
              </w:rPr>
              <w:t>07%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  <w:r w:rsidR="00FE611B" w:rsidRPr="006953D9">
              <w:rPr>
                <w:sz w:val="18"/>
              </w:rPr>
              <w:t>.</w:t>
            </w:r>
            <w:r w:rsidRPr="006953D9">
              <w:rPr>
                <w:sz w:val="18"/>
              </w:rPr>
              <w:t>31%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3</w:t>
            </w:r>
            <w:r w:rsidR="00FE611B" w:rsidRPr="006953D9">
              <w:rPr>
                <w:sz w:val="18"/>
              </w:rPr>
              <w:t>.</w:t>
            </w:r>
            <w:r w:rsidRPr="006953D9">
              <w:rPr>
                <w:sz w:val="18"/>
              </w:rPr>
              <w:t>01%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C10" w:rsidRPr="006953D9" w:rsidRDefault="00200C10" w:rsidP="0091125D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</w:t>
            </w:r>
            <w:r w:rsidR="00FE611B" w:rsidRPr="006953D9">
              <w:rPr>
                <w:sz w:val="18"/>
              </w:rPr>
              <w:t>.</w:t>
            </w:r>
            <w:r w:rsidRPr="006953D9">
              <w:rPr>
                <w:sz w:val="18"/>
              </w:rPr>
              <w:t>76%</w:t>
            </w:r>
          </w:p>
        </w:tc>
      </w:tr>
    </w:tbl>
    <w:p w:rsidR="00200C10" w:rsidRPr="006953D9" w:rsidRDefault="00200C10" w:rsidP="007A42C1">
      <w:pPr>
        <w:pStyle w:val="SingleTxtG"/>
        <w:spacing w:before="240"/>
        <w:rPr>
          <w:sz w:val="16"/>
          <w:szCs w:val="16"/>
        </w:rPr>
      </w:pPr>
      <w:r w:rsidRPr="006953D9">
        <w:rPr>
          <w:sz w:val="16"/>
          <w:szCs w:val="16"/>
        </w:rPr>
        <w:t>Judiciary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688"/>
        <w:gridCol w:w="2348"/>
        <w:gridCol w:w="949"/>
      </w:tblGrid>
      <w:tr w:rsidR="00200C10" w:rsidRPr="006953D9" w:rsidTr="007A42C1">
        <w:trPr>
          <w:tblHeader/>
        </w:trPr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Total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Budget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(in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euro)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Judicial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Service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(in</w:t>
            </w:r>
            <w:r w:rsidR="000B5A3E" w:rsidRPr="006953D9">
              <w:rPr>
                <w:i/>
                <w:sz w:val="16"/>
              </w:rPr>
              <w:t xml:space="preserve"> </w:t>
            </w:r>
            <w:r w:rsidRPr="006953D9">
              <w:rPr>
                <w:i/>
                <w:sz w:val="16"/>
              </w:rPr>
              <w:t>euro)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6953D9">
              <w:rPr>
                <w:i/>
                <w:sz w:val="16"/>
              </w:rPr>
              <w:t>%</w:t>
            </w:r>
          </w:p>
        </w:tc>
      </w:tr>
      <w:tr w:rsidR="00200C10" w:rsidRPr="006953D9" w:rsidTr="007A42C1"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2009</w:t>
            </w:r>
          </w:p>
        </w:tc>
        <w:tc>
          <w:tcPr>
            <w:tcW w:w="26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746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961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077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25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756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787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0.33</w:t>
            </w:r>
          </w:p>
        </w:tc>
      </w:tr>
      <w:tr w:rsidR="00200C10" w:rsidRPr="006953D9" w:rsidTr="007A42C1">
        <w:tc>
          <w:tcPr>
            <w:tcW w:w="1386" w:type="dxa"/>
            <w:shd w:val="clear" w:color="auto" w:fill="auto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2010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7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718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239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821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25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512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449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0.33</w:t>
            </w:r>
          </w:p>
        </w:tc>
      </w:tr>
      <w:tr w:rsidR="00200C10" w:rsidRPr="006953D9" w:rsidTr="007A42C1">
        <w:tc>
          <w:tcPr>
            <w:tcW w:w="1386" w:type="dxa"/>
            <w:shd w:val="clear" w:color="auto" w:fill="auto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2011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008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714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983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26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599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869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0.33</w:t>
            </w:r>
          </w:p>
        </w:tc>
      </w:tr>
      <w:tr w:rsidR="00200C10" w:rsidRPr="006953D9" w:rsidTr="007A42C1">
        <w:tc>
          <w:tcPr>
            <w:tcW w:w="1386" w:type="dxa"/>
            <w:shd w:val="clear" w:color="auto" w:fill="auto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2012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8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257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831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260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26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548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440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0.32</w:t>
            </w:r>
          </w:p>
        </w:tc>
      </w:tr>
      <w:tr w:rsidR="00200C10" w:rsidRPr="006953D9" w:rsidTr="007A42C1">
        <w:tc>
          <w:tcPr>
            <w:tcW w:w="1386" w:type="dxa"/>
            <w:shd w:val="clear" w:color="auto" w:fill="auto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6953D9">
              <w:rPr>
                <w:sz w:val="18"/>
              </w:rPr>
              <w:t>2013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9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513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378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945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27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375</w:t>
            </w:r>
            <w:r w:rsidR="0038024E" w:rsidRPr="006953D9">
              <w:rPr>
                <w:sz w:val="18"/>
              </w:rPr>
              <w:t xml:space="preserve"> </w:t>
            </w:r>
            <w:r w:rsidRPr="006953D9">
              <w:rPr>
                <w:sz w:val="18"/>
              </w:rPr>
              <w:t>949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200C10" w:rsidRPr="006953D9" w:rsidRDefault="00200C10" w:rsidP="0038024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6953D9">
              <w:rPr>
                <w:sz w:val="18"/>
              </w:rPr>
              <w:t>0.29</w:t>
            </w:r>
          </w:p>
        </w:tc>
      </w:tr>
    </w:tbl>
    <w:p w:rsidR="00200C10" w:rsidRPr="006953D9" w:rsidRDefault="00200C10" w:rsidP="007A42C1">
      <w:pPr>
        <w:pStyle w:val="SingleTxtG"/>
        <w:spacing w:before="240"/>
      </w:pPr>
      <w:r w:rsidRPr="006953D9">
        <w:t>83.</w:t>
      </w:r>
      <w:r w:rsidRPr="006953D9">
        <w:tab/>
        <w:t>Maximum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average</w:t>
      </w:r>
      <w:r w:rsidR="000B5A3E" w:rsidRPr="006953D9">
        <w:t xml:space="preserve"> </w:t>
      </w:r>
      <w:r w:rsidRPr="006953D9">
        <w:t>time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pre-trial</w:t>
      </w:r>
      <w:r w:rsidR="000B5A3E" w:rsidRPr="006953D9">
        <w:t xml:space="preserve"> </w:t>
      </w:r>
      <w:r w:rsidRPr="006953D9">
        <w:t>detention:</w:t>
      </w:r>
      <w:r w:rsidR="000B5A3E" w:rsidRPr="006953D9">
        <w:t xml:space="preserve"> </w:t>
      </w:r>
      <w:r w:rsidRPr="006953D9">
        <w:t>No</w:t>
      </w:r>
      <w:r w:rsidR="000B5A3E" w:rsidRPr="006953D9">
        <w:t xml:space="preserve"> </w:t>
      </w:r>
      <w:r w:rsidRPr="006953D9">
        <w:t>maximum</w:t>
      </w:r>
      <w:r w:rsidR="000B5A3E" w:rsidRPr="006953D9">
        <w:t xml:space="preserve"> </w:t>
      </w:r>
      <w:r w:rsidRPr="006953D9">
        <w:t>time.</w:t>
      </w:r>
    </w:p>
    <w:p w:rsidR="00200C10" w:rsidRPr="006953D9" w:rsidRDefault="00200C10" w:rsidP="00830021">
      <w:pPr>
        <w:pStyle w:val="SingleTxtG"/>
      </w:pPr>
      <w:r w:rsidRPr="006953D9">
        <w:t>84.</w:t>
      </w:r>
      <w:r w:rsidRPr="006953D9">
        <w:tab/>
        <w:t>Indicators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System:</w:t>
      </w:r>
    </w:p>
    <w:p w:rsidR="00200C10" w:rsidRPr="006953D9" w:rsidRDefault="00200C10" w:rsidP="007A42C1">
      <w:pPr>
        <w:pStyle w:val="Bullet1G"/>
      </w:pP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recognized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parties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level:</w:t>
      </w:r>
      <w:r w:rsidR="000B5A3E" w:rsidRPr="006953D9">
        <w:t xml:space="preserve"> </w:t>
      </w:r>
      <w:r w:rsidRPr="006953D9">
        <w:t>10</w:t>
      </w:r>
      <w:r w:rsidR="000B5A3E" w:rsidRPr="006953D9">
        <w:t xml:space="preserve"> </w:t>
      </w:r>
      <w:r w:rsidRPr="006953D9">
        <w:t>(ten);</w:t>
      </w:r>
    </w:p>
    <w:p w:rsidR="00200C10" w:rsidRPr="006953D9" w:rsidRDefault="00200C10" w:rsidP="007A42C1">
      <w:pPr>
        <w:pStyle w:val="Bullet1G"/>
      </w:pPr>
      <w:r w:rsidRPr="006953D9">
        <w:t>Proportion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population</w:t>
      </w:r>
      <w:r w:rsidR="000B5A3E" w:rsidRPr="006953D9">
        <w:t xml:space="preserve"> </w:t>
      </w:r>
      <w:r w:rsidRPr="006953D9">
        <w:t>eligible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vote:</w:t>
      </w:r>
      <w:r w:rsidR="000B5A3E" w:rsidRPr="006953D9">
        <w:t xml:space="preserve"> </w:t>
      </w:r>
      <w:r w:rsidRPr="006953D9">
        <w:t>62%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total</w:t>
      </w:r>
      <w:r w:rsidR="000B5A3E" w:rsidRPr="006953D9">
        <w:t xml:space="preserve"> </w:t>
      </w:r>
      <w:r w:rsidRPr="006953D9">
        <w:t>population;</w:t>
      </w:r>
      <w:r w:rsidR="000B5A3E" w:rsidRPr="006953D9">
        <w:t xml:space="preserve"> </w:t>
      </w:r>
    </w:p>
    <w:p w:rsidR="00200C10" w:rsidRPr="006953D9" w:rsidRDefault="00200C10" w:rsidP="007A42C1">
      <w:pPr>
        <w:pStyle w:val="Bullet1G"/>
      </w:pP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conduct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elections</w:t>
      </w:r>
      <w:r w:rsidR="000B5A3E" w:rsidRPr="006953D9">
        <w:t xml:space="preserve"> </w:t>
      </w:r>
      <w:r w:rsidRPr="006953D9">
        <w:t>registered,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type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alleged</w:t>
      </w:r>
      <w:r w:rsidR="000B5A3E" w:rsidRPr="006953D9">
        <w:t xml:space="preserve"> </w:t>
      </w:r>
      <w:r w:rsidRPr="006953D9">
        <w:t>irregularity:</w:t>
      </w:r>
      <w:r w:rsidR="000B5A3E" w:rsidRPr="006953D9">
        <w:t xml:space="preserve"> </w:t>
      </w:r>
      <w:r w:rsidRPr="006953D9">
        <w:t>None;</w:t>
      </w:r>
      <w:r w:rsidR="000B5A3E" w:rsidRPr="006953D9">
        <w:t xml:space="preserve"> </w:t>
      </w:r>
    </w:p>
    <w:p w:rsidR="00200C10" w:rsidRPr="006953D9" w:rsidRDefault="00200C10" w:rsidP="007A42C1">
      <w:pPr>
        <w:pStyle w:val="Bullet1G"/>
      </w:pPr>
      <w:r w:rsidRPr="006953D9">
        <w:t>Distribution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legislative</w:t>
      </w:r>
      <w:r w:rsidR="000B5A3E" w:rsidRPr="006953D9">
        <w:t xml:space="preserve"> </w:t>
      </w:r>
      <w:r w:rsidRPr="006953D9">
        <w:t>seats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party:</w:t>
      </w:r>
    </w:p>
    <w:p w:rsidR="00200C10" w:rsidRPr="006953D9" w:rsidRDefault="00200C10" w:rsidP="009007D2">
      <w:pPr>
        <w:pStyle w:val="Bullet2G"/>
      </w:pPr>
      <w:r w:rsidRPr="006953D9">
        <w:t>Democratic</w:t>
      </w:r>
      <w:r w:rsidR="000B5A3E" w:rsidRPr="006953D9">
        <w:t xml:space="preserve"> </w:t>
      </w:r>
      <w:r w:rsidRPr="006953D9">
        <w:t>Rally</w:t>
      </w:r>
      <w:r w:rsidR="000B5A3E" w:rsidRPr="006953D9">
        <w:t xml:space="preserve"> </w:t>
      </w:r>
      <w:r w:rsidRPr="006953D9">
        <w:t>Party</w:t>
      </w:r>
      <w:r w:rsidR="000B5A3E" w:rsidRPr="006953D9">
        <w:t xml:space="preserve"> </w:t>
      </w:r>
      <w:r w:rsidRPr="006953D9">
        <w:t>(</w:t>
      </w:r>
      <w:proofErr w:type="spellStart"/>
      <w:r w:rsidRPr="006953D9">
        <w:t>Disy</w:t>
      </w:r>
      <w:proofErr w:type="spellEnd"/>
      <w:r w:rsidRPr="006953D9">
        <w:t>):</w:t>
      </w:r>
      <w:r w:rsidR="000B5A3E" w:rsidRPr="006953D9">
        <w:t xml:space="preserve"> </w:t>
      </w:r>
      <w:r w:rsidRPr="006953D9">
        <w:t>20;</w:t>
      </w:r>
      <w:r w:rsidR="000B5A3E" w:rsidRPr="006953D9">
        <w:t xml:space="preserve"> </w:t>
      </w:r>
    </w:p>
    <w:p w:rsidR="00200C10" w:rsidRPr="006953D9" w:rsidRDefault="00200C10" w:rsidP="009007D2">
      <w:pPr>
        <w:pStyle w:val="Bullet2G"/>
      </w:pPr>
      <w:r w:rsidRPr="006953D9">
        <w:t>Progressive</w:t>
      </w:r>
      <w:r w:rsidR="000B5A3E" w:rsidRPr="006953D9">
        <w:t xml:space="preserve"> </w:t>
      </w:r>
      <w:r w:rsidRPr="006953D9">
        <w:t>Party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Working</w:t>
      </w:r>
      <w:r w:rsidR="000B5A3E" w:rsidRPr="006953D9">
        <w:t xml:space="preserve"> </w:t>
      </w:r>
      <w:r w:rsidRPr="006953D9">
        <w:t>People</w:t>
      </w:r>
      <w:r w:rsidR="000B5A3E" w:rsidRPr="006953D9">
        <w:t xml:space="preserve"> </w:t>
      </w:r>
      <w:r w:rsidRPr="006953D9">
        <w:t>(AKEL)</w:t>
      </w:r>
      <w:r w:rsidR="00DE4741">
        <w:t>-</w:t>
      </w:r>
      <w:r w:rsidRPr="006953D9">
        <w:t>Left</w:t>
      </w:r>
      <w:r w:rsidR="00DE4741">
        <w:t>-</w:t>
      </w:r>
      <w:r w:rsidRPr="006953D9">
        <w:t>New</w:t>
      </w:r>
      <w:r w:rsidR="000B5A3E" w:rsidRPr="006953D9">
        <w:t xml:space="preserve"> </w:t>
      </w:r>
      <w:r w:rsidRPr="006953D9">
        <w:t>Forces:</w:t>
      </w:r>
      <w:r w:rsidR="000B5A3E" w:rsidRPr="006953D9">
        <w:t xml:space="preserve"> </w:t>
      </w:r>
      <w:r w:rsidRPr="006953D9">
        <w:t>19;</w:t>
      </w:r>
    </w:p>
    <w:p w:rsidR="00200C10" w:rsidRPr="006953D9" w:rsidRDefault="00200C10" w:rsidP="009007D2">
      <w:pPr>
        <w:pStyle w:val="Bullet2G"/>
      </w:pPr>
      <w:r w:rsidRPr="006953D9">
        <w:t>Democratic</w:t>
      </w:r>
      <w:r w:rsidR="000B5A3E" w:rsidRPr="006953D9">
        <w:t xml:space="preserve"> </w:t>
      </w:r>
      <w:r w:rsidRPr="006953D9">
        <w:t>Party</w:t>
      </w:r>
      <w:r w:rsidR="000B5A3E" w:rsidRPr="006953D9">
        <w:t xml:space="preserve"> </w:t>
      </w:r>
      <w:r w:rsidRPr="006953D9">
        <w:t>(</w:t>
      </w:r>
      <w:proofErr w:type="spellStart"/>
      <w:r w:rsidRPr="006953D9">
        <w:t>Diko</w:t>
      </w:r>
      <w:proofErr w:type="spellEnd"/>
      <w:r w:rsidRPr="006953D9">
        <w:t>):</w:t>
      </w:r>
      <w:r w:rsidR="000B5A3E" w:rsidRPr="006953D9">
        <w:t xml:space="preserve"> </w:t>
      </w:r>
      <w:r w:rsidRPr="006953D9">
        <w:t>8;</w:t>
      </w:r>
      <w:r w:rsidR="000B5A3E" w:rsidRPr="006953D9">
        <w:t xml:space="preserve"> </w:t>
      </w:r>
    </w:p>
    <w:p w:rsidR="00200C10" w:rsidRPr="006953D9" w:rsidRDefault="00200C10" w:rsidP="009007D2">
      <w:pPr>
        <w:pStyle w:val="Bullet2G"/>
      </w:pPr>
      <w:r w:rsidRPr="006953D9">
        <w:t>Movement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Democrats</w:t>
      </w:r>
      <w:r w:rsidR="000B5A3E" w:rsidRPr="006953D9">
        <w:t xml:space="preserve"> </w:t>
      </w:r>
      <w:r w:rsidRPr="006953D9">
        <w:t>(EDEK):</w:t>
      </w:r>
      <w:r w:rsidR="000B5A3E" w:rsidRPr="006953D9">
        <w:t xml:space="preserve"> </w:t>
      </w:r>
      <w:r w:rsidRPr="006953D9">
        <w:t>5;</w:t>
      </w:r>
    </w:p>
    <w:p w:rsidR="00200C10" w:rsidRPr="006953D9" w:rsidRDefault="00200C10" w:rsidP="009007D2">
      <w:pPr>
        <w:pStyle w:val="Bullet2G"/>
      </w:pPr>
      <w:r w:rsidRPr="006953D9">
        <w:t>European</w:t>
      </w:r>
      <w:r w:rsidR="000B5A3E" w:rsidRPr="006953D9">
        <w:t xml:space="preserve"> </w:t>
      </w:r>
      <w:r w:rsidRPr="006953D9">
        <w:t>Party:</w:t>
      </w:r>
      <w:r w:rsidR="000B5A3E" w:rsidRPr="006953D9">
        <w:t xml:space="preserve"> </w:t>
      </w:r>
      <w:r w:rsidRPr="006953D9">
        <w:t>1;</w:t>
      </w:r>
    </w:p>
    <w:p w:rsidR="00200C10" w:rsidRPr="006953D9" w:rsidRDefault="00200C10" w:rsidP="009007D2">
      <w:pPr>
        <w:pStyle w:val="Bullet2G"/>
      </w:pPr>
      <w:r w:rsidRPr="006953D9">
        <w:t>Cyprus</w:t>
      </w:r>
      <w:r w:rsidR="000B5A3E" w:rsidRPr="006953D9">
        <w:t xml:space="preserve"> </w:t>
      </w:r>
      <w:r w:rsidRPr="006953D9">
        <w:t>Green</w:t>
      </w:r>
      <w:r w:rsidR="000B5A3E" w:rsidRPr="006953D9">
        <w:t xml:space="preserve"> </w:t>
      </w:r>
      <w:r w:rsidRPr="006953D9">
        <w:t>Party:</w:t>
      </w:r>
      <w:r w:rsidR="000B5A3E" w:rsidRPr="006953D9">
        <w:t xml:space="preserve"> </w:t>
      </w:r>
      <w:r w:rsidRPr="006953D9">
        <w:t>1;</w:t>
      </w:r>
    </w:p>
    <w:p w:rsidR="00200C10" w:rsidRPr="006953D9" w:rsidRDefault="00200C10" w:rsidP="009007D2">
      <w:pPr>
        <w:pStyle w:val="Bullet2G"/>
      </w:pPr>
      <w:r w:rsidRPr="006953D9">
        <w:t>Independent:</w:t>
      </w:r>
      <w:r w:rsidR="000B5A3E" w:rsidRPr="006953D9">
        <w:t xml:space="preserve"> </w:t>
      </w:r>
      <w:r w:rsidRPr="006953D9">
        <w:t>1;</w:t>
      </w:r>
      <w:r w:rsidR="000B5A3E" w:rsidRPr="006953D9">
        <w:t xml:space="preserve"> </w:t>
      </w:r>
    </w:p>
    <w:p w:rsidR="00200C10" w:rsidRPr="006953D9" w:rsidRDefault="00200C10" w:rsidP="009007D2">
      <w:pPr>
        <w:pStyle w:val="Bullet2G"/>
      </w:pPr>
      <w:r w:rsidRPr="006953D9">
        <w:t>Citizens</w:t>
      </w:r>
      <w:r w:rsidR="000B5A3E" w:rsidRPr="006953D9">
        <w:t xml:space="preserve"> </w:t>
      </w:r>
      <w:r w:rsidRPr="006953D9">
        <w:t>Alliance:</w:t>
      </w:r>
      <w:r w:rsidR="000B5A3E" w:rsidRPr="006953D9">
        <w:t xml:space="preserve"> </w:t>
      </w:r>
      <w:r w:rsidRPr="006953D9">
        <w:t>1;</w:t>
      </w:r>
    </w:p>
    <w:p w:rsidR="00200C10" w:rsidRPr="006953D9" w:rsidRDefault="00200C10" w:rsidP="009007D2">
      <w:pPr>
        <w:pStyle w:val="Bullet2G"/>
      </w:pPr>
      <w:r w:rsidRPr="006953D9">
        <w:t>Total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seats:</w:t>
      </w:r>
      <w:r w:rsidR="000B5A3E" w:rsidRPr="006953D9">
        <w:t xml:space="preserve"> </w:t>
      </w:r>
      <w:r w:rsidRPr="006953D9">
        <w:t>56;</w:t>
      </w:r>
    </w:p>
    <w:p w:rsidR="00200C10" w:rsidRPr="006953D9" w:rsidRDefault="00200C10" w:rsidP="007A42C1">
      <w:pPr>
        <w:pStyle w:val="Bullet1G"/>
      </w:pPr>
      <w:r w:rsidRPr="006953D9">
        <w:t>Percentage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women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Parliament:</w:t>
      </w:r>
      <w:r w:rsidR="00CE5B0B" w:rsidRPr="006953D9">
        <w:t xml:space="preserve"> </w:t>
      </w:r>
      <w:r w:rsidRPr="006953D9">
        <w:t>12.5%;</w:t>
      </w:r>
    </w:p>
    <w:p w:rsidR="00200C10" w:rsidRPr="006953D9" w:rsidRDefault="00200C10" w:rsidP="006953D9">
      <w:pPr>
        <w:pStyle w:val="Bullet1G"/>
      </w:pPr>
      <w:r w:rsidRPr="006953D9">
        <w:t>Turnout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2013</w:t>
      </w:r>
      <w:r w:rsidR="000B5A3E" w:rsidRPr="006953D9">
        <w:t xml:space="preserve"> </w:t>
      </w:r>
      <w:r w:rsidRPr="006953D9">
        <w:t>Presidential</w:t>
      </w:r>
      <w:r w:rsidR="000B5A3E" w:rsidRPr="006953D9">
        <w:t xml:space="preserve"> </w:t>
      </w:r>
      <w:r w:rsidRPr="006953D9">
        <w:t>elections:</w:t>
      </w:r>
      <w:r w:rsidR="000B5A3E" w:rsidRPr="006953D9">
        <w:t xml:space="preserve"> </w:t>
      </w:r>
      <w:r w:rsidRPr="006953D9">
        <w:t>81</w:t>
      </w:r>
      <w:r w:rsidR="006953D9" w:rsidRPr="006953D9">
        <w:t>.</w:t>
      </w:r>
      <w:r w:rsidRPr="006953D9">
        <w:t>58%/Turnout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2014</w:t>
      </w:r>
      <w:r w:rsidR="000B5A3E" w:rsidRPr="006953D9">
        <w:t xml:space="preserve"> </w:t>
      </w:r>
      <w:r w:rsidR="009007D2" w:rsidRPr="006953D9">
        <w:t>Euro elections</w:t>
      </w:r>
      <w:r w:rsidRPr="006953D9">
        <w:t>:</w:t>
      </w:r>
      <w:r w:rsidR="000B5A3E" w:rsidRPr="006953D9">
        <w:t xml:space="preserve"> </w:t>
      </w:r>
      <w:r w:rsidRPr="006953D9">
        <w:t>43</w:t>
      </w:r>
      <w:r w:rsidR="006953D9" w:rsidRPr="006953D9">
        <w:t>.</w:t>
      </w:r>
      <w:r w:rsidRPr="006953D9">
        <w:t>97%;</w:t>
      </w:r>
    </w:p>
    <w:p w:rsidR="00200C10" w:rsidRPr="006953D9" w:rsidRDefault="00200C10" w:rsidP="007A42C1">
      <w:pPr>
        <w:pStyle w:val="Bullet1G"/>
      </w:pP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recognized</w:t>
      </w:r>
      <w:r w:rsidR="000B5A3E" w:rsidRPr="006953D9">
        <w:t xml:space="preserve"> </w:t>
      </w:r>
      <w:r w:rsidRPr="006953D9">
        <w:t>non-governmental</w:t>
      </w:r>
      <w:r w:rsidR="000B5A3E" w:rsidRPr="006953D9">
        <w:t xml:space="preserve"> </w:t>
      </w:r>
      <w:r w:rsidRPr="006953D9">
        <w:t>organizations:</w:t>
      </w:r>
      <w:r w:rsidR="000B5A3E" w:rsidRPr="006953D9">
        <w:t xml:space="preserve"> </w:t>
      </w:r>
      <w:r w:rsidRPr="006953D9">
        <w:t>378;</w:t>
      </w:r>
    </w:p>
    <w:p w:rsidR="00200C10" w:rsidRPr="006953D9" w:rsidRDefault="00200C10" w:rsidP="00CE5B0B">
      <w:pPr>
        <w:pStyle w:val="Bullet1G"/>
        <w:keepNext/>
      </w:pPr>
      <w:r w:rsidRPr="006953D9">
        <w:lastRenderedPageBreak/>
        <w:t>Main</w:t>
      </w:r>
      <w:r w:rsidR="000B5A3E" w:rsidRPr="006953D9">
        <w:t xml:space="preserve"> </w:t>
      </w:r>
      <w:r w:rsidRPr="006953D9">
        <w:t>Mass</w:t>
      </w:r>
      <w:r w:rsidR="000B5A3E" w:rsidRPr="006953D9">
        <w:t xml:space="preserve"> </w:t>
      </w:r>
      <w:r w:rsidR="009007D2">
        <w:t>Media:</w:t>
      </w:r>
    </w:p>
    <w:p w:rsidR="00200C10" w:rsidRPr="006953D9" w:rsidRDefault="00200C10" w:rsidP="00254B55">
      <w:pPr>
        <w:pStyle w:val="Bullet2G"/>
      </w:pPr>
      <w:r w:rsidRPr="006953D9">
        <w:rPr>
          <w:b/>
          <w:bCs/>
        </w:rPr>
        <w:t>TV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Channels</w:t>
      </w:r>
      <w:r w:rsidRPr="006953D9">
        <w:t>:</w:t>
      </w:r>
      <w:r w:rsidR="000B5A3E" w:rsidRPr="006953D9">
        <w:t xml:space="preserve"> </w:t>
      </w:r>
      <w:r w:rsidRPr="006953D9">
        <w:t>Antenna</w:t>
      </w:r>
      <w:r w:rsidR="000B5A3E" w:rsidRPr="006953D9">
        <w:t xml:space="preserve"> </w:t>
      </w:r>
      <w:r w:rsidRPr="006953D9">
        <w:t>(ANT1</w:t>
      </w:r>
      <w:r w:rsidR="000B5A3E" w:rsidRPr="006953D9">
        <w:t xml:space="preserve"> </w:t>
      </w:r>
      <w:r w:rsidRPr="006953D9">
        <w:t>TV),</w:t>
      </w:r>
      <w:r w:rsidR="000B5A3E" w:rsidRPr="006953D9">
        <w:t xml:space="preserve"> </w:t>
      </w:r>
      <w:r w:rsidRPr="006953D9">
        <w:t>Astra</w:t>
      </w:r>
      <w:r w:rsidR="000B5A3E" w:rsidRPr="006953D9">
        <w:t xml:space="preserve"> </w:t>
      </w:r>
      <w:r w:rsidRPr="006953D9">
        <w:t>FM,</w:t>
      </w:r>
      <w:r w:rsidR="000B5A3E" w:rsidRPr="006953D9">
        <w:t xml:space="preserve"> </w:t>
      </w:r>
      <w:r w:rsidRPr="006953D9">
        <w:t>Capital</w:t>
      </w:r>
      <w:r w:rsidR="000B5A3E" w:rsidRPr="006953D9">
        <w:t xml:space="preserve"> </w:t>
      </w:r>
      <w:r w:rsidRPr="006953D9">
        <w:t>TV,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Broadcasting</w:t>
      </w:r>
      <w:r w:rsidR="000B5A3E" w:rsidRPr="006953D9">
        <w:t xml:space="preserve"> </w:t>
      </w:r>
      <w:r w:rsidRPr="006953D9">
        <w:t>Corporation</w:t>
      </w:r>
      <w:r w:rsidR="000B5A3E" w:rsidRPr="006953D9">
        <w:t xml:space="preserve"> </w:t>
      </w:r>
      <w:r w:rsidRPr="006953D9">
        <w:t>1</w:t>
      </w:r>
      <w:r w:rsidR="000B5A3E" w:rsidRPr="006953D9">
        <w:t xml:space="preserve"> </w:t>
      </w:r>
      <w:r w:rsidRPr="006953D9">
        <w:t>(RIK</w:t>
      </w:r>
      <w:r w:rsidR="000B5A3E" w:rsidRPr="006953D9">
        <w:t xml:space="preserve"> </w:t>
      </w:r>
      <w:r w:rsidRPr="006953D9">
        <w:t>1)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2</w:t>
      </w:r>
      <w:r w:rsidR="000B5A3E" w:rsidRPr="006953D9">
        <w:t xml:space="preserve"> </w:t>
      </w:r>
      <w:r w:rsidRPr="006953D9">
        <w:t>(RIK2),</w:t>
      </w:r>
      <w:r w:rsidR="000B5A3E" w:rsidRPr="006953D9">
        <w:t xml:space="preserve"> </w:t>
      </w:r>
      <w:proofErr w:type="spellStart"/>
      <w:r w:rsidRPr="006953D9">
        <w:t>Cytavision</w:t>
      </w:r>
      <w:proofErr w:type="spellEnd"/>
      <w:r w:rsidRPr="006953D9">
        <w:t>,</w:t>
      </w:r>
      <w:r w:rsidR="000B5A3E" w:rsidRPr="006953D9">
        <w:t xml:space="preserve"> </w:t>
      </w:r>
      <w:proofErr w:type="spellStart"/>
      <w:r w:rsidRPr="006953D9">
        <w:t>Lumiere</w:t>
      </w:r>
      <w:proofErr w:type="spellEnd"/>
      <w:r w:rsidR="000B5A3E" w:rsidRPr="006953D9">
        <w:t xml:space="preserve"> </w:t>
      </w:r>
      <w:r w:rsidRPr="006953D9">
        <w:t>TV</w:t>
      </w:r>
      <w:r w:rsidR="000B5A3E" w:rsidRPr="006953D9">
        <w:t xml:space="preserve"> </w:t>
      </w:r>
      <w:r w:rsidRPr="006953D9">
        <w:t>(LTV),</w:t>
      </w:r>
      <w:r w:rsidR="000B5A3E" w:rsidRPr="006953D9">
        <w:t xml:space="preserve"> </w:t>
      </w:r>
      <w:r w:rsidRPr="006953D9">
        <w:t>Mega</w:t>
      </w:r>
      <w:r w:rsidR="000B5A3E" w:rsidRPr="006953D9">
        <w:t xml:space="preserve"> </w:t>
      </w:r>
      <w:r w:rsidRPr="006953D9">
        <w:t>TV,</w:t>
      </w:r>
      <w:r w:rsidR="000B5A3E" w:rsidRPr="006953D9">
        <w:t xml:space="preserve"> </w:t>
      </w:r>
      <w:r w:rsidRPr="006953D9">
        <w:t>Sigma</w:t>
      </w:r>
      <w:r w:rsidR="000B5A3E" w:rsidRPr="006953D9">
        <w:t xml:space="preserve"> </w:t>
      </w:r>
      <w:r w:rsidRPr="006953D9">
        <w:t>TV,</w:t>
      </w:r>
      <w:r w:rsidR="000B5A3E" w:rsidRPr="006953D9">
        <w:t xml:space="preserve"> </w:t>
      </w:r>
      <w:r w:rsidRPr="006953D9">
        <w:t>Plus</w:t>
      </w:r>
      <w:r w:rsidR="000B5A3E" w:rsidRPr="006953D9">
        <w:t xml:space="preserve"> </w:t>
      </w:r>
      <w:r w:rsidRPr="006953D9">
        <w:t>TV;</w:t>
      </w:r>
    </w:p>
    <w:p w:rsidR="00200C10" w:rsidRPr="006953D9" w:rsidRDefault="00200C10" w:rsidP="00CE5B0B">
      <w:pPr>
        <w:pStyle w:val="Bullet2G"/>
      </w:pPr>
      <w:r w:rsidRPr="006953D9">
        <w:rPr>
          <w:b/>
          <w:bCs/>
        </w:rPr>
        <w:t>Radio</w:t>
      </w:r>
      <w:r w:rsidR="000B5A3E" w:rsidRPr="006953D9">
        <w:rPr>
          <w:b/>
          <w:bCs/>
        </w:rPr>
        <w:t xml:space="preserve"> </w:t>
      </w:r>
      <w:r w:rsidRPr="006953D9">
        <w:rPr>
          <w:b/>
          <w:bCs/>
        </w:rPr>
        <w:t>Channels</w:t>
      </w:r>
      <w:r w:rsidRPr="006953D9">
        <w:t>:</w:t>
      </w:r>
      <w:r w:rsidR="000B5A3E" w:rsidRPr="006953D9">
        <w:t xml:space="preserve"> </w:t>
      </w:r>
      <w:r w:rsidRPr="006953D9">
        <w:t>Antenna</w:t>
      </w:r>
      <w:r w:rsidR="000B5A3E" w:rsidRPr="006953D9">
        <w:t xml:space="preserve"> </w:t>
      </w:r>
      <w:r w:rsidRPr="006953D9">
        <w:t>FM</w:t>
      </w:r>
      <w:r w:rsidR="000B5A3E" w:rsidRPr="006953D9">
        <w:t xml:space="preserve"> </w:t>
      </w:r>
      <w:r w:rsidRPr="006953D9">
        <w:t>(ANT1</w:t>
      </w:r>
      <w:r w:rsidR="000B5A3E" w:rsidRPr="006953D9">
        <w:t xml:space="preserve"> </w:t>
      </w:r>
      <w:r w:rsidRPr="006953D9">
        <w:t>FM),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Broadcasting</w:t>
      </w:r>
      <w:r w:rsidR="000B5A3E" w:rsidRPr="006953D9">
        <w:t xml:space="preserve"> </w:t>
      </w:r>
      <w:r w:rsidRPr="006953D9">
        <w:t>Corporation-Radio</w:t>
      </w:r>
      <w:r w:rsidR="000B5A3E" w:rsidRPr="006953D9">
        <w:t xml:space="preserve"> </w:t>
      </w:r>
      <w:r w:rsidRPr="006953D9">
        <w:t>One,</w:t>
      </w:r>
      <w:r w:rsidR="000B5A3E" w:rsidRPr="006953D9">
        <w:t xml:space="preserve"> </w:t>
      </w:r>
      <w:r w:rsidRPr="006953D9">
        <w:t>Radio</w:t>
      </w:r>
      <w:r w:rsidR="000B5A3E" w:rsidRPr="006953D9">
        <w:t xml:space="preserve"> </w:t>
      </w:r>
      <w:r w:rsidRPr="006953D9">
        <w:t>Two,</w:t>
      </w:r>
      <w:r w:rsidR="000B5A3E" w:rsidRPr="006953D9">
        <w:t xml:space="preserve"> </w:t>
      </w:r>
      <w:r w:rsidRPr="006953D9">
        <w:t>Radio</w:t>
      </w:r>
      <w:r w:rsidR="000B5A3E" w:rsidRPr="006953D9">
        <w:t xml:space="preserve"> </w:t>
      </w:r>
      <w:r w:rsidRPr="006953D9">
        <w:t>Three,</w:t>
      </w:r>
      <w:r w:rsidR="000B5A3E" w:rsidRPr="006953D9">
        <w:t xml:space="preserve"> </w:t>
      </w:r>
      <w:r w:rsidRPr="006953D9">
        <w:t>Radio</w:t>
      </w:r>
      <w:r w:rsidR="000B5A3E" w:rsidRPr="006953D9">
        <w:t xml:space="preserve"> </w:t>
      </w:r>
      <w:r w:rsidRPr="006953D9">
        <w:t>Four,</w:t>
      </w:r>
      <w:r w:rsidR="000B5A3E" w:rsidRPr="006953D9">
        <w:t xml:space="preserve"> </w:t>
      </w:r>
      <w:r w:rsidRPr="006953D9">
        <w:t>Logos,</w:t>
      </w:r>
      <w:r w:rsidR="000B5A3E" w:rsidRPr="006953D9">
        <w:t xml:space="preserve"> </w:t>
      </w:r>
      <w:r w:rsidRPr="006953D9">
        <w:t>Radio</w:t>
      </w:r>
      <w:r w:rsidR="000B5A3E" w:rsidRPr="006953D9">
        <w:t xml:space="preserve"> </w:t>
      </w:r>
      <w:r w:rsidRPr="006953D9">
        <w:t>Proto;</w:t>
      </w:r>
      <w:r w:rsidR="000B5A3E" w:rsidRPr="006953D9">
        <w:t xml:space="preserve"> </w:t>
      </w:r>
    </w:p>
    <w:p w:rsidR="00200C10" w:rsidRPr="006953D9" w:rsidRDefault="00200C10" w:rsidP="00CE5B0B">
      <w:pPr>
        <w:pStyle w:val="Bullet2G"/>
      </w:pPr>
      <w:r w:rsidRPr="006953D9">
        <w:rPr>
          <w:b/>
          <w:bCs/>
        </w:rPr>
        <w:t>Newspapers</w:t>
      </w:r>
      <w:r w:rsidRPr="006953D9">
        <w:t>:</w:t>
      </w:r>
      <w:r w:rsidR="000B5A3E" w:rsidRPr="006953D9">
        <w:t xml:space="preserve"> </w:t>
      </w:r>
      <w:proofErr w:type="spellStart"/>
      <w:r w:rsidRPr="006953D9">
        <w:rPr>
          <w:i/>
          <w:iCs/>
        </w:rPr>
        <w:t>Alithia</w:t>
      </w:r>
      <w:proofErr w:type="spellEnd"/>
      <w:r w:rsidRPr="006953D9">
        <w:t>,</w:t>
      </w:r>
      <w:r w:rsidR="000B5A3E" w:rsidRPr="006953D9">
        <w:t xml:space="preserve"> </w:t>
      </w:r>
      <w:proofErr w:type="spellStart"/>
      <w:r w:rsidRPr="006953D9">
        <w:rPr>
          <w:i/>
          <w:iCs/>
        </w:rPr>
        <w:t>Antilogos</w:t>
      </w:r>
      <w:proofErr w:type="spellEnd"/>
      <w:r w:rsidRPr="006953D9">
        <w:t>,</w:t>
      </w:r>
      <w:r w:rsidR="000B5A3E" w:rsidRPr="006953D9">
        <w:t xml:space="preserve"> </w:t>
      </w:r>
      <w:r w:rsidRPr="006953D9">
        <w:rPr>
          <w:i/>
          <w:iCs/>
        </w:rPr>
        <w:t>Cyprus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Mail</w:t>
      </w:r>
      <w:r w:rsidRPr="006953D9">
        <w:t>,</w:t>
      </w:r>
      <w:r w:rsidR="000B5A3E" w:rsidRPr="006953D9">
        <w:t xml:space="preserve"> </w:t>
      </w:r>
      <w:proofErr w:type="spellStart"/>
      <w:r w:rsidRPr="006953D9">
        <w:rPr>
          <w:i/>
          <w:iCs/>
        </w:rPr>
        <w:t>Gnomi</w:t>
      </w:r>
      <w:proofErr w:type="spellEnd"/>
      <w:r w:rsidRPr="006953D9">
        <w:rPr>
          <w:i/>
          <w:iCs/>
        </w:rPr>
        <w:t>,</w:t>
      </w:r>
      <w:r w:rsidR="000B5A3E" w:rsidRPr="006953D9">
        <w:rPr>
          <w:i/>
          <w:iCs/>
        </w:rPr>
        <w:t xml:space="preserve"> </w:t>
      </w:r>
      <w:proofErr w:type="spellStart"/>
      <w:r w:rsidRPr="006953D9">
        <w:rPr>
          <w:i/>
          <w:iCs/>
        </w:rPr>
        <w:t>Haravgi</w:t>
      </w:r>
      <w:proofErr w:type="spellEnd"/>
      <w:r w:rsidRPr="006953D9">
        <w:t>,</w:t>
      </w:r>
      <w:r w:rsidR="000B5A3E" w:rsidRPr="006953D9">
        <w:t xml:space="preserve"> </w:t>
      </w:r>
      <w:r w:rsidRPr="006953D9">
        <w:rPr>
          <w:i/>
          <w:iCs/>
        </w:rPr>
        <w:t>I</w:t>
      </w:r>
      <w:r w:rsidR="000B5A3E" w:rsidRPr="006953D9">
        <w:rPr>
          <w:i/>
          <w:iCs/>
        </w:rPr>
        <w:t xml:space="preserve"> </w:t>
      </w:r>
      <w:proofErr w:type="spellStart"/>
      <w:r w:rsidRPr="006953D9">
        <w:rPr>
          <w:i/>
          <w:iCs/>
        </w:rPr>
        <w:t>Simerini</w:t>
      </w:r>
      <w:proofErr w:type="spellEnd"/>
      <w:r w:rsidRPr="006953D9">
        <w:t>,</w:t>
      </w:r>
      <w:r w:rsidR="000B5A3E" w:rsidRPr="006953D9">
        <w:t xml:space="preserve"> </w:t>
      </w:r>
      <w:proofErr w:type="spellStart"/>
      <w:r w:rsidRPr="006953D9">
        <w:rPr>
          <w:i/>
          <w:iCs/>
        </w:rPr>
        <w:t>Kathimerini</w:t>
      </w:r>
      <w:proofErr w:type="spellEnd"/>
      <w:r w:rsidRPr="006953D9">
        <w:t>,</w:t>
      </w:r>
      <w:r w:rsidR="000B5A3E" w:rsidRPr="006953D9">
        <w:t xml:space="preserve"> </w:t>
      </w:r>
      <w:r w:rsidRPr="006953D9">
        <w:rPr>
          <w:i/>
          <w:iCs/>
        </w:rPr>
        <w:t>Maxi</w:t>
      </w:r>
      <w:r w:rsidRPr="006953D9">
        <w:t>,</w:t>
      </w:r>
      <w:r w:rsidR="000B5A3E" w:rsidRPr="006953D9">
        <w:t xml:space="preserve"> </w:t>
      </w:r>
      <w:proofErr w:type="spellStart"/>
      <w:r w:rsidRPr="006953D9">
        <w:t>P</w:t>
      </w:r>
      <w:r w:rsidRPr="006953D9">
        <w:rPr>
          <w:i/>
          <w:iCs/>
        </w:rPr>
        <w:t>hileleftheros</w:t>
      </w:r>
      <w:proofErr w:type="spellEnd"/>
      <w:r w:rsidRPr="006953D9">
        <w:t>,</w:t>
      </w:r>
      <w:r w:rsidR="000B5A3E" w:rsidRPr="006953D9">
        <w:t xml:space="preserve"> </w:t>
      </w:r>
      <w:proofErr w:type="spellStart"/>
      <w:r w:rsidRPr="006953D9">
        <w:rPr>
          <w:i/>
          <w:iCs/>
        </w:rPr>
        <w:t>Politis</w:t>
      </w:r>
      <w:proofErr w:type="spellEnd"/>
      <w:r w:rsidRPr="006953D9">
        <w:t>,</w:t>
      </w:r>
      <w:r w:rsidR="000B5A3E" w:rsidRPr="006953D9">
        <w:t xml:space="preserve"> </w:t>
      </w:r>
      <w:r w:rsidRPr="006953D9">
        <w:rPr>
          <w:i/>
          <w:iCs/>
        </w:rPr>
        <w:t>the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Cyprus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Daily</w:t>
      </w:r>
      <w:r w:rsidRPr="006953D9">
        <w:t>,</w:t>
      </w:r>
      <w:r w:rsidR="000B5A3E" w:rsidRPr="006953D9">
        <w:t xml:space="preserve"> </w:t>
      </w:r>
      <w:r w:rsidRPr="006953D9">
        <w:rPr>
          <w:i/>
          <w:iCs/>
        </w:rPr>
        <w:t>the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Cyprus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Weekly</w:t>
      </w:r>
      <w:r w:rsidRPr="006953D9">
        <w:t>,</w:t>
      </w:r>
      <w:r w:rsidR="000B5A3E" w:rsidRPr="006953D9">
        <w:t xml:space="preserve"> </w:t>
      </w:r>
      <w:r w:rsidRPr="006953D9">
        <w:rPr>
          <w:i/>
          <w:iCs/>
        </w:rPr>
        <w:t>To</w:t>
      </w:r>
      <w:r w:rsidR="000B5A3E" w:rsidRPr="006953D9">
        <w:rPr>
          <w:i/>
          <w:iCs/>
        </w:rPr>
        <w:t xml:space="preserve"> </w:t>
      </w:r>
      <w:proofErr w:type="spellStart"/>
      <w:r w:rsidRPr="006953D9">
        <w:rPr>
          <w:i/>
          <w:iCs/>
        </w:rPr>
        <w:t>Kypriako</w:t>
      </w:r>
      <w:proofErr w:type="spellEnd"/>
      <w:r w:rsidR="000B5A3E" w:rsidRPr="006953D9">
        <w:rPr>
          <w:i/>
          <w:iCs/>
        </w:rPr>
        <w:t xml:space="preserve"> </w:t>
      </w:r>
      <w:proofErr w:type="spellStart"/>
      <w:r w:rsidRPr="006953D9">
        <w:rPr>
          <w:i/>
          <w:iCs/>
        </w:rPr>
        <w:t>Pontiki</w:t>
      </w:r>
      <w:proofErr w:type="spellEnd"/>
      <w:r w:rsidRPr="006953D9">
        <w:t>.</w:t>
      </w:r>
    </w:p>
    <w:p w:rsidR="00200C10" w:rsidRPr="006953D9" w:rsidRDefault="00200C10" w:rsidP="003D5972">
      <w:pPr>
        <w:pStyle w:val="HChG"/>
      </w:pPr>
      <w:r w:rsidRPr="006953D9">
        <w:tab/>
      </w:r>
      <w:bookmarkStart w:id="7" w:name="_Toc509325400"/>
      <w:r w:rsidRPr="006953D9">
        <w:t>ΙΙI.</w:t>
      </w:r>
      <w:r w:rsidRPr="006953D9">
        <w:tab/>
        <w:t>General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bookmarkEnd w:id="7"/>
    </w:p>
    <w:p w:rsidR="00200C10" w:rsidRPr="006953D9" w:rsidRDefault="00200C10" w:rsidP="003D5972">
      <w:pPr>
        <w:pStyle w:val="H1G"/>
      </w:pPr>
      <w:r w:rsidRPr="006953D9">
        <w:tab/>
      </w:r>
      <w:bookmarkStart w:id="8" w:name="_Toc509325401"/>
      <w:r w:rsidRPr="006953D9">
        <w:t>A.</w:t>
      </w:r>
      <w:r w:rsidRPr="006953D9">
        <w:tab/>
        <w:t>Acceptance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norms</w:t>
      </w:r>
      <w:bookmarkEnd w:id="8"/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85.</w:t>
      </w:r>
      <w:r w:rsidRPr="006953D9">
        <w:tab/>
        <w:t>Respect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key</w:t>
      </w:r>
      <w:r w:rsidR="000B5A3E" w:rsidRPr="006953D9">
        <w:t xml:space="preserve"> </w:t>
      </w:r>
      <w:r w:rsidRPr="006953D9">
        <w:t>priority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protected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highest</w:t>
      </w:r>
      <w:r w:rsidR="000B5A3E" w:rsidRPr="006953D9">
        <w:t xml:space="preserve"> </w:t>
      </w:r>
      <w:r w:rsidRPr="006953D9">
        <w:t>level.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sets</w:t>
      </w:r>
      <w:r w:rsidR="000B5A3E" w:rsidRPr="006953D9">
        <w:t xml:space="preserve"> </w:t>
      </w:r>
      <w:r w:rsidRPr="006953D9">
        <w:t>out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Fundamental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Liberties,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found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Conventions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86.</w:t>
      </w:r>
      <w:r w:rsidRPr="006953D9">
        <w:tab/>
        <w:t>Cyprus</w:t>
      </w:r>
      <w:r w:rsidR="000B5A3E" w:rsidRPr="006953D9">
        <w:t xml:space="preserve"> </w:t>
      </w:r>
      <w:r w:rsidRPr="006953D9">
        <w:t>immediately</w:t>
      </w:r>
      <w:r w:rsidR="000B5A3E" w:rsidRPr="006953D9">
        <w:t xml:space="preserve"> </w:t>
      </w:r>
      <w:r w:rsidRPr="006953D9">
        <w:t>after</w:t>
      </w:r>
      <w:r w:rsidR="000B5A3E" w:rsidRPr="006953D9">
        <w:t xml:space="preserve"> </w:t>
      </w:r>
      <w:r w:rsidRPr="006953D9">
        <w:t>independence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colonial</w:t>
      </w:r>
      <w:r w:rsidR="000B5A3E" w:rsidRPr="006953D9">
        <w:t xml:space="preserve"> </w:t>
      </w:r>
      <w:r w:rsidRPr="006953D9">
        <w:t>rule</w:t>
      </w:r>
      <w:r w:rsidR="000B5A3E" w:rsidRPr="006953D9">
        <w:t xml:space="preserve"> </w:t>
      </w:r>
      <w:r w:rsidRPr="006953D9">
        <w:t>accorded</w:t>
      </w:r>
      <w:r w:rsidR="000B5A3E" w:rsidRPr="006953D9">
        <w:t xml:space="preserve"> </w:t>
      </w:r>
      <w:r w:rsidRPr="006953D9">
        <w:t>vital</w:t>
      </w:r>
      <w:r w:rsidR="000B5A3E" w:rsidRPr="006953D9">
        <w:t xml:space="preserve"> </w:t>
      </w:r>
      <w:r w:rsidRPr="006953D9">
        <w:t>importance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particularly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norms.</w:t>
      </w:r>
      <w:r w:rsidR="000B5A3E" w:rsidRPr="006953D9">
        <w:t xml:space="preserve"> </w:t>
      </w:r>
      <w:r w:rsidRPr="006953D9">
        <w:t>Given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superior</w:t>
      </w:r>
      <w:r w:rsidR="000B5A3E" w:rsidRPr="006953D9">
        <w:t xml:space="preserve"> </w:t>
      </w:r>
      <w:r w:rsidRPr="006953D9">
        <w:t>force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instruments,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enriched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reinforced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body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municipal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protects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liberties.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first</w:t>
      </w:r>
      <w:r w:rsidR="000B5A3E" w:rsidRPr="006953D9">
        <w:t xml:space="preserve"> </w:t>
      </w:r>
      <w:r w:rsidRPr="006953D9">
        <w:t>tasks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was,</w:t>
      </w:r>
      <w:r w:rsidR="000B5A3E" w:rsidRPr="006953D9">
        <w:t xml:space="preserve"> </w:t>
      </w:r>
      <w:r w:rsidRPr="006953D9">
        <w:t>therefore,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examine</w:t>
      </w:r>
      <w:r w:rsidR="000B5A3E" w:rsidRPr="006953D9">
        <w:t xml:space="preserve"> </w:t>
      </w:r>
      <w:r w:rsidRPr="006953D9">
        <w:t>treaties</w:t>
      </w:r>
      <w:r w:rsidR="000B5A3E" w:rsidRPr="006953D9">
        <w:t xml:space="preserve"> </w:t>
      </w:r>
      <w:r w:rsidRPr="006953D9">
        <w:t>extended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Kingdom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Great</w:t>
      </w:r>
      <w:r w:rsidR="000B5A3E" w:rsidRPr="006953D9">
        <w:t xml:space="preserve"> </w:t>
      </w:r>
      <w:r w:rsidRPr="006953D9">
        <w:t>Britain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Northern</w:t>
      </w:r>
      <w:r w:rsidR="000B5A3E" w:rsidRPr="006953D9">
        <w:t xml:space="preserve"> </w:t>
      </w:r>
      <w:r w:rsidRPr="006953D9">
        <w:t>Ireland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notify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appropriate</w:t>
      </w:r>
      <w:r w:rsidR="000B5A3E" w:rsidRPr="006953D9">
        <w:t xml:space="preserve"> </w:t>
      </w:r>
      <w:r w:rsidRPr="006953D9">
        <w:t>succession</w:t>
      </w:r>
      <w:r w:rsidR="000B5A3E" w:rsidRPr="006953D9">
        <w:t xml:space="preserve"> </w:t>
      </w:r>
      <w:r w:rsidRPr="006953D9">
        <w:t>thereto,</w:t>
      </w:r>
      <w:r w:rsidR="000B5A3E" w:rsidRPr="006953D9">
        <w:t xml:space="preserve"> </w:t>
      </w:r>
      <w:r w:rsidRPr="006953D9">
        <w:t>whilst</w:t>
      </w:r>
      <w:r w:rsidR="000B5A3E" w:rsidRPr="006953D9">
        <w:t xml:space="preserve"> </w:t>
      </w:r>
      <w:r w:rsidRPr="006953D9">
        <w:t>examining</w:t>
      </w:r>
      <w:r w:rsidR="000B5A3E" w:rsidRPr="006953D9">
        <w:t xml:space="preserve"> </w:t>
      </w:r>
      <w:r w:rsidRPr="006953D9">
        <w:t>existing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regional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universal</w:t>
      </w:r>
      <w:r w:rsidR="000B5A3E" w:rsidRPr="006953D9">
        <w:t xml:space="preserve"> </w:t>
      </w:r>
      <w:r w:rsidRPr="006953D9">
        <w:t>instruments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ratifying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acceding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nearly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them,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policy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continues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date.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87.</w:t>
      </w:r>
      <w:r w:rsidRPr="006953D9">
        <w:tab/>
        <w:t>Central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conduct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relations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recognition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predominance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law,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purposes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principles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Charter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particularly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peaceful</w:t>
      </w:r>
      <w:r w:rsidR="000B5A3E" w:rsidRPr="006953D9">
        <w:t xml:space="preserve"> </w:t>
      </w:r>
      <w:r w:rsidRPr="006953D9">
        <w:t>settlement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disputes</w:t>
      </w:r>
      <w:r w:rsidR="000B5A3E" w:rsidRPr="006953D9">
        <w:t xml:space="preserve"> </w:t>
      </w:r>
      <w:r w:rsidRPr="006953D9">
        <w:t>based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respect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fundamental</w:t>
      </w:r>
      <w:r w:rsidR="000B5A3E" w:rsidRPr="006953D9">
        <w:t xml:space="preserve"> </w:t>
      </w:r>
      <w:r w:rsidRPr="006953D9">
        <w:t>freedoms.</w:t>
      </w:r>
    </w:p>
    <w:p w:rsidR="00200C10" w:rsidRPr="006953D9" w:rsidRDefault="00200C10" w:rsidP="00830021">
      <w:pPr>
        <w:pStyle w:val="SingleTxtG"/>
      </w:pPr>
      <w:r w:rsidRPr="006953D9">
        <w:t>88.</w:t>
      </w:r>
      <w:r w:rsidRPr="006953D9">
        <w:tab/>
        <w:t>Cyprus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become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party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core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treaties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Party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majority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rights-related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instruments.</w:t>
      </w:r>
      <w:r w:rsidR="000B5A3E" w:rsidRPr="006953D9">
        <w:t xml:space="preserve"> </w:t>
      </w:r>
      <w:r w:rsidRPr="006953D9">
        <w:t>Standards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obligations</w:t>
      </w:r>
      <w:r w:rsidR="000B5A3E" w:rsidRPr="006953D9">
        <w:t xml:space="preserve"> </w:t>
      </w:r>
      <w:r w:rsidRPr="006953D9">
        <w:t>arising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these</w:t>
      </w:r>
      <w:r w:rsidR="000B5A3E" w:rsidRPr="006953D9">
        <w:t xml:space="preserve"> </w:t>
      </w:r>
      <w:r w:rsidRPr="006953D9">
        <w:t>instruments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89.</w:t>
      </w:r>
      <w:r w:rsidRPr="006953D9">
        <w:tab/>
        <w:t>Annex</w:t>
      </w:r>
      <w:r w:rsidR="000B5A3E" w:rsidRPr="006953D9">
        <w:t xml:space="preserve"> </w:t>
      </w:r>
      <w:r w:rsidRPr="006953D9">
        <w:t>V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present</w:t>
      </w:r>
      <w:r w:rsidR="000B5A3E" w:rsidRPr="006953D9">
        <w:t xml:space="preserve"> </w:t>
      </w:r>
      <w:r w:rsidRPr="006953D9">
        <w:t>core</w:t>
      </w:r>
      <w:r w:rsidR="000B5A3E" w:rsidRPr="006953D9">
        <w:t xml:space="preserve"> </w:t>
      </w:r>
      <w:r w:rsidRPr="006953D9">
        <w:t>document</w:t>
      </w:r>
      <w:r w:rsidR="000B5A3E" w:rsidRPr="006953D9">
        <w:t xml:space="preserve"> </w:t>
      </w:r>
      <w:r w:rsidRPr="006953D9">
        <w:t>contains</w:t>
      </w:r>
      <w:r w:rsidR="000B5A3E" w:rsidRPr="006953D9">
        <w:t xml:space="preserve"> </w:t>
      </w:r>
      <w:r w:rsidRPr="006953D9">
        <w:t>comprehensive</w:t>
      </w:r>
      <w:r w:rsidR="000B5A3E" w:rsidRPr="006953D9">
        <w:t xml:space="preserve"> </w:t>
      </w:r>
      <w:r w:rsidRPr="006953D9">
        <w:t>information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ratification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main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regional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instruments</w:t>
      </w:r>
      <w:r w:rsidR="000B5A3E" w:rsidRPr="006953D9">
        <w:t xml:space="preserve"> </w:t>
      </w:r>
      <w:r w:rsidRPr="006953D9">
        <w:t>(amendments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optional</w:t>
      </w:r>
      <w:r w:rsidR="000B5A3E" w:rsidRPr="006953D9">
        <w:t xml:space="preserve"> </w:t>
      </w:r>
      <w:r w:rsidRPr="006953D9">
        <w:t>procedures),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information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declarations,</w:t>
      </w:r>
      <w:r w:rsidR="000B5A3E" w:rsidRPr="006953D9">
        <w:t xml:space="preserve"> </w:t>
      </w:r>
      <w:r w:rsidRPr="006953D9">
        <w:t>reservations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objections.</w:t>
      </w:r>
    </w:p>
    <w:p w:rsidR="00200C10" w:rsidRPr="006953D9" w:rsidRDefault="00200C10" w:rsidP="003A5E81">
      <w:pPr>
        <w:pStyle w:val="H1G"/>
      </w:pPr>
      <w:r w:rsidRPr="006953D9">
        <w:tab/>
      </w:r>
      <w:bookmarkStart w:id="9" w:name="_Toc509325402"/>
      <w:r w:rsidRPr="006953D9">
        <w:t>B.</w:t>
      </w:r>
      <w:r w:rsidRPr="006953D9">
        <w:tab/>
        <w:t>Legal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level</w:t>
      </w:r>
      <w:bookmarkEnd w:id="9"/>
    </w:p>
    <w:p w:rsidR="00200C10" w:rsidRPr="006953D9" w:rsidRDefault="00200C10" w:rsidP="00830021">
      <w:pPr>
        <w:pStyle w:val="SingleTxtG"/>
      </w:pPr>
      <w:r w:rsidRPr="006953D9">
        <w:t>90.</w:t>
      </w:r>
      <w:r w:rsidRPr="006953D9">
        <w:tab/>
        <w:t>The</w:t>
      </w:r>
      <w:r w:rsidR="000B5A3E" w:rsidRPr="006953D9">
        <w:t xml:space="preserve"> </w:t>
      </w:r>
      <w:r w:rsidRPr="006953D9">
        <w:t>basis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system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common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principles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equity</w:t>
      </w:r>
      <w:r w:rsidR="000B5A3E" w:rsidRPr="006953D9">
        <w:t xml:space="preserve"> </w:t>
      </w:r>
      <w:r w:rsidRPr="006953D9">
        <w:t>applicable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time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independence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amended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supplemented</w:t>
      </w:r>
      <w:r w:rsidR="000B5A3E" w:rsidRPr="006953D9">
        <w:t xml:space="preserve"> </w:t>
      </w:r>
      <w:r w:rsidRPr="006953D9">
        <w:t>thereafter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statutes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law.</w:t>
      </w:r>
      <w:r w:rsidR="000B5A3E" w:rsidRPr="006953D9">
        <w:t xml:space="preserve"> </w:t>
      </w:r>
      <w:r w:rsidRPr="006953D9">
        <w:t>Independence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saw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introduction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development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continental</w:t>
      </w:r>
      <w:r w:rsidR="000B5A3E" w:rsidRPr="006953D9">
        <w:t xml:space="preserve"> </w:t>
      </w:r>
      <w:r w:rsidRPr="006953D9">
        <w:t>administrative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law.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structure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embodies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norms</w:t>
      </w:r>
      <w:r w:rsidR="000B5A3E" w:rsidRPr="006953D9">
        <w:t xml:space="preserve"> </w:t>
      </w:r>
      <w:r w:rsidRPr="006953D9">
        <w:t>necessary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secures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separation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powers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independence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judiciary.</w:t>
      </w:r>
    </w:p>
    <w:p w:rsidR="00200C10" w:rsidRPr="006953D9" w:rsidRDefault="00200C10" w:rsidP="00830021">
      <w:pPr>
        <w:pStyle w:val="SingleTxtG"/>
      </w:pPr>
      <w:r w:rsidRPr="006953D9">
        <w:t>91.</w:t>
      </w:r>
      <w:r w:rsidRPr="006953D9">
        <w:tab/>
        <w:t>The</w:t>
      </w:r>
      <w:r w:rsidR="000B5A3E" w:rsidRPr="006953D9">
        <w:t xml:space="preserve"> </w:t>
      </w:r>
      <w:r w:rsidRPr="006953D9">
        <w:t>1960</w:t>
      </w:r>
      <w:r w:rsidR="000B5A3E" w:rsidRPr="006953D9">
        <w:t xml:space="preserve"> </w:t>
      </w:r>
      <w:r w:rsidRPr="006953D9">
        <w:t>Constitution,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Republic,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main</w:t>
      </w:r>
      <w:r w:rsidR="000B5A3E" w:rsidRPr="006953D9">
        <w:t xml:space="preserve"> </w:t>
      </w:r>
      <w:r w:rsidRPr="006953D9">
        <w:t>instrument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recognises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protects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II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entitled</w:t>
      </w:r>
      <w:r w:rsidR="000B5A3E" w:rsidRPr="006953D9">
        <w:t xml:space="preserve"> </w:t>
      </w:r>
      <w:r w:rsidR="002206DB" w:rsidRPr="006953D9">
        <w:t>“</w:t>
      </w:r>
      <w:r w:rsidRPr="006953D9">
        <w:t>Fundamental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Liberties</w:t>
      </w:r>
      <w:r w:rsidR="002206DB" w:rsidRPr="006953D9">
        <w:t>”</w:t>
      </w:r>
      <w:r w:rsidR="000B5A3E" w:rsidRPr="006953D9">
        <w:t xml:space="preserve"> </w:t>
      </w:r>
      <w:r w:rsidRPr="006953D9">
        <w:t>incorporates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expands</w:t>
      </w:r>
      <w:r w:rsidR="000B5A3E" w:rsidRPr="006953D9">
        <w:t xml:space="preserve"> </w:t>
      </w:r>
      <w:r w:rsidRPr="006953D9">
        <w:t>upon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Universal</w:t>
      </w:r>
      <w:r w:rsidR="000B5A3E" w:rsidRPr="006953D9">
        <w:t xml:space="preserve"> </w:t>
      </w:r>
      <w:r w:rsidRPr="006953D9">
        <w:t>Declaration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lastRenderedPageBreak/>
        <w:t>92.</w:t>
      </w:r>
      <w:r w:rsidRPr="006953D9">
        <w:tab/>
        <w:t>Although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legislative,</w:t>
      </w:r>
      <w:r w:rsidR="000B5A3E" w:rsidRPr="006953D9">
        <w:t xml:space="preserve"> </w:t>
      </w:r>
      <w:r w:rsidRPr="006953D9">
        <w:t>executive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judicial</w:t>
      </w:r>
      <w:r w:rsidR="000B5A3E" w:rsidRPr="006953D9">
        <w:t xml:space="preserve"> </w:t>
      </w:r>
      <w:r w:rsidRPr="006953D9">
        <w:t>authorities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enjoined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Article</w:t>
      </w:r>
      <w:r w:rsidR="000B5A3E" w:rsidRPr="006953D9">
        <w:t xml:space="preserve"> </w:t>
      </w:r>
      <w:r w:rsidRPr="006953D9">
        <w:t>35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secure,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limits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respective</w:t>
      </w:r>
      <w:r w:rsidR="000B5A3E" w:rsidRPr="006953D9">
        <w:t xml:space="preserve"> </w:t>
      </w:r>
      <w:r w:rsidRPr="006953D9">
        <w:t>competence,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efficient</w:t>
      </w:r>
      <w:r w:rsidR="000B5A3E" w:rsidRPr="006953D9">
        <w:t xml:space="preserve"> </w:t>
      </w:r>
      <w:r w:rsidRPr="006953D9">
        <w:t>application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rights,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totally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judiciary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ultimate</w:t>
      </w:r>
      <w:r w:rsidR="000B5A3E" w:rsidRPr="006953D9">
        <w:t xml:space="preserve"> </w:t>
      </w:r>
      <w:r w:rsidRPr="006953D9">
        <w:t>protector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liberties.</w:t>
      </w:r>
    </w:p>
    <w:p w:rsidR="00200C10" w:rsidRPr="006953D9" w:rsidRDefault="00200C10" w:rsidP="00830021">
      <w:pPr>
        <w:pStyle w:val="SingleTxtG"/>
      </w:pPr>
      <w:r w:rsidRPr="006953D9">
        <w:t>93.</w:t>
      </w:r>
      <w:r w:rsidRPr="006953D9">
        <w:tab/>
        <w:t>All</w:t>
      </w:r>
      <w:r w:rsidR="000B5A3E" w:rsidRPr="006953D9">
        <w:t xml:space="preserve"> </w:t>
      </w:r>
      <w:r w:rsidRPr="006953D9">
        <w:t>laws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especially</w:t>
      </w:r>
      <w:r w:rsidR="000B5A3E" w:rsidRPr="006953D9">
        <w:t xml:space="preserve"> </w:t>
      </w:r>
      <w:r w:rsidRPr="006953D9">
        <w:t>Criminal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Procedure</w:t>
      </w:r>
      <w:r w:rsidR="000B5A3E" w:rsidRPr="006953D9">
        <w:t xml:space="preserve"> </w:t>
      </w:r>
      <w:r w:rsidRPr="006953D9">
        <w:t>must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do</w:t>
      </w:r>
      <w:r w:rsidR="000B5A3E" w:rsidRPr="006953D9">
        <w:t xml:space="preserve"> </w:t>
      </w:r>
      <w:r w:rsidRPr="006953D9">
        <w:t>protect</w:t>
      </w:r>
      <w:r w:rsidR="000B5A3E" w:rsidRPr="006953D9">
        <w:t xml:space="preserve"> </w:t>
      </w:r>
      <w:r w:rsidRPr="006953D9">
        <w:t>fundamental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violates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way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will,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many</w:t>
      </w:r>
      <w:r w:rsidR="000B5A3E" w:rsidRPr="006953D9">
        <w:t xml:space="preserve"> </w:t>
      </w:r>
      <w:r w:rsidRPr="006953D9">
        <w:t>instances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laws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provisions</w:t>
      </w:r>
      <w:r w:rsidR="000B5A3E" w:rsidRPr="006953D9">
        <w:t xml:space="preserve"> </w:t>
      </w:r>
      <w:r w:rsidRPr="006953D9">
        <w:t>thereof,</w:t>
      </w:r>
      <w:r w:rsidR="000B5A3E" w:rsidRPr="006953D9">
        <w:t xml:space="preserve"> </w:t>
      </w:r>
      <w:r w:rsidRPr="006953D9">
        <w:t>upon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finding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inconsistency,</w:t>
      </w:r>
      <w:r w:rsidR="000B5A3E" w:rsidRPr="006953D9">
        <w:t xml:space="preserve"> </w:t>
      </w:r>
      <w:r w:rsidRPr="006953D9">
        <w:t>were,</w:t>
      </w:r>
      <w:r w:rsidR="000B5A3E" w:rsidRPr="006953D9">
        <w:t xml:space="preserve"> </w:t>
      </w:r>
      <w:r w:rsidRPr="006953D9">
        <w:t>declared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unconstitutional.</w:t>
      </w:r>
    </w:p>
    <w:p w:rsidR="00200C10" w:rsidRPr="006953D9" w:rsidRDefault="00200C10" w:rsidP="00830021">
      <w:pPr>
        <w:pStyle w:val="SingleTxtG"/>
      </w:pPr>
      <w:r w:rsidRPr="006953D9">
        <w:t>94.</w:t>
      </w:r>
      <w:r w:rsidRPr="006953D9">
        <w:tab/>
        <w:t>Any</w:t>
      </w:r>
      <w:r w:rsidR="000B5A3E" w:rsidRPr="006953D9">
        <w:t xml:space="preserve"> </w:t>
      </w:r>
      <w:r w:rsidRPr="006953D9">
        <w:t>restrictions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limitations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guaranteed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absolutely</w:t>
      </w:r>
      <w:r w:rsidR="000B5A3E" w:rsidRPr="006953D9">
        <w:t xml:space="preserve"> </w:t>
      </w:r>
      <w:r w:rsidRPr="006953D9">
        <w:t>necessary</w:t>
      </w:r>
      <w:r w:rsidR="000B5A3E" w:rsidRPr="006953D9">
        <w:t xml:space="preserve"> </w:t>
      </w:r>
      <w:r w:rsidRPr="006953D9">
        <w:t>only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interests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security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Republic,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safety,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health,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guaranteed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person.</w:t>
      </w:r>
      <w:r w:rsidR="000B5A3E" w:rsidRPr="006953D9">
        <w:t xml:space="preserve"> </w:t>
      </w:r>
      <w:r w:rsidRPr="006953D9">
        <w:t>Provisions</w:t>
      </w:r>
      <w:r w:rsidR="000B5A3E" w:rsidRPr="006953D9">
        <w:t xml:space="preserve"> </w:t>
      </w:r>
      <w:r w:rsidRPr="006953D9">
        <w:t>relating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limitations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restrictions</w:t>
      </w:r>
      <w:r w:rsidR="000B5A3E" w:rsidRPr="006953D9">
        <w:t xml:space="preserve"> </w:t>
      </w:r>
      <w:r w:rsidRPr="006953D9">
        <w:t>should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interpreted</w:t>
      </w:r>
      <w:r w:rsidR="000B5A3E" w:rsidRPr="006953D9">
        <w:t xml:space="preserve"> </w:t>
      </w:r>
      <w:r w:rsidRPr="006953D9">
        <w:t>strictly.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Constitutional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proofErr w:type="spellStart"/>
      <w:r w:rsidRPr="006953D9">
        <w:rPr>
          <w:i/>
          <w:iCs/>
        </w:rPr>
        <w:t>Fina</w:t>
      </w:r>
      <w:proofErr w:type="spellEnd"/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Cyprus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Ltd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v.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The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Republic</w:t>
      </w:r>
      <w:r w:rsidR="000B5A3E" w:rsidRPr="006953D9">
        <w:t xml:space="preserve"> </w:t>
      </w:r>
      <w:r w:rsidRPr="006953D9">
        <w:t>(RSCC,</w:t>
      </w:r>
      <w:r w:rsidR="000B5A3E" w:rsidRPr="006953D9">
        <w:t xml:space="preserve"> </w:t>
      </w:r>
      <w:r w:rsidRPr="006953D9">
        <w:t>vol.4,</w:t>
      </w:r>
      <w:r w:rsidR="000B5A3E" w:rsidRPr="006953D9">
        <w:t xml:space="preserve"> </w:t>
      </w:r>
      <w:r w:rsidRPr="006953D9">
        <w:t>p.</w:t>
      </w:r>
      <w:r w:rsidR="000B5A3E" w:rsidRPr="006953D9">
        <w:t xml:space="preserve"> </w:t>
      </w:r>
      <w:r w:rsidRPr="006953D9">
        <w:t>33)</w:t>
      </w:r>
      <w:r w:rsidR="000B5A3E" w:rsidRPr="006953D9">
        <w:t xml:space="preserve"> </w:t>
      </w:r>
      <w:r w:rsidRPr="006953D9">
        <w:t>decided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legislation</w:t>
      </w:r>
      <w:r w:rsidR="000B5A3E" w:rsidRPr="006953D9">
        <w:t xml:space="preserve"> </w:t>
      </w:r>
      <w:r w:rsidRPr="006953D9">
        <w:t>involving</w:t>
      </w:r>
      <w:r w:rsidR="000B5A3E" w:rsidRPr="006953D9">
        <w:t xml:space="preserve"> </w:t>
      </w:r>
      <w:r w:rsidRPr="006953D9">
        <w:t>interference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Fundamental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Liberties</w:t>
      </w:r>
      <w:r w:rsidR="000B5A3E" w:rsidRPr="006953D9">
        <w:t xml:space="preserve"> </w:t>
      </w:r>
      <w:r w:rsidRPr="006953D9">
        <w:t>safeguarded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construction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governed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settled</w:t>
      </w:r>
      <w:r w:rsidR="000B5A3E" w:rsidRPr="006953D9">
        <w:t xml:space="preserve"> </w:t>
      </w:r>
      <w:r w:rsidRPr="006953D9">
        <w:t>principle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provisions</w:t>
      </w:r>
      <w:r w:rsidR="000B5A3E" w:rsidRPr="006953D9">
        <w:t xml:space="preserve"> </w:t>
      </w:r>
      <w:r w:rsidRPr="006953D9">
        <w:t>should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construed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doubt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favour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said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liberties.</w:t>
      </w:r>
    </w:p>
    <w:p w:rsidR="00200C10" w:rsidRPr="006953D9" w:rsidRDefault="00200C10" w:rsidP="00830021">
      <w:pPr>
        <w:pStyle w:val="SingleTxtG"/>
      </w:pPr>
      <w:r w:rsidRPr="006953D9">
        <w:t>95.</w:t>
      </w:r>
      <w:r w:rsidRPr="006953D9">
        <w:tab/>
        <w:t>Wherever</w:t>
      </w:r>
      <w:r w:rsidR="000B5A3E" w:rsidRPr="006953D9">
        <w:t xml:space="preserve"> </w:t>
      </w:r>
      <w:r w:rsidRPr="006953D9">
        <w:t>positive</w:t>
      </w:r>
      <w:r w:rsidR="000B5A3E" w:rsidRPr="006953D9">
        <w:t xml:space="preserve"> </w:t>
      </w:r>
      <w:r w:rsidRPr="006953D9">
        <w:t>action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contemplated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instruments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respect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certain,</w:t>
      </w:r>
      <w:r w:rsidR="000B5A3E" w:rsidRPr="006953D9">
        <w:t xml:space="preserve"> </w:t>
      </w:r>
      <w:r w:rsidRPr="006953D9">
        <w:t>mainly</w:t>
      </w:r>
      <w:r w:rsidR="000B5A3E" w:rsidRPr="006953D9">
        <w:t xml:space="preserve"> </w:t>
      </w:r>
      <w:r w:rsidRPr="006953D9">
        <w:t>social,</w:t>
      </w:r>
      <w:r w:rsidR="000B5A3E" w:rsidRPr="006953D9">
        <w:t xml:space="preserve"> </w:t>
      </w:r>
      <w:r w:rsidRPr="006953D9">
        <w:t>economic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cultural</w:t>
      </w:r>
      <w:r w:rsidR="000B5A3E" w:rsidRPr="006953D9">
        <w:t xml:space="preserve"> </w:t>
      </w:r>
      <w:r w:rsidRPr="006953D9">
        <w:t>rights,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action</w:t>
      </w:r>
      <w:r w:rsidR="000B5A3E" w:rsidRPr="006953D9">
        <w:t xml:space="preserve"> </w:t>
      </w:r>
      <w:r w:rsidRPr="006953D9">
        <w:t>should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taken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reasonable</w:t>
      </w:r>
      <w:r w:rsidR="000B5A3E" w:rsidRPr="006953D9">
        <w:t xml:space="preserve"> </w:t>
      </w:r>
      <w:r w:rsidRPr="006953D9">
        <w:t>time.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96.</w:t>
      </w:r>
      <w:r w:rsidRPr="006953D9">
        <w:tab/>
        <w:t>The</w:t>
      </w:r>
      <w:r w:rsidR="000B5A3E" w:rsidRPr="006953D9">
        <w:t xml:space="preserve"> </w:t>
      </w:r>
      <w:r w:rsidRPr="006953D9">
        <w:t>remedies</w:t>
      </w:r>
      <w:r w:rsidR="000B5A3E" w:rsidRPr="006953D9">
        <w:t xml:space="preserve"> </w:t>
      </w:r>
      <w:r w:rsidRPr="006953D9">
        <w:t>available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who</w:t>
      </w:r>
      <w:r w:rsidR="000B5A3E" w:rsidRPr="006953D9">
        <w:t xml:space="preserve"> </w:t>
      </w:r>
      <w:r w:rsidRPr="006953D9">
        <w:t>claims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his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violated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following:</w:t>
      </w:r>
    </w:p>
    <w:p w:rsidR="00200C10" w:rsidRPr="006953D9" w:rsidRDefault="00200C10" w:rsidP="003A5E81">
      <w:pPr>
        <w:pStyle w:val="Bullet1G"/>
      </w:pPr>
      <w:r w:rsidRPr="006953D9">
        <w:t>Right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petition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hierarchical</w:t>
      </w:r>
      <w:r w:rsidR="000B5A3E" w:rsidRPr="006953D9">
        <w:t xml:space="preserve"> </w:t>
      </w:r>
      <w:r w:rsidRPr="006953D9">
        <w:t>recourse;</w:t>
      </w:r>
    </w:p>
    <w:p w:rsidR="00200C10" w:rsidRPr="006953D9" w:rsidRDefault="00200C10" w:rsidP="003A5E81">
      <w:pPr>
        <w:pStyle w:val="Bullet1G"/>
      </w:pPr>
      <w:r w:rsidRPr="006953D9">
        <w:t>Recourse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annulment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decision,</w:t>
      </w:r>
      <w:r w:rsidR="000B5A3E" w:rsidRPr="006953D9">
        <w:t xml:space="preserve"> </w:t>
      </w:r>
      <w:r w:rsidRPr="006953D9">
        <w:t>act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omission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body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(both</w:t>
      </w:r>
      <w:r w:rsidR="000B5A3E" w:rsidRPr="006953D9">
        <w:t xml:space="preserve"> </w:t>
      </w:r>
      <w:r w:rsidRPr="006953D9">
        <w:t>original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proofErr w:type="spellStart"/>
      <w:r w:rsidRPr="006953D9">
        <w:t>revisional</w:t>
      </w:r>
      <w:proofErr w:type="spellEnd"/>
      <w:r w:rsidR="000B5A3E" w:rsidRPr="006953D9">
        <w:t xml:space="preserve"> </w:t>
      </w:r>
      <w:r w:rsidRPr="006953D9">
        <w:t>jurisdiction);</w:t>
      </w:r>
      <w:r w:rsidR="000B5A3E" w:rsidRPr="006953D9">
        <w:t xml:space="preserve"> </w:t>
      </w:r>
    </w:p>
    <w:p w:rsidR="00200C10" w:rsidRPr="006953D9" w:rsidRDefault="00200C10" w:rsidP="003A5E81">
      <w:pPr>
        <w:pStyle w:val="Bullet1G"/>
      </w:pPr>
      <w:r w:rsidRPr="006953D9">
        <w:t>Raising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party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judicial</w:t>
      </w:r>
      <w:r w:rsidR="000B5A3E" w:rsidRPr="006953D9">
        <w:t xml:space="preserve"> </w:t>
      </w:r>
      <w:r w:rsidRPr="006953D9">
        <w:t>proceedings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question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unconstitutionality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decision</w:t>
      </w:r>
      <w:r w:rsidR="000B5A3E" w:rsidRPr="006953D9">
        <w:t xml:space="preserve"> </w:t>
      </w:r>
      <w:r w:rsidRPr="006953D9">
        <w:t>whereupon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obliged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certain</w:t>
      </w:r>
      <w:r w:rsidR="000B5A3E" w:rsidRPr="006953D9">
        <w:t xml:space="preserve"> </w:t>
      </w:r>
      <w:r w:rsidRPr="006953D9">
        <w:t>circumstances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reserve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question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decision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stay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proceedings;</w:t>
      </w:r>
      <w:r w:rsidR="000B5A3E" w:rsidRPr="006953D9">
        <w:t xml:space="preserve"> </w:t>
      </w:r>
    </w:p>
    <w:p w:rsidR="00200C10" w:rsidRPr="006953D9" w:rsidRDefault="00200C10" w:rsidP="003A5E81">
      <w:pPr>
        <w:pStyle w:val="Bullet1G"/>
      </w:pPr>
      <w:r w:rsidRPr="006953D9">
        <w:t>Civil</w:t>
      </w:r>
      <w:r w:rsidR="000B5A3E" w:rsidRPr="006953D9">
        <w:t xml:space="preserve"> </w:t>
      </w:r>
      <w:r w:rsidRPr="006953D9">
        <w:t>action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compensation,</w:t>
      </w:r>
      <w:r w:rsidR="000B5A3E" w:rsidRPr="006953D9">
        <w:t xml:space="preserve"> </w:t>
      </w:r>
      <w:r w:rsidRPr="006953D9">
        <w:t>restitution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declaratory</w:t>
      </w:r>
      <w:r w:rsidR="000B5A3E" w:rsidRPr="006953D9">
        <w:t xml:space="preserve"> </w:t>
      </w:r>
      <w:r w:rsidRPr="006953D9">
        <w:t>judgment.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possible</w:t>
      </w:r>
      <w:r w:rsidR="000B5A3E" w:rsidRPr="006953D9">
        <w:t xml:space="preserve"> </w:t>
      </w:r>
      <w:r w:rsidRPr="006953D9">
        <w:t>irreparable</w:t>
      </w:r>
      <w:r w:rsidR="000B5A3E" w:rsidRPr="006953D9">
        <w:t xml:space="preserve"> </w:t>
      </w:r>
      <w:r w:rsidRPr="006953D9">
        <w:t>damage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injunction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granted;</w:t>
      </w:r>
      <w:r w:rsidR="000B5A3E" w:rsidRPr="006953D9">
        <w:t xml:space="preserve"> </w:t>
      </w:r>
    </w:p>
    <w:p w:rsidR="00200C10" w:rsidRPr="006953D9" w:rsidRDefault="00200C10" w:rsidP="003A5E81">
      <w:pPr>
        <w:pStyle w:val="Bullet1G"/>
      </w:pPr>
      <w:r w:rsidRPr="006953D9">
        <w:t>Private</w:t>
      </w:r>
      <w:r w:rsidR="000B5A3E" w:rsidRPr="006953D9">
        <w:t xml:space="preserve"> </w:t>
      </w:r>
      <w:r w:rsidRPr="006953D9">
        <w:t>criminal</w:t>
      </w:r>
      <w:r w:rsidR="000B5A3E" w:rsidRPr="006953D9">
        <w:t xml:space="preserve"> </w:t>
      </w:r>
      <w:r w:rsidRPr="006953D9">
        <w:t>prosecution;</w:t>
      </w:r>
    </w:p>
    <w:p w:rsidR="00200C10" w:rsidRPr="006953D9" w:rsidRDefault="00200C10" w:rsidP="003A5E81">
      <w:pPr>
        <w:pStyle w:val="Bullet1G"/>
      </w:pPr>
      <w:r w:rsidRPr="006953D9">
        <w:t>Right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appeal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both</w:t>
      </w:r>
      <w:r w:rsidR="000B5A3E" w:rsidRPr="006953D9">
        <w:t xml:space="preserve"> </w:t>
      </w:r>
      <w:r w:rsidRPr="006953D9">
        <w:t>civil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criminal</w:t>
      </w:r>
      <w:r w:rsidR="000B5A3E" w:rsidRPr="006953D9">
        <w:t xml:space="preserve"> </w:t>
      </w:r>
      <w:r w:rsidRPr="006953D9">
        <w:t>cases;</w:t>
      </w:r>
    </w:p>
    <w:p w:rsidR="00200C10" w:rsidRPr="006953D9" w:rsidRDefault="00200C10" w:rsidP="003A5E81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prerogative</w:t>
      </w:r>
      <w:r w:rsidR="000B5A3E" w:rsidRPr="006953D9">
        <w:t xml:space="preserve"> </w:t>
      </w:r>
      <w:r w:rsidRPr="006953D9">
        <w:t>writs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habeas</w:t>
      </w:r>
      <w:r w:rsidR="000B5A3E" w:rsidRPr="006953D9">
        <w:t xml:space="preserve"> </w:t>
      </w:r>
      <w:r w:rsidRPr="006953D9">
        <w:t>corpus,</w:t>
      </w:r>
      <w:r w:rsidR="000B5A3E" w:rsidRPr="006953D9">
        <w:t xml:space="preserve"> </w:t>
      </w:r>
      <w:r w:rsidRPr="006953D9">
        <w:t>certiorari,</w:t>
      </w:r>
      <w:r w:rsidR="000B5A3E" w:rsidRPr="006953D9">
        <w:t xml:space="preserve"> </w:t>
      </w:r>
      <w:r w:rsidRPr="006953D9">
        <w:t>prohibition,</w:t>
      </w:r>
      <w:r w:rsidR="000B5A3E" w:rsidRPr="006953D9">
        <w:t xml:space="preserve"> </w:t>
      </w:r>
      <w:r w:rsidRPr="006953D9">
        <w:t>mandamus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quo</w:t>
      </w:r>
      <w:r w:rsidR="000B5A3E" w:rsidRPr="006953D9">
        <w:t xml:space="preserve"> </w:t>
      </w:r>
      <w:proofErr w:type="spellStart"/>
      <w:r w:rsidRPr="006953D9">
        <w:t>warranto</w:t>
      </w:r>
      <w:proofErr w:type="spellEnd"/>
      <w:r w:rsidRPr="006953D9">
        <w:t>;</w:t>
      </w:r>
    </w:p>
    <w:p w:rsidR="00200C10" w:rsidRPr="006953D9" w:rsidRDefault="00200C10" w:rsidP="00CD1C2E">
      <w:pPr>
        <w:pStyle w:val="Bullet1G"/>
      </w:pPr>
      <w:r w:rsidRPr="006953D9">
        <w:t>Courts</w:t>
      </w:r>
      <w:r w:rsidR="000B5A3E" w:rsidRPr="006953D9">
        <w:t xml:space="preserve"> </w:t>
      </w:r>
      <w:r w:rsidRPr="006953D9">
        <w:t>exercising</w:t>
      </w:r>
      <w:r w:rsidR="000B5A3E" w:rsidRPr="006953D9">
        <w:t xml:space="preserve"> </w:t>
      </w:r>
      <w:r w:rsidRPr="006953D9">
        <w:t>criminal</w:t>
      </w:r>
      <w:r w:rsidR="000B5A3E" w:rsidRPr="006953D9">
        <w:t xml:space="preserve"> </w:t>
      </w:r>
      <w:r w:rsidRPr="006953D9">
        <w:t>jurisdiction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award</w:t>
      </w:r>
      <w:r w:rsidR="000B5A3E" w:rsidRPr="006953D9">
        <w:t xml:space="preserve"> </w:t>
      </w:r>
      <w:r w:rsidRPr="006953D9">
        <w:t>compensation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victims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crimes</w:t>
      </w:r>
      <w:r w:rsidR="000B5A3E" w:rsidRPr="006953D9">
        <w:t xml:space="preserve"> </w:t>
      </w:r>
      <w:r w:rsidRPr="006953D9">
        <w:t>up</w:t>
      </w:r>
      <w:r w:rsidR="000B5A3E" w:rsidRPr="006953D9">
        <w:t xml:space="preserve"> </w:t>
      </w:r>
      <w:r w:rsidRPr="006953D9">
        <w:t>to,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Assize</w:t>
      </w:r>
      <w:r w:rsidR="000B5A3E" w:rsidRPr="006953D9">
        <w:t xml:space="preserve"> </w:t>
      </w:r>
      <w:r w:rsidRPr="006953D9">
        <w:t>Courts,</w:t>
      </w:r>
      <w:r w:rsidR="000B5A3E" w:rsidRPr="006953D9">
        <w:t xml:space="preserve"> </w:t>
      </w:r>
      <w:r w:rsidRPr="006953D9">
        <w:t>€10</w:t>
      </w:r>
      <w:r w:rsidR="00CD1C2E">
        <w:t>.</w:t>
      </w:r>
      <w:r w:rsidRPr="006953D9">
        <w:t>000;</w:t>
      </w:r>
      <w:r w:rsidR="000B5A3E" w:rsidRPr="006953D9">
        <w:t xml:space="preserve"> </w:t>
      </w:r>
    </w:p>
    <w:p w:rsidR="00200C10" w:rsidRPr="006953D9" w:rsidRDefault="00200C10" w:rsidP="003A5E81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liable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wrongful</w:t>
      </w:r>
      <w:r w:rsidR="000B5A3E" w:rsidRPr="006953D9">
        <w:t xml:space="preserve"> </w:t>
      </w:r>
      <w:r w:rsidRPr="006953D9">
        <w:t>act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omission</w:t>
      </w:r>
      <w:r w:rsidR="000B5A3E" w:rsidRPr="006953D9">
        <w:t xml:space="preserve"> </w:t>
      </w:r>
      <w:r w:rsidRPr="006953D9">
        <w:t>causing</w:t>
      </w:r>
      <w:r w:rsidR="000B5A3E" w:rsidRPr="006953D9">
        <w:t xml:space="preserve"> </w:t>
      </w:r>
      <w:r w:rsidRPr="006953D9">
        <w:t>damage</w:t>
      </w:r>
      <w:r w:rsidR="000B5A3E" w:rsidRPr="006953D9">
        <w:t xml:space="preserve"> </w:t>
      </w:r>
      <w:r w:rsidRPr="006953D9">
        <w:t>committed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purported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duties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officers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authorities;</w:t>
      </w:r>
    </w:p>
    <w:p w:rsidR="00200C10" w:rsidRPr="006953D9" w:rsidRDefault="00200C10" w:rsidP="003A5E81">
      <w:pPr>
        <w:pStyle w:val="Bullet1G"/>
      </w:pP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Ministers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set</w:t>
      </w:r>
      <w:r w:rsidR="000B5A3E" w:rsidRPr="006953D9">
        <w:t xml:space="preserve"> </w:t>
      </w:r>
      <w:r w:rsidRPr="006953D9">
        <w:t>up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Commission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Inquiry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investigate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report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serious</w:t>
      </w:r>
      <w:r w:rsidR="000B5A3E" w:rsidRPr="006953D9">
        <w:t xml:space="preserve"> </w:t>
      </w:r>
      <w:r w:rsidRPr="006953D9">
        <w:t>allegations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misconduct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violations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rights;</w:t>
      </w:r>
    </w:p>
    <w:p w:rsidR="00200C10" w:rsidRPr="006953D9" w:rsidRDefault="00200C10" w:rsidP="003A5E81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House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Representatives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Committees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functions,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parliamentary</w:t>
      </w:r>
      <w:r w:rsidR="000B5A3E" w:rsidRPr="006953D9">
        <w:t xml:space="preserve"> </w:t>
      </w:r>
      <w:r w:rsidRPr="006953D9">
        <w:t>control,</w:t>
      </w:r>
      <w:r w:rsidR="000B5A3E" w:rsidRPr="006953D9">
        <w:t xml:space="preserve"> </w:t>
      </w:r>
      <w:r w:rsidRPr="006953D9">
        <w:t>consider,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many</w:t>
      </w:r>
      <w:r w:rsidR="000B5A3E" w:rsidRPr="006953D9">
        <w:t xml:space="preserve"> </w:t>
      </w:r>
      <w:r w:rsidRPr="006953D9">
        <w:t>occasions,</w:t>
      </w:r>
      <w:r w:rsidR="000B5A3E" w:rsidRPr="006953D9">
        <w:t xml:space="preserve"> </w:t>
      </w:r>
      <w:r w:rsidRPr="006953D9">
        <w:t>allegations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situations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involve</w:t>
      </w:r>
      <w:r w:rsidR="000B5A3E" w:rsidRPr="006953D9">
        <w:t xml:space="preserve"> </w:t>
      </w:r>
      <w:r w:rsidRPr="006953D9">
        <w:t>abuse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rights;</w:t>
      </w:r>
    </w:p>
    <w:p w:rsidR="00200C10" w:rsidRPr="006953D9" w:rsidRDefault="00200C10" w:rsidP="003A5E81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Attorney-General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special</w:t>
      </w:r>
      <w:r w:rsidR="000B5A3E" w:rsidRPr="006953D9">
        <w:t xml:space="preserve"> </w:t>
      </w:r>
      <w:r w:rsidRPr="006953D9">
        <w:t>responsibility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ensure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observance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legality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rule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often</w:t>
      </w:r>
      <w:r w:rsidR="000B5A3E" w:rsidRPr="006953D9">
        <w:t xml:space="preserve"> </w:t>
      </w:r>
      <w:proofErr w:type="spellStart"/>
      <w:r w:rsidRPr="006953D9">
        <w:t>proprio</w:t>
      </w:r>
      <w:proofErr w:type="spellEnd"/>
      <w:r w:rsidR="000B5A3E" w:rsidRPr="006953D9">
        <w:t xml:space="preserve"> </w:t>
      </w:r>
      <w:proofErr w:type="spellStart"/>
      <w:r w:rsidRPr="006953D9">
        <w:t>motu</w:t>
      </w:r>
      <w:proofErr w:type="spellEnd"/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instance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complainant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inquiries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advise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remedies;</w:t>
      </w:r>
    </w:p>
    <w:p w:rsidR="00200C10" w:rsidRPr="006953D9" w:rsidRDefault="00200C10" w:rsidP="003A5E81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Office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3D7A80">
        <w:rPr>
          <w:i/>
          <w:iCs/>
        </w:rPr>
        <w:t>was</w:t>
      </w:r>
      <w:r w:rsidR="000B5A3E" w:rsidRPr="003D7A80">
        <w:rPr>
          <w:i/>
          <w:iCs/>
        </w:rPr>
        <w:t xml:space="preserve"> </w:t>
      </w:r>
      <w:r w:rsidRPr="003D7A80">
        <w:rPr>
          <w:i/>
          <w:iCs/>
        </w:rPr>
        <w:t>set</w:t>
      </w:r>
      <w:r w:rsidR="000B5A3E" w:rsidRPr="006953D9">
        <w:t xml:space="preserve"> </w:t>
      </w:r>
      <w:r w:rsidRPr="006953D9">
        <w:t>up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1991,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responsible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deal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lastRenderedPageBreak/>
        <w:t>concerning</w:t>
      </w:r>
      <w:r w:rsidR="000B5A3E" w:rsidRPr="006953D9">
        <w:t xml:space="preserve"> </w:t>
      </w:r>
      <w:r w:rsidRPr="006953D9">
        <w:t>maladministration,</w:t>
      </w:r>
      <w:r w:rsidR="000B5A3E" w:rsidRPr="006953D9">
        <w:t xml:space="preserve"> </w:t>
      </w:r>
      <w:r w:rsidRPr="006953D9">
        <w:t>misbehaviour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violations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authorities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officers.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basic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amended</w:t>
      </w:r>
      <w:r w:rsidR="000B5A3E" w:rsidRPr="006953D9">
        <w:t xml:space="preserve"> </w:t>
      </w:r>
      <w:r w:rsidRPr="006953D9">
        <w:t>six</w:t>
      </w:r>
      <w:r w:rsidR="000B5A3E" w:rsidRPr="006953D9">
        <w:t xml:space="preserve"> </w:t>
      </w:r>
      <w:r w:rsidRPr="006953D9">
        <w:t>times,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each</w:t>
      </w:r>
      <w:r w:rsidR="000B5A3E" w:rsidRPr="006953D9">
        <w:t xml:space="preserve"> </w:t>
      </w:r>
      <w:r w:rsidRPr="006953D9">
        <w:t>amendment</w:t>
      </w:r>
      <w:r w:rsidR="000B5A3E" w:rsidRPr="006953D9">
        <w:t xml:space="preserve"> </w:t>
      </w:r>
      <w:r w:rsidRPr="006953D9">
        <w:t>either</w:t>
      </w:r>
      <w:r w:rsidR="000B5A3E" w:rsidRPr="006953D9">
        <w:t xml:space="preserve"> </w:t>
      </w:r>
      <w:r w:rsidRPr="006953D9">
        <w:t>enhancing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Institution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powers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expanding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mandate.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amendment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2011,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renamed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broad</w:t>
      </w:r>
      <w:r w:rsidR="000B5A3E" w:rsidRPr="006953D9">
        <w:t xml:space="preserve"> </w:t>
      </w:r>
      <w:r w:rsidRPr="006953D9">
        <w:t>functions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protecting,</w:t>
      </w:r>
      <w:r w:rsidR="000B5A3E" w:rsidRPr="006953D9">
        <w:t xml:space="preserve"> </w:t>
      </w:r>
      <w:r w:rsidRPr="006953D9">
        <w:t>promoting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guaranteeing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addition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above,</w:t>
      </w:r>
      <w:r w:rsidR="000B5A3E" w:rsidRPr="006953D9">
        <w:t xml:space="preserve"> </w:t>
      </w:r>
      <w:r w:rsidRPr="006953D9">
        <w:t>further</w:t>
      </w:r>
      <w:r w:rsidR="000B5A3E" w:rsidRPr="006953D9">
        <w:t xml:space="preserve"> </w:t>
      </w:r>
      <w:r w:rsidRPr="006953D9">
        <w:t>discrete</w:t>
      </w:r>
      <w:r w:rsidR="000B5A3E" w:rsidRPr="006953D9">
        <w:t xml:space="preserve"> </w:t>
      </w:r>
      <w:r w:rsidRPr="006953D9">
        <w:t>legislations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expanded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role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mandate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Office.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particular,</w:t>
      </w:r>
      <w:r w:rsidR="000B5A3E" w:rsidRPr="006953D9">
        <w:t xml:space="preserve"> </w:t>
      </w:r>
      <w:r w:rsidRPr="006953D9">
        <w:t>following</w:t>
      </w:r>
      <w:r w:rsidR="000B5A3E" w:rsidRPr="006953D9">
        <w:t xml:space="preserve"> </w:t>
      </w:r>
      <w:r w:rsidRPr="006953D9">
        <w:t>EU</w:t>
      </w:r>
      <w:r w:rsidR="000B5A3E" w:rsidRPr="006953D9">
        <w:t xml:space="preserve"> </w:t>
      </w:r>
      <w:r w:rsidRPr="006953D9">
        <w:t>Directives</w:t>
      </w:r>
      <w:r w:rsidR="000B5A3E" w:rsidRPr="006953D9">
        <w:t xml:space="preserve"> </w:t>
      </w:r>
      <w:r w:rsidRPr="006953D9">
        <w:t>(2000/78/EC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2000/43/EC)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transposed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2004,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Office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assigned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act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Anti-discrimination</w:t>
      </w:r>
      <w:r w:rsidR="000B5A3E" w:rsidRPr="006953D9">
        <w:t xml:space="preserve"> </w:t>
      </w:r>
      <w:r w:rsidRPr="006953D9">
        <w:t>Body.</w:t>
      </w:r>
      <w:r w:rsidR="000B5A3E" w:rsidRPr="006953D9">
        <w:t xml:space="preserve"> </w:t>
      </w:r>
      <w:r w:rsidRPr="006953D9">
        <w:t>Furthermore,</w:t>
      </w:r>
      <w:r w:rsidR="000B5A3E" w:rsidRPr="006953D9">
        <w:t xml:space="preserve"> </w:t>
      </w:r>
      <w:r w:rsidRPr="006953D9">
        <w:t>after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ratification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Optional</w:t>
      </w:r>
      <w:r w:rsidR="000B5A3E" w:rsidRPr="006953D9">
        <w:t xml:space="preserve"> </w:t>
      </w:r>
      <w:r w:rsidRPr="006953D9">
        <w:t>Protocol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Torture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March</w:t>
      </w:r>
      <w:r w:rsidR="000B5A3E" w:rsidRPr="006953D9">
        <w:t xml:space="preserve"> </w:t>
      </w:r>
      <w:r w:rsidRPr="006953D9">
        <w:t>2009,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Office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established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Mechanism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Prevention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Torture.</w:t>
      </w:r>
      <w:r w:rsidR="000B5A3E" w:rsidRPr="006953D9">
        <w:t xml:space="preserve"> </w:t>
      </w:r>
      <w:r w:rsidRPr="006953D9">
        <w:t>Finally,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Ministers</w:t>
      </w:r>
      <w:r w:rsidR="002206DB" w:rsidRPr="006953D9">
        <w:t>’</w:t>
      </w:r>
      <w:r w:rsidR="000B5A3E" w:rsidRPr="006953D9">
        <w:t xml:space="preserve"> </w:t>
      </w:r>
      <w:r w:rsidRPr="006953D9">
        <w:t>decision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2012,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Office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appointed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accordance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article</w:t>
      </w:r>
      <w:r w:rsidR="000B5A3E" w:rsidRPr="006953D9">
        <w:t xml:space="preserve"> </w:t>
      </w:r>
      <w:r w:rsidRPr="006953D9">
        <w:t>33(2)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Disabilities.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follows</w:t>
      </w:r>
      <w:r w:rsidR="000B5A3E" w:rsidRPr="006953D9">
        <w:t xml:space="preserve"> </w:t>
      </w:r>
      <w:r w:rsidRPr="006953D9">
        <w:t>that,</w:t>
      </w:r>
      <w:r w:rsidR="000B5A3E" w:rsidRPr="006953D9">
        <w:t xml:space="preserve"> </w:t>
      </w:r>
      <w:r w:rsidRPr="006953D9">
        <w:t>while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initial</w:t>
      </w:r>
      <w:r w:rsidR="000B5A3E" w:rsidRPr="006953D9">
        <w:t xml:space="preserve"> </w:t>
      </w:r>
      <w:r w:rsidRPr="006953D9">
        <w:t>competence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investigate</w:t>
      </w:r>
      <w:r w:rsidR="000B5A3E" w:rsidRPr="006953D9">
        <w:t xml:space="preserve"> </w:t>
      </w:r>
      <w:r w:rsidRPr="006953D9">
        <w:t>individuals</w:t>
      </w:r>
      <w:r w:rsidR="000B5A3E" w:rsidRPr="006953D9">
        <w:t xml:space="preserve"> </w:t>
      </w:r>
      <w:r w:rsidRPr="006953D9">
        <w:t>complaints,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invigorated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enriched.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consecutive</w:t>
      </w:r>
      <w:r w:rsidR="000B5A3E" w:rsidRPr="006953D9">
        <w:t xml:space="preserve"> </w:t>
      </w:r>
      <w:r w:rsidRPr="006953D9">
        <w:t>expansion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Office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mandate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turned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into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wide,</w:t>
      </w:r>
      <w:r w:rsidR="000B5A3E" w:rsidRPr="006953D9">
        <w:t xml:space="preserve"> </w:t>
      </w:r>
      <w:r w:rsidRPr="006953D9">
        <w:t>complex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specialized</w:t>
      </w:r>
      <w:r w:rsidR="000B5A3E" w:rsidRPr="006953D9">
        <w:t xml:space="preserve"> </w:t>
      </w:r>
      <w:r w:rsidRPr="006953D9">
        <w:t>responsibilities,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require</w:t>
      </w:r>
      <w:r w:rsidR="000B5A3E" w:rsidRPr="006953D9">
        <w:t xml:space="preserve"> </w:t>
      </w:r>
      <w:r w:rsidRPr="006953D9">
        <w:t>multiple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multileveled</w:t>
      </w:r>
      <w:r w:rsidR="000B5A3E" w:rsidRPr="006953D9">
        <w:t xml:space="preserve"> </w:t>
      </w:r>
      <w:r w:rsidRPr="006953D9">
        <w:t>action.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particular,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fulfilment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role,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Authorities,</w:t>
      </w:r>
      <w:r w:rsidR="000B5A3E" w:rsidRPr="006953D9">
        <w:t xml:space="preserve"> </w:t>
      </w:r>
      <w:r w:rsidRPr="006953D9">
        <w:t>working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umbrella,</w:t>
      </w:r>
      <w:r w:rsidR="000B5A3E" w:rsidRPr="006953D9">
        <w:t xml:space="preserve"> </w:t>
      </w:r>
      <w:r w:rsidRPr="006953D9">
        <w:t>undertake,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constant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regular</w:t>
      </w:r>
      <w:r w:rsidR="000B5A3E" w:rsidRPr="006953D9">
        <w:t xml:space="preserve"> </w:t>
      </w:r>
      <w:r w:rsidRPr="006953D9">
        <w:t>basis,</w:t>
      </w:r>
      <w:r w:rsidR="000B5A3E" w:rsidRPr="006953D9">
        <w:t xml:space="preserve"> </w:t>
      </w:r>
      <w:r w:rsidRPr="006953D9">
        <w:t>activities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preventive,</w:t>
      </w:r>
      <w:r w:rsidR="000B5A3E" w:rsidRPr="006953D9">
        <w:t xml:space="preserve"> </w:t>
      </w:r>
      <w:r w:rsidRPr="006953D9">
        <w:t>mediatory,</w:t>
      </w:r>
      <w:r w:rsidR="000B5A3E" w:rsidRPr="006953D9">
        <w:t xml:space="preserve"> </w:t>
      </w:r>
      <w:r w:rsidRPr="006953D9">
        <w:t>repressive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educational</w:t>
      </w:r>
      <w:r w:rsidR="000B5A3E" w:rsidRPr="006953D9">
        <w:t xml:space="preserve"> </w:t>
      </w:r>
      <w:r w:rsidRPr="006953D9">
        <w:t>character,</w:t>
      </w:r>
      <w:r w:rsidR="000B5A3E" w:rsidRPr="006953D9">
        <w:t xml:space="preserve"> </w:t>
      </w:r>
      <w:r w:rsidRPr="006953D9">
        <w:t>alongside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initiatives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co-operation</w:t>
      </w:r>
      <w:r w:rsidR="000B5A3E" w:rsidRPr="006953D9">
        <w:t xml:space="preserve"> </w:t>
      </w:r>
      <w:r w:rsidRPr="006953D9">
        <w:t>both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civil</w:t>
      </w:r>
      <w:r w:rsidR="000B5A3E" w:rsidRPr="006953D9">
        <w:t xml:space="preserve"> </w:t>
      </w:r>
      <w:r w:rsidRPr="006953D9">
        <w:t>society;</w:t>
      </w:r>
    </w:p>
    <w:p w:rsidR="00200C10" w:rsidRPr="006953D9" w:rsidRDefault="00200C10" w:rsidP="00CD3371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Investigation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Allegations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investigate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examine</w:t>
      </w:r>
      <w:r w:rsidR="000B5A3E" w:rsidRPr="006953D9">
        <w:t xml:space="preserve"> </w:t>
      </w:r>
      <w:r w:rsidRPr="006953D9">
        <w:t>cases</w:t>
      </w:r>
      <w:r w:rsidR="000B5A3E" w:rsidRPr="006953D9">
        <w:t xml:space="preserve"> </w:t>
      </w:r>
      <w:r w:rsidRPr="006953D9">
        <w:t>addressed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officers.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consists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members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high</w:t>
      </w:r>
      <w:r w:rsidR="000B5A3E" w:rsidRPr="006953D9">
        <w:t xml:space="preserve"> </w:t>
      </w:r>
      <w:r w:rsidRPr="006953D9">
        <w:t>morals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qualifications,</w:t>
      </w:r>
      <w:r w:rsidR="000B5A3E" w:rsidRPr="006953D9">
        <w:t xml:space="preserve"> </w:t>
      </w:r>
      <w:r w:rsidRPr="006953D9">
        <w:t>appointed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Republic;</w:t>
      </w:r>
    </w:p>
    <w:p w:rsidR="00200C10" w:rsidRPr="006953D9" w:rsidRDefault="00200C10" w:rsidP="00CD3371">
      <w:pPr>
        <w:pStyle w:val="Bullet1G"/>
      </w:pPr>
      <w:r w:rsidRPr="006953D9">
        <w:t>An</w:t>
      </w:r>
      <w:r w:rsidR="000B5A3E" w:rsidRPr="006953D9">
        <w:t xml:space="preserve"> </w:t>
      </w:r>
      <w:r w:rsidRPr="006953D9">
        <w:t>individual,</w:t>
      </w:r>
      <w:r w:rsidR="000B5A3E" w:rsidRPr="006953D9">
        <w:t xml:space="preserve"> </w:t>
      </w:r>
      <w:r w:rsidRPr="006953D9">
        <w:t>having</w:t>
      </w:r>
      <w:r w:rsidR="000B5A3E" w:rsidRPr="006953D9">
        <w:t xml:space="preserve"> </w:t>
      </w:r>
      <w:r w:rsidRPr="006953D9">
        <w:t>exhausted</w:t>
      </w:r>
      <w:r w:rsidR="000B5A3E" w:rsidRPr="006953D9">
        <w:t xml:space="preserve"> </w:t>
      </w:r>
      <w:r w:rsidRPr="006953D9">
        <w:t>local</w:t>
      </w:r>
      <w:r w:rsidR="000B5A3E" w:rsidRPr="006953D9">
        <w:t xml:space="preserve"> </w:t>
      </w:r>
      <w:r w:rsidRPr="006953D9">
        <w:t>remedies,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recourse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submit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communication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optional</w:t>
      </w:r>
      <w:r w:rsidR="000B5A3E" w:rsidRPr="006953D9">
        <w:t xml:space="preserve"> </w:t>
      </w:r>
      <w:r w:rsidRPr="006953D9">
        <w:t>procedures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various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instruments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as: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Elimination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Forms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Racial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;</w:t>
      </w:r>
      <w:r w:rsidR="000B5A3E" w:rsidRPr="006953D9">
        <w:t xml:space="preserve"> </w:t>
      </w:r>
      <w:r w:rsidRPr="006953D9">
        <w:t>Optional</w:t>
      </w:r>
      <w:r w:rsidR="000B5A3E" w:rsidRPr="006953D9">
        <w:t xml:space="preserve"> </w:t>
      </w:r>
      <w:r w:rsidRPr="006953D9">
        <w:t>Protocol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Elimination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Forms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Women;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Fundamental</w:t>
      </w:r>
      <w:r w:rsidR="000B5A3E" w:rsidRPr="006953D9">
        <w:t xml:space="preserve"> </w:t>
      </w:r>
      <w:r w:rsidRPr="006953D9">
        <w:t>Freedoms</w:t>
      </w:r>
      <w:r w:rsidR="000B5A3E" w:rsidRPr="006953D9">
        <w:t xml:space="preserve"> </w:t>
      </w:r>
      <w:r w:rsidRPr="006953D9">
        <w:t>(European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Rights);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Optional</w:t>
      </w:r>
      <w:r w:rsidR="000B5A3E" w:rsidRPr="006953D9">
        <w:t xml:space="preserve"> </w:t>
      </w:r>
      <w:r w:rsidRPr="006953D9">
        <w:t>Protocol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Covenant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Civil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Rights;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Torture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Cruel,</w:t>
      </w:r>
      <w:r w:rsidR="000B5A3E" w:rsidRPr="006953D9">
        <w:t xml:space="preserve"> </w:t>
      </w:r>
      <w:r w:rsidRPr="006953D9">
        <w:t>Inhuman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Degrading</w:t>
      </w:r>
      <w:r w:rsidR="000B5A3E" w:rsidRPr="006953D9">
        <w:t xml:space="preserve"> </w:t>
      </w:r>
      <w:r w:rsidRPr="006953D9">
        <w:t>Treatment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Punishment;</w:t>
      </w:r>
      <w:r w:rsidR="000B5A3E" w:rsidRPr="006953D9">
        <w:t xml:space="preserve"> </w:t>
      </w:r>
    </w:p>
    <w:p w:rsidR="00200C10" w:rsidRPr="006953D9" w:rsidRDefault="00200C10" w:rsidP="00CD3371">
      <w:pPr>
        <w:pStyle w:val="Bullet1G"/>
      </w:pPr>
      <w:r w:rsidRPr="006953D9">
        <w:t>Cyprus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accepted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compulsory</w:t>
      </w:r>
      <w:r w:rsidR="000B5A3E" w:rsidRPr="006953D9">
        <w:t xml:space="preserve"> </w:t>
      </w:r>
      <w:r w:rsidRPr="006953D9">
        <w:t>jurisdiction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optional</w:t>
      </w:r>
      <w:r w:rsidR="000B5A3E" w:rsidRPr="006953D9">
        <w:t xml:space="preserve"> </w:t>
      </w:r>
      <w:r w:rsidRPr="006953D9">
        <w:t>clause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compulsory</w:t>
      </w:r>
      <w:r w:rsidR="000B5A3E" w:rsidRPr="006953D9">
        <w:t xml:space="preserve"> </w:t>
      </w:r>
      <w:r w:rsidRPr="006953D9">
        <w:t>jurisdiction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article</w:t>
      </w:r>
      <w:r w:rsidR="000B5A3E" w:rsidRPr="006953D9">
        <w:t xml:space="preserve"> </w:t>
      </w:r>
      <w:r w:rsidRPr="006953D9">
        <w:t>36</w:t>
      </w:r>
      <w:r w:rsidR="00CD3371" w:rsidRPr="006953D9">
        <w:t xml:space="preserve"> </w:t>
      </w:r>
      <w:r w:rsidRPr="006953D9">
        <w:t>(2)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Statute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Justice.</w:t>
      </w:r>
    </w:p>
    <w:p w:rsidR="00200C10" w:rsidRPr="006953D9" w:rsidRDefault="00200C10" w:rsidP="00830021">
      <w:pPr>
        <w:pStyle w:val="SingleTxtG"/>
      </w:pPr>
      <w:r w:rsidRPr="006953D9">
        <w:t>97.</w:t>
      </w:r>
      <w:r w:rsidRPr="006953D9">
        <w:tab/>
        <w:t>In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war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danger</w:t>
      </w:r>
      <w:r w:rsidR="000B5A3E" w:rsidRPr="006953D9">
        <w:t xml:space="preserve"> </w:t>
      </w:r>
      <w:r w:rsidRPr="006953D9">
        <w:t>threatening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thereof,</w:t>
      </w:r>
      <w:r w:rsidR="000B5A3E" w:rsidRPr="006953D9">
        <w:t xml:space="preserve"> </w:t>
      </w:r>
      <w:r w:rsidRPr="006953D9">
        <w:t>certain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fundamental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guaranteed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specified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suspended</w:t>
      </w:r>
      <w:r w:rsidR="000B5A3E" w:rsidRPr="006953D9">
        <w:t xml:space="preserve"> </w:t>
      </w:r>
      <w:r w:rsidRPr="006953D9">
        <w:t>during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period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emergency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proclamation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emergency</w:t>
      </w:r>
      <w:r w:rsidR="000B5A3E" w:rsidRPr="006953D9">
        <w:t xml:space="preserve"> </w:t>
      </w:r>
      <w:r w:rsidRPr="006953D9">
        <w:t>issued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Ministers.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proclamation</w:t>
      </w:r>
      <w:r w:rsidR="000B5A3E" w:rsidRPr="006953D9">
        <w:t xml:space="preserve"> </w:t>
      </w:r>
      <w:r w:rsidRPr="006953D9">
        <w:t>must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laid</w:t>
      </w:r>
      <w:r w:rsidR="000B5A3E" w:rsidRPr="006953D9">
        <w:t xml:space="preserve"> </w:t>
      </w:r>
      <w:r w:rsidRPr="006953D9">
        <w:t>forthwith</w:t>
      </w:r>
      <w:r w:rsidR="000B5A3E" w:rsidRPr="006953D9">
        <w:t xml:space="preserve"> </w:t>
      </w:r>
      <w:r w:rsidRPr="006953D9">
        <w:t>before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House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Representatives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power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reject</w:t>
      </w:r>
      <w:r w:rsidR="000B5A3E" w:rsidRPr="006953D9">
        <w:t xml:space="preserve"> </w:t>
      </w:r>
      <w:r w:rsidRPr="006953D9">
        <w:t>it.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suspended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following:</w:t>
      </w:r>
    </w:p>
    <w:p w:rsidR="00200C10" w:rsidRPr="006953D9" w:rsidRDefault="00200C10" w:rsidP="00CD3371">
      <w:pPr>
        <w:pStyle w:val="Bullet1G"/>
      </w:pPr>
      <w:r w:rsidRPr="006953D9">
        <w:t>Prohibition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forced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compulsory</w:t>
      </w:r>
      <w:r w:rsidR="000B5A3E" w:rsidRPr="006953D9">
        <w:t xml:space="preserve"> </w:t>
      </w:r>
      <w:r w:rsidRPr="006953D9">
        <w:t>labour;</w:t>
      </w:r>
    </w:p>
    <w:p w:rsidR="00200C10" w:rsidRPr="006953D9" w:rsidRDefault="00200C10" w:rsidP="00CD3371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liberty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security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person;</w:t>
      </w:r>
    </w:p>
    <w:p w:rsidR="00200C10" w:rsidRPr="006953D9" w:rsidRDefault="00200C10" w:rsidP="00CD3371">
      <w:pPr>
        <w:pStyle w:val="Bullet1G"/>
      </w:pPr>
      <w:r w:rsidRPr="006953D9">
        <w:t>Freedom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movement;</w:t>
      </w:r>
    </w:p>
    <w:p w:rsidR="00200C10" w:rsidRPr="006953D9" w:rsidRDefault="00200C10" w:rsidP="00CD3371">
      <w:pPr>
        <w:pStyle w:val="Bullet1G"/>
      </w:pPr>
      <w:r w:rsidRPr="006953D9">
        <w:t>Inviolability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dwelling</w:t>
      </w:r>
      <w:r w:rsidR="000B5A3E" w:rsidRPr="006953D9">
        <w:t xml:space="preserve"> </w:t>
      </w:r>
      <w:r w:rsidRPr="006953D9">
        <w:t>house;</w:t>
      </w:r>
    </w:p>
    <w:p w:rsidR="00200C10" w:rsidRPr="006953D9" w:rsidRDefault="00200C10" w:rsidP="00CD3371">
      <w:pPr>
        <w:pStyle w:val="Bullet1G"/>
      </w:pPr>
      <w:r w:rsidRPr="006953D9">
        <w:t>Interference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correspondence;</w:t>
      </w:r>
    </w:p>
    <w:p w:rsidR="00200C10" w:rsidRPr="006953D9" w:rsidRDefault="00200C10" w:rsidP="00CD3371">
      <w:pPr>
        <w:pStyle w:val="Bullet1G"/>
      </w:pPr>
      <w:r w:rsidRPr="006953D9">
        <w:t>Freedom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speech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expression;</w:t>
      </w:r>
    </w:p>
    <w:p w:rsidR="00200C10" w:rsidRPr="006953D9" w:rsidRDefault="00200C10" w:rsidP="00CD3371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assembly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freedom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association;</w:t>
      </w:r>
    </w:p>
    <w:p w:rsidR="00200C10" w:rsidRPr="006953D9" w:rsidRDefault="00200C10" w:rsidP="00CD3371">
      <w:pPr>
        <w:pStyle w:val="Bullet1G"/>
      </w:pPr>
      <w:r w:rsidRPr="006953D9">
        <w:lastRenderedPageBreak/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property,</w:t>
      </w:r>
      <w:r w:rsidR="000B5A3E" w:rsidRPr="006953D9">
        <w:t xml:space="preserve"> </w:t>
      </w:r>
      <w:r w:rsidRPr="006953D9">
        <w:t>only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so</w:t>
      </w:r>
      <w:r w:rsidR="000B5A3E" w:rsidRPr="006953D9">
        <w:t xml:space="preserve"> </w:t>
      </w:r>
      <w:r w:rsidRPr="006953D9">
        <w:t>far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prompt</w:t>
      </w:r>
      <w:r w:rsidR="000B5A3E" w:rsidRPr="006953D9">
        <w:t xml:space="preserve"> </w:t>
      </w:r>
      <w:r w:rsidRPr="006953D9">
        <w:t>payment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compensation</w:t>
      </w:r>
      <w:r w:rsidR="000B5A3E" w:rsidRPr="006953D9">
        <w:t xml:space="preserve"> </w:t>
      </w:r>
      <w:r w:rsidRPr="006953D9">
        <w:t>for</w:t>
      </w:r>
    </w:p>
    <w:p w:rsidR="00200C10" w:rsidRPr="006953D9" w:rsidRDefault="00200C10" w:rsidP="00CD3371">
      <w:pPr>
        <w:pStyle w:val="Bullet1G"/>
      </w:pPr>
      <w:r w:rsidRPr="006953D9">
        <w:t>Requisitioning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concerned;</w:t>
      </w:r>
    </w:p>
    <w:p w:rsidR="00200C10" w:rsidRPr="006953D9" w:rsidRDefault="00200C10" w:rsidP="00CD3371">
      <w:pPr>
        <w:pStyle w:val="Bullet1G"/>
      </w:pP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practice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profession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carry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business;</w:t>
      </w:r>
      <w:r w:rsidR="000B5A3E" w:rsidRPr="006953D9">
        <w:t xml:space="preserve"> </w:t>
      </w:r>
      <w:r w:rsidRPr="006953D9">
        <w:t>and</w:t>
      </w:r>
    </w:p>
    <w:p w:rsidR="00200C10" w:rsidRPr="006953D9" w:rsidRDefault="00200C10" w:rsidP="00CD3371">
      <w:pPr>
        <w:pStyle w:val="Bullet1G"/>
      </w:pP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strike.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98.</w:t>
      </w:r>
      <w:r w:rsidRPr="006953D9">
        <w:tab/>
        <w:t>It</w:t>
      </w:r>
      <w:r w:rsidR="000B5A3E" w:rsidRPr="006953D9">
        <w:t xml:space="preserve"> </w:t>
      </w:r>
      <w:r w:rsidRPr="006953D9">
        <w:t>should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noted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never</w:t>
      </w:r>
      <w:r w:rsidR="000B5A3E" w:rsidRPr="006953D9">
        <w:t xml:space="preserve"> </w:t>
      </w:r>
      <w:r w:rsidRPr="006953D9">
        <w:t>proclaimed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emergency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independence,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even</w:t>
      </w:r>
      <w:r w:rsidR="000B5A3E" w:rsidRPr="006953D9">
        <w:t xml:space="preserve"> </w:t>
      </w:r>
      <w:r w:rsidRPr="006953D9">
        <w:t>when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country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invaded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Turkey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became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continues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occupied.</w:t>
      </w:r>
    </w:p>
    <w:p w:rsidR="00200C10" w:rsidRPr="006953D9" w:rsidRDefault="00200C10" w:rsidP="00830021">
      <w:pPr>
        <w:pStyle w:val="SingleTxtG"/>
      </w:pPr>
      <w:r w:rsidRPr="006953D9">
        <w:t>99.</w:t>
      </w:r>
      <w:r w:rsidRPr="006953D9">
        <w:tab/>
        <w:t>International</w:t>
      </w:r>
      <w:r w:rsidR="000B5A3E" w:rsidRPr="006953D9">
        <w:t xml:space="preserve"> </w:t>
      </w:r>
      <w:r w:rsidRPr="006953D9">
        <w:t>conventions</w:t>
      </w:r>
      <w:r w:rsidR="000B5A3E" w:rsidRPr="006953D9">
        <w:t xml:space="preserve"> </w:t>
      </w:r>
      <w:r w:rsidRPr="006953D9">
        <w:t>ratified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acceded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incorporated</w:t>
      </w:r>
      <w:r w:rsidR="000B5A3E" w:rsidRPr="006953D9">
        <w:t xml:space="preserve"> </w:t>
      </w:r>
      <w:r w:rsidRPr="006953D9">
        <w:t>into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municipal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have,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publication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Official</w:t>
      </w:r>
      <w:r w:rsidR="000B5A3E" w:rsidRPr="006953D9">
        <w:t xml:space="preserve"> </w:t>
      </w:r>
      <w:r w:rsidRPr="006953D9">
        <w:t>Gazette,</w:t>
      </w:r>
      <w:r w:rsidR="000B5A3E" w:rsidRPr="006953D9">
        <w:t xml:space="preserve"> </w:t>
      </w:r>
      <w:r w:rsidRPr="006953D9">
        <w:t>superior</w:t>
      </w:r>
      <w:r w:rsidR="000B5A3E" w:rsidRPr="006953D9">
        <w:t xml:space="preserve"> </w:t>
      </w:r>
      <w:r w:rsidRPr="006953D9">
        <w:t>force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municipal</w:t>
      </w:r>
      <w:r w:rsidR="000B5A3E" w:rsidRPr="006953D9">
        <w:t xml:space="preserve"> </w:t>
      </w:r>
      <w:r w:rsidRPr="006953D9">
        <w:t>law.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conventions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directly</w:t>
      </w:r>
      <w:r w:rsidR="000B5A3E" w:rsidRPr="006953D9">
        <w:t xml:space="preserve"> </w:t>
      </w:r>
      <w:r w:rsidRPr="006953D9">
        <w:t>applicable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can</w:t>
      </w:r>
      <w:r w:rsidR="000B5A3E" w:rsidRPr="006953D9">
        <w:t xml:space="preserve"> </w:t>
      </w:r>
      <w:r w:rsidRPr="006953D9">
        <w:t>be,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fact,</w:t>
      </w:r>
      <w:r w:rsidR="000B5A3E" w:rsidRPr="006953D9">
        <w:t xml:space="preserve"> </w:t>
      </w:r>
      <w:r w:rsidRPr="006953D9">
        <w:t>invoked</w:t>
      </w:r>
      <w:r w:rsidR="000B5A3E" w:rsidRPr="006953D9">
        <w:t xml:space="preserve"> </w:t>
      </w:r>
      <w:r w:rsidRPr="006953D9">
        <w:t>before,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directly</w:t>
      </w:r>
      <w:r w:rsidR="000B5A3E" w:rsidRPr="006953D9">
        <w:t xml:space="preserve"> </w:t>
      </w:r>
      <w:r w:rsidRPr="006953D9">
        <w:t>enforced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Courts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administrative</w:t>
      </w:r>
      <w:r w:rsidR="000B5A3E" w:rsidRPr="006953D9">
        <w:t xml:space="preserve"> </w:t>
      </w:r>
      <w:r w:rsidRPr="006953D9">
        <w:t>authorities</w:t>
      </w:r>
      <w:r w:rsidR="000B5A3E" w:rsidRPr="006953D9">
        <w:t xml:space="preserve"> </w:t>
      </w:r>
      <w:r w:rsidRPr="006953D9">
        <w:t>(of</w:t>
      </w:r>
      <w:r w:rsidR="000B5A3E" w:rsidRPr="006953D9">
        <w:t xml:space="preserve"> </w:t>
      </w:r>
      <w:r w:rsidRPr="006953D9">
        <w:t>Decision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Supreme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civil</w:t>
      </w:r>
      <w:r w:rsidR="000B5A3E" w:rsidRPr="006953D9">
        <w:t xml:space="preserve"> </w:t>
      </w:r>
      <w:r w:rsidRPr="006953D9">
        <w:t>appeal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6616,</w:t>
      </w:r>
      <w:r w:rsidR="000B5A3E" w:rsidRPr="006953D9">
        <w:t xml:space="preserve"> </w:t>
      </w:r>
      <w:proofErr w:type="spellStart"/>
      <w:r w:rsidRPr="006953D9">
        <w:rPr>
          <w:i/>
          <w:iCs/>
        </w:rPr>
        <w:t>Malachtou</w:t>
      </w:r>
      <w:proofErr w:type="spellEnd"/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v.</w:t>
      </w:r>
      <w:r w:rsidR="000B5A3E" w:rsidRPr="006953D9">
        <w:rPr>
          <w:i/>
          <w:iCs/>
        </w:rPr>
        <w:t xml:space="preserve"> </w:t>
      </w:r>
      <w:proofErr w:type="spellStart"/>
      <w:r w:rsidRPr="006953D9">
        <w:rPr>
          <w:i/>
          <w:iCs/>
        </w:rPr>
        <w:t>Aloneftis</w:t>
      </w:r>
      <w:proofErr w:type="spellEnd"/>
      <w:r w:rsidRPr="006953D9">
        <w:t>,</w:t>
      </w:r>
      <w:r w:rsidR="000B5A3E" w:rsidRPr="006953D9">
        <w:t xml:space="preserve"> </w:t>
      </w:r>
      <w:r w:rsidRPr="006953D9">
        <w:t>20</w:t>
      </w:r>
      <w:r w:rsidR="000B5A3E" w:rsidRPr="006953D9">
        <w:t xml:space="preserve"> </w:t>
      </w:r>
      <w:r w:rsidRPr="006953D9">
        <w:t>January</w:t>
      </w:r>
      <w:r w:rsidR="000B5A3E" w:rsidRPr="006953D9">
        <w:t xml:space="preserve"> </w:t>
      </w:r>
      <w:r w:rsidRPr="006953D9">
        <w:t>1986).</w:t>
      </w:r>
      <w:r w:rsidR="000B5A3E" w:rsidRPr="006953D9">
        <w:t xml:space="preserve"> </w:t>
      </w:r>
      <w:r w:rsidRPr="006953D9">
        <w:t>When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contains</w:t>
      </w:r>
      <w:r w:rsidR="000B5A3E" w:rsidRPr="006953D9">
        <w:t xml:space="preserve"> </w:t>
      </w:r>
      <w:r w:rsidRPr="006953D9">
        <w:t>non-self-executing</w:t>
      </w:r>
      <w:r w:rsidR="000B5A3E" w:rsidRPr="006953D9">
        <w:t xml:space="preserve"> </w:t>
      </w:r>
      <w:r w:rsidRPr="006953D9">
        <w:t>provisions,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Legislature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obligation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enact</w:t>
      </w:r>
      <w:r w:rsidR="000B5A3E" w:rsidRPr="006953D9">
        <w:t xml:space="preserve"> </w:t>
      </w:r>
      <w:r w:rsidRPr="006953D9">
        <w:t>appropriate</w:t>
      </w:r>
      <w:r w:rsidR="000B5A3E" w:rsidRPr="006953D9">
        <w:t xml:space="preserve"> </w:t>
      </w:r>
      <w:r w:rsidRPr="006953D9">
        <w:t>legislation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harmonise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municipal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make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latter</w:t>
      </w:r>
      <w:r w:rsidR="000B5A3E" w:rsidRPr="006953D9">
        <w:t xml:space="preserve"> </w:t>
      </w:r>
      <w:r w:rsidRPr="006953D9">
        <w:t>fully</w:t>
      </w:r>
      <w:r w:rsidR="000B5A3E" w:rsidRPr="006953D9">
        <w:t xml:space="preserve"> </w:t>
      </w:r>
      <w:r w:rsidRPr="006953D9">
        <w:t>enforceable.</w:t>
      </w:r>
    </w:p>
    <w:p w:rsidR="00200C10" w:rsidRPr="006953D9" w:rsidRDefault="00200C10" w:rsidP="00CB02EB">
      <w:pPr>
        <w:pStyle w:val="H1G"/>
      </w:pPr>
      <w:r w:rsidRPr="006953D9">
        <w:tab/>
      </w:r>
      <w:bookmarkStart w:id="10" w:name="_Toc509325403"/>
      <w:r w:rsidRPr="006953D9">
        <w:t>C.</w:t>
      </w:r>
      <w:r w:rsidRPr="006953D9">
        <w:tab/>
        <w:t>Framework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promoted</w:t>
      </w:r>
      <w:r w:rsidR="000B5A3E" w:rsidRPr="006953D9">
        <w:t xml:space="preserve"> </w:t>
      </w:r>
      <w:r w:rsidRPr="006953D9">
        <w:br/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level</w:t>
      </w:r>
      <w:bookmarkEnd w:id="10"/>
    </w:p>
    <w:p w:rsidR="00200C10" w:rsidRPr="006953D9" w:rsidRDefault="00200C10" w:rsidP="00830021">
      <w:pPr>
        <w:pStyle w:val="SingleTxtG"/>
      </w:pPr>
      <w:r w:rsidRPr="006953D9">
        <w:t>100.</w:t>
      </w:r>
      <w:r w:rsidRPr="006953D9">
        <w:tab/>
        <w:t>Cyprus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practicing</w:t>
      </w:r>
      <w:r w:rsidR="000B5A3E" w:rsidRPr="006953D9">
        <w:t xml:space="preserve"> </w:t>
      </w:r>
      <w:r w:rsidRPr="006953D9">
        <w:t>pluralist</w:t>
      </w:r>
      <w:r w:rsidR="000B5A3E" w:rsidRPr="006953D9">
        <w:t xml:space="preserve"> </w:t>
      </w:r>
      <w:r w:rsidRPr="006953D9">
        <w:t>democracy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absolute</w:t>
      </w:r>
      <w:r w:rsidR="000B5A3E" w:rsidRPr="006953D9">
        <w:t xml:space="preserve"> </w:t>
      </w:r>
      <w:r w:rsidRPr="006953D9">
        <w:t>respect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freedoms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individual.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continuously</w:t>
      </w:r>
      <w:r w:rsidR="000B5A3E" w:rsidRPr="006953D9">
        <w:t xml:space="preserve"> </w:t>
      </w:r>
      <w:r w:rsidRPr="006953D9">
        <w:t>strives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achieve</w:t>
      </w:r>
      <w:r w:rsidR="000B5A3E" w:rsidRPr="006953D9">
        <w:t xml:space="preserve"> </w:t>
      </w:r>
      <w:r w:rsidRPr="006953D9">
        <w:t>more</w:t>
      </w:r>
      <w:r w:rsidR="000B5A3E" w:rsidRPr="006953D9">
        <w:t xml:space="preserve"> </w:t>
      </w:r>
      <w:r w:rsidRPr="006953D9">
        <w:t>progress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field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effective</w:t>
      </w:r>
      <w:r w:rsidR="000B5A3E" w:rsidRPr="006953D9">
        <w:t xml:space="preserve"> </w:t>
      </w:r>
      <w:r w:rsidRPr="006953D9">
        <w:t>control,</w:t>
      </w:r>
      <w:r w:rsidR="000B5A3E" w:rsidRPr="006953D9">
        <w:t xml:space="preserve"> </w:t>
      </w:r>
      <w:r w:rsidRPr="006953D9">
        <w:t>through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set-up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appropriate</w:t>
      </w:r>
      <w:r w:rsidR="000B5A3E" w:rsidRPr="006953D9">
        <w:t xml:space="preserve"> </w:t>
      </w:r>
      <w:r w:rsidRPr="006953D9">
        <w:t>institutions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address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whole</w:t>
      </w:r>
      <w:r w:rsidR="000B5A3E" w:rsidRPr="006953D9">
        <w:t xml:space="preserve"> </w:t>
      </w:r>
      <w:r w:rsidRPr="006953D9">
        <w:t>spectrum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</w:p>
    <w:p w:rsidR="00200C10" w:rsidRPr="006953D9" w:rsidRDefault="00200C10" w:rsidP="00830021">
      <w:pPr>
        <w:pStyle w:val="SingleTxtG"/>
      </w:pPr>
      <w:r w:rsidRPr="006953D9">
        <w:t>101.</w:t>
      </w:r>
      <w:r w:rsidRPr="006953D9">
        <w:tab/>
        <w:t>The</w:t>
      </w:r>
      <w:r w:rsidR="000B5A3E" w:rsidRPr="006953D9">
        <w:t xml:space="preserve"> </w:t>
      </w:r>
      <w:r w:rsidRPr="006953D9">
        <w:t>Parliamentary</w:t>
      </w:r>
      <w:r w:rsidR="000B5A3E" w:rsidRPr="006953D9">
        <w:t xml:space="preserve"> </w:t>
      </w:r>
      <w:r w:rsidRPr="006953D9">
        <w:t>Committee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Equal</w:t>
      </w:r>
      <w:r w:rsidR="000B5A3E" w:rsidRPr="006953D9">
        <w:t xml:space="preserve"> </w:t>
      </w:r>
      <w:r w:rsidRPr="006953D9">
        <w:t>Opportunities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Men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Women</w:t>
      </w:r>
      <w:r w:rsidR="000B5A3E" w:rsidRPr="006953D9">
        <w:t xml:space="preserve"> </w:t>
      </w:r>
      <w:r w:rsidRPr="006953D9">
        <w:t>(PCHREOMW)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Parliamentary</w:t>
      </w:r>
      <w:r w:rsidR="000B5A3E" w:rsidRPr="006953D9">
        <w:t xml:space="preserve"> </w:t>
      </w:r>
      <w:r w:rsidRPr="006953D9">
        <w:t>Mechanism</w:t>
      </w:r>
      <w:r w:rsidR="000B5A3E" w:rsidRPr="006953D9">
        <w:t xml:space="preserve"> </w:t>
      </w:r>
      <w:r w:rsidRPr="006953D9">
        <w:t>monitoring</w:t>
      </w:r>
      <w:r w:rsidR="000B5A3E" w:rsidRPr="006953D9">
        <w:t xml:space="preserve"> </w:t>
      </w:r>
      <w:r w:rsidRPr="006953D9">
        <w:t>respect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examines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application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provisions</w:t>
      </w:r>
      <w:r w:rsidR="000B5A3E" w:rsidRPr="006953D9">
        <w:t xml:space="preserve"> </w:t>
      </w:r>
      <w:r w:rsidRPr="006953D9">
        <w:t>safeguarding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Constitution,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treaties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laws.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deals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violations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people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introduces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reports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Plenary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House.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PCHREOMW</w:t>
      </w:r>
      <w:r w:rsidR="000B5A3E" w:rsidRPr="006953D9">
        <w:t xml:space="preserve"> </w:t>
      </w:r>
      <w:r w:rsidRPr="006953D9">
        <w:t>frequently</w:t>
      </w:r>
      <w:r w:rsidR="000B5A3E" w:rsidRPr="006953D9">
        <w:t xml:space="preserve"> </w:t>
      </w:r>
      <w:r w:rsidRPr="006953D9">
        <w:t>considers</w:t>
      </w:r>
      <w:r w:rsidR="000B5A3E" w:rsidRPr="006953D9">
        <w:t xml:space="preserve"> </w:t>
      </w:r>
      <w:r w:rsidRPr="006953D9">
        <w:t>issues</w:t>
      </w:r>
      <w:r w:rsidR="000B5A3E" w:rsidRPr="006953D9">
        <w:t xml:space="preserve"> </w:t>
      </w:r>
      <w:r w:rsidRPr="006953D9">
        <w:t>of:</w:t>
      </w:r>
      <w:r w:rsidR="000B5A3E" w:rsidRPr="006953D9">
        <w:t xml:space="preserve"> </w:t>
      </w:r>
      <w:r w:rsidRPr="006953D9">
        <w:t>Domestic</w:t>
      </w:r>
      <w:r w:rsidR="000B5A3E" w:rsidRPr="006953D9">
        <w:t xml:space="preserve"> </w:t>
      </w:r>
      <w:r w:rsidRPr="006953D9">
        <w:t>violence,</w:t>
      </w:r>
      <w:r w:rsidR="000B5A3E" w:rsidRPr="006953D9">
        <w:t xml:space="preserve"> </w:t>
      </w:r>
      <w:r w:rsidRPr="006953D9">
        <w:t>Trafficking,</w:t>
      </w:r>
      <w:r w:rsidR="000B5A3E" w:rsidRPr="006953D9">
        <w:t xml:space="preserve"> </w:t>
      </w:r>
      <w:r w:rsidRPr="006953D9">
        <w:t>Unemployment,</w:t>
      </w:r>
      <w:r w:rsidR="000B5A3E" w:rsidRPr="006953D9">
        <w:t xml:space="preserve"> </w:t>
      </w:r>
      <w:r w:rsidRPr="006953D9">
        <w:t>Migration,</w:t>
      </w:r>
      <w:r w:rsidR="000B5A3E" w:rsidRPr="006953D9">
        <w:t xml:space="preserve"> </w:t>
      </w:r>
      <w:r w:rsidRPr="006953D9">
        <w:t>Youth,</w:t>
      </w:r>
      <w:r w:rsidR="000B5A3E" w:rsidRPr="006953D9">
        <w:t xml:space="preserve"> </w:t>
      </w:r>
      <w:r w:rsidRPr="006953D9">
        <w:t>Children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Rights,</w:t>
      </w:r>
      <w:r w:rsidR="000B5A3E" w:rsidRPr="006953D9">
        <w:t xml:space="preserve"> </w:t>
      </w:r>
      <w:r w:rsidRPr="006953D9">
        <w:t>Women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Disabilities.</w:t>
      </w:r>
    </w:p>
    <w:p w:rsidR="00200C10" w:rsidRPr="006953D9" w:rsidRDefault="00200C10" w:rsidP="00830021">
      <w:pPr>
        <w:pStyle w:val="SingleTxtG"/>
      </w:pPr>
      <w:r w:rsidRPr="006953D9">
        <w:t>102.</w:t>
      </w:r>
      <w:r w:rsidRPr="006953D9">
        <w:tab/>
        <w:t>The</w:t>
      </w:r>
      <w:r w:rsidR="000B5A3E" w:rsidRPr="006953D9">
        <w:t xml:space="preserve"> </w:t>
      </w:r>
      <w:r w:rsidRPr="006953D9">
        <w:t>Office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(Ombudsman)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set</w:t>
      </w:r>
      <w:r w:rsidR="000B5A3E" w:rsidRPr="006953D9">
        <w:t xml:space="preserve"> </w:t>
      </w:r>
      <w:r w:rsidRPr="006953D9">
        <w:t>up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1991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virtue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no.</w:t>
      </w:r>
      <w:r w:rsidR="000B5A3E" w:rsidRPr="006953D9">
        <w:t xml:space="preserve"> </w:t>
      </w:r>
      <w:r w:rsidRPr="006953D9">
        <w:t>3(I)/1991</w:t>
      </w:r>
      <w:r w:rsidR="000B5A3E" w:rsidRPr="006953D9">
        <w:t xml:space="preserve"> </w:t>
      </w:r>
      <w:r w:rsidRPr="006953D9">
        <w:t>(the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Administration),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responsible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deal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concerning</w:t>
      </w:r>
      <w:r w:rsidR="000B5A3E" w:rsidRPr="006953D9">
        <w:t xml:space="preserve"> </w:t>
      </w:r>
      <w:r w:rsidRPr="006953D9">
        <w:t>maladministration,</w:t>
      </w:r>
      <w:r w:rsidR="000B5A3E" w:rsidRPr="006953D9">
        <w:t xml:space="preserve"> </w:t>
      </w:r>
      <w:r w:rsidRPr="006953D9">
        <w:t>misbehaviour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violations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authorities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officers.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basic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amended</w:t>
      </w:r>
      <w:r w:rsidR="000B5A3E" w:rsidRPr="006953D9">
        <w:t xml:space="preserve"> </w:t>
      </w:r>
      <w:r w:rsidRPr="006953D9">
        <w:t>six</w:t>
      </w:r>
      <w:r w:rsidR="000B5A3E" w:rsidRPr="006953D9">
        <w:t xml:space="preserve"> </w:t>
      </w:r>
      <w:r w:rsidRPr="006953D9">
        <w:t>times: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1994</w:t>
      </w:r>
      <w:r w:rsidR="000B5A3E" w:rsidRPr="006953D9">
        <w:t xml:space="preserve"> </w:t>
      </w:r>
      <w:r w:rsidRPr="006953D9">
        <w:t>(Law</w:t>
      </w:r>
      <w:r w:rsidR="000B5A3E" w:rsidRPr="006953D9">
        <w:t xml:space="preserve"> </w:t>
      </w:r>
      <w:r w:rsidRPr="006953D9">
        <w:t>no.</w:t>
      </w:r>
      <w:r w:rsidR="000B5A3E" w:rsidRPr="006953D9">
        <w:t xml:space="preserve"> </w:t>
      </w:r>
      <w:r w:rsidRPr="006953D9">
        <w:t>98(I)/1994),</w:t>
      </w:r>
      <w:r w:rsidR="000B5A3E" w:rsidRPr="006953D9">
        <w:t xml:space="preserve"> </w:t>
      </w:r>
      <w:r w:rsidRPr="006953D9">
        <w:t>1995</w:t>
      </w:r>
      <w:r w:rsidR="000B5A3E" w:rsidRPr="006953D9">
        <w:t xml:space="preserve"> </w:t>
      </w:r>
      <w:r w:rsidRPr="006953D9">
        <w:t>(Law</w:t>
      </w:r>
      <w:r w:rsidR="000B5A3E" w:rsidRPr="006953D9">
        <w:t xml:space="preserve"> </w:t>
      </w:r>
      <w:r w:rsidRPr="006953D9">
        <w:t>no.</w:t>
      </w:r>
      <w:r w:rsidR="000B5A3E" w:rsidRPr="006953D9">
        <w:t xml:space="preserve"> </w:t>
      </w:r>
      <w:r w:rsidRPr="006953D9">
        <w:t>101(I)/1995),</w:t>
      </w:r>
      <w:r w:rsidR="000B5A3E" w:rsidRPr="006953D9">
        <w:t xml:space="preserve"> </w:t>
      </w:r>
      <w:r w:rsidRPr="006953D9">
        <w:t>2000</w:t>
      </w:r>
      <w:r w:rsidR="000B5A3E" w:rsidRPr="006953D9">
        <w:t xml:space="preserve"> </w:t>
      </w:r>
      <w:r w:rsidRPr="006953D9">
        <w:t>(Law</w:t>
      </w:r>
      <w:r w:rsidR="000B5A3E" w:rsidRPr="006953D9">
        <w:t xml:space="preserve"> </w:t>
      </w:r>
      <w:r w:rsidRPr="006953D9">
        <w:t>no.</w:t>
      </w:r>
      <w:r w:rsidR="000B5A3E" w:rsidRPr="006953D9">
        <w:t xml:space="preserve"> </w:t>
      </w:r>
      <w:r w:rsidRPr="006953D9">
        <w:t>1(I)/2000),</w:t>
      </w:r>
      <w:r w:rsidR="000B5A3E" w:rsidRPr="006953D9">
        <w:t xml:space="preserve"> </w:t>
      </w:r>
      <w:r w:rsidRPr="006953D9">
        <w:t>2004</w:t>
      </w:r>
      <w:r w:rsidR="000B5A3E" w:rsidRPr="006953D9">
        <w:t xml:space="preserve"> </w:t>
      </w:r>
      <w:r w:rsidRPr="006953D9">
        <w:t>(Law</w:t>
      </w:r>
      <w:r w:rsidR="000B5A3E" w:rsidRPr="006953D9">
        <w:t xml:space="preserve"> </w:t>
      </w:r>
      <w:r w:rsidRPr="006953D9">
        <w:t>no.</w:t>
      </w:r>
      <w:r w:rsidR="000B5A3E" w:rsidRPr="006953D9">
        <w:t xml:space="preserve"> </w:t>
      </w:r>
      <w:r w:rsidRPr="006953D9">
        <w:t>36(I)/2004),</w:t>
      </w:r>
      <w:r w:rsidR="000B5A3E" w:rsidRPr="006953D9">
        <w:t xml:space="preserve"> </w:t>
      </w:r>
      <w:r w:rsidRPr="006953D9">
        <w:t>2011</w:t>
      </w:r>
      <w:r w:rsidR="000B5A3E" w:rsidRPr="006953D9">
        <w:t xml:space="preserve"> </w:t>
      </w:r>
      <w:r w:rsidRPr="006953D9">
        <w:t>(Law</w:t>
      </w:r>
      <w:r w:rsidR="000B5A3E" w:rsidRPr="006953D9">
        <w:t xml:space="preserve"> </w:t>
      </w:r>
      <w:r w:rsidRPr="006953D9">
        <w:t>no.</w:t>
      </w:r>
      <w:r w:rsidR="000B5A3E" w:rsidRPr="006953D9">
        <w:t xml:space="preserve"> </w:t>
      </w:r>
      <w:r w:rsidRPr="006953D9">
        <w:t>158(I)/2011)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2014</w:t>
      </w:r>
      <w:r w:rsidR="000B5A3E" w:rsidRPr="006953D9">
        <w:t xml:space="preserve"> </w:t>
      </w:r>
      <w:r w:rsidRPr="006953D9">
        <w:t>(Law</w:t>
      </w:r>
      <w:r w:rsidR="000B5A3E" w:rsidRPr="006953D9">
        <w:t xml:space="preserve"> </w:t>
      </w:r>
      <w:r w:rsidRPr="006953D9">
        <w:t>no.</w:t>
      </w:r>
      <w:r w:rsidR="000B5A3E" w:rsidRPr="006953D9">
        <w:t xml:space="preserve"> </w:t>
      </w:r>
      <w:r w:rsidRPr="006953D9">
        <w:t>45(I)/2014).</w:t>
      </w:r>
      <w:r w:rsidR="000B5A3E" w:rsidRPr="006953D9">
        <w:t xml:space="preserve"> </w:t>
      </w:r>
      <w:r w:rsidRPr="006953D9">
        <w:t>Each</w:t>
      </w:r>
      <w:r w:rsidR="000B5A3E" w:rsidRPr="006953D9">
        <w:t xml:space="preserve"> </w:t>
      </w:r>
      <w:r w:rsidRPr="006953D9">
        <w:t>amendment</w:t>
      </w:r>
      <w:r w:rsidR="000B5A3E" w:rsidRPr="006953D9">
        <w:t xml:space="preserve"> </w:t>
      </w:r>
      <w:r w:rsidRPr="006953D9">
        <w:t>either</w:t>
      </w:r>
      <w:r w:rsidR="000B5A3E" w:rsidRPr="006953D9">
        <w:t xml:space="preserve"> </w:t>
      </w:r>
      <w:r w:rsidRPr="006953D9">
        <w:t>enhanced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Institution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powers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expanded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mandate.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amendment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2011,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renamed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broad</w:t>
      </w:r>
      <w:r w:rsidR="000B5A3E" w:rsidRPr="006953D9">
        <w:t xml:space="preserve"> </w:t>
      </w:r>
      <w:r w:rsidRPr="006953D9">
        <w:t>functions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protecting,</w:t>
      </w:r>
      <w:r w:rsidR="000B5A3E" w:rsidRPr="006953D9">
        <w:t xml:space="preserve"> </w:t>
      </w:r>
      <w:r w:rsidRPr="006953D9">
        <w:t>promoting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guaranteeing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  <w:r w:rsidRPr="006953D9">
        <w:t>Accordingly,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Office</w:t>
      </w:r>
      <w:r w:rsidR="000B5A3E" w:rsidRPr="006953D9">
        <w:t xml:space="preserve"> </w:t>
      </w:r>
      <w:r w:rsidRPr="006953D9">
        <w:t>constitutes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most</w:t>
      </w:r>
      <w:r w:rsidR="000B5A3E" w:rsidRPr="006953D9">
        <w:t xml:space="preserve"> </w:t>
      </w:r>
      <w:r w:rsidRPr="006953D9">
        <w:t>prevalent</w:t>
      </w:r>
      <w:r w:rsidR="000B5A3E" w:rsidRPr="006953D9">
        <w:t xml:space="preserve"> </w:t>
      </w:r>
      <w:r w:rsidRPr="006953D9">
        <w:t>form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extra-judicial</w:t>
      </w:r>
      <w:r w:rsidR="000B5A3E" w:rsidRPr="006953D9">
        <w:t xml:space="preserve"> </w:t>
      </w:r>
      <w:r w:rsidRPr="006953D9">
        <w:t>control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administration,</w:t>
      </w:r>
      <w:r w:rsidR="000B5A3E" w:rsidRPr="006953D9">
        <w:t xml:space="preserve"> </w:t>
      </w:r>
      <w:r w:rsidRPr="006953D9">
        <w:t>responsible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observance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principle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good</w:t>
      </w:r>
      <w:r w:rsidR="000B5A3E" w:rsidRPr="006953D9">
        <w:t xml:space="preserve"> </w:t>
      </w:r>
      <w:r w:rsidRPr="006953D9">
        <w:t>administrative</w:t>
      </w:r>
      <w:r w:rsidR="000B5A3E" w:rsidRPr="006953D9">
        <w:t xml:space="preserve"> </w:t>
      </w:r>
      <w:r w:rsidRPr="006953D9">
        <w:t>behaviour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fundamental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</w:p>
    <w:p w:rsidR="00200C10" w:rsidRPr="006953D9" w:rsidRDefault="00200C10" w:rsidP="00CB02EB">
      <w:pPr>
        <w:pStyle w:val="SingleTxtG"/>
      </w:pPr>
      <w:r w:rsidRPr="006953D9">
        <w:t>103.</w:t>
      </w:r>
      <w:r w:rsidRPr="006953D9">
        <w:tab/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Mechanism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Prevention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Torture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Cruel,</w:t>
      </w:r>
      <w:r w:rsidR="000B5A3E" w:rsidRPr="006953D9">
        <w:t xml:space="preserve"> </w:t>
      </w:r>
      <w:r w:rsidRPr="006953D9">
        <w:t>Inhuman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Degrading</w:t>
      </w:r>
      <w:r w:rsidR="000B5A3E" w:rsidRPr="006953D9">
        <w:t xml:space="preserve"> </w:t>
      </w:r>
      <w:r w:rsidRPr="006953D9">
        <w:t>Treatment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Punishment</w:t>
      </w:r>
      <w:r w:rsidR="000B5A3E" w:rsidRPr="006953D9">
        <w:t xml:space="preserve"> </w:t>
      </w:r>
      <w:r w:rsidRPr="006953D9">
        <w:t>(NMPTCIDTP)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established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L.2(III)/2009</w:t>
      </w:r>
      <w:r w:rsidR="000B5A3E" w:rsidRPr="006953D9">
        <w:t xml:space="preserve"> </w:t>
      </w:r>
      <w:r w:rsidRPr="006953D9">
        <w:t>ratifying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Optional</w:t>
      </w:r>
      <w:r w:rsidR="000B5A3E" w:rsidRPr="006953D9">
        <w:t xml:space="preserve"> </w:t>
      </w:r>
      <w:r w:rsidRPr="006953D9">
        <w:t>Protocol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Torture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Cruel,</w:t>
      </w:r>
      <w:r w:rsidR="000B5A3E" w:rsidRPr="006953D9">
        <w:t xml:space="preserve"> </w:t>
      </w:r>
      <w:r w:rsidRPr="006953D9">
        <w:t>Inhuman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Degrading</w:t>
      </w:r>
      <w:r w:rsidR="000B5A3E" w:rsidRPr="006953D9">
        <w:t xml:space="preserve"> </w:t>
      </w:r>
      <w:r w:rsidRPr="006953D9">
        <w:t>Treatment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Punishment.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appointed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NMPTCIDTP.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authorized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conduct</w:t>
      </w:r>
      <w:r w:rsidR="000B5A3E" w:rsidRPr="006953D9">
        <w:t xml:space="preserve"> </w:t>
      </w:r>
      <w:r w:rsidRPr="006953D9">
        <w:t>uninterrupted</w:t>
      </w:r>
      <w:r w:rsidR="000B5A3E" w:rsidRPr="006953D9">
        <w:t xml:space="preserve"> </w:t>
      </w:r>
      <w:r w:rsidRPr="006953D9">
        <w:t>visits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places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monitor</w:t>
      </w:r>
      <w:r w:rsidR="000B5A3E" w:rsidRPr="006953D9">
        <w:t xml:space="preserve"> </w:t>
      </w:r>
      <w:r w:rsidRPr="006953D9">
        <w:t>compliance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confidential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interviews.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observes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records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r w:rsidRPr="006953D9">
        <w:t>conditions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makes</w:t>
      </w:r>
      <w:r w:rsidR="000B5A3E" w:rsidRPr="006953D9">
        <w:t xml:space="preserve"> </w:t>
      </w:r>
      <w:r w:rsidRPr="006953D9">
        <w:t>recommendations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improve</w:t>
      </w:r>
      <w:r w:rsidR="000B5A3E" w:rsidRPr="006953D9">
        <w:t xml:space="preserve"> </w:t>
      </w:r>
      <w:r w:rsidRPr="006953D9">
        <w:t>living</w:t>
      </w:r>
      <w:r w:rsidR="000B5A3E" w:rsidRPr="006953D9">
        <w:t xml:space="preserve"> </w:t>
      </w:r>
      <w:r w:rsidRPr="006953D9">
        <w:t>conditions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review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legislation.</w:t>
      </w:r>
    </w:p>
    <w:p w:rsidR="00200C10" w:rsidRPr="006953D9" w:rsidRDefault="00200C10" w:rsidP="00830021">
      <w:pPr>
        <w:pStyle w:val="SingleTxtG"/>
      </w:pPr>
      <w:r w:rsidRPr="006953D9">
        <w:lastRenderedPageBreak/>
        <w:t>104.</w:t>
      </w:r>
      <w:r w:rsidRPr="006953D9">
        <w:tab/>
        <w:t>More</w:t>
      </w:r>
      <w:r w:rsidR="000B5A3E" w:rsidRPr="006953D9">
        <w:t xml:space="preserve"> </w:t>
      </w:r>
      <w:r w:rsidRPr="006953D9">
        <w:t>details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main</w:t>
      </w:r>
      <w:r w:rsidR="000B5A3E" w:rsidRPr="006953D9">
        <w:t xml:space="preserve"> </w:t>
      </w:r>
      <w:r w:rsidRPr="006953D9">
        <w:t>provisions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regarding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NMPTCIDTP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following:</w:t>
      </w:r>
      <w:r w:rsidR="000B5A3E" w:rsidRPr="006953D9">
        <w:t xml:space="preserve"> </w:t>
      </w:r>
    </w:p>
    <w:p w:rsidR="00200C10" w:rsidRPr="006953D9" w:rsidRDefault="00CB02EB" w:rsidP="00830021">
      <w:pPr>
        <w:pStyle w:val="SingleTxtG"/>
      </w:pPr>
      <w:r w:rsidRPr="006953D9">
        <w:tab/>
      </w:r>
      <w:r w:rsidR="00200C10" w:rsidRPr="006953D9">
        <w:t>(a)</w:t>
      </w:r>
      <w:r w:rsidR="00200C10" w:rsidRPr="006953D9">
        <w:tab/>
        <w:t>The</w:t>
      </w:r>
      <w:r w:rsidR="000B5A3E" w:rsidRPr="006953D9">
        <w:t xml:space="preserve"> </w:t>
      </w:r>
      <w:r w:rsidR="00200C10" w:rsidRPr="006953D9">
        <w:t>Commissioner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Administration</w:t>
      </w:r>
      <w:r w:rsidR="000B5A3E" w:rsidRPr="006953D9">
        <w:t xml:space="preserve"> </w:t>
      </w:r>
      <w:r w:rsidR="00200C10" w:rsidRPr="006953D9">
        <w:t>is</w:t>
      </w:r>
      <w:r w:rsidR="000B5A3E" w:rsidRPr="006953D9">
        <w:t xml:space="preserve"> </w:t>
      </w:r>
      <w:r w:rsidR="00200C10" w:rsidRPr="006953D9">
        <w:t>defined</w:t>
      </w:r>
      <w:r w:rsidR="000B5A3E" w:rsidRPr="006953D9">
        <w:t xml:space="preserve"> </w:t>
      </w:r>
      <w:r w:rsidR="00200C10" w:rsidRPr="006953D9">
        <w:t>as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national</w:t>
      </w:r>
      <w:r w:rsidR="000B5A3E" w:rsidRPr="006953D9">
        <w:t xml:space="preserve"> </w:t>
      </w:r>
      <w:r w:rsidR="00200C10" w:rsidRPr="006953D9">
        <w:t>visiting</w:t>
      </w:r>
      <w:r w:rsidR="000B5A3E" w:rsidRPr="006953D9">
        <w:t xml:space="preserve"> </w:t>
      </w:r>
      <w:r w:rsidR="00200C10" w:rsidRPr="006953D9">
        <w:t>body</w:t>
      </w:r>
      <w:r w:rsidR="000B5A3E" w:rsidRPr="006953D9">
        <w:t xml:space="preserve"> </w:t>
      </w:r>
      <w:r w:rsidR="00200C10" w:rsidRPr="006953D9">
        <w:t>provided</w:t>
      </w:r>
      <w:r w:rsidR="000B5A3E" w:rsidRPr="006953D9">
        <w:t xml:space="preserve"> </w:t>
      </w:r>
      <w:r w:rsidR="00200C10" w:rsidRPr="006953D9">
        <w:t>for</w:t>
      </w:r>
      <w:r w:rsidR="000B5A3E" w:rsidRPr="006953D9">
        <w:t xml:space="preserve"> </w:t>
      </w:r>
      <w:r w:rsidR="00200C10" w:rsidRPr="006953D9">
        <w:t>in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Optional</w:t>
      </w:r>
      <w:r w:rsidR="000B5A3E" w:rsidRPr="006953D9">
        <w:t xml:space="preserve"> </w:t>
      </w:r>
      <w:r w:rsidR="00200C10" w:rsidRPr="006953D9">
        <w:t>Protocol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who</w:t>
      </w:r>
      <w:r w:rsidR="000B5A3E" w:rsidRPr="006953D9">
        <w:t xml:space="preserve"> </w:t>
      </w:r>
      <w:r w:rsidR="00200C10" w:rsidRPr="006953D9">
        <w:t>will</w:t>
      </w:r>
      <w:r w:rsidR="000B5A3E" w:rsidRPr="006953D9">
        <w:t xml:space="preserve"> </w:t>
      </w:r>
      <w:r w:rsidR="00200C10" w:rsidRPr="006953D9">
        <w:t>act</w:t>
      </w:r>
      <w:r w:rsidR="000B5A3E" w:rsidRPr="006953D9">
        <w:t xml:space="preserve"> </w:t>
      </w:r>
      <w:r w:rsidR="00200C10" w:rsidRPr="006953D9">
        <w:t>in</w:t>
      </w:r>
      <w:r w:rsidR="000B5A3E" w:rsidRPr="006953D9">
        <w:t xml:space="preserve"> </w:t>
      </w:r>
      <w:r w:rsidR="00200C10" w:rsidRPr="006953D9">
        <w:t>accordance</w:t>
      </w:r>
      <w:r w:rsidR="000B5A3E" w:rsidRPr="006953D9">
        <w:t xml:space="preserve"> </w:t>
      </w:r>
      <w:r w:rsidR="00200C10" w:rsidRPr="006953D9">
        <w:t>with</w:t>
      </w:r>
      <w:r w:rsidR="000B5A3E" w:rsidRPr="006953D9">
        <w:t xml:space="preserve"> </w:t>
      </w:r>
      <w:r w:rsidR="00200C10" w:rsidRPr="006953D9">
        <w:t>Article</w:t>
      </w:r>
      <w:r w:rsidR="000B5A3E" w:rsidRPr="006953D9">
        <w:t xml:space="preserve"> </w:t>
      </w:r>
      <w:r w:rsidR="00200C10" w:rsidRPr="006953D9">
        <w:t>3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Optional</w:t>
      </w:r>
      <w:r w:rsidR="000B5A3E" w:rsidRPr="006953D9">
        <w:t xml:space="preserve"> </w:t>
      </w:r>
      <w:r w:rsidR="00200C10" w:rsidRPr="006953D9">
        <w:t>Protocol;</w:t>
      </w:r>
    </w:p>
    <w:p w:rsidR="00200C10" w:rsidRPr="006953D9" w:rsidRDefault="00CB02EB" w:rsidP="00830021">
      <w:pPr>
        <w:pStyle w:val="SingleTxtG"/>
      </w:pPr>
      <w:r w:rsidRPr="006953D9">
        <w:tab/>
      </w:r>
      <w:r w:rsidR="00200C10" w:rsidRPr="006953D9">
        <w:t>(b)</w:t>
      </w:r>
      <w:r w:rsidR="00200C10" w:rsidRPr="006953D9">
        <w:tab/>
        <w:t>To</w:t>
      </w:r>
      <w:r w:rsidR="000B5A3E" w:rsidRPr="006953D9">
        <w:t xml:space="preserve"> </w:t>
      </w:r>
      <w:r w:rsidR="00200C10" w:rsidRPr="006953D9">
        <w:t>fulfil</w:t>
      </w:r>
      <w:r w:rsidR="000B5A3E" w:rsidRPr="006953D9">
        <w:t xml:space="preserve"> </w:t>
      </w:r>
      <w:r w:rsidR="00200C10" w:rsidRPr="006953D9">
        <w:t>this</w:t>
      </w:r>
      <w:r w:rsidR="000B5A3E" w:rsidRPr="006953D9">
        <w:t xml:space="preserve"> </w:t>
      </w:r>
      <w:r w:rsidR="00200C10" w:rsidRPr="006953D9">
        <w:t>role,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Commissioner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Administration</w:t>
      </w:r>
      <w:r w:rsidR="000B5A3E" w:rsidRPr="006953D9">
        <w:t xml:space="preserve"> </w:t>
      </w:r>
      <w:r w:rsidR="00200C10" w:rsidRPr="006953D9">
        <w:t>is</w:t>
      </w:r>
      <w:r w:rsidR="000B5A3E" w:rsidRPr="006953D9">
        <w:t xml:space="preserve"> </w:t>
      </w:r>
      <w:r w:rsidR="00200C10" w:rsidRPr="006953D9">
        <w:t>authorized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visit</w:t>
      </w:r>
      <w:r w:rsidR="000B5A3E" w:rsidRPr="006953D9">
        <w:t xml:space="preserve"> </w:t>
      </w:r>
      <w:r w:rsidR="00200C10" w:rsidRPr="006953D9">
        <w:t>freely</w:t>
      </w:r>
      <w:r w:rsidR="000B5A3E" w:rsidRPr="006953D9">
        <w:t xml:space="preserve"> </w:t>
      </w:r>
      <w:r w:rsidR="00200C10" w:rsidRPr="006953D9">
        <w:t>at</w:t>
      </w:r>
      <w:r w:rsidR="000B5A3E" w:rsidRPr="006953D9">
        <w:t xml:space="preserve"> </w:t>
      </w:r>
      <w:r w:rsidR="00200C10" w:rsidRPr="006953D9">
        <w:t>regular</w:t>
      </w:r>
      <w:r w:rsidR="000B5A3E" w:rsidRPr="006953D9">
        <w:t xml:space="preserve"> </w:t>
      </w:r>
      <w:r w:rsidR="00200C10" w:rsidRPr="006953D9">
        <w:t>intervals</w:t>
      </w:r>
      <w:r w:rsidR="000B5A3E" w:rsidRPr="006953D9">
        <w:t xml:space="preserve"> </w:t>
      </w:r>
      <w:r w:rsidR="00200C10" w:rsidRPr="006953D9">
        <w:t>places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detention</w:t>
      </w:r>
      <w:r w:rsidR="000B5A3E" w:rsidRPr="006953D9">
        <w:t xml:space="preserve"> </w:t>
      </w:r>
      <w:r w:rsidR="00200C10" w:rsidRPr="006953D9">
        <w:t>by</w:t>
      </w:r>
      <w:r w:rsidR="000B5A3E" w:rsidRPr="006953D9">
        <w:t xml:space="preserve"> </w:t>
      </w:r>
      <w:r w:rsidR="00200C10" w:rsidRPr="006953D9">
        <w:t>written</w:t>
      </w:r>
      <w:r w:rsidR="000B5A3E" w:rsidRPr="006953D9">
        <w:t xml:space="preserve"> </w:t>
      </w:r>
      <w:r w:rsidR="00200C10" w:rsidRPr="006953D9">
        <w:t>notice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check</w:t>
      </w:r>
      <w:r w:rsidR="000B5A3E" w:rsidRPr="006953D9">
        <w:t xml:space="preserve"> </w:t>
      </w:r>
      <w:r w:rsidR="00200C10" w:rsidRPr="006953D9">
        <w:t>compliance</w:t>
      </w:r>
      <w:r w:rsidR="000B5A3E" w:rsidRPr="006953D9">
        <w:t xml:space="preserve"> </w:t>
      </w:r>
      <w:r w:rsidR="00200C10" w:rsidRPr="006953D9">
        <w:t>with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provisions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Convention.</w:t>
      </w:r>
      <w:r w:rsidR="000B5A3E" w:rsidRPr="006953D9">
        <w:t xml:space="preserve"> </w:t>
      </w:r>
      <w:r w:rsidR="00200C10" w:rsidRPr="006953D9">
        <w:t>During</w:t>
      </w:r>
      <w:r w:rsidR="000B5A3E" w:rsidRPr="006953D9">
        <w:t xml:space="preserve"> </w:t>
      </w:r>
      <w:r w:rsidR="00200C10" w:rsidRPr="006953D9">
        <w:t>these</w:t>
      </w:r>
      <w:r w:rsidR="000B5A3E" w:rsidRPr="006953D9">
        <w:t xml:space="preserve"> </w:t>
      </w:r>
      <w:r w:rsidR="00200C10" w:rsidRPr="006953D9">
        <w:t>visits,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Ombudsman</w:t>
      </w:r>
      <w:r w:rsidR="000B5A3E" w:rsidRPr="006953D9">
        <w:t xml:space="preserve"> </w:t>
      </w:r>
      <w:r w:rsidR="00200C10" w:rsidRPr="006953D9">
        <w:t>is</w:t>
      </w:r>
      <w:r w:rsidR="000B5A3E" w:rsidRPr="006953D9">
        <w:t xml:space="preserve"> </w:t>
      </w:r>
      <w:r w:rsidR="00200C10" w:rsidRPr="006953D9">
        <w:t>entitled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have</w:t>
      </w:r>
      <w:r w:rsidR="000B5A3E" w:rsidRPr="006953D9">
        <w:t xml:space="preserve"> </w:t>
      </w:r>
      <w:r w:rsidR="00200C10" w:rsidRPr="006953D9">
        <w:t>free</w:t>
      </w:r>
      <w:r w:rsidR="000B5A3E" w:rsidRPr="006953D9">
        <w:t xml:space="preserve"> </w:t>
      </w:r>
      <w:r w:rsidR="00200C10" w:rsidRPr="006953D9">
        <w:t>access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all</w:t>
      </w:r>
      <w:r w:rsidR="000B5A3E" w:rsidRPr="006953D9">
        <w:t xml:space="preserve"> </w:t>
      </w:r>
      <w:r w:rsidR="00200C10" w:rsidRPr="006953D9">
        <w:t>premises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every</w:t>
      </w:r>
      <w:r w:rsidR="000B5A3E" w:rsidRPr="006953D9">
        <w:t xml:space="preserve"> </w:t>
      </w:r>
      <w:r w:rsidR="00200C10" w:rsidRPr="006953D9">
        <w:t>place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detention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have</w:t>
      </w:r>
      <w:r w:rsidR="000B5A3E" w:rsidRPr="006953D9">
        <w:t xml:space="preserve"> </w:t>
      </w:r>
      <w:r w:rsidR="00200C10" w:rsidRPr="006953D9">
        <w:t>confidential</w:t>
      </w:r>
      <w:r w:rsidR="000B5A3E" w:rsidRPr="006953D9">
        <w:t xml:space="preserve"> </w:t>
      </w:r>
      <w:r w:rsidR="00200C10" w:rsidRPr="006953D9">
        <w:t>individual</w:t>
      </w:r>
      <w:r w:rsidR="000B5A3E" w:rsidRPr="006953D9">
        <w:t xml:space="preserve"> </w:t>
      </w:r>
      <w:r w:rsidR="00200C10" w:rsidRPr="006953D9">
        <w:t>interviews</w:t>
      </w:r>
      <w:r w:rsidR="000B5A3E" w:rsidRPr="006953D9">
        <w:t xml:space="preserve"> </w:t>
      </w:r>
      <w:r w:rsidR="00200C10" w:rsidRPr="006953D9">
        <w:t>with</w:t>
      </w:r>
      <w:r w:rsidR="000B5A3E" w:rsidRPr="006953D9">
        <w:t xml:space="preserve"> </w:t>
      </w:r>
      <w:r w:rsidR="00200C10" w:rsidRPr="006953D9">
        <w:t>any</w:t>
      </w:r>
      <w:r w:rsidR="000B5A3E" w:rsidRPr="006953D9">
        <w:t xml:space="preserve"> </w:t>
      </w:r>
      <w:r w:rsidR="00200C10" w:rsidRPr="006953D9">
        <w:t>person</w:t>
      </w:r>
      <w:r w:rsidR="000B5A3E" w:rsidRPr="006953D9">
        <w:t xml:space="preserve"> </w:t>
      </w:r>
      <w:r w:rsidR="00200C10" w:rsidRPr="006953D9">
        <w:t>it</w:t>
      </w:r>
      <w:r w:rsidR="000B5A3E" w:rsidRPr="006953D9">
        <w:t xml:space="preserve"> </w:t>
      </w:r>
      <w:r w:rsidR="00200C10" w:rsidRPr="006953D9">
        <w:t>considers</w:t>
      </w:r>
      <w:r w:rsidR="000B5A3E" w:rsidRPr="006953D9">
        <w:t xml:space="preserve"> </w:t>
      </w:r>
      <w:r w:rsidR="00200C10" w:rsidRPr="006953D9">
        <w:t>appropriate;</w:t>
      </w:r>
    </w:p>
    <w:p w:rsidR="00200C10" w:rsidRPr="006953D9" w:rsidRDefault="00CB02EB" w:rsidP="00830021">
      <w:pPr>
        <w:pStyle w:val="SingleTxtG"/>
      </w:pPr>
      <w:r w:rsidRPr="006953D9">
        <w:tab/>
      </w:r>
      <w:r w:rsidR="00200C10" w:rsidRPr="006953D9">
        <w:t>(c)</w:t>
      </w:r>
      <w:r w:rsidR="00200C10" w:rsidRPr="006953D9">
        <w:tab/>
        <w:t>It</w:t>
      </w:r>
      <w:r w:rsidR="000B5A3E" w:rsidRPr="006953D9">
        <w:t xml:space="preserve"> </w:t>
      </w:r>
      <w:r w:rsidR="00200C10" w:rsidRPr="006953D9">
        <w:t>is</w:t>
      </w:r>
      <w:r w:rsidR="000B5A3E" w:rsidRPr="006953D9">
        <w:t xml:space="preserve"> </w:t>
      </w:r>
      <w:r w:rsidR="00200C10" w:rsidRPr="006953D9">
        <w:t>compulsory</w:t>
      </w:r>
      <w:r w:rsidR="000B5A3E" w:rsidRPr="006953D9">
        <w:t xml:space="preserve"> </w:t>
      </w:r>
      <w:r w:rsidR="00200C10" w:rsidRPr="006953D9">
        <w:t>for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relevant</w:t>
      </w:r>
      <w:r w:rsidR="000B5A3E" w:rsidRPr="006953D9">
        <w:t xml:space="preserve"> </w:t>
      </w:r>
      <w:r w:rsidR="00200C10" w:rsidRPr="006953D9">
        <w:t>state</w:t>
      </w:r>
      <w:r w:rsidR="000B5A3E" w:rsidRPr="006953D9">
        <w:t xml:space="preserve"> </w:t>
      </w:r>
      <w:r w:rsidR="00200C10" w:rsidRPr="006953D9">
        <w:t>authorities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grant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Commissioner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information</w:t>
      </w:r>
      <w:r w:rsidR="000B5A3E" w:rsidRPr="006953D9">
        <w:t xml:space="preserve"> </w:t>
      </w:r>
      <w:r w:rsidR="00200C10" w:rsidRPr="006953D9">
        <w:t>recorded</w:t>
      </w:r>
      <w:r w:rsidR="000B5A3E" w:rsidRPr="006953D9">
        <w:t xml:space="preserve"> </w:t>
      </w:r>
      <w:r w:rsidR="00200C10" w:rsidRPr="006953D9">
        <w:t>in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Optional</w:t>
      </w:r>
      <w:r w:rsidR="000B5A3E" w:rsidRPr="006953D9">
        <w:t xml:space="preserve"> </w:t>
      </w:r>
      <w:r w:rsidR="00200C10" w:rsidRPr="006953D9">
        <w:t>Protocol;</w:t>
      </w:r>
    </w:p>
    <w:p w:rsidR="00200C10" w:rsidRPr="006953D9" w:rsidRDefault="00CB02EB" w:rsidP="00830021">
      <w:pPr>
        <w:pStyle w:val="SingleTxtG"/>
      </w:pPr>
      <w:r w:rsidRPr="006953D9">
        <w:tab/>
      </w:r>
      <w:r w:rsidR="00200C10" w:rsidRPr="006953D9">
        <w:t>(d)</w:t>
      </w:r>
      <w:r w:rsidR="00200C10" w:rsidRPr="006953D9">
        <w:tab/>
        <w:t>The</w:t>
      </w:r>
      <w:r w:rsidR="000B5A3E" w:rsidRPr="006953D9">
        <w:t xml:space="preserve"> </w:t>
      </w:r>
      <w:r w:rsidR="00200C10" w:rsidRPr="006953D9">
        <w:t>Ombudsman</w:t>
      </w:r>
      <w:r w:rsidR="000B5A3E" w:rsidRPr="006953D9">
        <w:t xml:space="preserve"> </w:t>
      </w:r>
      <w:r w:rsidR="00200C10" w:rsidRPr="006953D9">
        <w:t>may</w:t>
      </w:r>
      <w:r w:rsidR="000B5A3E" w:rsidRPr="006953D9">
        <w:t xml:space="preserve"> </w:t>
      </w:r>
      <w:r w:rsidR="00200C10" w:rsidRPr="006953D9">
        <w:t>make</w:t>
      </w:r>
      <w:r w:rsidR="000B5A3E" w:rsidRPr="006953D9">
        <w:t xml:space="preserve"> </w:t>
      </w:r>
      <w:r w:rsidR="00200C10" w:rsidRPr="006953D9">
        <w:t>recommendations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reports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any</w:t>
      </w:r>
      <w:r w:rsidR="000B5A3E" w:rsidRPr="006953D9">
        <w:t xml:space="preserve"> </w:t>
      </w:r>
      <w:r w:rsidR="00200C10" w:rsidRPr="006953D9">
        <w:t>competent</w:t>
      </w:r>
      <w:r w:rsidR="000B5A3E" w:rsidRPr="006953D9">
        <w:t xml:space="preserve"> </w:t>
      </w:r>
      <w:r w:rsidR="00200C10" w:rsidRPr="006953D9">
        <w:t>authority</w:t>
      </w:r>
      <w:r w:rsidR="000B5A3E" w:rsidRPr="006953D9">
        <w:t xml:space="preserve"> </w:t>
      </w:r>
      <w:r w:rsidR="00200C10" w:rsidRPr="006953D9">
        <w:t>for</w:t>
      </w:r>
      <w:r w:rsidR="000B5A3E" w:rsidRPr="006953D9">
        <w:t xml:space="preserve"> </w:t>
      </w:r>
      <w:r w:rsidR="00200C10" w:rsidRPr="006953D9">
        <w:t>a</w:t>
      </w:r>
      <w:r w:rsidR="000B5A3E" w:rsidRPr="006953D9">
        <w:t xml:space="preserve"> </w:t>
      </w:r>
      <w:r w:rsidR="00200C10" w:rsidRPr="006953D9">
        <w:t>place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detention</w:t>
      </w:r>
      <w:r w:rsidR="000B5A3E" w:rsidRPr="006953D9">
        <w:t xml:space="preserve"> </w:t>
      </w:r>
      <w:r w:rsidR="00200C10" w:rsidRPr="006953D9">
        <w:t>is</w:t>
      </w:r>
      <w:r w:rsidR="000B5A3E" w:rsidRPr="006953D9">
        <w:t xml:space="preserve"> </w:t>
      </w:r>
      <w:r w:rsidR="00200C10" w:rsidRPr="006953D9">
        <w:t>required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report</w:t>
      </w:r>
      <w:r w:rsidR="000B5A3E" w:rsidRPr="006953D9">
        <w:t xml:space="preserve"> </w:t>
      </w:r>
      <w:r w:rsidR="00200C10" w:rsidRPr="006953D9">
        <w:t>on</w:t>
      </w:r>
      <w:r w:rsidR="000B5A3E" w:rsidRPr="006953D9">
        <w:t xml:space="preserve"> </w:t>
      </w:r>
      <w:r w:rsidR="00200C10" w:rsidRPr="006953D9">
        <w:t>any</w:t>
      </w:r>
      <w:r w:rsidR="000B5A3E" w:rsidRPr="006953D9">
        <w:t xml:space="preserve"> </w:t>
      </w:r>
      <w:r w:rsidR="00200C10" w:rsidRPr="006953D9">
        <w:t>measures</w:t>
      </w:r>
      <w:r w:rsidR="000B5A3E" w:rsidRPr="006953D9">
        <w:t xml:space="preserve"> </w:t>
      </w:r>
      <w:r w:rsidR="00200C10" w:rsidRPr="006953D9">
        <w:t>taken</w:t>
      </w:r>
      <w:r w:rsidR="000B5A3E" w:rsidRPr="006953D9">
        <w:t xml:space="preserve"> </w:t>
      </w:r>
      <w:r w:rsidR="00200C10" w:rsidRPr="006953D9">
        <w:t>based</w:t>
      </w:r>
      <w:r w:rsidR="000B5A3E" w:rsidRPr="006953D9">
        <w:t xml:space="preserve"> </w:t>
      </w:r>
      <w:r w:rsidR="00200C10" w:rsidRPr="006953D9">
        <w:t>on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report</w:t>
      </w:r>
      <w:r w:rsidR="000B5A3E" w:rsidRPr="006953D9">
        <w:t xml:space="preserve"> </w:t>
      </w:r>
      <w:r w:rsidR="00200C10" w:rsidRPr="006953D9">
        <w:t>or</w:t>
      </w:r>
      <w:r w:rsidR="000B5A3E" w:rsidRPr="006953D9">
        <w:t xml:space="preserve"> </w:t>
      </w:r>
      <w:r w:rsidR="00200C10" w:rsidRPr="006953D9">
        <w:t>recommendations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Ombudsman;</w:t>
      </w:r>
    </w:p>
    <w:p w:rsidR="00200C10" w:rsidRPr="006953D9" w:rsidRDefault="00CB02EB" w:rsidP="00830021">
      <w:pPr>
        <w:pStyle w:val="SingleTxtG"/>
      </w:pPr>
      <w:r w:rsidRPr="006953D9">
        <w:tab/>
      </w:r>
      <w:r w:rsidR="00200C10" w:rsidRPr="006953D9">
        <w:t>(e)</w:t>
      </w:r>
      <w:r w:rsidR="00200C10" w:rsidRPr="006953D9">
        <w:tab/>
        <w:t>The</w:t>
      </w:r>
      <w:r w:rsidR="000B5A3E" w:rsidRPr="006953D9">
        <w:t xml:space="preserve"> </w:t>
      </w:r>
      <w:r w:rsidR="00200C10" w:rsidRPr="006953D9">
        <w:t>Commissioner</w:t>
      </w:r>
      <w:r w:rsidR="000B5A3E" w:rsidRPr="006953D9">
        <w:t xml:space="preserve"> </w:t>
      </w:r>
      <w:r w:rsidR="00200C10" w:rsidRPr="006953D9">
        <w:t>may</w:t>
      </w:r>
      <w:r w:rsidR="000B5A3E" w:rsidRPr="006953D9">
        <w:t xml:space="preserve"> </w:t>
      </w:r>
      <w:r w:rsidR="00200C10" w:rsidRPr="006953D9">
        <w:t>submit</w:t>
      </w:r>
      <w:r w:rsidR="000B5A3E" w:rsidRPr="006953D9">
        <w:t xml:space="preserve"> </w:t>
      </w:r>
      <w:r w:rsidR="00200C10" w:rsidRPr="006953D9">
        <w:t>suggestions</w:t>
      </w:r>
      <w:r w:rsidR="000B5A3E" w:rsidRPr="006953D9">
        <w:t xml:space="preserve"> </w:t>
      </w:r>
      <w:r w:rsidR="00200C10" w:rsidRPr="006953D9">
        <w:t>for</w:t>
      </w:r>
      <w:r w:rsidR="000B5A3E" w:rsidRPr="006953D9">
        <w:t xml:space="preserve"> </w:t>
      </w:r>
      <w:r w:rsidR="00200C10" w:rsidRPr="006953D9">
        <w:t>improving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legislation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express</w:t>
      </w:r>
      <w:r w:rsidR="000B5A3E" w:rsidRPr="006953D9">
        <w:t xml:space="preserve"> </w:t>
      </w:r>
      <w:r w:rsidR="00200C10" w:rsidRPr="006953D9">
        <w:t>opinions</w:t>
      </w:r>
      <w:r w:rsidR="000B5A3E" w:rsidRPr="006953D9">
        <w:t xml:space="preserve"> </w:t>
      </w:r>
      <w:r w:rsidR="00200C10" w:rsidRPr="006953D9">
        <w:t>in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House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Representatives</w:t>
      </w:r>
      <w:r w:rsidR="000B5A3E" w:rsidRPr="006953D9">
        <w:t xml:space="preserve"> </w:t>
      </w:r>
      <w:r w:rsidR="00200C10" w:rsidRPr="006953D9">
        <w:t>during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examination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relevant</w:t>
      </w:r>
      <w:r w:rsidR="000B5A3E" w:rsidRPr="006953D9">
        <w:t xml:space="preserve"> </w:t>
      </w:r>
      <w:r w:rsidR="00200C10" w:rsidRPr="006953D9">
        <w:t>bills;</w:t>
      </w:r>
    </w:p>
    <w:p w:rsidR="00200C10" w:rsidRPr="006953D9" w:rsidRDefault="00CB02EB" w:rsidP="00830021">
      <w:pPr>
        <w:pStyle w:val="SingleTxtG"/>
      </w:pPr>
      <w:r w:rsidRPr="006953D9">
        <w:tab/>
      </w:r>
      <w:r w:rsidR="00200C10" w:rsidRPr="006953D9">
        <w:t>(f)</w:t>
      </w:r>
      <w:r w:rsidR="00200C10" w:rsidRPr="006953D9">
        <w:tab/>
        <w:t>The</w:t>
      </w:r>
      <w:r w:rsidR="000B5A3E" w:rsidRPr="006953D9">
        <w:t xml:space="preserve"> </w:t>
      </w:r>
      <w:r w:rsidR="00200C10" w:rsidRPr="006953D9">
        <w:t>Commissioner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Administration</w:t>
      </w:r>
      <w:r w:rsidR="000B5A3E" w:rsidRPr="006953D9">
        <w:t xml:space="preserve"> </w:t>
      </w:r>
      <w:r w:rsidR="00200C10" w:rsidRPr="006953D9">
        <w:t>may</w:t>
      </w:r>
      <w:r w:rsidR="000B5A3E" w:rsidRPr="006953D9">
        <w:t xml:space="preserve"> </w:t>
      </w:r>
      <w:r w:rsidR="00200C10" w:rsidRPr="006953D9">
        <w:t>bring</w:t>
      </w:r>
      <w:r w:rsidR="000B5A3E" w:rsidRPr="006953D9">
        <w:t xml:space="preserve"> </w:t>
      </w:r>
      <w:r w:rsidR="00200C10" w:rsidRPr="006953D9">
        <w:t>allegations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detainees</w:t>
      </w:r>
      <w:r w:rsidR="000B5A3E" w:rsidRPr="006953D9">
        <w:t xml:space="preserve"> </w:t>
      </w:r>
      <w:r w:rsidR="00200C10" w:rsidRPr="006953D9">
        <w:t>for</w:t>
      </w:r>
      <w:r w:rsidR="000B5A3E" w:rsidRPr="006953D9">
        <w:t xml:space="preserve"> </w:t>
      </w:r>
      <w:r w:rsidR="00200C10" w:rsidRPr="006953D9">
        <w:t>acts</w:t>
      </w:r>
      <w:r w:rsidR="000B5A3E" w:rsidRPr="006953D9">
        <w:t xml:space="preserve"> </w:t>
      </w:r>
      <w:r w:rsidR="00200C10" w:rsidRPr="006953D9">
        <w:t>violating</w:t>
      </w:r>
      <w:r w:rsidR="000B5A3E" w:rsidRPr="006953D9">
        <w:t xml:space="preserve"> </w:t>
      </w:r>
      <w:r w:rsidR="00200C10" w:rsidRPr="006953D9">
        <w:t>human</w:t>
      </w:r>
      <w:r w:rsidR="000B5A3E" w:rsidRPr="006953D9">
        <w:t xml:space="preserve"> </w:t>
      </w:r>
      <w:r w:rsidR="00200C10" w:rsidRPr="006953D9">
        <w:t>rights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attention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Attorney</w:t>
      </w:r>
      <w:r w:rsidR="000B5A3E" w:rsidRPr="006953D9">
        <w:t xml:space="preserve"> </w:t>
      </w:r>
      <w:r w:rsidR="00200C10" w:rsidRPr="006953D9">
        <w:t>General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Independent</w:t>
      </w:r>
      <w:r w:rsidR="000B5A3E" w:rsidRPr="006953D9">
        <w:t xml:space="preserve"> </w:t>
      </w:r>
      <w:r w:rsidR="00200C10" w:rsidRPr="006953D9">
        <w:t>Authority</w:t>
      </w:r>
      <w:r w:rsidR="000B5A3E" w:rsidRPr="006953D9">
        <w:t xml:space="preserve"> </w:t>
      </w:r>
      <w:r w:rsidR="00200C10" w:rsidRPr="006953D9">
        <w:t>for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Investigation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Allegations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Complaints</w:t>
      </w:r>
      <w:r w:rsidR="000B5A3E" w:rsidRPr="006953D9">
        <w:t xml:space="preserve"> </w:t>
      </w:r>
      <w:r w:rsidR="00200C10" w:rsidRPr="006953D9">
        <w:t>against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Police;</w:t>
      </w:r>
    </w:p>
    <w:p w:rsidR="00200C10" w:rsidRPr="006953D9" w:rsidRDefault="00CB02EB" w:rsidP="00830021">
      <w:pPr>
        <w:pStyle w:val="SingleTxtG"/>
      </w:pPr>
      <w:r w:rsidRPr="006953D9">
        <w:tab/>
      </w:r>
      <w:r w:rsidR="00200C10" w:rsidRPr="006953D9">
        <w:t>(g)</w:t>
      </w:r>
      <w:r w:rsidR="00200C10" w:rsidRPr="006953D9">
        <w:tab/>
        <w:t>The</w:t>
      </w:r>
      <w:r w:rsidR="000B5A3E" w:rsidRPr="006953D9">
        <w:t xml:space="preserve"> </w:t>
      </w:r>
      <w:r w:rsidR="00200C10" w:rsidRPr="006953D9">
        <w:t>Commissioner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Administration</w:t>
      </w:r>
      <w:r w:rsidR="000B5A3E" w:rsidRPr="006953D9">
        <w:t xml:space="preserve"> </w:t>
      </w:r>
      <w:r w:rsidR="00200C10" w:rsidRPr="006953D9">
        <w:t>submits</w:t>
      </w:r>
      <w:r w:rsidR="000B5A3E" w:rsidRPr="006953D9">
        <w:t xml:space="preserve"> </w:t>
      </w:r>
      <w:r w:rsidR="00200C10" w:rsidRPr="006953D9">
        <w:t>an</w:t>
      </w:r>
      <w:r w:rsidR="000B5A3E" w:rsidRPr="006953D9">
        <w:t xml:space="preserve"> </w:t>
      </w:r>
      <w:r w:rsidR="00200C10" w:rsidRPr="006953D9">
        <w:t>annual</w:t>
      </w:r>
      <w:r w:rsidR="000B5A3E" w:rsidRPr="006953D9">
        <w:t xml:space="preserve"> </w:t>
      </w:r>
      <w:r w:rsidR="00200C10" w:rsidRPr="006953D9">
        <w:t>report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President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Republic,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a</w:t>
      </w:r>
      <w:r w:rsidR="000B5A3E" w:rsidRPr="006953D9">
        <w:t xml:space="preserve"> </w:t>
      </w:r>
      <w:r w:rsidR="00200C10" w:rsidRPr="006953D9">
        <w:t>copy</w:t>
      </w:r>
      <w:r w:rsidR="000B5A3E" w:rsidRPr="006953D9">
        <w:t xml:space="preserve"> </w:t>
      </w:r>
      <w:r w:rsidR="00200C10" w:rsidRPr="006953D9">
        <w:t>to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Board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Ministers,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House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Representatives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Attorney</w:t>
      </w:r>
      <w:r w:rsidR="000B5A3E" w:rsidRPr="006953D9">
        <w:t xml:space="preserve"> </w:t>
      </w:r>
      <w:r w:rsidR="00200C10" w:rsidRPr="006953D9">
        <w:t>General,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then</w:t>
      </w:r>
      <w:r w:rsidR="000B5A3E" w:rsidRPr="006953D9">
        <w:t xml:space="preserve"> </w:t>
      </w:r>
      <w:r w:rsidR="00200C10" w:rsidRPr="006953D9">
        <w:t>publishes</w:t>
      </w:r>
      <w:r w:rsidR="000B5A3E" w:rsidRPr="006953D9">
        <w:t xml:space="preserve"> </w:t>
      </w:r>
      <w:r w:rsidR="00200C10" w:rsidRPr="006953D9">
        <w:t>it;</w:t>
      </w:r>
    </w:p>
    <w:p w:rsidR="00200C10" w:rsidRPr="006953D9" w:rsidRDefault="00CB02EB" w:rsidP="00CB02EB">
      <w:pPr>
        <w:pStyle w:val="SingleTxtG"/>
      </w:pPr>
      <w:r w:rsidRPr="006953D9">
        <w:tab/>
      </w:r>
      <w:r w:rsidR="00200C10" w:rsidRPr="006953D9">
        <w:t>(h)</w:t>
      </w:r>
      <w:r w:rsidR="00200C10" w:rsidRPr="006953D9">
        <w:tab/>
        <w:t>The</w:t>
      </w:r>
      <w:r w:rsidR="000B5A3E" w:rsidRPr="006953D9">
        <w:t xml:space="preserve"> </w:t>
      </w:r>
      <w:r w:rsidR="00200C10" w:rsidRPr="006953D9">
        <w:t>Commissioner</w:t>
      </w:r>
      <w:r w:rsidR="000B5A3E" w:rsidRPr="006953D9">
        <w:t xml:space="preserve"> </w:t>
      </w:r>
      <w:r w:rsidR="00200C10" w:rsidRPr="006953D9">
        <w:t>should</w:t>
      </w:r>
      <w:r w:rsidR="000B5A3E" w:rsidRPr="006953D9">
        <w:t xml:space="preserve"> </w:t>
      </w:r>
      <w:r w:rsidR="00200C10" w:rsidRPr="006953D9">
        <w:t>have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necessary</w:t>
      </w:r>
      <w:r w:rsidR="000B5A3E" w:rsidRPr="006953D9">
        <w:t xml:space="preserve"> </w:t>
      </w:r>
      <w:r w:rsidR="00200C10" w:rsidRPr="006953D9">
        <w:t>personnel</w:t>
      </w:r>
      <w:r w:rsidR="000B5A3E" w:rsidRPr="006953D9">
        <w:t xml:space="preserve"> </w:t>
      </w:r>
      <w:r w:rsidR="00200C10" w:rsidRPr="006953D9">
        <w:t>in</w:t>
      </w:r>
      <w:r w:rsidR="000B5A3E" w:rsidRPr="006953D9">
        <w:t xml:space="preserve"> </w:t>
      </w:r>
      <w:r w:rsidR="00200C10" w:rsidRPr="006953D9">
        <w:t>accordance</w:t>
      </w:r>
      <w:r w:rsidR="000B5A3E" w:rsidRPr="006953D9">
        <w:t xml:space="preserve"> </w:t>
      </w:r>
      <w:r w:rsidR="00200C10" w:rsidRPr="006953D9">
        <w:t>with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Commissioner</w:t>
      </w:r>
      <w:r w:rsidR="000B5A3E" w:rsidRPr="006953D9">
        <w:t xml:space="preserve"> </w:t>
      </w:r>
      <w:r w:rsidR="00200C10" w:rsidRPr="006953D9">
        <w:t>for</w:t>
      </w:r>
      <w:r w:rsidR="000B5A3E" w:rsidRPr="006953D9">
        <w:t xml:space="preserve"> </w:t>
      </w:r>
      <w:r w:rsidR="00200C10" w:rsidRPr="006953D9">
        <w:t>Administration</w:t>
      </w:r>
      <w:r w:rsidR="000B5A3E" w:rsidRPr="006953D9">
        <w:t xml:space="preserve"> </w:t>
      </w:r>
      <w:r w:rsidR="00200C10" w:rsidRPr="006953D9">
        <w:t>Law</w:t>
      </w:r>
      <w:r w:rsidR="000B5A3E" w:rsidRPr="006953D9">
        <w:t xml:space="preserve"> </w:t>
      </w:r>
      <w:r w:rsidR="00200C10" w:rsidRPr="006953D9">
        <w:t>or</w:t>
      </w:r>
      <w:r w:rsidR="000B5A3E" w:rsidRPr="006953D9">
        <w:t xml:space="preserve"> </w:t>
      </w:r>
      <w:r w:rsidR="00200C10" w:rsidRPr="006953D9">
        <w:t>any</w:t>
      </w:r>
      <w:r w:rsidR="000B5A3E" w:rsidRPr="006953D9">
        <w:t xml:space="preserve"> </w:t>
      </w:r>
      <w:r w:rsidR="00200C10" w:rsidRPr="006953D9">
        <w:t>additional</w:t>
      </w:r>
      <w:r w:rsidR="000B5A3E" w:rsidRPr="006953D9">
        <w:t xml:space="preserve"> </w:t>
      </w:r>
      <w:r w:rsidR="00200C10" w:rsidRPr="006953D9">
        <w:t>staff</w:t>
      </w:r>
      <w:r w:rsidR="000B5A3E" w:rsidRPr="006953D9">
        <w:t xml:space="preserve"> </w:t>
      </w:r>
      <w:r w:rsidR="00200C10" w:rsidRPr="006953D9">
        <w:t>officers</w:t>
      </w:r>
      <w:r w:rsidR="000B5A3E" w:rsidRPr="006953D9">
        <w:t xml:space="preserve"> </w:t>
      </w:r>
      <w:r w:rsidR="00200C10" w:rsidRPr="006953D9">
        <w:t>whose</w:t>
      </w:r>
      <w:r w:rsidR="000B5A3E" w:rsidRPr="006953D9">
        <w:t xml:space="preserve"> </w:t>
      </w:r>
      <w:r w:rsidR="00200C10" w:rsidRPr="006953D9">
        <w:t>qualifications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terms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service</w:t>
      </w:r>
      <w:r w:rsidR="000B5A3E" w:rsidRPr="006953D9">
        <w:t xml:space="preserve"> </w:t>
      </w:r>
      <w:r w:rsidR="00200C10" w:rsidRPr="006953D9">
        <w:t>are</w:t>
      </w:r>
      <w:r w:rsidR="000B5A3E" w:rsidRPr="006953D9">
        <w:t xml:space="preserve"> </w:t>
      </w:r>
      <w:r w:rsidR="00200C10" w:rsidRPr="006953D9">
        <w:t>specified</w:t>
      </w:r>
      <w:r w:rsidR="000B5A3E" w:rsidRPr="006953D9">
        <w:t xml:space="preserve"> </w:t>
      </w:r>
      <w:r w:rsidR="00200C10" w:rsidRPr="006953D9">
        <w:t>in</w:t>
      </w:r>
      <w:r w:rsidR="000B5A3E" w:rsidRPr="006953D9">
        <w:t xml:space="preserve"> </w:t>
      </w:r>
      <w:r w:rsidR="00200C10" w:rsidRPr="006953D9">
        <w:t>regulations</w:t>
      </w:r>
      <w:r w:rsidR="000B5A3E" w:rsidRPr="006953D9">
        <w:t xml:space="preserve"> </w:t>
      </w:r>
      <w:r w:rsidR="00200C10" w:rsidRPr="006953D9">
        <w:t>adopted</w:t>
      </w:r>
      <w:r w:rsidR="000B5A3E" w:rsidRPr="006953D9">
        <w:t xml:space="preserve"> </w:t>
      </w:r>
      <w:r w:rsidR="00200C10" w:rsidRPr="006953D9">
        <w:t>by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Board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Ministers</w:t>
      </w:r>
      <w:r w:rsidR="000B5A3E" w:rsidRPr="006953D9">
        <w:t xml:space="preserve"> </w:t>
      </w:r>
      <w:r w:rsidR="00200C10" w:rsidRPr="006953D9">
        <w:t>and</w:t>
      </w:r>
      <w:r w:rsidR="000B5A3E" w:rsidRPr="006953D9">
        <w:t xml:space="preserve"> </w:t>
      </w:r>
      <w:r w:rsidR="00200C10" w:rsidRPr="006953D9">
        <w:t>the</w:t>
      </w:r>
      <w:r w:rsidR="000B5A3E" w:rsidRPr="006953D9">
        <w:t xml:space="preserve"> </w:t>
      </w:r>
      <w:r w:rsidR="00200C10" w:rsidRPr="006953D9">
        <w:t>House</w:t>
      </w:r>
      <w:r w:rsidR="000B5A3E" w:rsidRPr="006953D9">
        <w:t xml:space="preserve"> </w:t>
      </w:r>
      <w:r w:rsidR="00200C10" w:rsidRPr="006953D9">
        <w:t>of</w:t>
      </w:r>
      <w:r w:rsidR="000B5A3E" w:rsidRPr="006953D9">
        <w:t xml:space="preserve"> </w:t>
      </w:r>
      <w:r w:rsidR="00200C10" w:rsidRPr="006953D9">
        <w:t>Representatives</w:t>
      </w:r>
      <w:r w:rsidRPr="006953D9">
        <w:t>.</w:t>
      </w:r>
    </w:p>
    <w:p w:rsidR="00200C10" w:rsidRPr="006953D9" w:rsidRDefault="00200C10" w:rsidP="00830021">
      <w:pPr>
        <w:pStyle w:val="SingleTxtG"/>
      </w:pPr>
      <w:r w:rsidRPr="006953D9">
        <w:t>105.</w:t>
      </w:r>
      <w:r w:rsidRPr="006953D9">
        <w:tab/>
        <w:t>In</w:t>
      </w:r>
      <w:r w:rsidR="000B5A3E" w:rsidRPr="006953D9">
        <w:t xml:space="preserve"> </w:t>
      </w:r>
      <w:r w:rsidRPr="006953D9">
        <w:t>addition,</w:t>
      </w:r>
      <w:r w:rsidR="000B5A3E" w:rsidRPr="006953D9">
        <w:t xml:space="preserve"> </w:t>
      </w:r>
      <w:r w:rsidRPr="006953D9">
        <w:rPr>
          <w:i/>
          <w:iCs/>
        </w:rPr>
        <w:t>The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Equal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Pay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Between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Men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and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Women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for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the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Same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Work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or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for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Work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to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which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Equal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Value</w:t>
      </w:r>
      <w:r w:rsidR="000B5A3E" w:rsidRPr="006953D9">
        <w:t xml:space="preserve"> </w:t>
      </w:r>
      <w:r w:rsidRPr="006953D9">
        <w:rPr>
          <w:i/>
          <w:iCs/>
        </w:rPr>
        <w:t>is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attributed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Law</w:t>
      </w:r>
      <w:r w:rsidR="000B5A3E" w:rsidRPr="006953D9">
        <w:t xml:space="preserve"> </w:t>
      </w:r>
      <w:r w:rsidRPr="006953D9">
        <w:t>[L.177</w:t>
      </w:r>
      <w:r w:rsidR="000B5A3E" w:rsidRPr="006953D9">
        <w:t xml:space="preserve"> </w:t>
      </w:r>
      <w:r w:rsidRPr="006953D9">
        <w:t>(I)/2002],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amended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L.38</w:t>
      </w:r>
      <w:r w:rsidR="000B5A3E" w:rsidRPr="006953D9">
        <w:t xml:space="preserve"> </w:t>
      </w:r>
      <w:r w:rsidRPr="006953D9">
        <w:t>(I)/2009,</w:t>
      </w:r>
      <w:r w:rsidR="000B5A3E" w:rsidRPr="006953D9">
        <w:t xml:space="preserve"> </w:t>
      </w:r>
      <w:r w:rsidRPr="006953D9">
        <w:t>granting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independently</w:t>
      </w:r>
      <w:r w:rsidR="000B5A3E" w:rsidRPr="006953D9">
        <w:t xml:space="preserve"> </w:t>
      </w:r>
      <w:r w:rsidRPr="006953D9">
        <w:t>examine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relation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equal</w:t>
      </w:r>
      <w:r w:rsidR="000B5A3E" w:rsidRPr="006953D9">
        <w:t xml:space="preserve"> </w:t>
      </w:r>
      <w:r w:rsidRPr="006953D9">
        <w:t>pay</w:t>
      </w:r>
      <w:r w:rsidR="000B5A3E" w:rsidRPr="006953D9">
        <w:t xml:space="preserve"> </w:t>
      </w:r>
      <w:r w:rsidRPr="006953D9">
        <w:t>between</w:t>
      </w:r>
      <w:r w:rsidR="000B5A3E" w:rsidRPr="006953D9">
        <w:t xml:space="preserve"> </w:t>
      </w:r>
      <w:r w:rsidRPr="006953D9">
        <w:t>men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women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safeguard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principle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equal</w:t>
      </w:r>
      <w:r w:rsidR="000B5A3E" w:rsidRPr="006953D9">
        <w:t xml:space="preserve"> </w:t>
      </w:r>
      <w:r w:rsidRPr="006953D9">
        <w:t>opportunities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equal</w:t>
      </w:r>
      <w:r w:rsidR="000B5A3E" w:rsidRPr="006953D9">
        <w:t xml:space="preserve"> </w:t>
      </w:r>
      <w:r w:rsidRPr="006953D9">
        <w:t>treatment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men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women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matters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employment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occupation.</w:t>
      </w:r>
    </w:p>
    <w:p w:rsidR="00200C10" w:rsidRPr="006953D9" w:rsidRDefault="00200C10" w:rsidP="00830021">
      <w:pPr>
        <w:pStyle w:val="SingleTxtG"/>
      </w:pPr>
      <w:r w:rsidRPr="006953D9">
        <w:t>106.</w:t>
      </w:r>
      <w:r w:rsidRPr="006953D9">
        <w:tab/>
        <w:t>In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way,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required,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implementing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control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open</w:t>
      </w:r>
      <w:r w:rsidR="000B5A3E" w:rsidRPr="006953D9">
        <w:t xml:space="preserve"> </w:t>
      </w:r>
      <w:r w:rsidRPr="006953D9">
        <w:t>communication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competent</w:t>
      </w:r>
      <w:r w:rsidR="000B5A3E" w:rsidRPr="006953D9">
        <w:t xml:space="preserve"> </w:t>
      </w:r>
      <w:r w:rsidRPr="006953D9">
        <w:t>authorities,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act</w:t>
      </w:r>
      <w:r w:rsidR="000B5A3E" w:rsidRPr="006953D9">
        <w:t xml:space="preserve"> </w:t>
      </w:r>
      <w:r w:rsidRPr="006953D9">
        <w:t>proactively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particular</w:t>
      </w:r>
      <w:r w:rsidR="000B5A3E" w:rsidRPr="006953D9">
        <w:t xml:space="preserve"> </w:t>
      </w:r>
      <w:r w:rsidRPr="006953D9">
        <w:t>regarding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matter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torture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inhuman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degrading</w:t>
      </w:r>
      <w:r w:rsidR="000B5A3E" w:rsidRPr="006953D9">
        <w:t xml:space="preserve"> </w:t>
      </w:r>
      <w:r w:rsidRPr="006953D9">
        <w:t>treatment</w:t>
      </w:r>
      <w:r w:rsidR="000B5A3E" w:rsidRPr="006953D9">
        <w:t xml:space="preserve"> </w:t>
      </w:r>
      <w:r w:rsidRPr="006953D9">
        <w:t>through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suggestions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recommendations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submits.</w:t>
      </w:r>
    </w:p>
    <w:p w:rsidR="00200C10" w:rsidRPr="006953D9" w:rsidRDefault="00200C10" w:rsidP="001405CC">
      <w:pPr>
        <w:pStyle w:val="SingleTxtG"/>
      </w:pPr>
      <w:r w:rsidRPr="006953D9">
        <w:t>107.</w:t>
      </w:r>
      <w:r w:rsidRPr="006953D9">
        <w:tab/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end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2011,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amendment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[L.158(I)/2011]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core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[L.3/1991],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competences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Institution,</w:t>
      </w:r>
      <w:r w:rsidR="000B5A3E" w:rsidRPr="006953D9">
        <w:t xml:space="preserve"> </w:t>
      </w:r>
      <w:r w:rsidRPr="006953D9">
        <w:t>established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1998,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transferred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Ombudsman.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result,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undertaken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role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broad</w:t>
      </w:r>
      <w:r w:rsidR="000B5A3E" w:rsidRPr="006953D9">
        <w:t xml:space="preserve"> </w:t>
      </w:r>
      <w:r w:rsidRPr="006953D9">
        <w:t>competence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preservation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extension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implementation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principles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authorities.</w:t>
      </w:r>
    </w:p>
    <w:p w:rsidR="00200C10" w:rsidRPr="006953D9" w:rsidRDefault="00200C10" w:rsidP="00830021">
      <w:pPr>
        <w:pStyle w:val="SingleTxtG"/>
      </w:pPr>
      <w:r w:rsidRPr="006953D9">
        <w:t>108.</w:t>
      </w:r>
      <w:r w:rsidRPr="006953D9">
        <w:tab/>
        <w:t>In</w:t>
      </w:r>
      <w:r w:rsidR="000B5A3E" w:rsidRPr="006953D9">
        <w:t xml:space="preserve"> </w:t>
      </w:r>
      <w:r w:rsidRPr="006953D9">
        <w:t>particular,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responsibility</w:t>
      </w:r>
      <w:r w:rsidR="000B5A3E" w:rsidRPr="006953D9">
        <w:t xml:space="preserve"> </w:t>
      </w:r>
      <w:r w:rsidRPr="006953D9">
        <w:t>through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own</w:t>
      </w:r>
      <w:r w:rsidR="000B5A3E" w:rsidRPr="006953D9">
        <w:t xml:space="preserve"> </w:t>
      </w:r>
      <w:r w:rsidRPr="006953D9">
        <w:t>power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submit</w:t>
      </w:r>
      <w:r w:rsidR="000B5A3E" w:rsidRPr="006953D9">
        <w:t xml:space="preserve"> </w:t>
      </w:r>
      <w:r w:rsidRPr="006953D9">
        <w:t>opinions,</w:t>
      </w:r>
      <w:r w:rsidR="000B5A3E" w:rsidRPr="006953D9">
        <w:t xml:space="preserve"> </w:t>
      </w:r>
      <w:r w:rsidRPr="006953D9">
        <w:t>recommendations,</w:t>
      </w:r>
      <w:r w:rsidR="000B5A3E" w:rsidRPr="006953D9">
        <w:t xml:space="preserve"> </w:t>
      </w:r>
      <w:r w:rsidRPr="006953D9">
        <w:t>proposals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reports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relate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following</w:t>
      </w:r>
      <w:r w:rsidR="000B5A3E" w:rsidRPr="006953D9">
        <w:t xml:space="preserve"> </w:t>
      </w:r>
      <w:r w:rsidRPr="006953D9">
        <w:t>areas:</w:t>
      </w:r>
    </w:p>
    <w:p w:rsidR="00200C10" w:rsidRPr="006953D9" w:rsidRDefault="00200C10" w:rsidP="001405CC">
      <w:pPr>
        <w:pStyle w:val="Bullet1G"/>
      </w:pPr>
      <w:r w:rsidRPr="006953D9">
        <w:t>Any</w:t>
      </w:r>
      <w:r w:rsidR="000B5A3E" w:rsidRPr="006953D9">
        <w:t xml:space="preserve"> </w:t>
      </w:r>
      <w:r w:rsidRPr="006953D9">
        <w:t>situations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violation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decides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take</w:t>
      </w:r>
      <w:r w:rsidR="000B5A3E" w:rsidRPr="006953D9">
        <w:t xml:space="preserve"> </w:t>
      </w:r>
      <w:r w:rsidRPr="006953D9">
        <w:t>up;</w:t>
      </w:r>
    </w:p>
    <w:p w:rsidR="00200C10" w:rsidRPr="006953D9" w:rsidRDefault="00200C10" w:rsidP="001405CC">
      <w:pPr>
        <w:pStyle w:val="Bullet1G"/>
      </w:pP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situation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regard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general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more</w:t>
      </w:r>
      <w:r w:rsidR="000B5A3E" w:rsidRPr="006953D9">
        <w:t xml:space="preserve"> </w:t>
      </w:r>
      <w:r w:rsidRPr="006953D9">
        <w:t>specific</w:t>
      </w:r>
      <w:r w:rsidR="000B5A3E" w:rsidRPr="006953D9">
        <w:t xml:space="preserve"> </w:t>
      </w:r>
      <w:r w:rsidRPr="006953D9">
        <w:t>matters;</w:t>
      </w:r>
    </w:p>
    <w:p w:rsidR="00200C10" w:rsidRPr="006953D9" w:rsidRDefault="00200C10" w:rsidP="001405CC">
      <w:pPr>
        <w:pStyle w:val="Bullet1G"/>
      </w:pPr>
      <w:r w:rsidRPr="006953D9">
        <w:lastRenderedPageBreak/>
        <w:t>Drawing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attention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situations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part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country</w:t>
      </w:r>
      <w:r w:rsidR="000B5A3E" w:rsidRPr="006953D9">
        <w:t xml:space="preserve"> </w:t>
      </w:r>
      <w:r w:rsidRPr="006953D9">
        <w:t>where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violated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making</w:t>
      </w:r>
      <w:r w:rsidR="000B5A3E" w:rsidRPr="006953D9">
        <w:t xml:space="preserve"> </w:t>
      </w:r>
      <w:r w:rsidRPr="006953D9">
        <w:t>proposals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initiatives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put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end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situations;</w:t>
      </w:r>
    </w:p>
    <w:p w:rsidR="00200C10" w:rsidRPr="006953D9" w:rsidRDefault="00200C10" w:rsidP="001405CC">
      <w:pPr>
        <w:pStyle w:val="Bullet1G"/>
      </w:pPr>
      <w:r w:rsidRPr="006953D9">
        <w:t>In</w:t>
      </w:r>
      <w:r w:rsidR="000B5A3E" w:rsidRPr="006953D9">
        <w:t xml:space="preserve"> </w:t>
      </w:r>
      <w:r w:rsidRPr="006953D9">
        <w:t>practice,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addition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examination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refer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violations,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decide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exercise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broad</w:t>
      </w:r>
      <w:r w:rsidR="000B5A3E" w:rsidRPr="006953D9">
        <w:t xml:space="preserve"> </w:t>
      </w:r>
      <w:r w:rsidRPr="006953D9">
        <w:t>powers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NHRI</w:t>
      </w:r>
      <w:r w:rsidR="000B5A3E" w:rsidRPr="006953D9">
        <w:t xml:space="preserve"> </w:t>
      </w:r>
      <w:r w:rsidRPr="006953D9">
        <w:t>when,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day-to-day</w:t>
      </w:r>
      <w:r w:rsidR="000B5A3E" w:rsidRPr="006953D9">
        <w:t xml:space="preserve"> </w:t>
      </w:r>
      <w:r w:rsidRPr="006953D9">
        <w:t>experience,</w:t>
      </w:r>
      <w:r w:rsidR="000B5A3E" w:rsidRPr="006953D9">
        <w:t xml:space="preserve"> </w:t>
      </w:r>
      <w:r w:rsidRPr="006953D9">
        <w:t>ascertains</w:t>
      </w:r>
      <w:r w:rsidR="000B5A3E" w:rsidRPr="006953D9">
        <w:t xml:space="preserve"> </w:t>
      </w:r>
      <w:r w:rsidRPr="006953D9">
        <w:t>problematic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issues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highlighted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given</w:t>
      </w:r>
      <w:r w:rsidR="000B5A3E" w:rsidRPr="006953D9">
        <w:t xml:space="preserve"> </w:t>
      </w:r>
      <w:r w:rsidRPr="006953D9">
        <w:t>more</w:t>
      </w:r>
      <w:r w:rsidR="000B5A3E" w:rsidRPr="006953D9">
        <w:t xml:space="preserve"> </w:t>
      </w:r>
      <w:r w:rsidRPr="006953D9">
        <w:t>attention.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some</w:t>
      </w:r>
      <w:r w:rsidR="000B5A3E" w:rsidRPr="006953D9">
        <w:t xml:space="preserve"> </w:t>
      </w:r>
      <w:r w:rsidRPr="006953D9">
        <w:t>cases,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becomes</w:t>
      </w:r>
      <w:r w:rsidR="000B5A3E" w:rsidRPr="006953D9">
        <w:t xml:space="preserve"> </w:t>
      </w:r>
      <w:r w:rsidRPr="006953D9">
        <w:t>aware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situations</w:t>
      </w:r>
      <w:r w:rsidR="000B5A3E" w:rsidRPr="006953D9">
        <w:t xml:space="preserve"> </w:t>
      </w:r>
      <w:r w:rsidRPr="006953D9">
        <w:t>through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communication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consultations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NGO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stakeholders.</w:t>
      </w:r>
      <w:r w:rsidR="000B5A3E" w:rsidRPr="006953D9">
        <w:t xml:space="preserve"> </w:t>
      </w:r>
      <w:r w:rsidRPr="006953D9">
        <w:t>Indicative</w:t>
      </w:r>
      <w:r w:rsidR="000B5A3E" w:rsidRPr="006953D9">
        <w:t xml:space="preserve"> </w:t>
      </w:r>
      <w:r w:rsidRPr="006953D9">
        <w:t>fields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intervention</w:t>
      </w:r>
      <w:r w:rsidR="000B5A3E" w:rsidRPr="006953D9">
        <w:t xml:space="preserve"> </w:t>
      </w:r>
      <w:r w:rsidRPr="006953D9">
        <w:t>so</w:t>
      </w:r>
      <w:r w:rsidR="000B5A3E" w:rsidRPr="006953D9">
        <w:t xml:space="preserve"> </w:t>
      </w:r>
      <w:r w:rsidRPr="006953D9">
        <w:t>far</w:t>
      </w:r>
      <w:r w:rsidR="000B5A3E" w:rsidRPr="006953D9">
        <w:t xml:space="preserve"> </w:t>
      </w:r>
      <w:r w:rsidRPr="006953D9">
        <w:t>include:</w:t>
      </w:r>
      <w:r w:rsidR="002206DB" w:rsidRPr="006953D9">
        <w:t xml:space="preserve"> </w:t>
      </w:r>
      <w:r w:rsidRPr="006953D9">
        <w:t>Violence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women</w:t>
      </w:r>
      <w:r w:rsidR="000B5A3E" w:rsidRPr="006953D9">
        <w:t xml:space="preserve"> </w:t>
      </w:r>
      <w:r w:rsidRPr="006953D9">
        <w:t>(domestic,</w:t>
      </w:r>
      <w:r w:rsidR="000B5A3E" w:rsidRPr="006953D9">
        <w:t xml:space="preserve"> </w:t>
      </w:r>
      <w:r w:rsidRPr="006953D9">
        <w:t>sexual,</w:t>
      </w:r>
      <w:r w:rsidR="000B5A3E" w:rsidRPr="006953D9">
        <w:t xml:space="preserve"> </w:t>
      </w:r>
      <w:r w:rsidRPr="006953D9">
        <w:t>stalking,</w:t>
      </w:r>
      <w:r w:rsidR="000B5A3E" w:rsidRPr="006953D9">
        <w:t xml:space="preserve"> </w:t>
      </w:r>
      <w:r w:rsidRPr="006953D9">
        <w:t>FGM</w:t>
      </w:r>
      <w:r w:rsidR="000B5A3E" w:rsidRPr="006953D9">
        <w:t xml:space="preserve"> </w:t>
      </w:r>
      <w:r w:rsidRPr="006953D9">
        <w:t>etc</w:t>
      </w:r>
      <w:r w:rsidR="007D6AE1">
        <w:t>.</w:t>
      </w:r>
      <w:r w:rsidRPr="006953D9">
        <w:t>);</w:t>
      </w:r>
      <w:r w:rsidR="000B5A3E" w:rsidRPr="006953D9">
        <w:t xml:space="preserve"> </w:t>
      </w:r>
      <w:r w:rsidRPr="006953D9">
        <w:t>Prostitution;</w:t>
      </w:r>
      <w:r w:rsidR="000B5A3E" w:rsidRPr="006953D9">
        <w:t xml:space="preserve"> </w:t>
      </w:r>
      <w:r w:rsidRPr="006953D9">
        <w:t>Sexism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sphere;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trafficking;</w:t>
      </w:r>
      <w:r w:rsidR="000B5A3E" w:rsidRPr="006953D9">
        <w:t xml:space="preserve"> </w:t>
      </w:r>
      <w:r w:rsidRPr="006953D9">
        <w:t>Statelessness;</w:t>
      </w:r>
      <w:r w:rsidR="000B5A3E" w:rsidRPr="006953D9">
        <w:t xml:space="preserve"> </w:t>
      </w:r>
      <w:r w:rsidRPr="006953D9">
        <w:t>Migrant</w:t>
      </w:r>
      <w:r w:rsidR="000B5A3E" w:rsidRPr="006953D9">
        <w:t xml:space="preserve"> </w:t>
      </w:r>
      <w:r w:rsidRPr="006953D9">
        <w:t>domestic</w:t>
      </w:r>
      <w:r w:rsidR="000B5A3E" w:rsidRPr="006953D9">
        <w:t xml:space="preserve"> </w:t>
      </w:r>
      <w:r w:rsidRPr="006953D9">
        <w:t>workers;</w:t>
      </w:r>
      <w:r w:rsidR="000B5A3E" w:rsidRPr="006953D9">
        <w:t xml:space="preserve"> </w:t>
      </w:r>
      <w:r w:rsidRPr="006953D9">
        <w:t>Migrants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long-term</w:t>
      </w:r>
      <w:r w:rsidR="000B5A3E" w:rsidRPr="006953D9">
        <w:t xml:space="preserve"> </w:t>
      </w:r>
      <w:r w:rsidRPr="006953D9">
        <w:t>residence;</w:t>
      </w:r>
      <w:r w:rsidR="000B5A3E" w:rsidRPr="006953D9">
        <w:t xml:space="preserve"> </w:t>
      </w:r>
      <w:r w:rsidRPr="006953D9">
        <w:t>Suicide</w:t>
      </w:r>
      <w:r w:rsidR="000B5A3E" w:rsidRPr="006953D9">
        <w:t xml:space="preserve"> </w:t>
      </w:r>
      <w:r w:rsidRPr="006953D9">
        <w:t>incidents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prisons;</w:t>
      </w:r>
      <w:r w:rsidR="000B5A3E" w:rsidRPr="006953D9">
        <w:t xml:space="preserve"> </w:t>
      </w:r>
      <w:r w:rsidRPr="006953D9">
        <w:t>Fighting</w:t>
      </w:r>
      <w:r w:rsidR="000B5A3E" w:rsidRPr="006953D9">
        <w:t xml:space="preserve"> </w:t>
      </w:r>
      <w:r w:rsidRPr="006953D9">
        <w:t>AIDS</w:t>
      </w:r>
      <w:r w:rsidR="000B5A3E" w:rsidRPr="006953D9">
        <w:t xml:space="preserve"> </w:t>
      </w:r>
      <w:r w:rsidRPr="006953D9">
        <w:t>prejudices;</w:t>
      </w:r>
    </w:p>
    <w:p w:rsidR="00200C10" w:rsidRPr="006953D9" w:rsidRDefault="00200C10" w:rsidP="001405CC">
      <w:pPr>
        <w:pStyle w:val="Bullet1G"/>
      </w:pPr>
      <w:r w:rsidRPr="006953D9">
        <w:t>Furthermore,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called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House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Representatives,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ad</w:t>
      </w:r>
      <w:r w:rsidR="000B5A3E" w:rsidRPr="006953D9">
        <w:t xml:space="preserve"> </w:t>
      </w:r>
      <w:r w:rsidRPr="006953D9">
        <w:t>hoc</w:t>
      </w:r>
      <w:r w:rsidR="000B5A3E" w:rsidRPr="006953D9">
        <w:t xml:space="preserve"> </w:t>
      </w:r>
      <w:r w:rsidRPr="006953D9">
        <w:t>basis,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express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opinion</w:t>
      </w:r>
      <w:r w:rsidR="000B5A3E" w:rsidRPr="006953D9">
        <w:t xml:space="preserve"> </w:t>
      </w:r>
      <w:r w:rsidRPr="006953D9">
        <w:t>either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proposed</w:t>
      </w:r>
      <w:r w:rsidR="000B5A3E" w:rsidRPr="006953D9">
        <w:t xml:space="preserve"> </w:t>
      </w:r>
      <w:r w:rsidRPr="006953D9">
        <w:t>legislation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related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rights,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matters</w:t>
      </w:r>
      <w:r w:rsidR="000B5A3E" w:rsidRPr="006953D9">
        <w:t xml:space="preserve"> </w:t>
      </w:r>
      <w:r w:rsidRPr="006953D9">
        <w:t>discussed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Parliament.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109.</w:t>
      </w:r>
      <w:r w:rsidRPr="006953D9">
        <w:tab/>
        <w:t>Within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operation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Institution,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shall</w:t>
      </w:r>
      <w:r w:rsidR="000B5A3E" w:rsidRPr="006953D9">
        <w:t xml:space="preserve"> </w:t>
      </w:r>
      <w:r w:rsidRPr="006953D9">
        <w:t>cooperate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organization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system,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regional</w:t>
      </w:r>
      <w:r w:rsidR="000B5A3E" w:rsidRPr="006953D9">
        <w:t xml:space="preserve"> </w:t>
      </w:r>
      <w:r w:rsidRPr="006953D9">
        <w:t>institutions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institutions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countries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competent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areas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  <w:r w:rsidRPr="006953D9">
        <w:t>Furthermore,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shall</w:t>
      </w:r>
      <w:r w:rsidR="000B5A3E" w:rsidRPr="006953D9">
        <w:t xml:space="preserve"> </w:t>
      </w:r>
      <w:r w:rsidRPr="006953D9">
        <w:t>maintain</w:t>
      </w:r>
      <w:r w:rsidR="000B5A3E" w:rsidRPr="006953D9">
        <w:t xml:space="preserve"> </w:t>
      </w:r>
      <w:r w:rsidRPr="006953D9">
        <w:t>consultation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non-governmental</w:t>
      </w:r>
      <w:r w:rsidR="000B5A3E" w:rsidRPr="006953D9">
        <w:t xml:space="preserve"> </w:t>
      </w:r>
      <w:r w:rsidRPr="006953D9">
        <w:t>organizations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bodies</w:t>
      </w:r>
      <w:r w:rsidR="000B5A3E" w:rsidRPr="006953D9">
        <w:t xml:space="preserve"> </w:t>
      </w:r>
      <w:r w:rsidRPr="006953D9">
        <w:t>devoted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110.</w:t>
      </w:r>
      <w:r w:rsidRPr="006953D9">
        <w:tab/>
        <w:t>In</w:t>
      </w:r>
      <w:r w:rsidR="000B5A3E" w:rsidRPr="006953D9">
        <w:t xml:space="preserve"> </w:t>
      </w:r>
      <w:r w:rsidRPr="006953D9">
        <w:t>July</w:t>
      </w:r>
      <w:r w:rsidR="000B5A3E" w:rsidRPr="006953D9">
        <w:t xml:space="preserve"> </w:t>
      </w:r>
      <w:r w:rsidRPr="006953D9">
        <w:t>2015,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Office</w:t>
      </w:r>
      <w:r w:rsidR="000B5A3E" w:rsidRPr="006953D9">
        <w:t xml:space="preserve"> </w:t>
      </w:r>
      <w:r w:rsidRPr="006953D9">
        <w:t>submitted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</w:t>
      </w:r>
      <w:r w:rsidR="000B5A3E" w:rsidRPr="006953D9">
        <w:t xml:space="preserve"> </w:t>
      </w:r>
      <w:r w:rsidRPr="006953D9">
        <w:t>ICC</w:t>
      </w:r>
      <w:r w:rsidR="000B5A3E" w:rsidRPr="006953D9">
        <w:t xml:space="preserve"> </w:t>
      </w:r>
      <w:r w:rsidRPr="006953D9">
        <w:t>(International</w:t>
      </w:r>
      <w:r w:rsidR="000B5A3E" w:rsidRPr="006953D9">
        <w:t xml:space="preserve"> </w:t>
      </w:r>
      <w:r w:rsidRPr="006953D9">
        <w:t>Coordinating</w:t>
      </w:r>
      <w:r w:rsidR="000B5A3E" w:rsidRPr="006953D9">
        <w:t xml:space="preserve"> </w:t>
      </w:r>
      <w:r w:rsidRPr="006953D9">
        <w:t>Committee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Institutions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Rights)</w:t>
      </w:r>
      <w:r w:rsidR="000B5A3E" w:rsidRPr="006953D9">
        <w:t xml:space="preserve"> </w:t>
      </w:r>
      <w:r w:rsidRPr="006953D9">
        <w:t>Subcommittee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Accreditation</w:t>
      </w:r>
      <w:r w:rsidR="000B5A3E" w:rsidRPr="006953D9">
        <w:t xml:space="preserve"> </w:t>
      </w:r>
      <w:r w:rsidRPr="006953D9">
        <w:t>(SCA),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application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accreditation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Institution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Paris</w:t>
      </w:r>
      <w:r w:rsidR="000B5A3E" w:rsidRPr="006953D9">
        <w:t xml:space="preserve"> </w:t>
      </w:r>
      <w:r w:rsidRPr="006953D9">
        <w:t>Principles.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SCA</w:t>
      </w:r>
      <w:r w:rsidR="000B5A3E" w:rsidRPr="006953D9">
        <w:t xml:space="preserve"> </w:t>
      </w:r>
      <w:r w:rsidRPr="006953D9">
        <w:t>considered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application</w:t>
      </w:r>
      <w:r w:rsidR="000B5A3E" w:rsidRPr="006953D9">
        <w:t xml:space="preserve"> </w:t>
      </w:r>
      <w:r w:rsidRPr="006953D9">
        <w:t>during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session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16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20</w:t>
      </w:r>
      <w:r w:rsidR="000B5A3E" w:rsidRPr="006953D9">
        <w:t xml:space="preserve"> </w:t>
      </w:r>
      <w:r w:rsidRPr="006953D9">
        <w:t>November</w:t>
      </w:r>
      <w:r w:rsidR="000B5A3E" w:rsidRPr="006953D9">
        <w:t xml:space="preserve"> </w:t>
      </w:r>
      <w:r w:rsidRPr="006953D9">
        <w:t>2015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recommended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Office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accredited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B</w:t>
      </w:r>
      <w:r w:rsidR="000B5A3E" w:rsidRPr="006953D9">
        <w:t xml:space="preserve"> </w:t>
      </w:r>
      <w:r w:rsidRPr="006953D9">
        <w:t>Status.</w:t>
      </w:r>
      <w:r w:rsidR="000B5A3E" w:rsidRPr="006953D9">
        <w:t xml:space="preserve"> </w:t>
      </w:r>
      <w:r w:rsidRPr="006953D9">
        <w:t>Following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deadline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28</w:t>
      </w:r>
      <w:r w:rsidR="000B5A3E" w:rsidRPr="006953D9">
        <w:t xml:space="preserve"> </w:t>
      </w:r>
      <w:r w:rsidRPr="006953D9">
        <w:t>days,</w:t>
      </w:r>
      <w:r w:rsidR="000B5A3E" w:rsidRPr="006953D9">
        <w:t xml:space="preserve"> </w:t>
      </w:r>
      <w:r w:rsidRPr="006953D9">
        <w:t>during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challenge</w:t>
      </w:r>
      <w:r w:rsidR="000B5A3E" w:rsidRPr="006953D9">
        <w:t xml:space="preserve"> </w:t>
      </w:r>
      <w:r w:rsidRPr="006953D9">
        <w:t>these</w:t>
      </w:r>
      <w:r w:rsidR="000B5A3E" w:rsidRPr="006953D9">
        <w:t xml:space="preserve"> </w:t>
      </w:r>
      <w:r w:rsidRPr="006953D9">
        <w:t>recommendations,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SCA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recommendation</w:t>
      </w:r>
      <w:r w:rsidR="000B5A3E" w:rsidRPr="006953D9">
        <w:t xml:space="preserve"> </w:t>
      </w:r>
      <w:r w:rsidRPr="006953D9">
        <w:t>will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sent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members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ICC</w:t>
      </w:r>
      <w:r w:rsidR="000B5A3E" w:rsidRPr="006953D9">
        <w:t xml:space="preserve"> </w:t>
      </w:r>
      <w:r w:rsidRPr="006953D9">
        <w:t>Bureau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approval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final</w:t>
      </w:r>
      <w:r w:rsidR="000B5A3E" w:rsidRPr="006953D9">
        <w:t xml:space="preserve"> </w:t>
      </w:r>
      <w:r w:rsidRPr="006953D9">
        <w:t>decision.</w:t>
      </w:r>
    </w:p>
    <w:p w:rsidR="00200C10" w:rsidRPr="006953D9" w:rsidRDefault="00200C10" w:rsidP="00830021">
      <w:pPr>
        <w:pStyle w:val="SingleTxtG"/>
      </w:pPr>
      <w:r w:rsidRPr="006953D9">
        <w:t>111.</w:t>
      </w:r>
      <w:r w:rsidRPr="006953D9">
        <w:tab/>
        <w:t>It</w:t>
      </w:r>
      <w:r w:rsidR="000B5A3E" w:rsidRPr="006953D9">
        <w:t xml:space="preserve"> </w:t>
      </w:r>
      <w:r w:rsidRPr="006953D9">
        <w:t>should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noted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examination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legislation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administrative</w:t>
      </w:r>
      <w:r w:rsidR="000B5A3E" w:rsidRPr="006953D9">
        <w:t xml:space="preserve"> </w:t>
      </w:r>
      <w:r w:rsidRPr="006953D9">
        <w:t>provisions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force,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bills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proposals,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making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recommendations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ensuring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these</w:t>
      </w:r>
      <w:r w:rsidR="000B5A3E" w:rsidRPr="006953D9">
        <w:t xml:space="preserve"> </w:t>
      </w:r>
      <w:r w:rsidRPr="006953D9">
        <w:t>provisions</w:t>
      </w:r>
      <w:r w:rsidR="000B5A3E" w:rsidRPr="006953D9">
        <w:t xml:space="preserve"> </w:t>
      </w:r>
      <w:r w:rsidRPr="006953D9">
        <w:t>conform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obligations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country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respect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remains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Attorney</w:t>
      </w:r>
      <w:r w:rsidR="000B5A3E" w:rsidRPr="006953D9">
        <w:t xml:space="preserve"> </w:t>
      </w:r>
      <w:r w:rsidRPr="006953D9">
        <w:t>General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Republic.</w:t>
      </w:r>
    </w:p>
    <w:p w:rsidR="00200C10" w:rsidRPr="006953D9" w:rsidRDefault="00200C10" w:rsidP="00830021">
      <w:pPr>
        <w:pStyle w:val="SingleTxtG"/>
      </w:pPr>
      <w:r w:rsidRPr="006953D9">
        <w:t>112.</w:t>
      </w:r>
      <w:r w:rsidRPr="006953D9">
        <w:tab/>
        <w:t>Following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Ministers</w:t>
      </w:r>
      <w:r w:rsidR="000B5A3E" w:rsidRPr="006953D9">
        <w:t xml:space="preserve"> </w:t>
      </w:r>
      <w:r w:rsidRPr="006953D9">
        <w:t>decision,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9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2012,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role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mechanism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promote,</w:t>
      </w:r>
      <w:r w:rsidR="000B5A3E" w:rsidRPr="006953D9">
        <w:t xml:space="preserve"> </w:t>
      </w:r>
      <w:r w:rsidRPr="006953D9">
        <w:t>protect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monitor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implementation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</w:t>
      </w:r>
      <w:r w:rsidR="000B5A3E" w:rsidRPr="006953D9">
        <w:t xml:space="preserve"> </w:t>
      </w:r>
      <w:r w:rsidRPr="006953D9">
        <w:t>(</w:t>
      </w:r>
      <w:proofErr w:type="spellStart"/>
      <w:r w:rsidRPr="006953D9">
        <w:t>PwD</w:t>
      </w:r>
      <w:proofErr w:type="spellEnd"/>
      <w:r w:rsidRPr="006953D9">
        <w:t>),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article</w:t>
      </w:r>
      <w:r w:rsidR="000B5A3E" w:rsidRPr="006953D9">
        <w:t xml:space="preserve"> </w:t>
      </w:r>
      <w:r w:rsidRPr="006953D9">
        <w:t>33(2)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Convention,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entrusted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Ombudsman.</w:t>
      </w:r>
      <w:r w:rsidR="000B5A3E" w:rsidRPr="006953D9">
        <w:t xml:space="preserve"> </w:t>
      </w:r>
      <w:r w:rsidRPr="006953D9">
        <w:t>Since,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proofErr w:type="spellStart"/>
      <w:r w:rsidRPr="006953D9">
        <w:t>PwD</w:t>
      </w:r>
      <w:proofErr w:type="spellEnd"/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established</w:t>
      </w:r>
      <w:r w:rsidR="000B5A3E" w:rsidRPr="006953D9">
        <w:t xml:space="preserve"> </w:t>
      </w:r>
      <w:r w:rsidRPr="006953D9">
        <w:t>providing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strong</w:t>
      </w:r>
      <w:r w:rsidR="000B5A3E" w:rsidRPr="006953D9">
        <w:t xml:space="preserve"> </w:t>
      </w:r>
      <w:r w:rsidRPr="006953D9">
        <w:t>driving</w:t>
      </w:r>
      <w:r w:rsidR="000B5A3E" w:rsidRPr="006953D9">
        <w:t xml:space="preserve"> </w:t>
      </w:r>
      <w:r w:rsidRPr="006953D9">
        <w:t>force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existing</w:t>
      </w:r>
      <w:r w:rsidR="000B5A3E" w:rsidRPr="006953D9">
        <w:t xml:space="preserve"> </w:t>
      </w:r>
      <w:r w:rsidRPr="006953D9">
        <w:t>action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area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beyond,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result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wide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demanding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competences.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113.</w:t>
      </w:r>
      <w:r w:rsidRPr="006953D9">
        <w:tab/>
        <w:t>In</w:t>
      </w:r>
      <w:r w:rsidR="000B5A3E" w:rsidRPr="006953D9">
        <w:t xml:space="preserve"> </w:t>
      </w:r>
      <w:r w:rsidRPr="006953D9">
        <w:t>more</w:t>
      </w:r>
      <w:r w:rsidR="000B5A3E" w:rsidRPr="006953D9">
        <w:t xml:space="preserve"> </w:t>
      </w:r>
      <w:r w:rsidRPr="006953D9">
        <w:t>detail,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competences</w:t>
      </w:r>
      <w:r w:rsidR="000B5A3E" w:rsidRPr="006953D9">
        <w:t xml:space="preserve"> </w:t>
      </w:r>
      <w:r w:rsidRPr="006953D9">
        <w:t>assigned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monitoring</w:t>
      </w:r>
      <w:r w:rsidR="000B5A3E" w:rsidRPr="006953D9">
        <w:t xml:space="preserve"> </w:t>
      </w:r>
      <w:r w:rsidRPr="006953D9">
        <w:t>mechanism,</w:t>
      </w:r>
      <w:r w:rsidR="000B5A3E" w:rsidRPr="006953D9">
        <w:t xml:space="preserve"> </w:t>
      </w:r>
      <w:r w:rsidRPr="006953D9">
        <w:t>include,</w:t>
      </w:r>
      <w:r w:rsidR="000B5A3E" w:rsidRPr="006953D9">
        <w:t xml:space="preserve"> </w:t>
      </w:r>
      <w:r w:rsidRPr="006953D9">
        <w:t>among</w:t>
      </w:r>
      <w:r w:rsidR="000B5A3E" w:rsidRPr="006953D9">
        <w:t xml:space="preserve"> </w:t>
      </w:r>
      <w:r w:rsidRPr="006953D9">
        <w:t>others:</w:t>
      </w:r>
    </w:p>
    <w:p w:rsidR="00200C10" w:rsidRPr="006953D9" w:rsidRDefault="00200C10" w:rsidP="00933A86">
      <w:pPr>
        <w:pStyle w:val="Bullet1G"/>
      </w:pPr>
      <w:r w:rsidRPr="006953D9">
        <w:t>Conducting</w:t>
      </w:r>
      <w:r w:rsidR="000B5A3E" w:rsidRPr="006953D9">
        <w:t xml:space="preserve"> </w:t>
      </w:r>
      <w:r w:rsidRPr="006953D9">
        <w:t>investigation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gathering</w:t>
      </w:r>
      <w:r w:rsidR="000B5A3E" w:rsidRPr="006953D9">
        <w:t xml:space="preserve"> </w:t>
      </w:r>
      <w:r w:rsidRPr="006953D9">
        <w:t>data/information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course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monitoring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promoting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enjoyment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disabilities,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equal</w:t>
      </w:r>
      <w:r w:rsidR="000B5A3E" w:rsidRPr="006953D9">
        <w:t xml:space="preserve"> </w:t>
      </w:r>
      <w:r w:rsidRPr="006953D9">
        <w:t>basis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others;</w:t>
      </w:r>
    </w:p>
    <w:p w:rsidR="00200C10" w:rsidRPr="006953D9" w:rsidRDefault="00200C10" w:rsidP="00933A86">
      <w:pPr>
        <w:pStyle w:val="Bullet1G"/>
      </w:pPr>
      <w:r w:rsidRPr="006953D9">
        <w:t>Examination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discrimination-related</w:t>
      </w:r>
      <w:r w:rsidR="000B5A3E" w:rsidRPr="006953D9">
        <w:t xml:space="preserve"> </w:t>
      </w:r>
      <w:r w:rsidRPr="006953D9">
        <w:t>matters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alleged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violations,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proofErr w:type="spellStart"/>
      <w:r w:rsidRPr="006953D9">
        <w:t>proprio</w:t>
      </w:r>
      <w:proofErr w:type="spellEnd"/>
      <w:r w:rsidR="000B5A3E" w:rsidRPr="006953D9">
        <w:t xml:space="preserve"> </w:t>
      </w:r>
      <w:proofErr w:type="spellStart"/>
      <w:r w:rsidRPr="006953D9">
        <w:t>motu</w:t>
      </w:r>
      <w:proofErr w:type="spellEnd"/>
      <w:r w:rsidR="000B5A3E" w:rsidRPr="006953D9">
        <w:t xml:space="preserve"> </w:t>
      </w:r>
      <w:r w:rsidRPr="006953D9">
        <w:t>basis,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following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submission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complaints.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consult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implicated</w:t>
      </w:r>
      <w:r w:rsidR="000B5A3E" w:rsidRPr="006953D9">
        <w:t xml:space="preserve"> </w:t>
      </w:r>
      <w:r w:rsidRPr="006953D9">
        <w:t>parties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where</w:t>
      </w:r>
      <w:r w:rsidR="000B5A3E" w:rsidRPr="006953D9">
        <w:t xml:space="preserve"> </w:t>
      </w:r>
      <w:r w:rsidRPr="006953D9">
        <w:t>necessary,</w:t>
      </w:r>
      <w:r w:rsidR="000B5A3E" w:rsidRPr="006953D9">
        <w:t xml:space="preserve"> </w:t>
      </w:r>
      <w:r w:rsidRPr="006953D9">
        <w:t>impose</w:t>
      </w:r>
      <w:r w:rsidR="000B5A3E" w:rsidRPr="006953D9">
        <w:t xml:space="preserve"> </w:t>
      </w:r>
      <w:r w:rsidRPr="006953D9">
        <w:t>penalties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unlawful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violation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legislative</w:t>
      </w:r>
      <w:r w:rsidR="000B5A3E" w:rsidRPr="006953D9">
        <w:t xml:space="preserve"> </w:t>
      </w:r>
      <w:r w:rsidRPr="006953D9">
        <w:t>framework;</w:t>
      </w:r>
    </w:p>
    <w:p w:rsidR="00200C10" w:rsidRPr="006953D9" w:rsidRDefault="00200C10" w:rsidP="00933A86">
      <w:pPr>
        <w:pStyle w:val="Bullet1G"/>
      </w:pPr>
      <w:r w:rsidRPr="006953D9">
        <w:lastRenderedPageBreak/>
        <w:t>Submission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reports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authorities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bodies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include</w:t>
      </w:r>
      <w:r w:rsidR="000B5A3E" w:rsidRPr="006953D9">
        <w:t xml:space="preserve"> </w:t>
      </w:r>
      <w:r w:rsidRPr="006953D9">
        <w:t>recommendations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proposals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policies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practices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comply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Convention;</w:t>
      </w:r>
    </w:p>
    <w:p w:rsidR="00200C10" w:rsidRPr="006953D9" w:rsidRDefault="00200C10" w:rsidP="00933A86">
      <w:pPr>
        <w:pStyle w:val="Bullet1G"/>
      </w:pPr>
      <w:r w:rsidRPr="006953D9">
        <w:t>Cooperation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Consultation</w:t>
      </w:r>
      <w:r w:rsidR="000B5A3E" w:rsidRPr="006953D9">
        <w:t xml:space="preserve"> </w:t>
      </w:r>
      <w:r w:rsidRPr="006953D9">
        <w:t>Committee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Monitoring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consisting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members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mechanism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CCOD;</w:t>
      </w:r>
    </w:p>
    <w:p w:rsidR="00200C10" w:rsidRPr="006953D9" w:rsidRDefault="00200C10" w:rsidP="00933A86">
      <w:pPr>
        <w:pStyle w:val="Bullet1G"/>
      </w:pPr>
      <w:r w:rsidRPr="006953D9">
        <w:t>Cooperation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Coordinating</w:t>
      </w:r>
      <w:r w:rsidR="000B5A3E" w:rsidRPr="006953D9">
        <w:t xml:space="preserve"> </w:t>
      </w:r>
      <w:r w:rsidRPr="006953D9">
        <w:t>Mechanism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monitoring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application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Action</w:t>
      </w:r>
      <w:r w:rsidR="000B5A3E" w:rsidRPr="006953D9">
        <w:t xml:space="preserve"> </w:t>
      </w:r>
      <w:r w:rsidRPr="006953D9">
        <w:t>Plan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implementation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Convention;</w:t>
      </w:r>
    </w:p>
    <w:p w:rsidR="00200C10" w:rsidRPr="006953D9" w:rsidRDefault="00200C10" w:rsidP="00933A86">
      <w:pPr>
        <w:pStyle w:val="Bullet1G"/>
      </w:pPr>
      <w:r w:rsidRPr="006953D9">
        <w:t>Enlightening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actors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promoting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realization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values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cooperation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ab/>
        <w:t>Focal</w:t>
      </w:r>
      <w:r w:rsidR="000B5A3E" w:rsidRPr="006953D9">
        <w:t xml:space="preserve"> </w:t>
      </w:r>
      <w:r w:rsidRPr="006953D9">
        <w:t>Point.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114.</w:t>
      </w:r>
      <w:r w:rsidRPr="006953D9">
        <w:tab/>
        <w:t>The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legislative</w:t>
      </w:r>
      <w:r w:rsidR="000B5A3E" w:rsidRPr="006953D9">
        <w:t xml:space="preserve"> </w:t>
      </w:r>
      <w:r w:rsidRPr="006953D9">
        <w:t>frameworks</w:t>
      </w:r>
      <w:r w:rsidR="000B5A3E" w:rsidRPr="006953D9">
        <w:t xml:space="preserve"> </w:t>
      </w:r>
      <w:r w:rsidRPr="006953D9">
        <w:t>assigns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extended</w:t>
      </w:r>
      <w:r w:rsidR="000B5A3E" w:rsidRPr="006953D9">
        <w:t xml:space="preserve"> </w:t>
      </w:r>
      <w:r w:rsidRPr="006953D9">
        <w:t>competences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protect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combat</w:t>
      </w:r>
      <w:r w:rsidR="000B5A3E" w:rsidRPr="006953D9">
        <w:t xml:space="preserve"> </w:t>
      </w:r>
      <w:r w:rsidRPr="006953D9">
        <w:t>discrimination.</w:t>
      </w:r>
      <w:r w:rsidR="000B5A3E" w:rsidRPr="006953D9">
        <w:t xml:space="preserve"> </w:t>
      </w:r>
      <w:r w:rsidRPr="006953D9">
        <w:t>Apart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investigating</w:t>
      </w:r>
      <w:r w:rsidR="000B5A3E" w:rsidRPr="006953D9">
        <w:t xml:space="preserve"> </w:t>
      </w:r>
      <w:r w:rsidRPr="006953D9">
        <w:t>specific</w:t>
      </w:r>
      <w:r w:rsidR="000B5A3E" w:rsidRPr="006953D9">
        <w:t xml:space="preserve"> </w:t>
      </w:r>
      <w:r w:rsidRPr="006953D9">
        <w:t>complaints,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develops</w:t>
      </w:r>
      <w:r w:rsidR="000B5A3E" w:rsidRPr="006953D9">
        <w:t xml:space="preserve"> </w:t>
      </w:r>
      <w:r w:rsidRPr="006953D9">
        <w:t>wider</w:t>
      </w:r>
      <w:r w:rsidR="000B5A3E" w:rsidRPr="006953D9">
        <w:t xml:space="preserve"> </w:t>
      </w:r>
      <w:r w:rsidRPr="006953D9">
        <w:t>proactive</w:t>
      </w:r>
      <w:r w:rsidR="000B5A3E" w:rsidRPr="006953D9">
        <w:t xml:space="preserve"> </w:t>
      </w:r>
      <w:r w:rsidRPr="006953D9">
        <w:t>activities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preventive,</w:t>
      </w:r>
      <w:r w:rsidR="000B5A3E" w:rsidRPr="006953D9">
        <w:t xml:space="preserve"> </w:t>
      </w:r>
      <w:r w:rsidRPr="006953D9">
        <w:t>educational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informative</w:t>
      </w:r>
      <w:r w:rsidR="000B5A3E" w:rsidRPr="006953D9">
        <w:t xml:space="preserve"> </w:t>
      </w:r>
      <w:r w:rsidRPr="006953D9">
        <w:t>character,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as:</w:t>
      </w:r>
    </w:p>
    <w:p w:rsidR="00200C10" w:rsidRPr="006953D9" w:rsidRDefault="00200C10" w:rsidP="00DF7883">
      <w:pPr>
        <w:pStyle w:val="Bullet1G"/>
      </w:pPr>
      <w:r w:rsidRPr="006953D9">
        <w:t>Composition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dissemination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Codes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Good</w:t>
      </w:r>
      <w:r w:rsidR="000B5A3E" w:rsidRPr="006953D9">
        <w:t xml:space="preserve"> </w:t>
      </w:r>
      <w:r w:rsidRPr="006953D9">
        <w:t>Practice;</w:t>
      </w:r>
    </w:p>
    <w:p w:rsidR="00200C10" w:rsidRPr="006953D9" w:rsidRDefault="00200C10" w:rsidP="00DF7883">
      <w:pPr>
        <w:pStyle w:val="Bullet1G"/>
      </w:pPr>
      <w:r w:rsidRPr="006953D9">
        <w:t>Raising</w:t>
      </w:r>
      <w:r w:rsidR="000B5A3E" w:rsidRPr="006953D9">
        <w:t xml:space="preserve"> </w:t>
      </w:r>
      <w:r w:rsidRPr="006953D9">
        <w:t>awareness</w:t>
      </w:r>
      <w:r w:rsidR="000B5A3E" w:rsidRPr="006953D9">
        <w:t xml:space="preserve"> </w:t>
      </w:r>
      <w:r w:rsidRPr="006953D9">
        <w:t>campaigns</w:t>
      </w:r>
      <w:r w:rsidR="000B5A3E" w:rsidRPr="006953D9">
        <w:t xml:space="preserve"> </w:t>
      </w:r>
      <w:r w:rsidRPr="006953D9">
        <w:t>through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mass</w:t>
      </w:r>
      <w:r w:rsidR="000B5A3E" w:rsidRPr="006953D9">
        <w:t xml:space="preserve"> </w:t>
      </w:r>
      <w:r w:rsidRPr="006953D9">
        <w:t>media;</w:t>
      </w:r>
    </w:p>
    <w:p w:rsidR="00200C10" w:rsidRPr="006953D9" w:rsidRDefault="00200C10" w:rsidP="00DF7883">
      <w:pPr>
        <w:pStyle w:val="Bullet1G"/>
      </w:pPr>
      <w:r w:rsidRPr="006953D9">
        <w:t>Training</w:t>
      </w:r>
      <w:r w:rsidR="000B5A3E" w:rsidRPr="006953D9">
        <w:t xml:space="preserve"> </w:t>
      </w:r>
      <w:r w:rsidRPr="006953D9">
        <w:t>seminars</w:t>
      </w:r>
      <w:r w:rsidR="000B5A3E" w:rsidRPr="006953D9">
        <w:t xml:space="preserve"> </w:t>
      </w:r>
      <w:r w:rsidRPr="006953D9">
        <w:t>directed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officials,</w:t>
      </w:r>
      <w:r w:rsidR="000B5A3E" w:rsidRPr="006953D9">
        <w:t xml:space="preserve"> </w:t>
      </w:r>
      <w:r w:rsidRPr="006953D9">
        <w:t>members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force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professionals,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school</w:t>
      </w:r>
      <w:r w:rsidR="000B5A3E" w:rsidRPr="006953D9">
        <w:t xml:space="preserve"> </w:t>
      </w:r>
      <w:r w:rsidRPr="006953D9">
        <w:t>community;</w:t>
      </w:r>
    </w:p>
    <w:p w:rsidR="00200C10" w:rsidRPr="006953D9" w:rsidRDefault="00200C10" w:rsidP="00DF7883">
      <w:pPr>
        <w:pStyle w:val="Bullet1G"/>
      </w:pPr>
      <w:r w:rsidRPr="006953D9">
        <w:t>Participation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regional</w:t>
      </w:r>
      <w:r w:rsidR="000B5A3E" w:rsidRPr="006953D9">
        <w:t xml:space="preserve"> </w:t>
      </w:r>
      <w:r w:rsidRPr="006953D9">
        <w:t>networks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same</w:t>
      </w:r>
      <w:r w:rsidR="000B5A3E" w:rsidRPr="006953D9">
        <w:t xml:space="preserve"> </w:t>
      </w:r>
      <w:r w:rsidRPr="006953D9">
        <w:t>mandate;</w:t>
      </w:r>
    </w:p>
    <w:p w:rsidR="00200C10" w:rsidRPr="006953D9" w:rsidRDefault="00200C10" w:rsidP="00DF7883">
      <w:pPr>
        <w:pStyle w:val="Bullet1G"/>
      </w:pPr>
      <w:r w:rsidRPr="006953D9">
        <w:t>Conduct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surveys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statistical</w:t>
      </w:r>
      <w:r w:rsidR="000B5A3E" w:rsidRPr="006953D9">
        <w:t xml:space="preserve"> </w:t>
      </w:r>
      <w:r w:rsidRPr="006953D9">
        <w:t>researches.</w:t>
      </w:r>
    </w:p>
    <w:p w:rsidR="00200C10" w:rsidRPr="006953D9" w:rsidRDefault="00200C10" w:rsidP="00830021">
      <w:pPr>
        <w:pStyle w:val="SingleTxtG"/>
      </w:pPr>
      <w:r w:rsidRPr="006953D9">
        <w:t>115.</w:t>
      </w:r>
      <w:r w:rsidRPr="006953D9">
        <w:tab/>
        <w:t>Supervisory</w:t>
      </w:r>
      <w:r w:rsidR="000B5A3E" w:rsidRPr="006953D9">
        <w:t xml:space="preserve"> </w:t>
      </w:r>
      <w:r w:rsidRPr="006953D9">
        <w:t>Committee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Prohibited</w:t>
      </w:r>
      <w:r w:rsidR="000B5A3E" w:rsidRPr="006953D9">
        <w:t xml:space="preserve"> </w:t>
      </w:r>
      <w:r w:rsidRPr="006953D9">
        <w:t>Immigrants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proofErr w:type="spellStart"/>
      <w:r w:rsidRPr="006953D9">
        <w:t>Centers</w:t>
      </w:r>
      <w:proofErr w:type="spellEnd"/>
      <w:r w:rsidRPr="006953D9">
        <w:t>:</w:t>
      </w:r>
      <w:r w:rsidR="000B5A3E" w:rsidRPr="006953D9">
        <w:t xml:space="preserve"> </w:t>
      </w:r>
      <w:r w:rsidRPr="006953D9">
        <w:t>Section</w:t>
      </w:r>
      <w:r w:rsidR="000B5A3E" w:rsidRPr="006953D9">
        <w:t xml:space="preserve"> </w:t>
      </w:r>
      <w:r w:rsidRPr="006953D9">
        <w:t>5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rPr>
          <w:i/>
          <w:iCs/>
        </w:rPr>
        <w:t>Law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on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the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establishment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and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regulation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of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premises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of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Prohibited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Immigrants</w:t>
      </w:r>
      <w:r w:rsidRPr="006953D9">
        <w:t>,</w:t>
      </w:r>
      <w:r w:rsidR="000B5A3E" w:rsidRPr="006953D9">
        <w:t xml:space="preserve"> </w:t>
      </w:r>
      <w:r w:rsidRPr="006953D9">
        <w:t>[L.83(1)/2011]</w:t>
      </w:r>
      <w:r w:rsidR="000B5A3E" w:rsidRPr="006953D9">
        <w:t xml:space="preserve"> </w:t>
      </w:r>
      <w:r w:rsidRPr="006953D9">
        <w:t>provides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Committee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supervision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prohibited</w:t>
      </w:r>
      <w:r w:rsidR="000B5A3E" w:rsidRPr="006953D9">
        <w:t xml:space="preserve"> </w:t>
      </w:r>
      <w:r w:rsidRPr="006953D9">
        <w:t>immigrants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r w:rsidRPr="006953D9">
        <w:t>centre</w:t>
      </w:r>
      <w:r w:rsidR="000B5A3E" w:rsidRPr="006953D9">
        <w:t xml:space="preserve"> </w:t>
      </w:r>
      <w:r w:rsidRPr="006953D9">
        <w:t>(Supervisory</w:t>
      </w:r>
      <w:r w:rsidR="000B5A3E" w:rsidRPr="006953D9">
        <w:t xml:space="preserve"> </w:t>
      </w:r>
      <w:r w:rsidRPr="006953D9">
        <w:t>Committee)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set</w:t>
      </w:r>
      <w:r w:rsidR="000B5A3E" w:rsidRPr="006953D9">
        <w:t xml:space="preserve"> </w:t>
      </w:r>
      <w:r w:rsidRPr="006953D9">
        <w:t>up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Decision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Ministers</w:t>
      </w:r>
      <w:r w:rsidR="000B5A3E" w:rsidRPr="006953D9">
        <w:t xml:space="preserve"> </w:t>
      </w:r>
      <w:r w:rsidRPr="006953D9">
        <w:t>(Decision</w:t>
      </w:r>
      <w:r w:rsidR="000B5A3E" w:rsidRPr="006953D9">
        <w:t xml:space="preserve"> </w:t>
      </w:r>
      <w:r w:rsidRPr="006953D9">
        <w:t>No.</w:t>
      </w:r>
      <w:r w:rsidR="000B5A3E" w:rsidRPr="006953D9">
        <w:t xml:space="preserve"> </w:t>
      </w:r>
      <w:r w:rsidRPr="006953D9">
        <w:t>74.638,</w:t>
      </w:r>
      <w:r w:rsidR="000B5A3E" w:rsidRPr="006953D9">
        <w:t xml:space="preserve"> </w:t>
      </w:r>
      <w:r w:rsidRPr="006953D9">
        <w:t>dated</w:t>
      </w:r>
      <w:r w:rsidR="000B5A3E" w:rsidRPr="006953D9">
        <w:t xml:space="preserve"> </w:t>
      </w:r>
      <w:r w:rsidRPr="006953D9">
        <w:t>5/2/2013).</w:t>
      </w:r>
      <w:r w:rsidR="000B5A3E" w:rsidRPr="006953D9">
        <w:t xml:space="preserve"> </w:t>
      </w:r>
      <w:r w:rsidRPr="006953D9">
        <w:t>Pursuant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Law,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Committee</w:t>
      </w:r>
      <w:r w:rsidR="000B5A3E" w:rsidRPr="006953D9">
        <w:t xml:space="preserve"> </w:t>
      </w:r>
      <w:r w:rsidRPr="006953D9">
        <w:t>visits</w:t>
      </w:r>
      <w:r w:rsidR="000B5A3E" w:rsidRPr="006953D9">
        <w:t xml:space="preserve"> </w:t>
      </w:r>
      <w:r w:rsidRPr="006953D9">
        <w:t>prohibited</w:t>
      </w:r>
      <w:r w:rsidR="000B5A3E" w:rsidRPr="006953D9">
        <w:t xml:space="preserve"> </w:t>
      </w:r>
      <w:r w:rsidRPr="006953D9">
        <w:t>immigrants</w:t>
      </w:r>
      <w:r w:rsidR="002206DB" w:rsidRPr="006953D9">
        <w:t>’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r w:rsidRPr="006953D9">
        <w:t>centres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least</w:t>
      </w:r>
      <w:r w:rsidR="000B5A3E" w:rsidRPr="006953D9">
        <w:t xml:space="preserve"> </w:t>
      </w:r>
      <w:r w:rsidRPr="006953D9">
        <w:t>8</w:t>
      </w:r>
      <w:r w:rsidR="000B5A3E" w:rsidRPr="006953D9">
        <w:t xml:space="preserve"> </w:t>
      </w:r>
      <w:r w:rsidRPr="006953D9">
        <w:t>times/year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whenever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considers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necessary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monitoring</w:t>
      </w:r>
      <w:r w:rsidR="000B5A3E" w:rsidRPr="006953D9">
        <w:t xml:space="preserve"> </w:t>
      </w:r>
      <w:r w:rsidRPr="006953D9">
        <w:t>purposes.</w:t>
      </w:r>
    </w:p>
    <w:p w:rsidR="00200C10" w:rsidRPr="006953D9" w:rsidRDefault="00200C10" w:rsidP="00830021">
      <w:pPr>
        <w:pStyle w:val="SingleTxtG"/>
      </w:pPr>
      <w:r w:rsidRPr="006953D9">
        <w:t>116.</w:t>
      </w:r>
      <w:r w:rsidRPr="006953D9">
        <w:tab/>
        <w:t>A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Committee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Prohibited</w:t>
      </w:r>
      <w:r w:rsidR="000B5A3E" w:rsidRPr="006953D9">
        <w:t xml:space="preserve"> </w:t>
      </w:r>
      <w:r w:rsidRPr="006953D9">
        <w:t>Immigrants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r w:rsidRPr="006953D9">
        <w:t>Centre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proofErr w:type="spellStart"/>
      <w:r w:rsidRPr="006953D9">
        <w:t>Menoyia</w:t>
      </w:r>
      <w:proofErr w:type="spellEnd"/>
      <w:r w:rsidRPr="006953D9">
        <w:t>,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established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Ministerial</w:t>
      </w:r>
      <w:r w:rsidR="000B5A3E" w:rsidRPr="006953D9">
        <w:t xml:space="preserve"> </w:t>
      </w:r>
      <w:r w:rsidRPr="006953D9">
        <w:t>decision</w:t>
      </w:r>
      <w:r w:rsidR="000B5A3E" w:rsidRPr="006953D9">
        <w:t xml:space="preserve"> </w:t>
      </w:r>
      <w:r w:rsidRPr="006953D9">
        <w:t>dated</w:t>
      </w:r>
      <w:r w:rsidR="000B5A3E" w:rsidRPr="006953D9">
        <w:t xml:space="preserve"> </w:t>
      </w:r>
      <w:r w:rsidRPr="006953D9">
        <w:t>5/5/2013</w:t>
      </w:r>
      <w:r w:rsidR="000B5A3E" w:rsidRPr="006953D9">
        <w:t xml:space="preserve"> </w:t>
      </w:r>
      <w:r w:rsidRPr="006953D9">
        <w:t>pursuant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Regulation</w:t>
      </w:r>
      <w:r w:rsidR="000B5A3E" w:rsidRPr="006953D9">
        <w:t xml:space="preserve"> </w:t>
      </w:r>
      <w:r w:rsidRPr="006953D9">
        <w:t>28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rPr>
          <w:i/>
          <w:iCs/>
        </w:rPr>
        <w:t>Regulations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for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the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establishment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and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regulation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of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premises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of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Prohibited</w:t>
      </w:r>
      <w:r w:rsidR="000B5A3E" w:rsidRPr="006953D9">
        <w:rPr>
          <w:i/>
          <w:iCs/>
        </w:rPr>
        <w:t xml:space="preserve"> </w:t>
      </w:r>
      <w:r w:rsidRPr="006953D9">
        <w:rPr>
          <w:i/>
          <w:iCs/>
        </w:rPr>
        <w:t>Immigrants</w:t>
      </w:r>
      <w:r w:rsidR="000B5A3E" w:rsidRPr="006953D9">
        <w:t xml:space="preserve"> </w:t>
      </w:r>
      <w:r w:rsidRPr="006953D9">
        <w:t>No.</w:t>
      </w:r>
      <w:r w:rsidR="008F5557" w:rsidRPr="006953D9">
        <w:t xml:space="preserve"> </w:t>
      </w:r>
      <w:r w:rsidRPr="006953D9">
        <w:t>161/2011.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Committee</w:t>
      </w:r>
      <w:r w:rsidR="000B5A3E" w:rsidRPr="006953D9">
        <w:t xml:space="preserve"> </w:t>
      </w:r>
      <w:r w:rsidRPr="006953D9">
        <w:t>may,</w:t>
      </w:r>
      <w:r w:rsidR="000B5A3E" w:rsidRPr="006953D9">
        <w:t xml:space="preserve"> </w:t>
      </w:r>
      <w:r w:rsidRPr="006953D9">
        <w:t>either</w:t>
      </w:r>
      <w:r w:rsidR="000B5A3E" w:rsidRPr="006953D9">
        <w:t xml:space="preserve"> </w:t>
      </w:r>
      <w:r w:rsidRPr="006953D9">
        <w:t>ex</w:t>
      </w:r>
      <w:r w:rsidR="000B5A3E" w:rsidRPr="006953D9">
        <w:t xml:space="preserve"> </w:t>
      </w:r>
      <w:proofErr w:type="spellStart"/>
      <w:r w:rsidRPr="006953D9">
        <w:t>propio</w:t>
      </w:r>
      <w:proofErr w:type="spellEnd"/>
      <w:r w:rsidR="000B5A3E" w:rsidRPr="006953D9">
        <w:t xml:space="preserve"> </w:t>
      </w:r>
      <w:proofErr w:type="spellStart"/>
      <w:r w:rsidRPr="006953D9">
        <w:t>motu</w:t>
      </w:r>
      <w:proofErr w:type="spellEnd"/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following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detainee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complaint,</w:t>
      </w:r>
      <w:r w:rsidR="000B5A3E" w:rsidRPr="006953D9">
        <w:t xml:space="preserve"> </w:t>
      </w:r>
      <w:r w:rsidRPr="006953D9">
        <w:t>(a)</w:t>
      </w:r>
      <w:r w:rsidR="000B5A3E" w:rsidRPr="006953D9">
        <w:t xml:space="preserve"> </w:t>
      </w:r>
      <w:r w:rsidRPr="006953D9">
        <w:t>re-examine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decision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Director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r w:rsidRPr="006953D9">
        <w:t>Centre</w:t>
      </w:r>
      <w:r w:rsidR="000B5A3E" w:rsidRPr="006953D9">
        <w:t xml:space="preserve"> </w:t>
      </w:r>
      <w:r w:rsidRPr="006953D9">
        <w:t>(DDC)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(b)</w:t>
      </w:r>
      <w:r w:rsidR="000B5A3E" w:rsidRPr="006953D9">
        <w:t xml:space="preserve"> </w:t>
      </w:r>
      <w:r w:rsidRPr="006953D9">
        <w:t>examine</w:t>
      </w:r>
      <w:r w:rsidR="000B5A3E" w:rsidRPr="006953D9">
        <w:t xml:space="preserve"> </w:t>
      </w:r>
      <w:r w:rsidRPr="006953D9">
        <w:t>detainees</w:t>
      </w:r>
      <w:r w:rsidR="002206DB" w:rsidRPr="006953D9">
        <w:t>’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regarding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treatment</w:t>
      </w:r>
      <w:r w:rsidR="000B5A3E" w:rsidRPr="006953D9">
        <w:t xml:space="preserve"> </w:t>
      </w:r>
      <w:r w:rsidRPr="006953D9">
        <w:t>conditions.</w:t>
      </w:r>
    </w:p>
    <w:p w:rsidR="00200C10" w:rsidRPr="006953D9" w:rsidRDefault="00200C10" w:rsidP="00830021">
      <w:pPr>
        <w:pStyle w:val="SingleTxtG"/>
      </w:pPr>
      <w:r w:rsidRPr="006953D9">
        <w:t>117.</w:t>
      </w:r>
      <w:r w:rsidRPr="006953D9">
        <w:tab/>
        <w:t>The</w:t>
      </w:r>
      <w:r w:rsidR="000B5A3E" w:rsidRPr="006953D9">
        <w:t xml:space="preserve"> </w:t>
      </w:r>
      <w:r w:rsidRPr="006953D9">
        <w:t>line</w:t>
      </w:r>
      <w:r w:rsidR="000B5A3E" w:rsidRPr="006953D9">
        <w:t xml:space="preserve"> </w:t>
      </w:r>
      <w:r w:rsidRPr="006953D9">
        <w:t>Ministries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regular</w:t>
      </w:r>
      <w:r w:rsidR="000B5A3E" w:rsidRPr="006953D9">
        <w:t xml:space="preserve"> </w:t>
      </w:r>
      <w:r w:rsidRPr="006953D9">
        <w:t>contacts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Non-Governmental</w:t>
      </w:r>
      <w:r w:rsidR="000B5A3E" w:rsidRPr="006953D9">
        <w:t xml:space="preserve"> </w:t>
      </w:r>
      <w:r w:rsidRPr="006953D9">
        <w:t>Organizations</w:t>
      </w:r>
      <w:r w:rsidR="000B5A3E" w:rsidRPr="006953D9">
        <w:t xml:space="preserve"> </w:t>
      </w:r>
      <w:r w:rsidRPr="006953D9">
        <w:t>(NGOs),</w:t>
      </w:r>
      <w:r w:rsidR="000B5A3E" w:rsidRPr="006953D9">
        <w:t xml:space="preserve"> </w:t>
      </w:r>
      <w:r w:rsidRPr="006953D9">
        <w:t>particularly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preparing</w:t>
      </w:r>
      <w:r w:rsidR="000B5A3E" w:rsidRPr="006953D9">
        <w:t xml:space="preserve"> </w:t>
      </w:r>
      <w:r w:rsidRPr="006953D9">
        <w:t>legislation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scope.</w:t>
      </w:r>
      <w:r w:rsidR="000B5A3E" w:rsidRPr="006953D9">
        <w:t xml:space="preserve"> </w:t>
      </w:r>
      <w:r w:rsidRPr="006953D9">
        <w:t>Recognizing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importance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engagement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civil</w:t>
      </w:r>
      <w:r w:rsidR="000B5A3E" w:rsidRPr="006953D9">
        <w:t xml:space="preserve"> </w:t>
      </w:r>
      <w:r w:rsidRPr="006953D9">
        <w:t>society,</w:t>
      </w:r>
      <w:r w:rsidR="000B5A3E" w:rsidRPr="006953D9">
        <w:t xml:space="preserve"> </w:t>
      </w:r>
      <w:r w:rsidRPr="006953D9">
        <w:t>Governmental</w:t>
      </w:r>
      <w:r w:rsidR="000B5A3E" w:rsidRPr="006953D9">
        <w:t xml:space="preserve"> </w:t>
      </w:r>
      <w:r w:rsidRPr="006953D9">
        <w:t>agencies</w:t>
      </w:r>
      <w:r w:rsidR="000B5A3E" w:rsidRPr="006953D9">
        <w:t xml:space="preserve"> </w:t>
      </w:r>
      <w:r w:rsidRPr="006953D9">
        <w:t>cooperate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NGOs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MCG,</w:t>
      </w:r>
      <w:r w:rsidR="000B5A3E" w:rsidRPr="006953D9">
        <w:t xml:space="preserve"> </w:t>
      </w:r>
      <w:r w:rsidRPr="006953D9">
        <w:t>i.e.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STOP</w:t>
      </w:r>
      <w:r w:rsidR="000B5A3E" w:rsidRPr="006953D9">
        <w:t xml:space="preserve"> </w:t>
      </w:r>
      <w:r w:rsidRPr="006953D9">
        <w:t>Trafficking,</w:t>
      </w:r>
      <w:r w:rsidR="000B5A3E" w:rsidRPr="006953D9">
        <w:t xml:space="preserve"> </w:t>
      </w:r>
      <w:r w:rsidRPr="006953D9">
        <w:t>KISA,</w:t>
      </w:r>
      <w:r w:rsidR="000B5A3E" w:rsidRPr="006953D9">
        <w:t xml:space="preserve"> </w:t>
      </w:r>
      <w:r w:rsidRPr="006953D9">
        <w:t>Mediterranean</w:t>
      </w:r>
      <w:r w:rsidR="000B5A3E" w:rsidRPr="006953D9">
        <w:t xml:space="preserve"> </w:t>
      </w:r>
      <w:r w:rsidRPr="006953D9">
        <w:t>Institute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Gender.</w:t>
      </w:r>
    </w:p>
    <w:p w:rsidR="00200C10" w:rsidRPr="006953D9" w:rsidRDefault="00200C10" w:rsidP="00830021">
      <w:pPr>
        <w:pStyle w:val="SingleTxtG"/>
      </w:pPr>
      <w:r w:rsidRPr="006953D9">
        <w:t>118.</w:t>
      </w:r>
      <w:r w:rsidRPr="006953D9">
        <w:tab/>
        <w:t>The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Unit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MJPO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NMWR</w:t>
      </w:r>
      <w:r w:rsidR="000B5A3E" w:rsidRPr="006953D9">
        <w:t xml:space="preserve"> </w:t>
      </w:r>
      <w:r w:rsidRPr="006953D9">
        <w:t>continue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play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leading</w:t>
      </w:r>
      <w:r w:rsidR="000B5A3E" w:rsidRPr="006953D9">
        <w:t xml:space="preserve"> </w:t>
      </w:r>
      <w:r w:rsidRPr="006953D9">
        <w:t>role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overall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gender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women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  <w:r w:rsidRPr="006953D9">
        <w:t>Besides,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establishment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bodies,</w:t>
      </w:r>
      <w:r w:rsidR="000B5A3E" w:rsidRPr="006953D9">
        <w:t xml:space="preserve"> </w:t>
      </w:r>
      <w:r w:rsidRPr="006953D9">
        <w:t>authorities,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committees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gender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given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impetus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full</w:t>
      </w:r>
      <w:r w:rsidR="000B5A3E" w:rsidRPr="006953D9">
        <w:t xml:space="preserve"> </w:t>
      </w:r>
      <w:r w:rsidRPr="006953D9">
        <w:t>implementation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gender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laws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policies.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involvement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women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organizations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NGOs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policy</w:t>
      </w:r>
      <w:r w:rsidR="000B5A3E" w:rsidRPr="006953D9">
        <w:t xml:space="preserve"> </w:t>
      </w:r>
      <w:r w:rsidRPr="006953D9">
        <w:t>formulation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implementation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gender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increased</w:t>
      </w:r>
      <w:r w:rsidR="000B5A3E" w:rsidRPr="006953D9">
        <w:t xml:space="preserve"> </w:t>
      </w:r>
      <w:r w:rsidRPr="006953D9">
        <w:t>significantly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contributions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vitally</w:t>
      </w:r>
      <w:r w:rsidR="000B5A3E" w:rsidRPr="006953D9">
        <w:t xml:space="preserve"> </w:t>
      </w:r>
      <w:r w:rsidRPr="006953D9">
        <w:t>important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ensuring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needs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women,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vulnerable</w:t>
      </w:r>
      <w:r w:rsidR="000B5A3E" w:rsidRPr="006953D9">
        <w:t xml:space="preserve"> </w:t>
      </w:r>
      <w:r w:rsidRPr="006953D9">
        <w:t>groups,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taken</w:t>
      </w:r>
      <w:r w:rsidR="000B5A3E" w:rsidRPr="006953D9">
        <w:t xml:space="preserve"> </w:t>
      </w:r>
      <w:r w:rsidRPr="006953D9">
        <w:t>into</w:t>
      </w:r>
      <w:r w:rsidR="000B5A3E" w:rsidRPr="006953D9">
        <w:t xml:space="preserve"> </w:t>
      </w:r>
      <w:r w:rsidRPr="006953D9">
        <w:t>account.</w:t>
      </w:r>
    </w:p>
    <w:p w:rsidR="00200C10" w:rsidRPr="006953D9" w:rsidRDefault="00200C10" w:rsidP="00830021">
      <w:pPr>
        <w:pStyle w:val="SingleTxtG"/>
      </w:pPr>
      <w:r w:rsidRPr="006953D9">
        <w:t>119.</w:t>
      </w:r>
      <w:r w:rsidRPr="006953D9">
        <w:tab/>
        <w:t>The</w:t>
      </w:r>
      <w:r w:rsidR="000B5A3E" w:rsidRPr="006953D9">
        <w:t xml:space="preserve"> </w:t>
      </w:r>
      <w:r w:rsidRPr="006953D9">
        <w:t>role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mass</w:t>
      </w:r>
      <w:r w:rsidR="000B5A3E" w:rsidRPr="006953D9">
        <w:t xml:space="preserve"> </w:t>
      </w:r>
      <w:r w:rsidRPr="006953D9">
        <w:t>media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considerable.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entirely</w:t>
      </w:r>
      <w:r w:rsidR="000B5A3E" w:rsidRPr="006953D9">
        <w:t xml:space="preserve"> </w:t>
      </w:r>
      <w:r w:rsidRPr="006953D9">
        <w:t>free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several</w:t>
      </w:r>
      <w:r w:rsidR="000B5A3E" w:rsidRPr="006953D9">
        <w:t xml:space="preserve"> </w:t>
      </w:r>
      <w:r w:rsidRPr="006953D9">
        <w:t>daily,</w:t>
      </w:r>
      <w:r w:rsidR="000B5A3E" w:rsidRPr="006953D9">
        <w:t xml:space="preserve"> </w:t>
      </w:r>
      <w:r w:rsidRPr="006953D9">
        <w:t>weekly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newspapers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periodicals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privately</w:t>
      </w:r>
      <w:r w:rsidR="000B5A3E" w:rsidRPr="006953D9">
        <w:t xml:space="preserve"> </w:t>
      </w:r>
      <w:r w:rsidRPr="006953D9">
        <w:t>owned.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same</w:t>
      </w:r>
      <w:r w:rsidR="000B5A3E" w:rsidRPr="006953D9">
        <w:t xml:space="preserve"> </w:t>
      </w:r>
      <w:r w:rsidRPr="006953D9">
        <w:t>applies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radio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television</w:t>
      </w:r>
      <w:r w:rsidR="000B5A3E" w:rsidRPr="006953D9">
        <w:t xml:space="preserve"> </w:t>
      </w:r>
      <w:r w:rsidRPr="006953D9">
        <w:t>broadcasting</w:t>
      </w:r>
      <w:r w:rsidR="000B5A3E" w:rsidRPr="006953D9">
        <w:t xml:space="preserve"> </w:t>
      </w:r>
      <w:r w:rsidRPr="006953D9">
        <w:t>where</w:t>
      </w:r>
      <w:r w:rsidR="000B5A3E" w:rsidRPr="006953D9">
        <w:t xml:space="preserve"> </w:t>
      </w:r>
      <w:r w:rsidRPr="006953D9">
        <w:t>only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radio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television</w:t>
      </w:r>
      <w:r w:rsidR="000B5A3E" w:rsidRPr="006953D9">
        <w:t xml:space="preserve"> </w:t>
      </w:r>
      <w:r w:rsidRPr="006953D9">
        <w:t>station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state-owned</w:t>
      </w:r>
      <w:r w:rsidR="000B5A3E" w:rsidRPr="006953D9">
        <w:t xml:space="preserve"> </w:t>
      </w:r>
      <w:r w:rsidRPr="006953D9">
        <w:t>but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run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corporation.</w:t>
      </w:r>
    </w:p>
    <w:p w:rsidR="00200C10" w:rsidRPr="006953D9" w:rsidRDefault="00200C10" w:rsidP="00830021">
      <w:pPr>
        <w:pStyle w:val="SingleTxtG"/>
      </w:pPr>
      <w:r w:rsidRPr="006953D9">
        <w:lastRenderedPageBreak/>
        <w:t>120.</w:t>
      </w:r>
      <w:r w:rsidRPr="006953D9">
        <w:tab/>
        <w:t>Moreover,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accordance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2011</w:t>
      </w:r>
      <w:r w:rsidR="000B5A3E" w:rsidRPr="006953D9">
        <w:t xml:space="preserve"> </w:t>
      </w:r>
      <w:r w:rsidRPr="006953D9">
        <w:t>Press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amendment</w:t>
      </w:r>
      <w:r w:rsidR="000B5A3E" w:rsidRPr="006953D9">
        <w:t xml:space="preserve"> </w:t>
      </w:r>
      <w:r w:rsidRPr="006953D9">
        <w:t>draft,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Section</w:t>
      </w:r>
      <w:r w:rsidR="000B5A3E" w:rsidRPr="006953D9">
        <w:t xml:space="preserve"> </w:t>
      </w:r>
      <w:r w:rsidRPr="006953D9">
        <w:t>17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stated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person</w:t>
      </w:r>
      <w:r w:rsidR="000B5A3E" w:rsidRPr="006953D9">
        <w:t xml:space="preserve"> </w:t>
      </w:r>
      <w:r w:rsidRPr="006953D9">
        <w:t>responsible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newspaper</w:t>
      </w:r>
      <w:r w:rsidR="000B5A3E" w:rsidRPr="006953D9">
        <w:t xml:space="preserve"> </w:t>
      </w:r>
      <w:r w:rsidRPr="006953D9">
        <w:t>(the</w:t>
      </w:r>
      <w:r w:rsidR="000B5A3E" w:rsidRPr="006953D9">
        <w:t xml:space="preserve"> </w:t>
      </w:r>
      <w:r w:rsidRPr="006953D9">
        <w:t>term</w:t>
      </w:r>
      <w:r w:rsidR="000B5A3E" w:rsidRPr="006953D9">
        <w:t xml:space="preserve"> </w:t>
      </w:r>
      <w:r w:rsidRPr="006953D9">
        <w:t>covers</w:t>
      </w:r>
      <w:r w:rsidR="000B5A3E" w:rsidRPr="006953D9">
        <w:t xml:space="preserve"> </w:t>
      </w:r>
      <w:r w:rsidRPr="006953D9">
        <w:t>every</w:t>
      </w:r>
      <w:r w:rsidR="000B5A3E" w:rsidRPr="006953D9">
        <w:t xml:space="preserve"> </w:t>
      </w:r>
      <w:r w:rsidRPr="006953D9">
        <w:t>document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written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electronic</w:t>
      </w:r>
      <w:r w:rsidR="000B5A3E" w:rsidRPr="006953D9">
        <w:t xml:space="preserve"> </w:t>
      </w:r>
      <w:r w:rsidRPr="006953D9">
        <w:t>form)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obligation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enter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reply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person</w:t>
      </w:r>
      <w:r w:rsidR="000B5A3E" w:rsidRPr="006953D9">
        <w:t xml:space="preserve"> </w:t>
      </w:r>
      <w:r w:rsidRPr="006953D9">
        <w:t>who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offended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content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article.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addition,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Media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Commission</w:t>
      </w:r>
      <w:r w:rsidR="000B5A3E" w:rsidRPr="006953D9">
        <w:t xml:space="preserve"> </w:t>
      </w:r>
      <w:r w:rsidRPr="006953D9">
        <w:t>contains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directive</w:t>
      </w:r>
      <w:r w:rsidR="000B5A3E" w:rsidRPr="006953D9">
        <w:t xml:space="preserve"> </w:t>
      </w:r>
      <w:r w:rsidRPr="006953D9">
        <w:t>concerning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omission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negative</w:t>
      </w:r>
      <w:r w:rsidR="000B5A3E" w:rsidRPr="006953D9">
        <w:t xml:space="preserve"> </w:t>
      </w:r>
      <w:r w:rsidRPr="006953D9">
        <w:t>discriminations.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Press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amendment</w:t>
      </w:r>
      <w:r w:rsidR="000B5A3E" w:rsidRPr="006953D9">
        <w:t xml:space="preserve"> </w:t>
      </w:r>
      <w:r w:rsidRPr="006953D9">
        <w:t>draft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2011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Section</w:t>
      </w:r>
      <w:r w:rsidR="000B5A3E" w:rsidRPr="006953D9">
        <w:t xml:space="preserve"> </w:t>
      </w:r>
      <w:r w:rsidRPr="006953D9">
        <w:t>II</w:t>
      </w:r>
      <w:r w:rsidR="000B5A3E" w:rsidRPr="006953D9">
        <w:t xml:space="preserve"> </w:t>
      </w:r>
      <w:r w:rsidRPr="006953D9">
        <w:t>3</w:t>
      </w:r>
      <w:r w:rsidR="000B5A3E" w:rsidRPr="006953D9">
        <w:t xml:space="preserve"> </w:t>
      </w:r>
      <w:r w:rsidRPr="006953D9">
        <w:t>(1)</w:t>
      </w:r>
      <w:r w:rsidR="000B5A3E" w:rsidRPr="006953D9">
        <w:t xml:space="preserve"> </w:t>
      </w:r>
      <w:r w:rsidRPr="006953D9">
        <w:t>there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explicit</w:t>
      </w:r>
      <w:r w:rsidR="000B5A3E" w:rsidRPr="006953D9">
        <w:t xml:space="preserve"> </w:t>
      </w:r>
      <w:r w:rsidRPr="006953D9">
        <w:t>provision</w:t>
      </w:r>
      <w:r w:rsidR="000B5A3E" w:rsidRPr="006953D9">
        <w:t xml:space="preserve"> </w:t>
      </w:r>
      <w:r w:rsidRPr="006953D9">
        <w:t>regarding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freedom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Press.</w:t>
      </w:r>
      <w:r w:rsidR="000B5A3E" w:rsidRPr="006953D9">
        <w:t xml:space="preserve"> </w:t>
      </w:r>
      <w:r w:rsidR="002206DB" w:rsidRPr="006953D9">
        <w:t>“</w:t>
      </w:r>
      <w:r w:rsidRPr="006953D9">
        <w:t>A</w:t>
      </w:r>
      <w:r w:rsidR="000B5A3E" w:rsidRPr="006953D9">
        <w:t xml:space="preserve"> </w:t>
      </w:r>
      <w:r w:rsidRPr="006953D9">
        <w:t>journalist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freely</w:t>
      </w:r>
      <w:r w:rsidR="000B5A3E" w:rsidRPr="006953D9">
        <w:t xml:space="preserve"> </w:t>
      </w:r>
      <w:r w:rsidRPr="006953D9">
        <w:t>search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receive</w:t>
      </w:r>
      <w:r w:rsidR="000B5A3E" w:rsidRPr="006953D9">
        <w:t xml:space="preserve"> </w:t>
      </w:r>
      <w:r w:rsidRPr="006953D9">
        <w:t>information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sources</w:t>
      </w:r>
      <w:r w:rsidR="000B5A3E" w:rsidRPr="006953D9">
        <w:t xml:space="preserve"> </w:t>
      </w:r>
      <w:r w:rsidRPr="006953D9">
        <w:t>without</w:t>
      </w:r>
      <w:r w:rsidR="000B5A3E" w:rsidRPr="006953D9">
        <w:t xml:space="preserve"> </w:t>
      </w:r>
      <w:r w:rsidRPr="006953D9">
        <w:t>hindering</w:t>
      </w:r>
      <w:r w:rsidR="000B5A3E" w:rsidRPr="006953D9">
        <w:t xml:space="preserve"> </w:t>
      </w:r>
      <w:r w:rsidRPr="006953D9">
        <w:t>imposed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governmental</w:t>
      </w:r>
      <w:r w:rsidR="000B5A3E" w:rsidRPr="006953D9">
        <w:t xml:space="preserve"> </w:t>
      </w:r>
      <w:r w:rsidRPr="006953D9">
        <w:t>bodies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irrespectively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borders,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freely</w:t>
      </w:r>
      <w:r w:rsidR="000B5A3E" w:rsidRPr="006953D9">
        <w:t xml:space="preserve"> </w:t>
      </w:r>
      <w:r w:rsidRPr="006953D9">
        <w:t>transmit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information</w:t>
      </w:r>
      <w:r w:rsidR="000B5A3E" w:rsidRPr="006953D9">
        <w:t xml:space="preserve"> </w:t>
      </w:r>
      <w:r w:rsidRPr="006953D9">
        <w:t>utilizing</w:t>
      </w:r>
      <w:r w:rsidR="000B5A3E" w:rsidRPr="006953D9">
        <w:t xml:space="preserve"> </w:t>
      </w:r>
      <w:r w:rsidRPr="006953D9">
        <w:t>every</w:t>
      </w:r>
      <w:r w:rsidR="000B5A3E" w:rsidRPr="006953D9">
        <w:t xml:space="preserve"> </w:t>
      </w:r>
      <w:r w:rsidRPr="006953D9">
        <w:t>means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expression,</w:t>
      </w:r>
      <w:r w:rsidR="000B5A3E" w:rsidRPr="006953D9">
        <w:t xml:space="preserve"> </w:t>
      </w:r>
      <w:r w:rsidRPr="006953D9">
        <w:t>unless</w:t>
      </w:r>
      <w:r w:rsidR="000B5A3E" w:rsidRPr="006953D9">
        <w:t xml:space="preserve"> </w:t>
      </w:r>
      <w:r w:rsidRPr="006953D9">
        <w:t>there</w:t>
      </w:r>
      <w:r w:rsidR="000B5A3E" w:rsidRPr="006953D9">
        <w:t xml:space="preserve"> </w:t>
      </w:r>
      <w:r w:rsidRPr="006953D9">
        <w:t>exist</w:t>
      </w:r>
      <w:r w:rsidR="000B5A3E" w:rsidRPr="006953D9">
        <w:t xml:space="preserve"> </w:t>
      </w:r>
      <w:r w:rsidRPr="006953D9">
        <w:t>reasons</w:t>
      </w:r>
      <w:r w:rsidR="000B5A3E" w:rsidRPr="006953D9">
        <w:t xml:space="preserve"> </w:t>
      </w:r>
      <w:r w:rsidRPr="006953D9">
        <w:t>pertaining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safety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8F5557" w:rsidRPr="006953D9">
        <w:t xml:space="preserve"> </w:t>
      </w:r>
      <w:r w:rsidRPr="006953D9">
        <w:t>...</w:t>
      </w:r>
      <w:r w:rsidR="002206DB" w:rsidRPr="006953D9">
        <w:t>”</w:t>
      </w:r>
      <w:r w:rsidRPr="006953D9">
        <w:t>.</w:t>
      </w:r>
    </w:p>
    <w:p w:rsidR="00200C10" w:rsidRPr="006953D9" w:rsidRDefault="00200C10" w:rsidP="00830021">
      <w:pPr>
        <w:pStyle w:val="SingleTxtG"/>
      </w:pPr>
      <w:r w:rsidRPr="006953D9">
        <w:t>121.</w:t>
      </w:r>
      <w:r w:rsidRPr="006953D9">
        <w:tab/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Media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Commission</w:t>
      </w:r>
      <w:r w:rsidR="000B5A3E" w:rsidRPr="006953D9">
        <w:t xml:space="preserve"> </w:t>
      </w:r>
      <w:r w:rsidRPr="006953D9">
        <w:t>exists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avoid</w:t>
      </w:r>
      <w:r w:rsidR="000B5A3E" w:rsidRPr="006953D9">
        <w:t xml:space="preserve"> </w:t>
      </w:r>
      <w:r w:rsidRPr="006953D9">
        <w:t>discriminations.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Amendment</w:t>
      </w:r>
      <w:r w:rsidR="000B5A3E" w:rsidRPr="006953D9">
        <w:t xml:space="preserve"> </w:t>
      </w:r>
      <w:r w:rsidRPr="006953D9">
        <w:t>draft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Press</w:t>
      </w:r>
      <w:r w:rsidR="000B5A3E" w:rsidRPr="006953D9">
        <w:t xml:space="preserve"> </w:t>
      </w:r>
      <w:r w:rsidRPr="006953D9">
        <w:t>Law,</w:t>
      </w:r>
      <w:r w:rsidR="000B5A3E" w:rsidRPr="006953D9">
        <w:t xml:space="preserve"> </w:t>
      </w:r>
      <w:r w:rsidRPr="006953D9">
        <w:t>documents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electronic</w:t>
      </w:r>
      <w:r w:rsidR="000B5A3E" w:rsidRPr="006953D9">
        <w:t xml:space="preserve"> </w:t>
      </w:r>
      <w:r w:rsidRPr="006953D9">
        <w:t>form</w:t>
      </w:r>
      <w:r w:rsidR="000B5A3E" w:rsidRPr="006953D9">
        <w:t xml:space="preserve"> </w:t>
      </w:r>
      <w:r w:rsidRPr="006953D9">
        <w:t>will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included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Mass</w:t>
      </w:r>
      <w:r w:rsidR="000B5A3E" w:rsidRPr="006953D9">
        <w:t xml:space="preserve"> </w:t>
      </w:r>
      <w:r w:rsidRPr="006953D9">
        <w:t>Media,</w:t>
      </w:r>
      <w:r w:rsidR="000B5A3E" w:rsidRPr="006953D9">
        <w:t xml:space="preserve"> </w:t>
      </w:r>
      <w:r w:rsidRPr="006953D9">
        <w:t>therefore</w:t>
      </w:r>
      <w:r w:rsidR="000B5A3E" w:rsidRPr="006953D9">
        <w:t xml:space="preserve"> </w:t>
      </w:r>
      <w:r w:rsidRPr="006953D9">
        <w:t>anyone</w:t>
      </w:r>
      <w:r w:rsidR="000B5A3E" w:rsidRPr="006953D9">
        <w:t xml:space="preserve"> </w:t>
      </w:r>
      <w:r w:rsidRPr="006953D9">
        <w:t>offended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way</w:t>
      </w:r>
      <w:r w:rsidR="000B5A3E" w:rsidRPr="006953D9">
        <w:t xml:space="preserve"> </w:t>
      </w:r>
      <w:r w:rsidRPr="006953D9">
        <w:t>will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able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respond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means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rectifying</w:t>
      </w:r>
      <w:r w:rsidR="000B5A3E" w:rsidRPr="006953D9">
        <w:t xml:space="preserve"> </w:t>
      </w:r>
      <w:r w:rsidRPr="006953D9">
        <w:t>article</w:t>
      </w:r>
      <w:r w:rsidR="000B5A3E" w:rsidRPr="006953D9">
        <w:t xml:space="preserve"> </w:t>
      </w:r>
      <w:r w:rsidRPr="006953D9">
        <w:t>published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person</w:t>
      </w:r>
      <w:r w:rsidR="000B5A3E" w:rsidRPr="006953D9">
        <w:t xml:space="preserve"> </w:t>
      </w:r>
      <w:r w:rsidRPr="006953D9">
        <w:t>responsible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Law.</w:t>
      </w:r>
    </w:p>
    <w:p w:rsidR="00200C10" w:rsidRPr="006953D9" w:rsidRDefault="00200C10" w:rsidP="00830021">
      <w:pPr>
        <w:pStyle w:val="SingleTxtG"/>
      </w:pPr>
      <w:r w:rsidRPr="006953D9">
        <w:t>122.</w:t>
      </w:r>
      <w:r w:rsidRPr="006953D9">
        <w:tab/>
        <w:t>All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conventions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treaties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becomes</w:t>
      </w:r>
      <w:r w:rsidR="000B5A3E" w:rsidRPr="006953D9">
        <w:t xml:space="preserve"> </w:t>
      </w:r>
      <w:r w:rsidRPr="006953D9">
        <w:t>party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published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Official</w:t>
      </w:r>
      <w:r w:rsidR="000B5A3E" w:rsidRPr="006953D9">
        <w:t xml:space="preserve"> </w:t>
      </w:r>
      <w:r w:rsidRPr="006953D9">
        <w:t>Gazette.</w:t>
      </w:r>
      <w:r w:rsidR="000B5A3E" w:rsidRPr="006953D9">
        <w:t xml:space="preserve"> </w:t>
      </w:r>
      <w:r w:rsidRPr="006953D9">
        <w:t>Appropriate</w:t>
      </w:r>
      <w:r w:rsidR="000B5A3E" w:rsidRPr="006953D9">
        <w:t xml:space="preserve"> </w:t>
      </w:r>
      <w:r w:rsidRPr="006953D9">
        <w:t>publicity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given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them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media,</w:t>
      </w:r>
      <w:r w:rsidR="000B5A3E" w:rsidRPr="006953D9">
        <w:t xml:space="preserve"> </w:t>
      </w:r>
      <w:r w:rsidRPr="006953D9">
        <w:t>printed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electronic</w:t>
      </w:r>
      <w:r w:rsidR="000B5A3E" w:rsidRPr="006953D9">
        <w:t xml:space="preserve"> </w:t>
      </w:r>
      <w:r w:rsidRPr="006953D9">
        <w:t>press,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acceptance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right,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optional</w:t>
      </w:r>
      <w:r w:rsidR="000B5A3E" w:rsidRPr="006953D9">
        <w:t xml:space="preserve"> </w:t>
      </w:r>
      <w:r w:rsidRPr="006953D9">
        <w:t>procedures,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petition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address</w:t>
      </w:r>
      <w:r w:rsidR="000B5A3E" w:rsidRPr="006953D9">
        <w:t xml:space="preserve"> </w:t>
      </w:r>
      <w:r w:rsidRPr="006953D9">
        <w:t>communication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organs.</w:t>
      </w:r>
    </w:p>
    <w:p w:rsidR="00200C10" w:rsidRPr="006953D9" w:rsidRDefault="00200C10" w:rsidP="00830021">
      <w:pPr>
        <w:pStyle w:val="SingleTxtG"/>
      </w:pPr>
      <w:r w:rsidRPr="006953D9">
        <w:t>123.</w:t>
      </w:r>
      <w:r w:rsidRPr="006953D9">
        <w:tab/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considered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particularly</w:t>
      </w:r>
      <w:r w:rsidR="000B5A3E" w:rsidRPr="006953D9">
        <w:t xml:space="preserve"> </w:t>
      </w:r>
      <w:r w:rsidRPr="006953D9">
        <w:t>important</w:t>
      </w:r>
      <w:r w:rsidR="000B5A3E" w:rsidRPr="006953D9">
        <w:t xml:space="preserve"> </w:t>
      </w:r>
      <w:r w:rsidRPr="006953D9">
        <w:t>issue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special</w:t>
      </w:r>
      <w:r w:rsidR="000B5A3E" w:rsidRPr="006953D9">
        <w:t xml:space="preserve"> </w:t>
      </w:r>
      <w:r w:rsidRPr="006953D9">
        <w:t>action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always</w:t>
      </w:r>
      <w:r w:rsidR="000B5A3E" w:rsidRPr="006953D9">
        <w:t xml:space="preserve"> </w:t>
      </w:r>
      <w:r w:rsidRPr="006953D9">
        <w:t>taken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promote</w:t>
      </w:r>
      <w:r w:rsidR="000B5A3E" w:rsidRPr="006953D9">
        <w:t xml:space="preserve"> </w:t>
      </w:r>
      <w:r w:rsidRPr="006953D9">
        <w:t>awareness</w:t>
      </w:r>
      <w:r w:rsidR="000B5A3E" w:rsidRPr="006953D9">
        <w:t xml:space="preserve"> </w:t>
      </w:r>
      <w:r w:rsidRPr="006953D9">
        <w:t>among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public,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authorities,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contained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various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instruments.</w:t>
      </w:r>
      <w:r w:rsidR="000B5A3E" w:rsidRPr="006953D9">
        <w:t xml:space="preserve"> </w:t>
      </w:r>
      <w:r w:rsidRPr="006953D9">
        <w:t>Awareness,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necessary</w:t>
      </w:r>
      <w:r w:rsidR="000B5A3E" w:rsidRPr="006953D9">
        <w:t xml:space="preserve"> </w:t>
      </w:r>
      <w:r w:rsidRPr="006953D9">
        <w:t>precondition</w:t>
      </w:r>
      <w:r w:rsidR="000B5A3E" w:rsidRPr="006953D9">
        <w:t xml:space="preserve"> </w:t>
      </w:r>
      <w:r w:rsidRPr="006953D9">
        <w:t>to,</w:t>
      </w:r>
      <w:r w:rsidR="000B5A3E" w:rsidRPr="006953D9">
        <w:t xml:space="preserve"> </w:t>
      </w:r>
      <w:r w:rsidRPr="006953D9">
        <w:t>inter</w:t>
      </w:r>
      <w:r w:rsidR="000B5A3E" w:rsidRPr="006953D9">
        <w:t xml:space="preserve"> </w:t>
      </w:r>
      <w:r w:rsidRPr="006953D9">
        <w:t>alia,</w:t>
      </w:r>
      <w:r w:rsidR="000B5A3E" w:rsidRPr="006953D9">
        <w:t xml:space="preserve"> </w:t>
      </w:r>
      <w:r w:rsidRPr="006953D9">
        <w:t>claiming</w:t>
      </w:r>
      <w:r w:rsidR="000B5A3E" w:rsidRPr="006953D9">
        <w:t xml:space="preserve"> </w:t>
      </w:r>
      <w:r w:rsidRPr="006953D9">
        <w:t>one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prevention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abuses,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pursued</w:t>
      </w:r>
      <w:r w:rsidR="000B5A3E" w:rsidRPr="006953D9">
        <w:t xml:space="preserve"> </w:t>
      </w:r>
      <w:r w:rsidRPr="006953D9">
        <w:t>mainly</w:t>
      </w:r>
      <w:r w:rsidR="000B5A3E" w:rsidRPr="006953D9">
        <w:t xml:space="preserve"> </w:t>
      </w:r>
      <w:r w:rsidRPr="006953D9">
        <w:t>through</w:t>
      </w:r>
      <w:r w:rsidR="000B5A3E" w:rsidRPr="006953D9">
        <w:t xml:space="preserve"> </w:t>
      </w:r>
      <w:r w:rsidRPr="006953D9">
        <w:t>education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teaching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curricula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levels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education,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teachers</w:t>
      </w:r>
      <w:r w:rsidR="002206DB" w:rsidRPr="006953D9">
        <w:t>’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police</w:t>
      </w:r>
      <w:r w:rsidR="000B5A3E" w:rsidRPr="006953D9">
        <w:t xml:space="preserve"> </w:t>
      </w:r>
      <w:r w:rsidRPr="006953D9">
        <w:t>training</w:t>
      </w:r>
      <w:r w:rsidR="000B5A3E" w:rsidRPr="006953D9">
        <w:t xml:space="preserve"> </w:t>
      </w:r>
      <w:r w:rsidRPr="006953D9">
        <w:t>academies,</w:t>
      </w:r>
      <w:r w:rsidR="000B5A3E" w:rsidRPr="006953D9">
        <w:t xml:space="preserve"> </w:t>
      </w:r>
      <w:r w:rsidRPr="006953D9">
        <w:t>parents</w:t>
      </w:r>
      <w:r w:rsidR="002206DB" w:rsidRPr="006953D9">
        <w:t>’</w:t>
      </w:r>
      <w:r w:rsidR="000B5A3E" w:rsidRPr="006953D9">
        <w:t xml:space="preserve"> </w:t>
      </w:r>
      <w:r w:rsidRPr="006953D9">
        <w:t>guidance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similar</w:t>
      </w:r>
      <w:r w:rsidR="000B5A3E" w:rsidRPr="006953D9">
        <w:t xml:space="preserve"> </w:t>
      </w:r>
      <w:r w:rsidRPr="006953D9">
        <w:t>institutions.</w:t>
      </w:r>
    </w:p>
    <w:p w:rsidR="00200C10" w:rsidRPr="006953D9" w:rsidRDefault="00200C10" w:rsidP="00830021">
      <w:pPr>
        <w:pStyle w:val="SingleTxtG"/>
      </w:pPr>
      <w:r w:rsidRPr="006953D9">
        <w:t>124.</w:t>
      </w:r>
      <w:r w:rsidRPr="006953D9">
        <w:tab/>
        <w:t>Cyprus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committed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continue</w:t>
      </w:r>
      <w:r w:rsidR="000B5A3E" w:rsidRPr="006953D9">
        <w:t xml:space="preserve"> </w:t>
      </w:r>
      <w:r w:rsidRPr="006953D9">
        <w:t>working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further</w:t>
      </w:r>
      <w:r w:rsidR="000B5A3E" w:rsidRPr="006953D9">
        <w:t xml:space="preserve"> </w:t>
      </w:r>
      <w:r w:rsidRPr="006953D9">
        <w:t>advancement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raising</w:t>
      </w:r>
      <w:r w:rsidR="000B5A3E" w:rsidRPr="006953D9">
        <w:t xml:space="preserve"> </w:t>
      </w:r>
      <w:r w:rsidRPr="006953D9">
        <w:t>awareness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education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spectrum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incorporated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school</w:t>
      </w:r>
      <w:r w:rsidR="000B5A3E" w:rsidRPr="006953D9">
        <w:t xml:space="preserve"> </w:t>
      </w:r>
      <w:r w:rsidRPr="006953D9">
        <w:t>curriculum,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promotes</w:t>
      </w:r>
      <w:r w:rsidR="000B5A3E" w:rsidRPr="006953D9">
        <w:t xml:space="preserve"> </w:t>
      </w:r>
      <w:r w:rsidRPr="006953D9">
        <w:t>tolerance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multicultural</w:t>
      </w:r>
      <w:r w:rsidR="000B5A3E" w:rsidRPr="006953D9">
        <w:t xml:space="preserve"> </w:t>
      </w:r>
      <w:r w:rsidRPr="006953D9">
        <w:t>environment.</w:t>
      </w:r>
      <w:r w:rsidR="000B5A3E" w:rsidRPr="006953D9">
        <w:t xml:space="preserve"> </w:t>
      </w:r>
      <w:r w:rsidRPr="006953D9">
        <w:t>Concrete</w:t>
      </w:r>
      <w:r w:rsidR="000B5A3E" w:rsidRPr="006953D9">
        <w:t xml:space="preserve"> </w:t>
      </w:r>
      <w:r w:rsidRPr="006953D9">
        <w:t>measures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adopted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prevention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abolition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practices,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modernized</w:t>
      </w:r>
      <w:r w:rsidR="000B5A3E" w:rsidRPr="006953D9">
        <w:t xml:space="preserve"> </w:t>
      </w:r>
      <w:r w:rsidRPr="006953D9">
        <w:t>educational</w:t>
      </w:r>
      <w:r w:rsidR="000B5A3E" w:rsidRPr="006953D9">
        <w:t xml:space="preserve"> </w:t>
      </w:r>
      <w:r w:rsidRPr="006953D9">
        <w:t>policies,</w:t>
      </w:r>
      <w:r w:rsidR="000B5A3E" w:rsidRPr="006953D9">
        <w:t xml:space="preserve"> </w:t>
      </w:r>
      <w:r w:rsidRPr="006953D9">
        <w:t>coordination</w:t>
      </w:r>
      <w:r w:rsidR="000B5A3E" w:rsidRPr="006953D9">
        <w:t xml:space="preserve"> </w:t>
      </w:r>
      <w:r w:rsidRPr="006953D9">
        <w:t>mechanisms,</w:t>
      </w:r>
      <w:r w:rsidR="000B5A3E" w:rsidRPr="006953D9">
        <w:t xml:space="preserve"> </w:t>
      </w:r>
      <w:r w:rsidRPr="006953D9">
        <w:t>better</w:t>
      </w:r>
      <w:r w:rsidR="000B5A3E" w:rsidRPr="006953D9">
        <w:t xml:space="preserve"> </w:t>
      </w:r>
      <w:r w:rsidRPr="006953D9">
        <w:t>allocation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resources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special</w:t>
      </w:r>
      <w:r w:rsidR="000B5A3E" w:rsidRPr="006953D9">
        <w:t xml:space="preserve"> </w:t>
      </w:r>
      <w:r w:rsidRPr="006953D9">
        <w:t>educative</w:t>
      </w:r>
      <w:r w:rsidR="000B5A3E" w:rsidRPr="006953D9">
        <w:t xml:space="preserve"> </w:t>
      </w:r>
      <w:r w:rsidRPr="006953D9">
        <w:t>tools.</w:t>
      </w:r>
    </w:p>
    <w:p w:rsidR="00200C10" w:rsidRPr="006953D9" w:rsidRDefault="00200C10" w:rsidP="00830021">
      <w:pPr>
        <w:pStyle w:val="SingleTxtG"/>
      </w:pPr>
      <w:r w:rsidRPr="006953D9">
        <w:t>125.</w:t>
      </w:r>
      <w:r w:rsidRPr="006953D9">
        <w:tab/>
        <w:t>The</w:t>
      </w:r>
      <w:r w:rsidR="000B5A3E" w:rsidRPr="006953D9">
        <w:t xml:space="preserve"> </w:t>
      </w:r>
      <w:r w:rsidRPr="006953D9">
        <w:t>Government,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media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sector</w:t>
      </w:r>
      <w:r w:rsidR="000B5A3E" w:rsidRPr="006953D9">
        <w:t xml:space="preserve"> </w:t>
      </w:r>
      <w:r w:rsidRPr="006953D9">
        <w:t>publish</w:t>
      </w:r>
      <w:r w:rsidR="000B5A3E" w:rsidRPr="006953D9">
        <w:t xml:space="preserve"> </w:t>
      </w:r>
      <w:r w:rsidRPr="006953D9">
        <w:t>books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pamphlets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issue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question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violation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  <w:r w:rsidRPr="006953D9">
        <w:t>Posters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brochures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distributed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establishments,</w:t>
      </w:r>
      <w:r w:rsidR="000B5A3E" w:rsidRPr="006953D9">
        <w:t xml:space="preserve"> </w:t>
      </w:r>
      <w:r w:rsidRPr="006953D9">
        <w:t>schools,</w:t>
      </w:r>
      <w:r w:rsidR="000B5A3E" w:rsidRPr="006953D9">
        <w:t xml:space="preserve"> </w:t>
      </w:r>
      <w:r w:rsidRPr="006953D9">
        <w:t>youth</w:t>
      </w:r>
      <w:r w:rsidR="000B5A3E" w:rsidRPr="006953D9">
        <w:t xml:space="preserve"> </w:t>
      </w:r>
      <w:r w:rsidRPr="006953D9">
        <w:t>centres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organisations.</w:t>
      </w:r>
      <w:r w:rsidR="000B5A3E" w:rsidRPr="006953D9">
        <w:t xml:space="preserve"> </w:t>
      </w:r>
      <w:r w:rsidRPr="006953D9">
        <w:t>Special</w:t>
      </w:r>
      <w:r w:rsidR="000B5A3E" w:rsidRPr="006953D9">
        <w:t xml:space="preserve"> </w:t>
      </w:r>
      <w:r w:rsidRPr="006953D9">
        <w:t>press</w:t>
      </w:r>
      <w:r w:rsidR="000B5A3E" w:rsidRPr="006953D9">
        <w:t xml:space="preserve"> </w:t>
      </w:r>
      <w:r w:rsidRPr="006953D9">
        <w:t>releases</w:t>
      </w:r>
      <w:r w:rsidR="000B5A3E" w:rsidRPr="006953D9">
        <w:t xml:space="preserve"> </w:t>
      </w:r>
      <w:r w:rsidRPr="006953D9">
        <w:t>regarding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issued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when</w:t>
      </w:r>
      <w:r w:rsidR="000B5A3E" w:rsidRPr="006953D9">
        <w:t xml:space="preserve"> </w:t>
      </w:r>
      <w:r w:rsidRPr="006953D9">
        <w:t>necessary</w:t>
      </w:r>
      <w:r w:rsidR="000B5A3E" w:rsidRPr="006953D9">
        <w:t xml:space="preserve"> </w:t>
      </w:r>
      <w:r w:rsidRPr="006953D9">
        <w:t>covering</w:t>
      </w:r>
      <w:r w:rsidR="000B5A3E" w:rsidRPr="006953D9">
        <w:t xml:space="preserve"> </w:t>
      </w:r>
      <w:r w:rsidRPr="006953D9">
        <w:t>both</w:t>
      </w:r>
      <w:r w:rsidR="000B5A3E" w:rsidRPr="006953D9">
        <w:t xml:space="preserve"> </w:t>
      </w:r>
      <w:r w:rsidRPr="006953D9">
        <w:t>local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developments,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conferences,</w:t>
      </w:r>
      <w:r w:rsidR="000B5A3E" w:rsidRPr="006953D9">
        <w:t xml:space="preserve"> </w:t>
      </w:r>
      <w:r w:rsidRPr="006953D9">
        <w:t>seminars,</w:t>
      </w:r>
      <w:r w:rsidR="000B5A3E" w:rsidRPr="006953D9">
        <w:t xml:space="preserve"> </w:t>
      </w:r>
      <w:r w:rsidRPr="006953D9">
        <w:t>lectures,</w:t>
      </w:r>
      <w:r w:rsidR="000B5A3E" w:rsidRPr="006953D9">
        <w:t xml:space="preserve"> </w:t>
      </w:r>
      <w:r w:rsidRPr="006953D9">
        <w:t>colloquies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similar</w:t>
      </w:r>
      <w:r w:rsidR="000B5A3E" w:rsidRPr="006953D9">
        <w:t xml:space="preserve"> </w:t>
      </w:r>
      <w:r w:rsidRPr="006953D9">
        <w:t>events.</w:t>
      </w:r>
      <w:r w:rsidR="000B5A3E" w:rsidRPr="006953D9">
        <w:t xml:space="preserve"> </w:t>
      </w:r>
      <w:r w:rsidRPr="006953D9">
        <w:t>Articles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frequently</w:t>
      </w:r>
      <w:r w:rsidR="000B5A3E" w:rsidRPr="006953D9">
        <w:t xml:space="preserve"> </w:t>
      </w:r>
      <w:r w:rsidRPr="006953D9">
        <w:t>appear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newspapers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specialized</w:t>
      </w:r>
      <w:r w:rsidR="000B5A3E" w:rsidRPr="006953D9">
        <w:t xml:space="preserve"> </w:t>
      </w:r>
      <w:r w:rsidRPr="006953D9">
        <w:t>publications,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those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Bar</w:t>
      </w:r>
      <w:r w:rsidR="000B5A3E" w:rsidRPr="006953D9">
        <w:t xml:space="preserve"> </w:t>
      </w:r>
      <w:r w:rsidRPr="006953D9">
        <w:t>Association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Organisations.</w:t>
      </w:r>
    </w:p>
    <w:p w:rsidR="00200C10" w:rsidRPr="006953D9" w:rsidRDefault="00200C10" w:rsidP="008F5557">
      <w:pPr>
        <w:pStyle w:val="H1G"/>
      </w:pPr>
      <w:r w:rsidRPr="006953D9">
        <w:tab/>
      </w:r>
      <w:bookmarkStart w:id="11" w:name="_Toc509325404"/>
      <w:r w:rsidRPr="006953D9">
        <w:t>D.</w:t>
      </w:r>
      <w:r w:rsidRPr="006953D9">
        <w:tab/>
        <w:t>Reporting</w:t>
      </w:r>
      <w:r w:rsidR="000B5A3E" w:rsidRPr="006953D9">
        <w:t xml:space="preserve"> </w:t>
      </w:r>
      <w:r w:rsidRPr="006953D9">
        <w:t>process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level</w:t>
      </w:r>
      <w:bookmarkEnd w:id="11"/>
    </w:p>
    <w:p w:rsidR="00200C10" w:rsidRPr="006953D9" w:rsidRDefault="00200C10" w:rsidP="00830021">
      <w:pPr>
        <w:pStyle w:val="SingleTxtG"/>
      </w:pPr>
      <w:r w:rsidRPr="006953D9">
        <w:t>126.</w:t>
      </w:r>
      <w:r w:rsidRPr="006953D9">
        <w:tab/>
        <w:t>Pursuant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Decision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Ministers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(no.</w:t>
      </w:r>
      <w:r w:rsidR="000B5A3E" w:rsidRPr="006953D9">
        <w:t xml:space="preserve"> </w:t>
      </w:r>
      <w:r w:rsidRPr="006953D9">
        <w:t>38.958,</w:t>
      </w:r>
      <w:r w:rsidR="000B5A3E" w:rsidRPr="006953D9">
        <w:t xml:space="preserve"> </w:t>
      </w:r>
      <w:r w:rsidRPr="006953D9">
        <w:t>dated</w:t>
      </w:r>
      <w:r w:rsidR="000B5A3E" w:rsidRPr="006953D9">
        <w:t xml:space="preserve"> </w:t>
      </w:r>
      <w:r w:rsidRPr="006953D9">
        <w:t>25.2.1993),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cooperation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Ministry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Foreign</w:t>
      </w:r>
      <w:r w:rsidR="000B5A3E" w:rsidRPr="006953D9">
        <w:t xml:space="preserve"> </w:t>
      </w:r>
      <w:r w:rsidRPr="006953D9">
        <w:t>Affairs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competent</w:t>
      </w:r>
      <w:r w:rsidR="000B5A3E" w:rsidRPr="006953D9">
        <w:t xml:space="preserve"> </w:t>
      </w:r>
      <w:r w:rsidRPr="006953D9">
        <w:t>Ministries,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entrusted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ensuring</w:t>
      </w:r>
      <w:r w:rsidR="000B5A3E" w:rsidRPr="006953D9">
        <w:t xml:space="preserve"> </w:t>
      </w:r>
      <w:r w:rsidRPr="006953D9">
        <w:t>compliance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2206DB" w:rsidRPr="006953D9">
        <w:t>’</w:t>
      </w:r>
      <w:r w:rsidR="000B5A3E" w:rsidRPr="006953D9">
        <w:t xml:space="preserve"> </w:t>
      </w:r>
      <w:r w:rsidRPr="006953D9">
        <w:t>reporting</w:t>
      </w:r>
      <w:r w:rsidR="000B5A3E" w:rsidRPr="006953D9">
        <w:t xml:space="preserve"> </w:t>
      </w:r>
      <w:r w:rsidRPr="006953D9">
        <w:t>obligations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instruments.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up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date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treaty</w:t>
      </w:r>
      <w:r w:rsidR="000B5A3E" w:rsidRPr="006953D9">
        <w:t xml:space="preserve"> </w:t>
      </w:r>
      <w:r w:rsidRPr="006953D9">
        <w:t>reporting</w:t>
      </w:r>
      <w:r w:rsidR="000B5A3E" w:rsidRPr="006953D9">
        <w:t xml:space="preserve"> </w:t>
      </w:r>
      <w:r w:rsidRPr="006953D9">
        <w:t>obligations.</w:t>
      </w:r>
    </w:p>
    <w:p w:rsidR="00200C10" w:rsidRPr="006953D9" w:rsidRDefault="00200C10" w:rsidP="00830021">
      <w:pPr>
        <w:pStyle w:val="SingleTxtG"/>
      </w:pPr>
      <w:r w:rsidRPr="006953D9">
        <w:t>127.</w:t>
      </w:r>
      <w:r w:rsidRPr="006953D9">
        <w:tab/>
        <w:t>Generally,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each</w:t>
      </w:r>
      <w:r w:rsidR="000B5A3E" w:rsidRPr="006953D9">
        <w:t xml:space="preserve"> </w:t>
      </w:r>
      <w:r w:rsidRPr="006953D9">
        <w:t>occasion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preparing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presenting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report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particular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Treaty</w:t>
      </w:r>
      <w:r w:rsidR="000B5A3E" w:rsidRPr="006953D9">
        <w:t xml:space="preserve"> </w:t>
      </w:r>
      <w:r w:rsidRPr="006953D9">
        <w:t>Body,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ad-hoc</w:t>
      </w:r>
      <w:r w:rsidR="000B5A3E" w:rsidRPr="006953D9">
        <w:t xml:space="preserve"> </w:t>
      </w:r>
      <w:r w:rsidRPr="006953D9">
        <w:t>inter-departmental</w:t>
      </w:r>
      <w:r w:rsidR="000B5A3E" w:rsidRPr="006953D9">
        <w:t xml:space="preserve"> </w:t>
      </w:r>
      <w:r w:rsidRPr="006953D9">
        <w:t>working</w:t>
      </w:r>
      <w:r w:rsidR="000B5A3E" w:rsidRPr="006953D9">
        <w:t xml:space="preserve"> </w:t>
      </w:r>
      <w:r w:rsidRPr="006953D9">
        <w:t>group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set</w:t>
      </w:r>
      <w:r w:rsidR="000B5A3E" w:rsidRPr="006953D9">
        <w:t xml:space="preserve"> </w:t>
      </w:r>
      <w:r w:rsidRPr="006953D9">
        <w:t>up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deal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process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examination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situation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respective</w:t>
      </w:r>
      <w:r w:rsidR="000B5A3E" w:rsidRPr="006953D9">
        <w:t xml:space="preserve"> </w:t>
      </w:r>
      <w:r w:rsidRPr="006953D9">
        <w:t>field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128.</w:t>
      </w:r>
      <w:r w:rsidRPr="006953D9">
        <w:tab/>
        <w:t>Representatives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Ministries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Governmental</w:t>
      </w:r>
      <w:r w:rsidR="000B5A3E" w:rsidRPr="006953D9">
        <w:t xml:space="preserve"> </w:t>
      </w:r>
      <w:r w:rsidRPr="006953D9">
        <w:t>Departments,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Institutions</w:t>
      </w:r>
      <w:r w:rsidR="000B5A3E" w:rsidRPr="006953D9">
        <w:t xml:space="preserve"> </w:t>
      </w:r>
      <w:r w:rsidRPr="006953D9">
        <w:t>(such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Commissioner),</w:t>
      </w:r>
      <w:r w:rsidR="000B5A3E" w:rsidRPr="006953D9">
        <w:t xml:space="preserve"> </w:t>
      </w:r>
      <w:r w:rsidRPr="006953D9">
        <w:t>Authorities</w:t>
      </w:r>
      <w:r w:rsidR="000B5A3E" w:rsidRPr="006953D9">
        <w:t xml:space="preserve"> </w:t>
      </w:r>
      <w:r w:rsidRPr="006953D9">
        <w:t>(such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Investigation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Allegations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lastRenderedPageBreak/>
        <w:t>Police)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Non-Governmental</w:t>
      </w:r>
      <w:r w:rsidR="000B5A3E" w:rsidRPr="006953D9">
        <w:t xml:space="preserve"> </w:t>
      </w:r>
      <w:r w:rsidRPr="006953D9">
        <w:t>Organizations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active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rights,</w:t>
      </w:r>
      <w:r w:rsidR="000B5A3E" w:rsidRPr="006953D9">
        <w:t xml:space="preserve"> </w:t>
      </w:r>
      <w:r w:rsidRPr="006953D9">
        <w:t>contribute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compilation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information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facilitate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work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inter-departmental</w:t>
      </w:r>
      <w:r w:rsidR="000B5A3E" w:rsidRPr="006953D9">
        <w:t xml:space="preserve"> </w:t>
      </w:r>
      <w:r w:rsidRPr="006953D9">
        <w:t>working</w:t>
      </w:r>
      <w:r w:rsidR="000B5A3E" w:rsidRPr="006953D9">
        <w:t xml:space="preserve"> </w:t>
      </w:r>
      <w:r w:rsidRPr="006953D9">
        <w:t>group.</w:t>
      </w:r>
    </w:p>
    <w:p w:rsidR="00200C10" w:rsidRPr="006953D9" w:rsidRDefault="00200C10" w:rsidP="00CC2632">
      <w:pPr>
        <w:pStyle w:val="SingleTxtG"/>
      </w:pPr>
      <w:r w:rsidRPr="006953D9">
        <w:t>129.</w:t>
      </w:r>
      <w:r w:rsidRPr="006953D9">
        <w:tab/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specific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reporting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Committee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Ministers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decided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9.5.2012,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regards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implementation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Article</w:t>
      </w:r>
      <w:r w:rsidR="000B5A3E" w:rsidRPr="006953D9">
        <w:t xml:space="preserve"> </w:t>
      </w:r>
      <w:r w:rsidRPr="006953D9">
        <w:t>33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Disabilities,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designate</w:t>
      </w:r>
      <w:r w:rsidR="000B5A3E" w:rsidRPr="006953D9">
        <w:t xml:space="preserve"> </w:t>
      </w:r>
      <w:r w:rsidRPr="006953D9">
        <w:t>specific</w:t>
      </w:r>
      <w:r w:rsidR="000B5A3E" w:rsidRPr="006953D9">
        <w:t xml:space="preserve"> </w:t>
      </w:r>
      <w:r w:rsidRPr="006953D9">
        <w:t>mechanisms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effective</w:t>
      </w:r>
      <w:r w:rsidR="000B5A3E" w:rsidRPr="006953D9">
        <w:t xml:space="preserve"> </w:t>
      </w:r>
      <w:r w:rsidRPr="006953D9">
        <w:t>implementation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monitoring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Convention,</w:t>
      </w:r>
      <w:r w:rsidR="000B5A3E" w:rsidRPr="006953D9">
        <w:t xml:space="preserve"> </w:t>
      </w:r>
      <w:r w:rsidRPr="006953D9">
        <w:t>involving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Department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Inclusion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Ministry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Labour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Insurance,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proofErr w:type="spellStart"/>
      <w:r w:rsidRPr="006953D9">
        <w:t>Pancyprian</w:t>
      </w:r>
      <w:proofErr w:type="spellEnd"/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="00CC2632" w:rsidRPr="006953D9">
        <w:t>—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Authority.</w:t>
      </w:r>
    </w:p>
    <w:p w:rsidR="00200C10" w:rsidRPr="006953D9" w:rsidRDefault="00200C10" w:rsidP="00830021">
      <w:pPr>
        <w:pStyle w:val="SingleTxtG"/>
      </w:pPr>
      <w:r w:rsidRPr="006953D9">
        <w:t>130.</w:t>
      </w:r>
      <w:r w:rsidRPr="006953D9">
        <w:tab/>
        <w:t>The</w:t>
      </w:r>
      <w:r w:rsidR="000B5A3E" w:rsidRPr="006953D9">
        <w:t xml:space="preserve"> </w:t>
      </w:r>
      <w:r w:rsidRPr="006953D9">
        <w:t>Department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Inclusion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Focal</w:t>
      </w:r>
      <w:r w:rsidR="000B5A3E" w:rsidRPr="006953D9">
        <w:t xml:space="preserve"> </w:t>
      </w:r>
      <w:r w:rsidRPr="006953D9">
        <w:t>Point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responsible,</w:t>
      </w:r>
      <w:r w:rsidR="000B5A3E" w:rsidRPr="006953D9">
        <w:t xml:space="preserve"> </w:t>
      </w:r>
      <w:r w:rsidRPr="006953D9">
        <w:t>among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things,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preparing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presenting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cooperation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competent</w:t>
      </w:r>
      <w:r w:rsidR="000B5A3E" w:rsidRPr="006953D9">
        <w:t xml:space="preserve"> </w:t>
      </w:r>
      <w:r w:rsidRPr="006953D9">
        <w:t>agencies,</w:t>
      </w:r>
      <w:r w:rsidR="000B5A3E" w:rsidRPr="006953D9">
        <w:t xml:space="preserve"> </w:t>
      </w:r>
      <w:r w:rsidRPr="006953D9">
        <w:t>Reports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Committee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Disabilities.</w:t>
      </w:r>
      <w:r w:rsidR="000B5A3E" w:rsidRPr="006953D9">
        <w:t xml:space="preserve"> </w:t>
      </w:r>
    </w:p>
    <w:p w:rsidR="00200C10" w:rsidRPr="006953D9" w:rsidRDefault="00200C10" w:rsidP="003A1BC2">
      <w:pPr>
        <w:pStyle w:val="H1G"/>
      </w:pPr>
      <w:r w:rsidRPr="006953D9">
        <w:tab/>
      </w:r>
      <w:bookmarkStart w:id="12" w:name="_Toc509325405"/>
      <w:r w:rsidRPr="006953D9">
        <w:t>E.</w:t>
      </w:r>
      <w:r w:rsidRPr="006953D9">
        <w:tab/>
        <w:t>Other</w:t>
      </w:r>
      <w:r w:rsidR="000B5A3E" w:rsidRPr="006953D9">
        <w:t xml:space="preserve"> </w:t>
      </w:r>
      <w:r w:rsidRPr="006953D9">
        <w:t>related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information</w:t>
      </w:r>
      <w:bookmarkEnd w:id="12"/>
    </w:p>
    <w:p w:rsidR="00200C10" w:rsidRPr="006953D9" w:rsidRDefault="00200C10" w:rsidP="00830021">
      <w:pPr>
        <w:pStyle w:val="SingleTxtG"/>
      </w:pPr>
      <w:r w:rsidRPr="006953D9">
        <w:t>131.</w:t>
      </w:r>
      <w:r w:rsidRPr="006953D9">
        <w:tab/>
        <w:t>Cyprus,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state</w:t>
      </w:r>
      <w:r w:rsidR="000B5A3E" w:rsidRPr="006953D9">
        <w:t xml:space="preserve"> </w:t>
      </w:r>
      <w:r w:rsidRPr="006953D9">
        <w:t>party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majority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core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instruments</w:t>
      </w:r>
      <w:r w:rsidR="000B5A3E" w:rsidRPr="006953D9">
        <w:t xml:space="preserve"> </w:t>
      </w:r>
      <w:r w:rsidRPr="006953D9">
        <w:t>relating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adopted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universal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regional</w:t>
      </w:r>
      <w:r w:rsidR="000B5A3E" w:rsidRPr="006953D9">
        <w:t xml:space="preserve"> </w:t>
      </w:r>
      <w:r w:rsidRPr="006953D9">
        <w:t>level,</w:t>
      </w:r>
      <w:r w:rsidR="000B5A3E" w:rsidRPr="006953D9">
        <w:t xml:space="preserve"> </w:t>
      </w:r>
      <w:r w:rsidRPr="006953D9">
        <w:t>regularly</w:t>
      </w:r>
      <w:r w:rsidR="000B5A3E" w:rsidRPr="006953D9">
        <w:t xml:space="preserve"> </w:t>
      </w:r>
      <w:r w:rsidRPr="006953D9">
        <w:t>submits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reports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competent</w:t>
      </w:r>
      <w:r w:rsidR="000B5A3E" w:rsidRPr="006953D9">
        <w:t xml:space="preserve"> </w:t>
      </w:r>
      <w:r w:rsidRPr="006953D9">
        <w:t>Treaty</w:t>
      </w:r>
      <w:r w:rsidR="000B5A3E" w:rsidRPr="006953D9">
        <w:t xml:space="preserve"> </w:t>
      </w:r>
      <w:r w:rsidRPr="006953D9">
        <w:t>Bodies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duly</w:t>
      </w:r>
      <w:r w:rsidR="000B5A3E" w:rsidRPr="006953D9">
        <w:t xml:space="preserve"> </w:t>
      </w:r>
      <w:r w:rsidRPr="006953D9">
        <w:t>takes</w:t>
      </w:r>
      <w:r w:rsidR="000B5A3E" w:rsidRPr="006953D9">
        <w:t xml:space="preserve"> </w:t>
      </w:r>
      <w:r w:rsidRPr="006953D9">
        <w:t>into</w:t>
      </w:r>
      <w:r w:rsidR="000B5A3E" w:rsidRPr="006953D9">
        <w:t xml:space="preserve"> </w:t>
      </w:r>
      <w:r w:rsidRPr="006953D9">
        <w:t>consideration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recommendations/observations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effort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improve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situation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relation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respect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rights.</w:t>
      </w:r>
      <w:r w:rsidR="000B5A3E" w:rsidRPr="006953D9">
        <w:t xml:space="preserve"> </w:t>
      </w:r>
    </w:p>
    <w:p w:rsidR="00200C10" w:rsidRPr="006953D9" w:rsidRDefault="00200C10" w:rsidP="003A1BC2">
      <w:pPr>
        <w:pStyle w:val="HChG"/>
      </w:pPr>
      <w:r w:rsidRPr="006953D9">
        <w:tab/>
      </w:r>
      <w:bookmarkStart w:id="13" w:name="_Toc509325406"/>
      <w:r w:rsidRPr="006953D9">
        <w:t>IV.</w:t>
      </w:r>
      <w:r w:rsidRPr="006953D9">
        <w:tab/>
        <w:t>Information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non-discrimination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effective</w:t>
      </w:r>
      <w:r w:rsidR="000B5A3E" w:rsidRPr="006953D9">
        <w:t xml:space="preserve"> </w:t>
      </w:r>
      <w:r w:rsidRPr="006953D9">
        <w:t>remedies</w:t>
      </w:r>
      <w:bookmarkEnd w:id="13"/>
    </w:p>
    <w:p w:rsidR="00200C10" w:rsidRPr="006953D9" w:rsidRDefault="00200C10" w:rsidP="00830021">
      <w:pPr>
        <w:pStyle w:val="SingleTxtG"/>
      </w:pPr>
      <w:r w:rsidRPr="006953D9">
        <w:t>132.</w:t>
      </w:r>
      <w:r w:rsidRPr="006953D9">
        <w:tab/>
        <w:t>The</w:t>
      </w:r>
      <w:r w:rsidR="000B5A3E" w:rsidRPr="006953D9">
        <w:t xml:space="preserve"> </w:t>
      </w:r>
      <w:r w:rsidRPr="006953D9">
        <w:t>accession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Union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2004</w:t>
      </w:r>
      <w:r w:rsidR="000B5A3E" w:rsidRPr="006953D9">
        <w:t xml:space="preserve"> </w:t>
      </w:r>
      <w:r w:rsidRPr="006953D9">
        <w:t>led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implementation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statutory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combating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racism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principle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equal</w:t>
      </w:r>
      <w:r w:rsidR="000B5A3E" w:rsidRPr="006953D9">
        <w:t xml:space="preserve"> </w:t>
      </w:r>
      <w:r w:rsidRPr="006953D9">
        <w:t>treatment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people</w:t>
      </w:r>
      <w:r w:rsidR="000B5A3E" w:rsidRPr="006953D9">
        <w:t xml:space="preserve"> </w:t>
      </w:r>
      <w:r w:rsidRPr="006953D9">
        <w:t>without</w:t>
      </w:r>
      <w:r w:rsidR="000B5A3E" w:rsidRPr="006953D9">
        <w:t xml:space="preserve"> </w:t>
      </w:r>
      <w:r w:rsidRPr="006953D9">
        <w:t>distinction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basis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racial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ethnic</w:t>
      </w:r>
      <w:r w:rsidR="000B5A3E" w:rsidRPr="006953D9">
        <w:t xml:space="preserve"> </w:t>
      </w:r>
      <w:r w:rsidRPr="006953D9">
        <w:t>origin.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decided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establishment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authorities,</w:t>
      </w:r>
      <w:r w:rsidR="000B5A3E" w:rsidRPr="006953D9">
        <w:t xml:space="preserve"> </w:t>
      </w:r>
      <w:r w:rsidRPr="006953D9">
        <w:t>organizationally</w:t>
      </w:r>
      <w:r w:rsidR="000B5A3E" w:rsidRPr="006953D9">
        <w:t xml:space="preserve"> </w:t>
      </w:r>
      <w:r w:rsidRPr="006953D9">
        <w:t>incorporated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would</w:t>
      </w:r>
      <w:r w:rsidR="000B5A3E" w:rsidRPr="006953D9">
        <w:t xml:space="preserve"> </w:t>
      </w:r>
      <w:r w:rsidRPr="006953D9">
        <w:t>correspond</w:t>
      </w:r>
      <w:r w:rsidR="000B5A3E" w:rsidRPr="006953D9">
        <w:t xml:space="preserve"> </w:t>
      </w:r>
      <w:r w:rsidRPr="006953D9">
        <w:t>fully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need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effective</w:t>
      </w:r>
      <w:r w:rsidR="000B5A3E" w:rsidRPr="006953D9">
        <w:t xml:space="preserve"> </w:t>
      </w:r>
      <w:r w:rsidRPr="006953D9">
        <w:t>implementation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legislation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combating</w:t>
      </w:r>
      <w:r w:rsidR="000B5A3E" w:rsidRPr="006953D9">
        <w:t xml:space="preserve"> </w:t>
      </w:r>
      <w:r w:rsidRPr="006953D9">
        <w:t>discrimination.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133.</w:t>
      </w:r>
      <w:r w:rsidRPr="006953D9">
        <w:tab/>
        <w:t>Consequently,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Anti-Discrimination</w:t>
      </w:r>
      <w:r w:rsidR="000B5A3E" w:rsidRPr="006953D9">
        <w:t xml:space="preserve"> </w:t>
      </w:r>
      <w:r w:rsidRPr="006953D9">
        <w:t>Body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established,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mandate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extend</w:t>
      </w:r>
      <w:r w:rsidR="000B5A3E" w:rsidRPr="006953D9">
        <w:t xml:space="preserve"> </w:t>
      </w:r>
      <w:r w:rsidRPr="006953D9">
        <w:t>both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sectors.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institutional</w:t>
      </w:r>
      <w:r w:rsidR="000B5A3E" w:rsidRPr="006953D9">
        <w:t xml:space="preserve"> </w:t>
      </w:r>
      <w:r w:rsidRPr="006953D9">
        <w:t>competence,</w:t>
      </w:r>
      <w:r w:rsidR="000B5A3E" w:rsidRPr="006953D9">
        <w:t xml:space="preserve"> </w:t>
      </w:r>
      <w:r w:rsidRPr="006953D9">
        <w:t>apart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investigation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provision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assistance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victims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discrimination,</w:t>
      </w:r>
      <w:r w:rsidR="000B5A3E" w:rsidRPr="006953D9">
        <w:t xml:space="preserve"> </w:t>
      </w:r>
      <w:r w:rsidRPr="006953D9">
        <w:t>includes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wide</w:t>
      </w:r>
      <w:r w:rsidR="000B5A3E" w:rsidRPr="006953D9">
        <w:t xml:space="preserve"> </w:t>
      </w:r>
      <w:r w:rsidRPr="006953D9">
        <w:t>frame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activities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preventive,</w:t>
      </w:r>
      <w:r w:rsidR="000B5A3E" w:rsidRPr="006953D9">
        <w:t xml:space="preserve"> </w:t>
      </w:r>
      <w:r w:rsidRPr="006953D9">
        <w:t>mediatory,</w:t>
      </w:r>
      <w:r w:rsidR="000B5A3E" w:rsidRPr="006953D9">
        <w:t xml:space="preserve"> </w:t>
      </w:r>
      <w:r w:rsidRPr="006953D9">
        <w:t>repressive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educational</w:t>
      </w:r>
      <w:r w:rsidR="000B5A3E" w:rsidRPr="006953D9">
        <w:t xml:space="preserve"> </w:t>
      </w:r>
      <w:r w:rsidRPr="006953D9">
        <w:t>character.</w:t>
      </w:r>
    </w:p>
    <w:p w:rsidR="00200C10" w:rsidRPr="006953D9" w:rsidRDefault="00200C10" w:rsidP="00830021">
      <w:pPr>
        <w:pStyle w:val="SingleTxtG"/>
      </w:pPr>
      <w:r w:rsidRPr="006953D9">
        <w:t>134.</w:t>
      </w:r>
      <w:r w:rsidRPr="006953D9">
        <w:tab/>
        <w:t>As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Anti-Discrimination</w:t>
      </w:r>
      <w:r w:rsidR="000B5A3E" w:rsidRPr="006953D9">
        <w:t xml:space="preserve"> </w:t>
      </w:r>
      <w:r w:rsidRPr="006953D9">
        <w:t>Body,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basic</w:t>
      </w:r>
      <w:r w:rsidR="000B5A3E" w:rsidRPr="006953D9">
        <w:t xml:space="preserve"> </w:t>
      </w:r>
      <w:r w:rsidRPr="006953D9">
        <w:t>field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action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combating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grounds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race,</w:t>
      </w:r>
      <w:r w:rsidR="000B5A3E" w:rsidRPr="006953D9">
        <w:t xml:space="preserve"> </w:t>
      </w:r>
      <w:r w:rsidRPr="006953D9">
        <w:t>community,</w:t>
      </w:r>
      <w:r w:rsidR="000B5A3E" w:rsidRPr="006953D9">
        <w:t xml:space="preserve"> </w:t>
      </w:r>
      <w:r w:rsidRPr="006953D9">
        <w:t>language,</w:t>
      </w:r>
      <w:r w:rsidR="000B5A3E" w:rsidRPr="006953D9">
        <w:t xml:space="preserve"> </w:t>
      </w:r>
      <w:r w:rsidRPr="006953D9">
        <w:t>colour,</w:t>
      </w:r>
      <w:r w:rsidR="000B5A3E" w:rsidRPr="006953D9">
        <w:t xml:space="preserve"> </w:t>
      </w:r>
      <w:r w:rsidRPr="006953D9">
        <w:t>religion,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beliefs,</w:t>
      </w:r>
      <w:r w:rsidR="000B5A3E" w:rsidRPr="006953D9">
        <w:t xml:space="preserve"> </w:t>
      </w:r>
      <w:r w:rsidRPr="006953D9">
        <w:t>ethnic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origin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generally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equal</w:t>
      </w:r>
      <w:r w:rsidR="000B5A3E" w:rsidRPr="006953D9">
        <w:t xml:space="preserve"> </w:t>
      </w:r>
      <w:r w:rsidRPr="006953D9">
        <w:t>treatment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fields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protection,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insurance,</w:t>
      </w:r>
      <w:r w:rsidR="000B5A3E" w:rsidRPr="006953D9">
        <w:t xml:space="preserve"> </w:t>
      </w:r>
      <w:r w:rsidRPr="006953D9">
        <w:t>social</w:t>
      </w:r>
      <w:r w:rsidR="000B5A3E" w:rsidRPr="006953D9">
        <w:t xml:space="preserve"> </w:t>
      </w:r>
      <w:r w:rsidRPr="006953D9">
        <w:t>benefits,</w:t>
      </w:r>
      <w:r w:rsidR="000B5A3E" w:rsidRPr="006953D9">
        <w:t xml:space="preserve"> </w:t>
      </w:r>
      <w:r w:rsidRPr="006953D9">
        <w:t>healthcare,</w:t>
      </w:r>
      <w:r w:rsidR="000B5A3E" w:rsidRPr="006953D9">
        <w:t xml:space="preserve"> </w:t>
      </w:r>
      <w:r w:rsidRPr="006953D9">
        <w:t>education,</w:t>
      </w:r>
      <w:r w:rsidR="000B5A3E" w:rsidRPr="006953D9">
        <w:t xml:space="preserve"> </w:t>
      </w:r>
      <w:r w:rsidRPr="006953D9">
        <w:t>participation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unions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professional</w:t>
      </w:r>
      <w:r w:rsidR="000B5A3E" w:rsidRPr="006953D9">
        <w:t xml:space="preserve"> </w:t>
      </w:r>
      <w:r w:rsidRPr="006953D9">
        <w:t>organisations,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access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goods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services,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housing.</w:t>
      </w:r>
      <w:r w:rsidR="000B5A3E" w:rsidRPr="006953D9">
        <w:t xml:space="preserve"> </w:t>
      </w:r>
      <w:r w:rsidRPr="006953D9">
        <w:t>Furthermore,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Anti-Discrimination</w:t>
      </w:r>
      <w:r w:rsidR="000B5A3E" w:rsidRPr="006953D9">
        <w:t xml:space="preserve"> </w:t>
      </w:r>
      <w:r w:rsidRPr="006953D9">
        <w:t>Body</w:t>
      </w:r>
      <w:r w:rsidR="000B5A3E" w:rsidRPr="006953D9">
        <w:t xml:space="preserve"> </w:t>
      </w:r>
      <w:r w:rsidRPr="006953D9">
        <w:t>undertakes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broad</w:t>
      </w:r>
      <w:r w:rsidR="000B5A3E" w:rsidRPr="006953D9">
        <w:t xml:space="preserve"> </w:t>
      </w:r>
      <w:r w:rsidRPr="006953D9">
        <w:t>range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activities,</w:t>
      </w:r>
      <w:r w:rsidR="000B5A3E" w:rsidRPr="006953D9">
        <w:t xml:space="preserve"> </w:t>
      </w:r>
      <w:r w:rsidRPr="006953D9">
        <w:t>related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combating</w:t>
      </w:r>
      <w:r w:rsidR="000B5A3E" w:rsidRPr="006953D9">
        <w:t xml:space="preserve"> </w:t>
      </w:r>
      <w:r w:rsidRPr="006953D9">
        <w:t>hate</w:t>
      </w:r>
      <w:r w:rsidR="000B5A3E" w:rsidRPr="006953D9">
        <w:t xml:space="preserve"> </w:t>
      </w:r>
      <w:r w:rsidRPr="006953D9">
        <w:t>crime,</w:t>
      </w:r>
      <w:r w:rsidR="000B5A3E" w:rsidRPr="006953D9">
        <w:t xml:space="preserve"> </w:t>
      </w:r>
      <w:r w:rsidRPr="006953D9">
        <w:t>hate</w:t>
      </w:r>
      <w:r w:rsidR="000B5A3E" w:rsidRPr="006953D9">
        <w:t xml:space="preserve"> </w:t>
      </w:r>
      <w:r w:rsidRPr="006953D9">
        <w:t>speech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xenophobia.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same</w:t>
      </w:r>
      <w:r w:rsidR="000B5A3E" w:rsidRPr="006953D9">
        <w:t xml:space="preserve"> </w:t>
      </w:r>
      <w:r w:rsidRPr="006953D9">
        <w:t>time,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works</w:t>
      </w:r>
      <w:r w:rsidR="000B5A3E" w:rsidRPr="006953D9">
        <w:t xml:space="preserve"> </w:t>
      </w:r>
      <w:r w:rsidRPr="006953D9">
        <w:t>thoroughly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LGBTQ</w:t>
      </w:r>
      <w:r w:rsidR="000B5A3E" w:rsidRPr="006953D9">
        <w:t xml:space="preserve"> </w:t>
      </w:r>
      <w:r w:rsidRPr="006953D9">
        <w:t>community,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vulnerable</w:t>
      </w:r>
      <w:r w:rsidR="000B5A3E" w:rsidRPr="006953D9">
        <w:t xml:space="preserve"> </w:t>
      </w:r>
      <w:r w:rsidRPr="006953D9">
        <w:t>groups,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Roma</w:t>
      </w:r>
      <w:r w:rsidR="000B5A3E" w:rsidRPr="006953D9">
        <w:t xml:space="preserve"> </w:t>
      </w:r>
      <w:r w:rsidRPr="006953D9">
        <w:t>community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undocumented</w:t>
      </w:r>
      <w:r w:rsidR="000B5A3E" w:rsidRPr="006953D9">
        <w:t xml:space="preserve"> </w:t>
      </w:r>
      <w:r w:rsidRPr="006953D9">
        <w:t>migrants,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unaccompanied</w:t>
      </w:r>
      <w:r w:rsidR="000B5A3E" w:rsidRPr="006953D9">
        <w:t xml:space="preserve"> </w:t>
      </w:r>
      <w:r w:rsidRPr="006953D9">
        <w:t>minors.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accordance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Constitution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Cypriots</w:t>
      </w:r>
      <w:r w:rsidR="000B5A3E" w:rsidRPr="006953D9">
        <w:t xml:space="preserve"> </w:t>
      </w:r>
      <w:r w:rsidRPr="006953D9">
        <w:t>constitute</w:t>
      </w:r>
      <w:r w:rsidR="000B5A3E" w:rsidRPr="006953D9">
        <w:t xml:space="preserve"> </w:t>
      </w:r>
      <w:r w:rsidRPr="006953D9">
        <w:t>one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communities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  <w:r w:rsidRPr="006953D9">
        <w:t>However,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Anti-Discrimination</w:t>
      </w:r>
      <w:r w:rsidR="000B5A3E" w:rsidRPr="006953D9">
        <w:t xml:space="preserve"> </w:t>
      </w:r>
      <w:r w:rsidRPr="006953D9">
        <w:t>Body</w:t>
      </w:r>
      <w:r w:rsidR="000B5A3E" w:rsidRPr="006953D9">
        <w:t xml:space="preserve"> </w:t>
      </w:r>
      <w:r w:rsidRPr="006953D9">
        <w:t>extends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members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Turkish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community,</w:t>
      </w:r>
      <w:r w:rsidR="000B5A3E" w:rsidRPr="006953D9">
        <w:t xml:space="preserve"> </w:t>
      </w:r>
      <w:r w:rsidRPr="006953D9">
        <w:t>members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three</w:t>
      </w:r>
      <w:r w:rsidR="000B5A3E" w:rsidRPr="006953D9">
        <w:t xml:space="preserve"> </w:t>
      </w:r>
      <w:r w:rsidRPr="006953D9">
        <w:t>recognized,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Constitution,</w:t>
      </w:r>
      <w:r w:rsidR="000B5A3E" w:rsidRPr="006953D9">
        <w:t xml:space="preserve"> </w:t>
      </w:r>
      <w:r w:rsidRPr="006953D9">
        <w:t>religious</w:t>
      </w:r>
      <w:r w:rsidR="000B5A3E" w:rsidRPr="006953D9">
        <w:t xml:space="preserve"> </w:t>
      </w:r>
      <w:r w:rsidRPr="006953D9">
        <w:t>groups</w:t>
      </w:r>
      <w:r w:rsidR="000B5A3E" w:rsidRPr="006953D9">
        <w:t xml:space="preserve"> </w:t>
      </w:r>
      <w:r w:rsidRPr="006953D9">
        <w:t>(Armenians,</w:t>
      </w:r>
      <w:r w:rsidR="000B5A3E" w:rsidRPr="006953D9">
        <w:t xml:space="preserve"> </w:t>
      </w:r>
      <w:proofErr w:type="spellStart"/>
      <w:r w:rsidRPr="006953D9">
        <w:t>Maronites</w:t>
      </w:r>
      <w:proofErr w:type="spellEnd"/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Latins),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does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other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citizen,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cases</w:t>
      </w:r>
      <w:r w:rsidR="000B5A3E" w:rsidRPr="006953D9">
        <w:t xml:space="preserve"> </w:t>
      </w:r>
      <w:r w:rsidRPr="006953D9">
        <w:t>where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violations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protected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Body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competence</w:t>
      </w:r>
      <w:r w:rsidR="000B5A3E" w:rsidRPr="006953D9">
        <w:t xml:space="preserve"> </w:t>
      </w:r>
      <w:r w:rsidRPr="006953D9">
        <w:t>occur.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lastRenderedPageBreak/>
        <w:t>135.</w:t>
      </w:r>
      <w:r w:rsidRPr="006953D9">
        <w:tab/>
        <w:t>The</w:t>
      </w:r>
      <w:r w:rsidR="000B5A3E" w:rsidRPr="006953D9">
        <w:t xml:space="preserve"> </w:t>
      </w:r>
      <w:r w:rsidRPr="006953D9">
        <w:t>main</w:t>
      </w:r>
      <w:r w:rsidR="000B5A3E" w:rsidRPr="006953D9">
        <w:t xml:space="preserve"> </w:t>
      </w:r>
      <w:r w:rsidRPr="006953D9">
        <w:t>competence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investigate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out-of-court</w:t>
      </w:r>
      <w:r w:rsidR="000B5A3E" w:rsidRPr="006953D9">
        <w:t xml:space="preserve"> </w:t>
      </w:r>
      <w:r w:rsidRPr="006953D9">
        <w:t>procedures,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people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believe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they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victims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employment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occupation,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both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sectors,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grounds</w:t>
      </w:r>
      <w:r w:rsidR="000B5A3E" w:rsidRPr="006953D9">
        <w:t xml:space="preserve"> </w:t>
      </w:r>
      <w:r w:rsidRPr="006953D9">
        <w:t>pertaining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racial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ethnic</w:t>
      </w:r>
      <w:r w:rsidR="000B5A3E" w:rsidRPr="006953D9">
        <w:t xml:space="preserve"> </w:t>
      </w:r>
      <w:r w:rsidRPr="006953D9">
        <w:t>origin,</w:t>
      </w:r>
      <w:r w:rsidR="000B5A3E" w:rsidRPr="006953D9">
        <w:t xml:space="preserve"> </w:t>
      </w:r>
      <w:r w:rsidRPr="006953D9">
        <w:t>religion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beliefs,</w:t>
      </w:r>
      <w:r w:rsidR="000B5A3E" w:rsidRPr="006953D9">
        <w:t xml:space="preserve"> </w:t>
      </w:r>
      <w:r w:rsidRPr="006953D9">
        <w:t>age,</w:t>
      </w:r>
      <w:r w:rsidR="000B5A3E" w:rsidRPr="006953D9">
        <w:t xml:space="preserve"> </w:t>
      </w:r>
      <w:r w:rsidRPr="006953D9">
        <w:t>special</w:t>
      </w:r>
      <w:r w:rsidR="000B5A3E" w:rsidRPr="006953D9">
        <w:t xml:space="preserve"> </w:t>
      </w:r>
      <w:r w:rsidRPr="006953D9">
        <w:t>needs,</w:t>
      </w:r>
      <w:r w:rsidR="000B5A3E" w:rsidRPr="006953D9">
        <w:t xml:space="preserve"> </w:t>
      </w:r>
      <w:r w:rsidRPr="006953D9">
        <w:t>sexual</w:t>
      </w:r>
      <w:r w:rsidR="000B5A3E" w:rsidRPr="006953D9">
        <w:t xml:space="preserve"> </w:t>
      </w:r>
      <w:r w:rsidRPr="006953D9">
        <w:t>orientation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sex.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prohibition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employment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occupation</w:t>
      </w:r>
      <w:r w:rsidR="000B5A3E" w:rsidRPr="006953D9">
        <w:t xml:space="preserve"> </w:t>
      </w:r>
      <w:r w:rsidRPr="006953D9">
        <w:t>covers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entire</w:t>
      </w:r>
      <w:r w:rsidR="000B5A3E" w:rsidRPr="006953D9">
        <w:t xml:space="preserve"> </w:t>
      </w:r>
      <w:r w:rsidRPr="006953D9">
        <w:t>spectrum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labour</w:t>
      </w:r>
      <w:r w:rsidR="000B5A3E" w:rsidRPr="006953D9">
        <w:t xml:space="preserve"> </w:t>
      </w:r>
      <w:r w:rsidRPr="006953D9">
        <w:t>relations.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addition,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2008,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Authority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been</w:t>
      </w:r>
      <w:r w:rsidR="000B5A3E" w:rsidRPr="006953D9">
        <w:t xml:space="preserve"> </w:t>
      </w:r>
      <w:r w:rsidRPr="006953D9">
        <w:t>competent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investigate</w:t>
      </w:r>
      <w:r w:rsidR="000B5A3E" w:rsidRPr="006953D9">
        <w:t xml:space="preserve"> </w:t>
      </w:r>
      <w:r w:rsidRPr="006953D9">
        <w:t>complaints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grounds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sex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field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access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goods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services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provision,</w:t>
      </w:r>
      <w:r w:rsidR="000B5A3E" w:rsidRPr="006953D9">
        <w:t xml:space="preserve"> </w:t>
      </w:r>
      <w:r w:rsidRPr="006953D9">
        <w:t>including</w:t>
      </w:r>
      <w:r w:rsidR="000B5A3E" w:rsidRPr="006953D9">
        <w:t xml:space="preserve"> </w:t>
      </w:r>
      <w:r w:rsidRPr="006953D9">
        <w:t>insurance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financial</w:t>
      </w:r>
      <w:r w:rsidR="000B5A3E" w:rsidRPr="006953D9">
        <w:t xml:space="preserve"> </w:t>
      </w:r>
      <w:r w:rsidRPr="006953D9">
        <w:t>services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both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sectors.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136.</w:t>
      </w:r>
      <w:r w:rsidRPr="006953D9">
        <w:tab/>
        <w:t>By</w:t>
      </w:r>
      <w:r w:rsidR="000B5A3E" w:rsidRPr="006953D9">
        <w:t xml:space="preserve"> </w:t>
      </w:r>
      <w:r w:rsidRPr="006953D9">
        <w:t>ratifying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Optional</w:t>
      </w:r>
      <w:r w:rsidR="000B5A3E" w:rsidRPr="006953D9">
        <w:t xml:space="preserve"> </w:t>
      </w:r>
      <w:r w:rsidRPr="006953D9">
        <w:t>Protocol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Convention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Torture,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responsibilities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were</w:t>
      </w:r>
      <w:r w:rsidR="000B5A3E" w:rsidRPr="006953D9">
        <w:t xml:space="preserve"> </w:t>
      </w:r>
      <w:r w:rsidRPr="006953D9">
        <w:t>significantly</w:t>
      </w:r>
      <w:r w:rsidR="000B5A3E" w:rsidRPr="006953D9">
        <w:t xml:space="preserve"> </w:t>
      </w:r>
      <w:r w:rsidRPr="006953D9">
        <w:t>expanded.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date,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visited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r w:rsidRPr="006953D9">
        <w:t>facilities,</w:t>
      </w:r>
      <w:r w:rsidR="000B5A3E" w:rsidRPr="006953D9">
        <w:t xml:space="preserve"> </w:t>
      </w:r>
      <w:r w:rsidRPr="006953D9">
        <w:t>had</w:t>
      </w:r>
      <w:r w:rsidR="000B5A3E" w:rsidRPr="006953D9">
        <w:t xml:space="preserve"> </w:t>
      </w:r>
      <w:r w:rsidRPr="006953D9">
        <w:t>access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information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submitted</w:t>
      </w:r>
      <w:r w:rsidR="000B5A3E" w:rsidRPr="006953D9">
        <w:t xml:space="preserve"> </w:t>
      </w:r>
      <w:r w:rsidRPr="006953D9">
        <w:t>reports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result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investigation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complaint.</w:t>
      </w:r>
      <w:r w:rsidR="000B5A3E" w:rsidRPr="006953D9">
        <w:t xml:space="preserve"> </w:t>
      </w:r>
      <w:r w:rsidRPr="006953D9">
        <w:t>Furthermore,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powers,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Ombudsman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empowered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freely</w:t>
      </w:r>
      <w:r w:rsidR="000B5A3E" w:rsidRPr="006953D9">
        <w:t xml:space="preserve"> </w:t>
      </w:r>
      <w:r w:rsidRPr="006953D9">
        <w:t>visit</w:t>
      </w:r>
      <w:r w:rsidR="000B5A3E" w:rsidRPr="006953D9">
        <w:t xml:space="preserve"> </w:t>
      </w:r>
      <w:r w:rsidRPr="006953D9">
        <w:t>places</w:t>
      </w:r>
      <w:r w:rsidR="000B5A3E" w:rsidRPr="006953D9">
        <w:t xml:space="preserve"> </w:t>
      </w:r>
      <w:r w:rsidRPr="006953D9">
        <w:t>where</w:t>
      </w:r>
      <w:r w:rsidR="000B5A3E" w:rsidRPr="006953D9">
        <w:t xml:space="preserve"> </w:t>
      </w:r>
      <w:r w:rsidRPr="006953D9">
        <w:t>persons</w:t>
      </w:r>
      <w:r w:rsidR="000B5A3E" w:rsidRPr="006953D9">
        <w:t xml:space="preserve"> </w:t>
      </w:r>
      <w:r w:rsidRPr="006953D9">
        <w:t>are</w:t>
      </w:r>
      <w:r w:rsidR="000B5A3E" w:rsidRPr="006953D9">
        <w:t xml:space="preserve"> </w:t>
      </w:r>
      <w:r w:rsidRPr="006953D9">
        <w:t>deprived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their</w:t>
      </w:r>
      <w:r w:rsidR="000B5A3E" w:rsidRPr="006953D9">
        <w:t xml:space="preserve"> </w:t>
      </w:r>
      <w:r w:rsidRPr="006953D9">
        <w:t>liberty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observe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record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general</w:t>
      </w:r>
      <w:r w:rsidR="000B5A3E" w:rsidRPr="006953D9">
        <w:t xml:space="preserve"> </w:t>
      </w:r>
      <w:r w:rsidRPr="006953D9">
        <w:t>detention</w:t>
      </w:r>
      <w:r w:rsidR="000B5A3E" w:rsidRPr="006953D9">
        <w:t xml:space="preserve"> </w:t>
      </w:r>
      <w:r w:rsidRPr="006953D9">
        <w:t>conditions</w:t>
      </w:r>
      <w:r w:rsidR="000B5A3E" w:rsidRPr="006953D9">
        <w:t xml:space="preserve"> </w:t>
      </w:r>
      <w:r w:rsidRPr="006953D9">
        <w:t>relating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torture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make</w:t>
      </w:r>
      <w:r w:rsidR="000B5A3E" w:rsidRPr="006953D9">
        <w:t xml:space="preserve"> </w:t>
      </w:r>
      <w:r w:rsidRPr="006953D9">
        <w:t>recommendations</w:t>
      </w:r>
      <w:r w:rsidR="000B5A3E" w:rsidRPr="006953D9">
        <w:t xml:space="preserve"> </w:t>
      </w:r>
      <w:r w:rsidRPr="006953D9">
        <w:t>both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improve</w:t>
      </w:r>
      <w:r w:rsidR="000B5A3E" w:rsidRPr="006953D9">
        <w:t xml:space="preserve"> </w:t>
      </w:r>
      <w:r w:rsidRPr="006953D9">
        <w:t>those</w:t>
      </w:r>
      <w:r w:rsidR="000B5A3E" w:rsidRPr="006953D9">
        <w:t xml:space="preserve"> </w:t>
      </w:r>
      <w:r w:rsidRPr="006953D9">
        <w:t>conditions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improve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legislation.</w:t>
      </w:r>
    </w:p>
    <w:p w:rsidR="00200C10" w:rsidRPr="006953D9" w:rsidRDefault="00200C10" w:rsidP="00830021">
      <w:pPr>
        <w:pStyle w:val="SingleTxtG"/>
      </w:pPr>
      <w:r w:rsidRPr="006953D9">
        <w:t>137.</w:t>
      </w:r>
      <w:r w:rsidRPr="006953D9">
        <w:tab/>
        <w:t>In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investigation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judged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substantiated,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power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impose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fine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person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person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sector</w:t>
      </w:r>
      <w:r w:rsidR="000B5A3E" w:rsidRPr="006953D9">
        <w:t xml:space="preserve"> </w:t>
      </w:r>
      <w:r w:rsidRPr="006953D9">
        <w:t>who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responsible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violation.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may,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addition</w:t>
      </w:r>
      <w:r w:rsidR="000B5A3E" w:rsidRPr="006953D9">
        <w:t xml:space="preserve"> </w:t>
      </w:r>
      <w:r w:rsidRPr="006953D9">
        <w:t>thereto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alternatively,</w:t>
      </w:r>
      <w:r w:rsidR="000B5A3E" w:rsidRPr="006953D9">
        <w:t xml:space="preserve"> </w:t>
      </w:r>
      <w:r w:rsidRPr="006953D9">
        <w:t>proceed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recommendation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person</w:t>
      </w:r>
      <w:r w:rsidR="000B5A3E" w:rsidRPr="006953D9">
        <w:t xml:space="preserve"> </w:t>
      </w:r>
      <w:r w:rsidRPr="006953D9">
        <w:t>responsible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violation</w:t>
      </w:r>
      <w:r w:rsidR="000B5A3E" w:rsidRPr="006953D9">
        <w:t xml:space="preserve"> </w:t>
      </w:r>
      <w:r w:rsidRPr="006953D9">
        <w:t>following</w:t>
      </w:r>
      <w:r w:rsidR="000B5A3E" w:rsidRPr="006953D9">
        <w:t xml:space="preserve"> </w:t>
      </w:r>
      <w:r w:rsidRPr="006953D9">
        <w:t>consultations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parties</w:t>
      </w:r>
      <w:r w:rsidR="000B5A3E" w:rsidRPr="006953D9">
        <w:t xml:space="preserve"> </w:t>
      </w:r>
      <w:r w:rsidRPr="006953D9">
        <w:t>involved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complaint.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recommendation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binding</w:t>
      </w:r>
      <w:r w:rsidR="000B5A3E" w:rsidRPr="006953D9">
        <w:t xml:space="preserve"> </w:t>
      </w:r>
      <w:r w:rsidRPr="006953D9">
        <w:t>and,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be,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include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taking,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specific</w:t>
      </w:r>
      <w:r w:rsidR="000B5A3E" w:rsidRPr="006953D9">
        <w:t xml:space="preserve"> </w:t>
      </w:r>
      <w:r w:rsidRPr="006953D9">
        <w:t>deadline,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practical</w:t>
      </w:r>
      <w:r w:rsidR="000B5A3E" w:rsidRPr="006953D9">
        <w:t xml:space="preserve"> </w:t>
      </w:r>
      <w:r w:rsidRPr="006953D9">
        <w:t>measures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eliminate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stop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prevent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appearing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future.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no</w:t>
      </w:r>
      <w:r w:rsidR="000B5A3E" w:rsidRPr="006953D9">
        <w:t xml:space="preserve"> </w:t>
      </w:r>
      <w:r w:rsidRPr="006953D9">
        <w:t>compliance,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publish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recommendation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Official</w:t>
      </w:r>
      <w:r w:rsidR="000B5A3E" w:rsidRPr="006953D9">
        <w:t xml:space="preserve"> </w:t>
      </w:r>
      <w:r w:rsidRPr="006953D9">
        <w:t>Gazette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set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deadline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purposes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compliance.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there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once</w:t>
      </w:r>
      <w:r w:rsidR="000B5A3E" w:rsidRPr="006953D9">
        <w:t xml:space="preserve"> </w:t>
      </w:r>
      <w:r w:rsidRPr="006953D9">
        <w:t>again</w:t>
      </w:r>
      <w:r w:rsidR="000B5A3E" w:rsidRPr="006953D9">
        <w:t xml:space="preserve"> </w:t>
      </w:r>
      <w:r w:rsidRPr="006953D9">
        <w:t>no</w:t>
      </w:r>
      <w:r w:rsidR="000B5A3E" w:rsidRPr="006953D9">
        <w:t xml:space="preserve"> </w:t>
      </w:r>
      <w:r w:rsidRPr="006953D9">
        <w:t>compliance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deadline</w:t>
      </w:r>
      <w:r w:rsidR="000B5A3E" w:rsidRPr="006953D9">
        <w:t xml:space="preserve"> </w:t>
      </w:r>
      <w:r w:rsidRPr="006953D9">
        <w:t>set,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impose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fine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non-compliance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fine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every</w:t>
      </w:r>
      <w:r w:rsidR="000B5A3E" w:rsidRPr="006953D9">
        <w:t xml:space="preserve"> </w:t>
      </w:r>
      <w:r w:rsidRPr="006953D9">
        <w:t>day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such</w:t>
      </w:r>
      <w:r w:rsidR="000B5A3E" w:rsidRPr="006953D9">
        <w:t xml:space="preserve"> </w:t>
      </w:r>
      <w:r w:rsidRPr="006953D9">
        <w:t>non-compliance</w:t>
      </w:r>
      <w:r w:rsidR="000B5A3E" w:rsidRPr="006953D9">
        <w:t xml:space="preserve"> </w:t>
      </w:r>
      <w:r w:rsidRPr="006953D9">
        <w:t>continues.</w:t>
      </w:r>
    </w:p>
    <w:p w:rsidR="00200C10" w:rsidRPr="006953D9" w:rsidRDefault="00200C10" w:rsidP="00830021">
      <w:pPr>
        <w:pStyle w:val="SingleTxtG"/>
      </w:pPr>
      <w:r w:rsidRPr="006953D9">
        <w:t>138.</w:t>
      </w:r>
      <w:r w:rsidRPr="006953D9">
        <w:tab/>
        <w:t>If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established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prohibited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included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legislative</w:t>
      </w:r>
      <w:r w:rsidR="000B5A3E" w:rsidRPr="006953D9">
        <w:t xml:space="preserve"> </w:t>
      </w:r>
      <w:r w:rsidRPr="006953D9">
        <w:t>provisions,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Administration</w:t>
      </w:r>
      <w:r w:rsidR="000B5A3E" w:rsidRPr="006953D9">
        <w:t xml:space="preserve"> </w:t>
      </w:r>
      <w:r w:rsidRPr="006953D9">
        <w:t>shall</w:t>
      </w:r>
      <w:r w:rsidR="000B5A3E" w:rsidRPr="006953D9">
        <w:t xml:space="preserve"> </w:t>
      </w:r>
      <w:r w:rsidRPr="006953D9">
        <w:t>refer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finding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Attorney-General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promote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procedure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amendment.</w:t>
      </w:r>
    </w:p>
    <w:p w:rsidR="00200C10" w:rsidRPr="006953D9" w:rsidRDefault="00200C10" w:rsidP="00830021">
      <w:pPr>
        <w:pStyle w:val="SingleTxtG"/>
      </w:pPr>
      <w:r w:rsidRPr="006953D9">
        <w:t>139.</w:t>
      </w:r>
      <w:r w:rsidRPr="006953D9">
        <w:tab/>
        <w:t>The</w:t>
      </w:r>
      <w:r w:rsidR="000B5A3E" w:rsidRPr="006953D9">
        <w:t xml:space="preserve"> </w:t>
      </w:r>
      <w:r w:rsidRPr="006953D9">
        <w:t>Commissioner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Administration,</w:t>
      </w:r>
      <w:r w:rsidR="000B5A3E" w:rsidRPr="006953D9">
        <w:t xml:space="preserve"> </w:t>
      </w:r>
      <w:r w:rsidRPr="006953D9">
        <w:t>acting</w:t>
      </w:r>
      <w:r w:rsidR="000B5A3E" w:rsidRPr="006953D9">
        <w:t xml:space="preserve"> </w:t>
      </w:r>
      <w:r w:rsidRPr="006953D9">
        <w:t>either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Anti-Discrimination</w:t>
      </w:r>
      <w:r w:rsidR="000B5A3E" w:rsidRPr="006953D9">
        <w:t xml:space="preserve"> </w:t>
      </w:r>
      <w:r w:rsidRPr="006953D9">
        <w:t>Body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Equality</w:t>
      </w:r>
      <w:r w:rsidR="000B5A3E" w:rsidRPr="006953D9">
        <w:t xml:space="preserve"> </w:t>
      </w:r>
      <w:r w:rsidRPr="006953D9">
        <w:t>Authority,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competent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award</w:t>
      </w:r>
      <w:r w:rsidR="000B5A3E" w:rsidRPr="006953D9">
        <w:t xml:space="preserve"> </w:t>
      </w:r>
      <w:r w:rsidRPr="006953D9">
        <w:t>damages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victims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victims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people</w:t>
      </w:r>
      <w:r w:rsidR="000B5A3E" w:rsidRPr="006953D9">
        <w:t xml:space="preserve"> </w:t>
      </w:r>
      <w:r w:rsidRPr="006953D9">
        <w:t>who</w:t>
      </w:r>
      <w:r w:rsidR="000B5A3E" w:rsidRPr="006953D9">
        <w:t xml:space="preserve"> </w:t>
      </w:r>
      <w:r w:rsidRPr="006953D9">
        <w:t>believe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they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suffered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employment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occupation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law</w:t>
      </w:r>
      <w:r w:rsidR="000B5A3E" w:rsidRPr="006953D9">
        <w:t xml:space="preserve"> </w:t>
      </w:r>
      <w:r w:rsidRPr="006953D9">
        <w:t>bring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matter</w:t>
      </w:r>
      <w:r w:rsidR="000B5A3E" w:rsidRPr="006953D9">
        <w:t xml:space="preserve"> </w:t>
      </w:r>
      <w:r w:rsidRPr="006953D9">
        <w:t>before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competent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receive</w:t>
      </w:r>
      <w:r w:rsidR="000B5A3E" w:rsidRPr="006953D9">
        <w:t xml:space="preserve"> </w:t>
      </w:r>
      <w:r w:rsidRPr="006953D9">
        <w:t>damages.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Court</w:t>
      </w:r>
      <w:r w:rsidR="000B5A3E" w:rsidRPr="006953D9">
        <w:t xml:space="preserve"> </w:t>
      </w:r>
      <w:r w:rsidRPr="006953D9">
        <w:t>awards,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case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be,</w:t>
      </w:r>
      <w:r w:rsidR="000B5A3E" w:rsidRPr="006953D9">
        <w:t xml:space="preserve"> </w:t>
      </w:r>
      <w:r w:rsidRPr="006953D9">
        <w:t>fair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reasonable</w:t>
      </w:r>
      <w:r w:rsidR="000B5A3E" w:rsidRPr="006953D9">
        <w:t xml:space="preserve"> </w:t>
      </w:r>
      <w:r w:rsidRPr="006953D9">
        <w:t>damages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cover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entire</w:t>
      </w:r>
      <w:r w:rsidR="000B5A3E" w:rsidRPr="006953D9">
        <w:t xml:space="preserve"> </w:t>
      </w:r>
      <w:r w:rsidRPr="006953D9">
        <w:t>positive</w:t>
      </w:r>
      <w:r w:rsidR="000B5A3E" w:rsidRPr="006953D9">
        <w:t xml:space="preserve"> </w:t>
      </w:r>
      <w:r w:rsidRPr="006953D9">
        <w:t>damage</w:t>
      </w:r>
      <w:r w:rsidR="000B5A3E" w:rsidRPr="006953D9">
        <w:t xml:space="preserve"> </w:t>
      </w:r>
      <w:r w:rsidRPr="006953D9">
        <w:t>caused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plus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interest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date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violation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date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full</w:t>
      </w:r>
      <w:r w:rsidR="000B5A3E" w:rsidRPr="006953D9">
        <w:t xml:space="preserve"> </w:t>
      </w:r>
      <w:r w:rsidRPr="006953D9">
        <w:t>settlement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damages.</w:t>
      </w:r>
    </w:p>
    <w:p w:rsidR="00200C10" w:rsidRPr="006953D9" w:rsidRDefault="00200C10" w:rsidP="00830021">
      <w:pPr>
        <w:pStyle w:val="SingleTxtG"/>
      </w:pPr>
      <w:r w:rsidRPr="006953D9">
        <w:t>140.</w:t>
      </w:r>
      <w:r w:rsidRPr="006953D9">
        <w:tab/>
        <w:t>The</w:t>
      </w:r>
      <w:r w:rsidR="000B5A3E" w:rsidRPr="006953D9">
        <w:t xml:space="preserve"> </w:t>
      </w:r>
      <w:r w:rsidRPr="006953D9">
        <w:t>new</w:t>
      </w:r>
      <w:r w:rsidR="000B5A3E" w:rsidRPr="006953D9">
        <w:t xml:space="preserve"> </w:t>
      </w:r>
      <w:r w:rsidRPr="006953D9">
        <w:t>institutional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combating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complex</w:t>
      </w:r>
      <w:r w:rsidR="000B5A3E" w:rsidRPr="006953D9">
        <w:t xml:space="preserve"> </w:t>
      </w:r>
      <w:r w:rsidRPr="006953D9">
        <w:t>character</w:t>
      </w:r>
      <w:r w:rsidR="000B5A3E" w:rsidRPr="006953D9">
        <w:t xml:space="preserve"> </w:t>
      </w:r>
      <w:r w:rsidRPr="006953D9">
        <w:t>since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covers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prohibited</w:t>
      </w:r>
      <w:r w:rsidR="000B5A3E" w:rsidRPr="006953D9">
        <w:t xml:space="preserve"> </w:t>
      </w:r>
      <w:r w:rsidRPr="006953D9">
        <w:t>discriminations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private</w:t>
      </w:r>
      <w:r w:rsidR="000B5A3E" w:rsidRPr="006953D9">
        <w:t xml:space="preserve"> </w:t>
      </w:r>
      <w:r w:rsidRPr="006953D9">
        <w:t>sectors.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fact,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introduces</w:t>
      </w:r>
      <w:r w:rsidR="000B5A3E" w:rsidRPr="006953D9">
        <w:t xml:space="preserve"> </w:t>
      </w:r>
      <w:r w:rsidRPr="006953D9">
        <w:t>significant</w:t>
      </w:r>
      <w:r w:rsidR="000B5A3E" w:rsidRPr="006953D9">
        <w:t xml:space="preserve"> </w:t>
      </w:r>
      <w:r w:rsidRPr="006953D9">
        <w:t>methodological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tools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combating</w:t>
      </w:r>
      <w:r w:rsidR="000B5A3E" w:rsidRPr="006953D9">
        <w:t xml:space="preserve"> </w:t>
      </w:r>
      <w:r w:rsidRPr="006953D9">
        <w:t>discriminations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adopting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clear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detailed</w:t>
      </w:r>
      <w:r w:rsidR="000B5A3E" w:rsidRPr="006953D9">
        <w:t xml:space="preserve"> </w:t>
      </w:r>
      <w:r w:rsidRPr="006953D9">
        <w:t>definition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meanings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direct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indirect</w:t>
      </w:r>
      <w:r w:rsidR="000B5A3E" w:rsidRPr="006953D9">
        <w:t xml:space="preserve"> </w:t>
      </w:r>
      <w:r w:rsidRPr="006953D9">
        <w:t>(covert)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prohibited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law.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provides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special</w:t>
      </w:r>
      <w:r w:rsidR="000B5A3E" w:rsidRPr="006953D9">
        <w:t xml:space="preserve"> </w:t>
      </w:r>
      <w:r w:rsidRPr="006953D9">
        <w:t>independent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harassment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reserving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unfavourable</w:t>
      </w:r>
      <w:r w:rsidR="000B5A3E" w:rsidRPr="006953D9">
        <w:t xml:space="preserve"> </w:t>
      </w:r>
      <w:r w:rsidRPr="006953D9">
        <w:t>discriminatory</w:t>
      </w:r>
      <w:r w:rsidR="000B5A3E" w:rsidRPr="006953D9">
        <w:t xml:space="preserve"> </w:t>
      </w:r>
      <w:r w:rsidRPr="006953D9">
        <w:t>treatment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grounds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racial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ethnic</w:t>
      </w:r>
      <w:r w:rsidR="000B5A3E" w:rsidRPr="006953D9">
        <w:t xml:space="preserve"> </w:t>
      </w:r>
      <w:r w:rsidRPr="006953D9">
        <w:t>origin.</w:t>
      </w:r>
    </w:p>
    <w:p w:rsidR="00200C10" w:rsidRPr="006953D9" w:rsidRDefault="00200C10" w:rsidP="00830021">
      <w:pPr>
        <w:pStyle w:val="SingleTxtG"/>
      </w:pPr>
      <w:r w:rsidRPr="006953D9">
        <w:t>141.</w:t>
      </w:r>
      <w:r w:rsidRPr="006953D9">
        <w:tab/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whole,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provisions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institutional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make</w:t>
      </w:r>
      <w:r w:rsidR="000B5A3E" w:rsidRPr="006953D9">
        <w:t xml:space="preserve"> </w:t>
      </w:r>
      <w:r w:rsidRPr="006953D9">
        <w:t>up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unified</w:t>
      </w:r>
      <w:r w:rsidR="000B5A3E" w:rsidRPr="006953D9">
        <w:t xml:space="preserve"> </w:t>
      </w:r>
      <w:r w:rsidRPr="006953D9">
        <w:t>protection</w:t>
      </w:r>
      <w:r w:rsidR="000B5A3E" w:rsidRPr="006953D9">
        <w:t xml:space="preserve"> </w:t>
      </w:r>
      <w:r w:rsidRPr="006953D9">
        <w:t>system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victims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operates</w:t>
      </w:r>
      <w:r w:rsidR="000B5A3E" w:rsidRPr="006953D9">
        <w:t xml:space="preserve"> </w:t>
      </w:r>
      <w:r w:rsidRPr="006953D9">
        <w:t>not</w:t>
      </w:r>
      <w:r w:rsidR="000B5A3E" w:rsidRPr="006953D9">
        <w:t xml:space="preserve"> </w:t>
      </w:r>
      <w:r w:rsidRPr="006953D9">
        <w:t>only</w:t>
      </w:r>
      <w:r w:rsidR="000B5A3E" w:rsidRPr="006953D9">
        <w:t xml:space="preserve"> </w:t>
      </w:r>
      <w:r w:rsidRPr="006953D9">
        <w:t>towards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direction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imposing</w:t>
      </w:r>
      <w:r w:rsidR="000B5A3E" w:rsidRPr="006953D9">
        <w:t xml:space="preserve"> </w:t>
      </w:r>
      <w:r w:rsidRPr="006953D9">
        <w:t>sanctions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individual</w:t>
      </w:r>
      <w:r w:rsidR="000B5A3E" w:rsidRPr="006953D9">
        <w:t xml:space="preserve"> </w:t>
      </w:r>
      <w:r w:rsidRPr="006953D9">
        <w:t>cases,</w:t>
      </w:r>
      <w:r w:rsidR="000B5A3E" w:rsidRPr="006953D9">
        <w:t xml:space="preserve"> </w:t>
      </w:r>
      <w:r w:rsidRPr="006953D9">
        <w:t>but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places</w:t>
      </w:r>
      <w:r w:rsidR="000B5A3E" w:rsidRPr="006953D9">
        <w:t xml:space="preserve"> </w:t>
      </w:r>
      <w:r w:rsidRPr="006953D9">
        <w:t>emphasis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intermediary</w:t>
      </w:r>
      <w:r w:rsidR="000B5A3E" w:rsidRPr="006953D9">
        <w:t xml:space="preserve"> </w:t>
      </w:r>
      <w:r w:rsidRPr="006953D9">
        <w:t>action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promotion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principle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equality.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142.</w:t>
      </w:r>
      <w:r w:rsidRPr="006953D9">
        <w:tab/>
        <w:t>It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provides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basis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undertaking</w:t>
      </w:r>
      <w:r w:rsidR="000B5A3E" w:rsidRPr="006953D9">
        <w:t xml:space="preserve"> </w:t>
      </w:r>
      <w:r w:rsidRPr="006953D9">
        <w:t>preventive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educational</w:t>
      </w:r>
      <w:r w:rsidR="000B5A3E" w:rsidRPr="006953D9">
        <w:t xml:space="preserve"> </w:t>
      </w:r>
      <w:r w:rsidRPr="006953D9">
        <w:t>initiatives</w:t>
      </w:r>
      <w:r w:rsidR="000B5A3E" w:rsidRPr="006953D9">
        <w:t xml:space="preserve"> </w:t>
      </w:r>
      <w:r w:rsidRPr="006953D9">
        <w:t>against</w:t>
      </w:r>
      <w:r w:rsidR="000B5A3E" w:rsidRPr="006953D9">
        <w:t xml:space="preserve"> </w:t>
      </w:r>
      <w:r w:rsidRPr="006953D9">
        <w:t>discrimination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activation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civil</w:t>
      </w:r>
      <w:r w:rsidR="000B5A3E" w:rsidRPr="006953D9">
        <w:t xml:space="preserve"> </w:t>
      </w:r>
      <w:r w:rsidRPr="006953D9">
        <w:t>society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level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public</w:t>
      </w:r>
      <w:r w:rsidR="000B5A3E" w:rsidRPr="006953D9">
        <w:t xml:space="preserve"> </w:t>
      </w:r>
      <w:r w:rsidRPr="006953D9">
        <w:t>awareness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representation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victims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discrimination.</w:t>
      </w:r>
      <w:r w:rsidR="000B5A3E" w:rsidRPr="006953D9">
        <w:t xml:space="preserve"> </w:t>
      </w:r>
      <w:r w:rsidRPr="006953D9">
        <w:t>Towards</w:t>
      </w:r>
      <w:r w:rsidR="000B5A3E" w:rsidRPr="006953D9">
        <w:t xml:space="preserve"> </w:t>
      </w:r>
      <w:r w:rsidRPr="006953D9">
        <w:t>providing</w:t>
      </w:r>
      <w:r w:rsidR="000B5A3E" w:rsidRPr="006953D9">
        <w:t xml:space="preserve"> </w:t>
      </w:r>
      <w:r w:rsidRPr="006953D9">
        <w:t>assistance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victims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discrimination,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institutional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introduces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possibility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taking</w:t>
      </w:r>
      <w:r w:rsidR="000B5A3E" w:rsidRPr="006953D9">
        <w:t xml:space="preserve"> </w:t>
      </w:r>
      <w:r w:rsidRPr="006953D9">
        <w:lastRenderedPageBreak/>
        <w:t>positive</w:t>
      </w:r>
      <w:r w:rsidR="000B5A3E" w:rsidRPr="006953D9">
        <w:t xml:space="preserve"> </w:t>
      </w:r>
      <w:r w:rsidRPr="006953D9">
        <w:t>measures</w:t>
      </w:r>
      <w:r w:rsidR="000B5A3E" w:rsidRPr="006953D9">
        <w:t xml:space="preserve"> </w:t>
      </w:r>
      <w:r w:rsidRPr="006953D9">
        <w:t>aimed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preventing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compensating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disadvantages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grounds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racial</w:t>
      </w:r>
      <w:r w:rsidR="000B5A3E" w:rsidRPr="006953D9">
        <w:t xml:space="preserve"> </w:t>
      </w:r>
      <w:r w:rsidRPr="006953D9">
        <w:t>or</w:t>
      </w:r>
      <w:r w:rsidR="000B5A3E" w:rsidRPr="006953D9">
        <w:t xml:space="preserve"> </w:t>
      </w:r>
      <w:r w:rsidRPr="006953D9">
        <w:t>ethnic</w:t>
      </w:r>
      <w:r w:rsidR="000B5A3E" w:rsidRPr="006953D9">
        <w:t xml:space="preserve"> </w:t>
      </w:r>
      <w:r w:rsidRPr="006953D9">
        <w:t>origin.</w:t>
      </w:r>
    </w:p>
    <w:p w:rsidR="00200C10" w:rsidRPr="006953D9" w:rsidRDefault="00200C10" w:rsidP="00284A81">
      <w:pPr>
        <w:pStyle w:val="HChG"/>
      </w:pPr>
      <w:r w:rsidRPr="006953D9">
        <w:tab/>
      </w:r>
      <w:bookmarkStart w:id="14" w:name="_Toc509325407"/>
      <w:r w:rsidRPr="006953D9">
        <w:t>V.</w:t>
      </w:r>
      <w:r w:rsidRPr="006953D9">
        <w:tab/>
        <w:t>Latest</w:t>
      </w:r>
      <w:r w:rsidR="000B5A3E" w:rsidRPr="006953D9">
        <w:t xml:space="preserve"> </w:t>
      </w:r>
      <w:r w:rsidRPr="006953D9">
        <w:t>developments</w:t>
      </w:r>
      <w:r w:rsidR="000B5A3E" w:rsidRPr="006953D9">
        <w:t xml:space="preserve"> </w:t>
      </w:r>
      <w:r w:rsidRPr="006953D9">
        <w:t>concerning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question</w:t>
      </w:r>
      <w:bookmarkEnd w:id="14"/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143.</w:t>
      </w:r>
      <w:r w:rsidRPr="006953D9">
        <w:tab/>
        <w:t>Since</w:t>
      </w:r>
      <w:r w:rsidR="000B5A3E" w:rsidRPr="006953D9">
        <w:t xml:space="preserve"> </w:t>
      </w:r>
      <w:r w:rsidRPr="006953D9">
        <w:t>1974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nature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problem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remained</w:t>
      </w:r>
      <w:r w:rsidR="000B5A3E" w:rsidRPr="006953D9">
        <w:t xml:space="preserve"> </w:t>
      </w:r>
      <w:r w:rsidRPr="006953D9">
        <w:t>intact;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problem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foreign</w:t>
      </w:r>
      <w:r w:rsidR="000B5A3E" w:rsidRPr="006953D9">
        <w:t xml:space="preserve"> </w:t>
      </w:r>
      <w:r w:rsidRPr="006953D9">
        <w:t>invasion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occupation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provokes</w:t>
      </w:r>
      <w:r w:rsidR="000B5A3E" w:rsidRPr="006953D9">
        <w:t xml:space="preserve"> </w:t>
      </w:r>
      <w:r w:rsidRPr="006953D9">
        <w:t>massive</w:t>
      </w:r>
      <w:r w:rsidR="000B5A3E" w:rsidRPr="006953D9">
        <w:t xml:space="preserve"> </w:t>
      </w:r>
      <w:r w:rsidRPr="006953D9">
        <w:t>violations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human</w:t>
      </w:r>
      <w:r w:rsidR="000B5A3E" w:rsidRPr="006953D9">
        <w:t xml:space="preserve"> </w:t>
      </w:r>
      <w:r w:rsidRPr="006953D9">
        <w:t>rights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people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</w:p>
    <w:p w:rsidR="00200C10" w:rsidRPr="006953D9" w:rsidRDefault="00200C10" w:rsidP="00CC2632">
      <w:pPr>
        <w:pStyle w:val="SingleTxtG"/>
      </w:pPr>
      <w:r w:rsidRPr="006953D9">
        <w:t>144.</w:t>
      </w:r>
      <w:r w:rsidRPr="006953D9">
        <w:tab/>
        <w:t>In</w:t>
      </w:r>
      <w:r w:rsidR="000B5A3E" w:rsidRPr="006953D9">
        <w:t xml:space="preserve"> </w:t>
      </w:r>
      <w:r w:rsidRPr="006953D9">
        <w:t>February</w:t>
      </w:r>
      <w:r w:rsidR="000B5A3E" w:rsidRPr="006953D9">
        <w:t xml:space="preserve"> </w:t>
      </w:r>
      <w:r w:rsidRPr="006953D9">
        <w:t>2013,</w:t>
      </w:r>
      <w:r w:rsidR="000B5A3E" w:rsidRPr="006953D9">
        <w:t xml:space="preserve"> </w:t>
      </w:r>
      <w:r w:rsidRPr="006953D9">
        <w:t>Mr.</w:t>
      </w:r>
      <w:r w:rsidR="000B5A3E" w:rsidRPr="006953D9">
        <w:t xml:space="preserve"> </w:t>
      </w:r>
      <w:r w:rsidRPr="006953D9">
        <w:t>Nikos</w:t>
      </w:r>
      <w:r w:rsidR="000B5A3E" w:rsidRPr="006953D9">
        <w:t xml:space="preserve"> </w:t>
      </w:r>
      <w:proofErr w:type="spellStart"/>
      <w:r w:rsidRPr="006953D9">
        <w:t>Anastasiades</w:t>
      </w:r>
      <w:proofErr w:type="spellEnd"/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elected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Cyprus.</w:t>
      </w:r>
      <w:r w:rsidR="000B5A3E" w:rsidRPr="006953D9">
        <w:t xml:space="preserve"> </w:t>
      </w:r>
      <w:r w:rsidRPr="006953D9">
        <w:t>Among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primal</w:t>
      </w:r>
      <w:r w:rsidR="000B5A3E" w:rsidRPr="006953D9">
        <w:t xml:space="preserve"> </w:t>
      </w:r>
      <w:r w:rsidRPr="006953D9">
        <w:t>goals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his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re-launching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comprehensive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result</w:t>
      </w:r>
      <w:r w:rsidR="00CC2632" w:rsidRPr="006953D9">
        <w:t>-</w:t>
      </w:r>
      <w:r w:rsidRPr="006953D9">
        <w:t>oriented</w:t>
      </w:r>
      <w:r w:rsidR="000B5A3E" w:rsidRPr="006953D9">
        <w:t xml:space="preserve"> </w:t>
      </w:r>
      <w:r w:rsidRPr="006953D9">
        <w:t>negotiations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solution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problem.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July</w:t>
      </w:r>
      <w:r w:rsidR="000B5A3E" w:rsidRPr="006953D9">
        <w:t xml:space="preserve"> </w:t>
      </w:r>
      <w:r w:rsidRPr="006953D9">
        <w:t>16,</w:t>
      </w:r>
      <w:r w:rsidR="000B5A3E" w:rsidRPr="006953D9">
        <w:t xml:space="preserve"> </w:t>
      </w:r>
      <w:r w:rsidRPr="006953D9">
        <w:t>2013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National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unanimously</w:t>
      </w:r>
      <w:r w:rsidR="000B5A3E" w:rsidRPr="006953D9">
        <w:t xml:space="preserve"> </w:t>
      </w:r>
      <w:r w:rsidRPr="006953D9">
        <w:t>confirmed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will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appointment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Negotiator.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same</w:t>
      </w:r>
      <w:r w:rsidR="000B5A3E" w:rsidRPr="006953D9">
        <w:t xml:space="preserve"> </w:t>
      </w:r>
      <w:r w:rsidRPr="006953D9">
        <w:t>time</w:t>
      </w:r>
      <w:r w:rsidR="000B5A3E" w:rsidRPr="006953D9">
        <w:t xml:space="preserve"> </w:t>
      </w:r>
      <w:r w:rsidRPr="006953D9">
        <w:t>Ambassador</w:t>
      </w:r>
      <w:r w:rsidR="000B5A3E" w:rsidRPr="006953D9">
        <w:t xml:space="preserve"> </w:t>
      </w:r>
      <w:r w:rsidRPr="006953D9">
        <w:t>Andreas</w:t>
      </w:r>
      <w:r w:rsidR="000B5A3E" w:rsidRPr="006953D9">
        <w:t xml:space="preserve"> </w:t>
      </w:r>
      <w:proofErr w:type="spellStart"/>
      <w:r w:rsidRPr="006953D9">
        <w:t>Mavroyiannis</w:t>
      </w:r>
      <w:proofErr w:type="spellEnd"/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appointed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post.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145.</w:t>
      </w:r>
      <w:r w:rsidRPr="006953D9">
        <w:tab/>
        <w:t>On</w:t>
      </w:r>
      <w:r w:rsidR="000B5A3E" w:rsidRPr="006953D9">
        <w:t xml:space="preserve"> </w:t>
      </w:r>
      <w:r w:rsidRPr="006953D9">
        <w:t>11</w:t>
      </w:r>
      <w:r w:rsidR="000B5A3E" w:rsidRPr="006953D9">
        <w:t xml:space="preserve"> </w:t>
      </w:r>
      <w:r w:rsidRPr="006953D9">
        <w:t>February</w:t>
      </w:r>
      <w:r w:rsidR="000B5A3E" w:rsidRPr="006953D9">
        <w:t xml:space="preserve"> </w:t>
      </w:r>
      <w:r w:rsidRPr="006953D9">
        <w:t>2014,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leaders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Communities,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N.</w:t>
      </w:r>
      <w:r w:rsidR="000B5A3E" w:rsidRPr="006953D9">
        <w:t xml:space="preserve"> </w:t>
      </w:r>
      <w:proofErr w:type="spellStart"/>
      <w:r w:rsidRPr="006953D9">
        <w:t>Anastasiades</w:t>
      </w:r>
      <w:proofErr w:type="spellEnd"/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proofErr w:type="spellStart"/>
      <w:r w:rsidRPr="006953D9">
        <w:t>Dr.</w:t>
      </w:r>
      <w:proofErr w:type="spellEnd"/>
      <w:r w:rsidR="000B5A3E" w:rsidRPr="006953D9">
        <w:t xml:space="preserve"> </w:t>
      </w:r>
      <w:r w:rsidRPr="006953D9">
        <w:t>D.</w:t>
      </w:r>
      <w:r w:rsidR="000B5A3E" w:rsidRPr="006953D9">
        <w:t xml:space="preserve"> </w:t>
      </w:r>
      <w:proofErr w:type="spellStart"/>
      <w:r w:rsidRPr="006953D9">
        <w:t>Eroglu</w:t>
      </w:r>
      <w:proofErr w:type="spellEnd"/>
      <w:r w:rsidRPr="006953D9">
        <w:t>,</w:t>
      </w:r>
      <w:r w:rsidR="000B5A3E" w:rsidRPr="006953D9">
        <w:t xml:space="preserve"> </w:t>
      </w:r>
      <w:r w:rsidRPr="006953D9">
        <w:t>adopted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Joint</w:t>
      </w:r>
      <w:r w:rsidR="000B5A3E" w:rsidRPr="006953D9">
        <w:t xml:space="preserve"> </w:t>
      </w:r>
      <w:r w:rsidRPr="006953D9">
        <w:t>Declaration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re-launching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talks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problem,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sets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basic</w:t>
      </w:r>
      <w:r w:rsidR="000B5A3E" w:rsidRPr="006953D9">
        <w:t xml:space="preserve"> </w:t>
      </w:r>
      <w:r w:rsidRPr="006953D9">
        <w:t>principles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solution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clarifies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methodology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followed</w:t>
      </w:r>
      <w:r w:rsidR="000B5A3E" w:rsidRPr="006953D9">
        <w:t xml:space="preserve"> </w:t>
      </w:r>
      <w:r w:rsidRPr="006953D9">
        <w:t>during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negotiation</w:t>
      </w:r>
      <w:r w:rsidR="000B5A3E" w:rsidRPr="006953D9">
        <w:t xml:space="preserve"> </w:t>
      </w:r>
      <w:r w:rsidRPr="006953D9">
        <w:t>process.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Joint</w:t>
      </w:r>
      <w:r w:rsidR="000B5A3E" w:rsidRPr="006953D9">
        <w:t xml:space="preserve"> </w:t>
      </w:r>
      <w:r w:rsidRPr="006953D9">
        <w:t>Declaration</w:t>
      </w:r>
      <w:r w:rsidR="000B5A3E" w:rsidRPr="006953D9">
        <w:t xml:space="preserve"> </w:t>
      </w:r>
      <w:r w:rsidRPr="006953D9">
        <w:t>reaffirms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settlement</w:t>
      </w:r>
      <w:r w:rsidR="000B5A3E" w:rsidRPr="006953D9">
        <w:t xml:space="preserve"> </w:t>
      </w:r>
      <w:r w:rsidRPr="006953D9">
        <w:t>will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based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bi-communal,</w:t>
      </w:r>
      <w:r w:rsidR="000B5A3E" w:rsidRPr="006953D9">
        <w:t xml:space="preserve"> </w:t>
      </w:r>
      <w:r w:rsidRPr="006953D9">
        <w:t>bi-zonal</w:t>
      </w:r>
      <w:r w:rsidR="000B5A3E" w:rsidRPr="006953D9">
        <w:t xml:space="preserve"> </w:t>
      </w:r>
      <w:r w:rsidRPr="006953D9">
        <w:t>federation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political</w:t>
      </w:r>
      <w:r w:rsidR="000B5A3E" w:rsidRPr="006953D9">
        <w:t xml:space="preserve"> </w:t>
      </w:r>
      <w:r w:rsidRPr="006953D9">
        <w:t>equality,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set</w:t>
      </w:r>
      <w:r w:rsidR="000B5A3E" w:rsidRPr="006953D9">
        <w:t xml:space="preserve"> </w:t>
      </w:r>
      <w:r w:rsidRPr="006953D9">
        <w:t>out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relevant</w:t>
      </w:r>
      <w:r w:rsidR="000B5A3E" w:rsidRPr="006953D9">
        <w:t xml:space="preserve"> </w:t>
      </w:r>
      <w:r w:rsidRPr="006953D9">
        <w:t>Security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resolutions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High</w:t>
      </w:r>
      <w:r w:rsidR="000B5A3E" w:rsidRPr="006953D9">
        <w:t xml:space="preserve"> </w:t>
      </w:r>
      <w:r w:rsidRPr="006953D9">
        <w:t>Level</w:t>
      </w:r>
      <w:r w:rsidR="000B5A3E" w:rsidRPr="006953D9">
        <w:t xml:space="preserve"> </w:t>
      </w:r>
      <w:r w:rsidRPr="006953D9">
        <w:t>Agreements.</w:t>
      </w:r>
      <w:r w:rsidR="000B5A3E" w:rsidRPr="006953D9">
        <w:t xml:space="preserve"> </w:t>
      </w:r>
      <w:r w:rsidRPr="006953D9">
        <w:t>It</w:t>
      </w:r>
      <w:r w:rsidR="000B5A3E" w:rsidRPr="006953D9">
        <w:t xml:space="preserve"> </w:t>
      </w:r>
      <w:r w:rsidRPr="006953D9">
        <w:t>also</w:t>
      </w:r>
      <w:r w:rsidR="000B5A3E" w:rsidRPr="006953D9">
        <w:t xml:space="preserve"> </w:t>
      </w:r>
      <w:r w:rsidRPr="006953D9">
        <w:t>reaffirms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member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Union,</w:t>
      </w:r>
      <w:r w:rsidR="000B5A3E" w:rsidRPr="006953D9">
        <w:t xml:space="preserve"> </w:t>
      </w:r>
      <w:r w:rsidRPr="006953D9">
        <w:t>shall</w:t>
      </w:r>
      <w:r w:rsidR="000B5A3E" w:rsidRPr="006953D9">
        <w:t xml:space="preserve"> </w:t>
      </w:r>
      <w:r w:rsidRPr="006953D9">
        <w:t>have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single</w:t>
      </w:r>
      <w:r w:rsidR="000B5A3E" w:rsidRPr="006953D9">
        <w:t xml:space="preserve"> </w:t>
      </w:r>
      <w:r w:rsidRPr="006953D9">
        <w:t>international</w:t>
      </w:r>
      <w:r w:rsidR="000B5A3E" w:rsidRPr="006953D9">
        <w:t xml:space="preserve"> </w:t>
      </w:r>
      <w:r w:rsidRPr="006953D9">
        <w:t>legal</w:t>
      </w:r>
      <w:r w:rsidR="000B5A3E" w:rsidRPr="006953D9">
        <w:t xml:space="preserve"> </w:t>
      </w:r>
      <w:r w:rsidRPr="006953D9">
        <w:t>personality,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single</w:t>
      </w:r>
      <w:r w:rsidR="000B5A3E" w:rsidRPr="006953D9">
        <w:t xml:space="preserve"> </w:t>
      </w:r>
      <w:r w:rsidRPr="006953D9">
        <w:t>sovereignty,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defined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sovereignty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is</w:t>
      </w:r>
      <w:r w:rsidR="000B5A3E" w:rsidRPr="006953D9">
        <w:t xml:space="preserve"> </w:t>
      </w:r>
      <w:r w:rsidRPr="006953D9">
        <w:t>enjoyed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all</w:t>
      </w:r>
      <w:r w:rsidR="000B5A3E" w:rsidRPr="006953D9">
        <w:t xml:space="preserve"> </w:t>
      </w:r>
      <w:r w:rsidRPr="006953D9">
        <w:t>member</w:t>
      </w:r>
      <w:r w:rsidR="000B5A3E" w:rsidRPr="006953D9">
        <w:t xml:space="preserve"> </w:t>
      </w:r>
      <w:r w:rsidRPr="006953D9">
        <w:t>States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Charter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Nations,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well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single</w:t>
      </w:r>
      <w:r w:rsidR="000B5A3E" w:rsidRPr="006953D9">
        <w:t xml:space="preserve"> </w:t>
      </w:r>
      <w:r w:rsidRPr="006953D9">
        <w:t>citizenship.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146.</w:t>
      </w:r>
      <w:r w:rsidRPr="006953D9">
        <w:tab/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considers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dynamic</w:t>
      </w:r>
      <w:r w:rsidR="000B5A3E" w:rsidRPr="006953D9">
        <w:t xml:space="preserve"> </w:t>
      </w:r>
      <w:r w:rsidRPr="006953D9">
        <w:t>impetus</w:t>
      </w:r>
      <w:r w:rsidR="000B5A3E" w:rsidRPr="006953D9">
        <w:t xml:space="preserve"> </w:t>
      </w:r>
      <w:r w:rsidRPr="006953D9">
        <w:t>should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injected</w:t>
      </w:r>
      <w:r w:rsidR="000B5A3E" w:rsidRPr="006953D9">
        <w:t xml:space="preserve"> </w:t>
      </w:r>
      <w:r w:rsidRPr="006953D9">
        <w:t>parallel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negotiating</w:t>
      </w:r>
      <w:r w:rsidR="000B5A3E" w:rsidRPr="006953D9">
        <w:t xml:space="preserve"> </w:t>
      </w:r>
      <w:r w:rsidRPr="006953D9">
        <w:t>process,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order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restore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confidence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people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prospect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solution.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regard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Government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tabled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package</w:t>
      </w:r>
      <w:r w:rsidR="000B5A3E" w:rsidRPr="006953D9">
        <w:t xml:space="preserve"> </w:t>
      </w:r>
      <w:r w:rsidRPr="006953D9">
        <w:t>proposal</w:t>
      </w:r>
      <w:r w:rsidR="000B5A3E" w:rsidRPr="006953D9">
        <w:t xml:space="preserve"> </w:t>
      </w:r>
      <w:r w:rsidRPr="006953D9">
        <w:t>which,</w:t>
      </w:r>
      <w:r w:rsidR="000B5A3E" w:rsidRPr="006953D9">
        <w:t xml:space="preserve"> </w:t>
      </w:r>
      <w:r w:rsidRPr="006953D9">
        <w:t>if</w:t>
      </w:r>
      <w:r w:rsidR="000B5A3E" w:rsidRPr="006953D9">
        <w:t xml:space="preserve"> </w:t>
      </w:r>
      <w:r w:rsidRPr="006953D9">
        <w:t>accepted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Turkey,</w:t>
      </w:r>
      <w:r w:rsidR="000B5A3E" w:rsidRPr="006953D9">
        <w:t xml:space="preserve"> </w:t>
      </w:r>
      <w:r w:rsidRPr="006953D9">
        <w:t>would</w:t>
      </w:r>
      <w:r w:rsidR="000B5A3E" w:rsidRPr="006953D9">
        <w:t xml:space="preserve"> </w:t>
      </w:r>
      <w:r w:rsidRPr="006953D9">
        <w:t>be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="002206DB" w:rsidRPr="006953D9">
        <w:t>“</w:t>
      </w:r>
      <w:r w:rsidRPr="006953D9">
        <w:t>game</w:t>
      </w:r>
      <w:r w:rsidR="000B5A3E" w:rsidRPr="006953D9">
        <w:t xml:space="preserve"> </w:t>
      </w:r>
      <w:r w:rsidRPr="006953D9">
        <w:t>changer</w:t>
      </w:r>
      <w:r w:rsidR="002206DB" w:rsidRPr="006953D9">
        <w:t>”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would</w:t>
      </w:r>
      <w:r w:rsidR="000B5A3E" w:rsidRPr="006953D9">
        <w:t xml:space="preserve"> </w:t>
      </w:r>
      <w:r w:rsidRPr="006953D9">
        <w:t>foster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spirit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confidence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co-operation</w:t>
      </w:r>
      <w:r w:rsidR="000B5A3E" w:rsidRPr="006953D9">
        <w:t xml:space="preserve"> </w:t>
      </w:r>
      <w:r w:rsidRPr="006953D9">
        <w:t>between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two</w:t>
      </w:r>
      <w:r w:rsidR="000B5A3E" w:rsidRPr="006953D9">
        <w:t xml:space="preserve"> </w:t>
      </w:r>
      <w:r w:rsidRPr="006953D9">
        <w:t>communities.</w:t>
      </w:r>
      <w:r w:rsidR="000B5A3E" w:rsidRPr="006953D9">
        <w:t xml:space="preserve"> </w:t>
      </w:r>
      <w:r w:rsidRPr="006953D9">
        <w:t>This</w:t>
      </w:r>
      <w:r w:rsidR="000B5A3E" w:rsidRPr="006953D9">
        <w:t xml:space="preserve"> </w:t>
      </w:r>
      <w:r w:rsidRPr="006953D9">
        <w:t>package</w:t>
      </w:r>
      <w:r w:rsidR="000B5A3E" w:rsidRPr="006953D9">
        <w:t xml:space="preserve"> </w:t>
      </w:r>
      <w:r w:rsidRPr="006953D9">
        <w:t>proposal</w:t>
      </w:r>
      <w:r w:rsidR="000B5A3E" w:rsidRPr="006953D9">
        <w:t xml:space="preserve"> </w:t>
      </w:r>
      <w:r w:rsidRPr="006953D9">
        <w:t>provides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return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city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proofErr w:type="spellStart"/>
      <w:r w:rsidRPr="006953D9">
        <w:t>Varosha</w:t>
      </w:r>
      <w:proofErr w:type="spellEnd"/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its</w:t>
      </w:r>
      <w:r w:rsidR="000B5A3E" w:rsidRPr="006953D9">
        <w:t xml:space="preserve"> </w:t>
      </w:r>
      <w:r w:rsidRPr="006953D9">
        <w:t>lawful</w:t>
      </w:r>
      <w:r w:rsidR="000B5A3E" w:rsidRPr="006953D9">
        <w:t xml:space="preserve"> </w:t>
      </w:r>
      <w:r w:rsidRPr="006953D9">
        <w:t>inhabitants</w:t>
      </w:r>
      <w:r w:rsidR="000B5A3E" w:rsidRPr="006953D9">
        <w:t xml:space="preserve"> </w:t>
      </w:r>
      <w:r w:rsidRPr="006953D9">
        <w:t>as</w:t>
      </w:r>
      <w:r w:rsidR="000B5A3E" w:rsidRPr="006953D9">
        <w:t xml:space="preserve"> </w:t>
      </w:r>
      <w:r w:rsidRPr="006953D9">
        <w:t>per</w:t>
      </w:r>
      <w:r w:rsidR="000B5A3E" w:rsidRPr="006953D9">
        <w:t xml:space="preserve"> </w:t>
      </w:r>
      <w:r w:rsidRPr="006953D9">
        <w:t>Security</w:t>
      </w:r>
      <w:r w:rsidR="000B5A3E" w:rsidRPr="006953D9">
        <w:t xml:space="preserve"> </w:t>
      </w:r>
      <w:r w:rsidRPr="006953D9">
        <w:t>Council</w:t>
      </w:r>
      <w:r w:rsidR="000B5A3E" w:rsidRPr="006953D9">
        <w:t xml:space="preserve"> </w:t>
      </w:r>
      <w:r w:rsidRPr="006953D9">
        <w:t>resolution</w:t>
      </w:r>
      <w:r w:rsidR="000B5A3E" w:rsidRPr="006953D9">
        <w:t xml:space="preserve"> </w:t>
      </w:r>
      <w:r w:rsidRPr="006953D9">
        <w:t>550</w:t>
      </w:r>
      <w:r w:rsidR="000B5A3E" w:rsidRPr="006953D9">
        <w:t xml:space="preserve"> </w:t>
      </w:r>
      <w:r w:rsidRPr="006953D9">
        <w:t>(1984),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return</w:t>
      </w:r>
      <w:r w:rsidR="000B5A3E" w:rsidRPr="006953D9">
        <w:t xml:space="preserve"> </w:t>
      </w:r>
      <w:r w:rsidRPr="006953D9">
        <w:t>for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opening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port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Famagusta</w:t>
      </w:r>
      <w:r w:rsidR="000B5A3E" w:rsidRPr="006953D9">
        <w:t xml:space="preserve"> </w:t>
      </w:r>
      <w:r w:rsidRPr="006953D9">
        <w:t>under</w:t>
      </w:r>
      <w:r w:rsidR="000B5A3E" w:rsidRPr="006953D9">
        <w:t xml:space="preserve"> </w:t>
      </w:r>
      <w:r w:rsidRPr="006953D9">
        <w:t>Protocol</w:t>
      </w:r>
      <w:r w:rsidR="000B5A3E" w:rsidRPr="006953D9">
        <w:t xml:space="preserve"> </w:t>
      </w:r>
      <w:r w:rsidRPr="006953D9">
        <w:t>10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opening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Turkey</w:t>
      </w:r>
      <w:r w:rsidR="002206DB" w:rsidRPr="006953D9">
        <w:t>’</w:t>
      </w:r>
      <w:r w:rsidRPr="006953D9">
        <w:t>s</w:t>
      </w:r>
      <w:r w:rsidR="000B5A3E" w:rsidRPr="006953D9">
        <w:t xml:space="preserve"> </w:t>
      </w:r>
      <w:r w:rsidRPr="006953D9">
        <w:t>accession</w:t>
      </w:r>
      <w:r w:rsidR="000B5A3E" w:rsidRPr="006953D9">
        <w:t xml:space="preserve"> </w:t>
      </w:r>
      <w:r w:rsidRPr="006953D9">
        <w:t>negotiation</w:t>
      </w:r>
      <w:r w:rsidR="000B5A3E" w:rsidRPr="006953D9">
        <w:t xml:space="preserve"> </w:t>
      </w:r>
      <w:r w:rsidRPr="006953D9">
        <w:t>chapters</w:t>
      </w:r>
      <w:r w:rsidR="000B5A3E" w:rsidRPr="006953D9">
        <w:t xml:space="preserve"> </w:t>
      </w:r>
      <w:r w:rsidRPr="006953D9">
        <w:t>provided</w:t>
      </w:r>
      <w:r w:rsidR="000B5A3E" w:rsidRPr="006953D9">
        <w:t xml:space="preserve"> </w:t>
      </w:r>
      <w:r w:rsidRPr="006953D9">
        <w:t>that</w:t>
      </w:r>
      <w:r w:rsidR="000B5A3E" w:rsidRPr="006953D9">
        <w:t xml:space="preserve"> </w:t>
      </w:r>
      <w:r w:rsidRPr="006953D9">
        <w:t>Turkey</w:t>
      </w:r>
      <w:r w:rsidR="000B5A3E" w:rsidRPr="006953D9">
        <w:t xml:space="preserve"> </w:t>
      </w:r>
      <w:r w:rsidRPr="006953D9">
        <w:t>implements</w:t>
      </w:r>
      <w:r w:rsidR="000B5A3E" w:rsidRPr="006953D9">
        <w:t xml:space="preserve"> </w:t>
      </w:r>
      <w:r w:rsidRPr="006953D9">
        <w:t>fully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non-discriminatory</w:t>
      </w:r>
      <w:r w:rsidR="000B5A3E" w:rsidRPr="006953D9">
        <w:t xml:space="preserve"> </w:t>
      </w:r>
      <w:r w:rsidRPr="006953D9">
        <w:t>basis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Additional</w:t>
      </w:r>
      <w:r w:rsidR="000B5A3E" w:rsidRPr="006953D9">
        <w:t xml:space="preserve"> </w:t>
      </w:r>
      <w:r w:rsidRPr="006953D9">
        <w:t>Protocol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Agreement</w:t>
      </w:r>
      <w:r w:rsidR="000B5A3E" w:rsidRPr="006953D9">
        <w:t xml:space="preserve"> </w:t>
      </w:r>
      <w:r w:rsidRPr="006953D9">
        <w:t>establishing</w:t>
      </w:r>
      <w:r w:rsidR="000B5A3E" w:rsidRPr="006953D9">
        <w:t xml:space="preserve"> </w:t>
      </w:r>
      <w:r w:rsidRPr="006953D9">
        <w:t>an</w:t>
      </w:r>
      <w:r w:rsidR="000B5A3E" w:rsidRPr="006953D9">
        <w:t xml:space="preserve"> </w:t>
      </w:r>
      <w:r w:rsidRPr="006953D9">
        <w:t>Association</w:t>
      </w:r>
      <w:r w:rsidR="000B5A3E" w:rsidRPr="006953D9">
        <w:t xml:space="preserve"> </w:t>
      </w:r>
      <w:r w:rsidRPr="006953D9">
        <w:t>between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Economic</w:t>
      </w:r>
      <w:r w:rsidR="000B5A3E" w:rsidRPr="006953D9">
        <w:t xml:space="preserve"> </w:t>
      </w:r>
      <w:r w:rsidRPr="006953D9">
        <w:t>Community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Turkey</w:t>
      </w:r>
      <w:r w:rsidR="000B5A3E" w:rsidRPr="006953D9">
        <w:t xml:space="preserve"> </w:t>
      </w:r>
      <w:r w:rsidRPr="006953D9">
        <w:t>(Additional</w:t>
      </w:r>
      <w:r w:rsidR="000B5A3E" w:rsidRPr="006953D9">
        <w:t xml:space="preserve"> </w:t>
      </w:r>
      <w:r w:rsidRPr="006953D9">
        <w:t>Protocol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Association</w:t>
      </w:r>
      <w:r w:rsidR="000B5A3E" w:rsidRPr="006953D9">
        <w:t xml:space="preserve"> </w:t>
      </w:r>
      <w:r w:rsidRPr="006953D9">
        <w:t>Agreement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r w:rsidRPr="006953D9">
        <w:t>Union).</w:t>
      </w:r>
      <w:r w:rsidR="000B5A3E" w:rsidRPr="006953D9">
        <w:t xml:space="preserve"> </w:t>
      </w:r>
    </w:p>
    <w:p w:rsidR="00200C10" w:rsidRPr="006953D9" w:rsidRDefault="00200C10" w:rsidP="00830021">
      <w:pPr>
        <w:pStyle w:val="SingleTxtG"/>
      </w:pPr>
      <w:r w:rsidRPr="006953D9">
        <w:t>147.</w:t>
      </w:r>
      <w:r w:rsidRPr="006953D9">
        <w:tab/>
        <w:t>From</w:t>
      </w:r>
      <w:r w:rsidR="000B5A3E" w:rsidRPr="006953D9">
        <w:t xml:space="preserve"> </w:t>
      </w:r>
      <w:r w:rsidRPr="006953D9">
        <w:t>May</w:t>
      </w:r>
      <w:r w:rsidR="000B5A3E" w:rsidRPr="006953D9">
        <w:t xml:space="preserve"> </w:t>
      </w:r>
      <w:r w:rsidRPr="006953D9">
        <w:t>2015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July</w:t>
      </w:r>
      <w:r w:rsidR="000B5A3E" w:rsidRPr="006953D9">
        <w:t xml:space="preserve"> </w:t>
      </w:r>
      <w:r w:rsidRPr="006953D9">
        <w:t>2017,</w:t>
      </w:r>
      <w:r w:rsidR="000B5A3E" w:rsidRPr="006953D9">
        <w:t xml:space="preserve"> </w:t>
      </w:r>
      <w:r w:rsidRPr="006953D9">
        <w:t>negotiations</w:t>
      </w:r>
      <w:r w:rsidR="000B5A3E" w:rsidRPr="006953D9">
        <w:t xml:space="preserve"> </w:t>
      </w:r>
      <w:r w:rsidRPr="006953D9">
        <w:t>aiming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comprehensive</w:t>
      </w:r>
      <w:r w:rsidR="000B5A3E" w:rsidRPr="006953D9">
        <w:t xml:space="preserve"> </w:t>
      </w:r>
      <w:r w:rsidRPr="006953D9">
        <w:t>settlement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problem</w:t>
      </w:r>
      <w:r w:rsidR="000B5A3E" w:rsidRPr="006953D9">
        <w:t xml:space="preserve"> </w:t>
      </w:r>
      <w:r w:rsidRPr="006953D9">
        <w:t>proceeded</w:t>
      </w:r>
      <w:r w:rsidR="000B5A3E" w:rsidRPr="006953D9">
        <w:t xml:space="preserve"> </w:t>
      </w:r>
      <w:r w:rsidRPr="006953D9">
        <w:t>intensively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significant</w:t>
      </w:r>
      <w:r w:rsidR="000B5A3E" w:rsidRPr="006953D9">
        <w:t xml:space="preserve"> </w:t>
      </w:r>
      <w:r w:rsidRPr="006953D9">
        <w:t>progress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achieved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number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issues.</w:t>
      </w:r>
      <w:r w:rsidR="000B5A3E" w:rsidRPr="006953D9">
        <w:t xml:space="preserve"> </w:t>
      </w:r>
      <w:r w:rsidRPr="006953D9">
        <w:t>Nevertheless,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Conference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Cyprus,</w:t>
      </w:r>
      <w:r w:rsidR="000B5A3E" w:rsidRPr="006953D9">
        <w:t xml:space="preserve"> </w:t>
      </w:r>
      <w:r w:rsidRPr="006953D9">
        <w:t>held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proofErr w:type="spellStart"/>
      <w:r w:rsidRPr="006953D9">
        <w:t>Crans</w:t>
      </w:r>
      <w:proofErr w:type="spellEnd"/>
      <w:r w:rsidR="000B5A3E" w:rsidRPr="006953D9">
        <w:t xml:space="preserve"> </w:t>
      </w:r>
      <w:r w:rsidRPr="006953D9">
        <w:t>Montana</w:t>
      </w:r>
      <w:r w:rsidR="000B5A3E" w:rsidRPr="006953D9">
        <w:t xml:space="preserve"> </w:t>
      </w:r>
      <w:r w:rsidRPr="006953D9">
        <w:t>from</w:t>
      </w:r>
      <w:r w:rsidR="000B5A3E" w:rsidRPr="006953D9">
        <w:t xml:space="preserve"> </w:t>
      </w:r>
      <w:r w:rsidRPr="006953D9">
        <w:t>28</w:t>
      </w:r>
      <w:r w:rsidR="000B5A3E" w:rsidRPr="006953D9">
        <w:t xml:space="preserve"> </w:t>
      </w:r>
      <w:r w:rsidRPr="006953D9">
        <w:t>June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7</w:t>
      </w:r>
      <w:r w:rsidR="000B5A3E" w:rsidRPr="006953D9">
        <w:t xml:space="preserve"> </w:t>
      </w:r>
      <w:r w:rsidRPr="006953D9">
        <w:t>July</w:t>
      </w:r>
      <w:r w:rsidR="000B5A3E" w:rsidRPr="006953D9">
        <w:t xml:space="preserve"> </w:t>
      </w:r>
      <w:r w:rsidRPr="006953D9">
        <w:t>2017,</w:t>
      </w:r>
      <w:r w:rsidR="000B5A3E" w:rsidRPr="006953D9">
        <w:t xml:space="preserve"> </w:t>
      </w:r>
      <w:r w:rsidRPr="006953D9">
        <w:t>which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mainly</w:t>
      </w:r>
      <w:r w:rsidR="000B5A3E" w:rsidRPr="006953D9">
        <w:t xml:space="preserve"> </w:t>
      </w:r>
      <w:r w:rsidRPr="006953D9">
        <w:t>focused</w:t>
      </w:r>
      <w:r w:rsidR="000B5A3E" w:rsidRPr="006953D9">
        <w:t xml:space="preserve"> </w:t>
      </w:r>
      <w:r w:rsidRPr="006953D9">
        <w:t>on</w:t>
      </w:r>
      <w:r w:rsidR="000B5A3E" w:rsidRPr="006953D9">
        <w:t xml:space="preserve"> </w:t>
      </w:r>
      <w:r w:rsidRPr="006953D9">
        <w:t>security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guarantees</w:t>
      </w:r>
      <w:r w:rsidR="000B5A3E" w:rsidRPr="006953D9">
        <w:t xml:space="preserve"> </w:t>
      </w:r>
      <w:r w:rsidRPr="006953D9">
        <w:t>post-settlement,</w:t>
      </w:r>
      <w:r w:rsidR="000B5A3E" w:rsidRPr="006953D9">
        <w:t xml:space="preserve"> </w:t>
      </w:r>
      <w:r w:rsidRPr="006953D9">
        <w:t>was</w:t>
      </w:r>
      <w:r w:rsidR="000B5A3E" w:rsidRPr="006953D9">
        <w:t xml:space="preserve"> </w:t>
      </w:r>
      <w:r w:rsidRPr="006953D9">
        <w:t>closed</w:t>
      </w:r>
      <w:r w:rsidR="000B5A3E" w:rsidRPr="006953D9">
        <w:t xml:space="preserve"> </w:t>
      </w:r>
      <w:r w:rsidRPr="006953D9">
        <w:t>without</w:t>
      </w:r>
      <w:r w:rsidR="000B5A3E" w:rsidRPr="006953D9">
        <w:t xml:space="preserve"> </w:t>
      </w:r>
      <w:r w:rsidRPr="006953D9">
        <w:t>result,</w:t>
      </w:r>
      <w:r w:rsidR="000B5A3E" w:rsidRPr="006953D9">
        <w:t xml:space="preserve"> </w:t>
      </w:r>
      <w:r w:rsidRPr="006953D9">
        <w:t>despite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constructive</w:t>
      </w:r>
      <w:r w:rsidR="000B5A3E" w:rsidRPr="006953D9">
        <w:t xml:space="preserve"> </w:t>
      </w:r>
      <w:r w:rsidRPr="006953D9">
        <w:t>stance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Greek</w:t>
      </w:r>
      <w:r w:rsidR="000B5A3E" w:rsidRPr="006953D9">
        <w:t xml:space="preserve"> </w:t>
      </w:r>
      <w:r w:rsidRPr="006953D9">
        <w:t>Cypriot</w:t>
      </w:r>
      <w:r w:rsidR="000B5A3E" w:rsidRPr="006953D9">
        <w:t xml:space="preserve"> </w:t>
      </w:r>
      <w:r w:rsidRPr="006953D9">
        <w:t>side.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President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has</w:t>
      </w:r>
      <w:r w:rsidR="000B5A3E" w:rsidRPr="006953D9">
        <w:t xml:space="preserve"> </w:t>
      </w:r>
      <w:r w:rsidRPr="006953D9">
        <w:t>expressed</w:t>
      </w:r>
      <w:r w:rsidR="000B5A3E" w:rsidRPr="006953D9">
        <w:t xml:space="preserve"> </w:t>
      </w:r>
      <w:r w:rsidRPr="006953D9">
        <w:t>his</w:t>
      </w:r>
      <w:r w:rsidR="000B5A3E" w:rsidRPr="006953D9">
        <w:t xml:space="preserve"> </w:t>
      </w:r>
      <w:r w:rsidRPr="006953D9">
        <w:t>readiness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resume</w:t>
      </w:r>
      <w:r w:rsidR="000B5A3E" w:rsidRPr="006953D9">
        <w:t xml:space="preserve"> </w:t>
      </w:r>
      <w:r w:rsidRPr="006953D9">
        <w:t>negotiations</w:t>
      </w:r>
      <w:r w:rsidR="000B5A3E" w:rsidRPr="006953D9">
        <w:t xml:space="preserve"> </w:t>
      </w:r>
      <w:r w:rsidRPr="006953D9">
        <w:t>at</w:t>
      </w:r>
      <w:r w:rsidR="000B5A3E" w:rsidRPr="006953D9">
        <w:t xml:space="preserve"> </w:t>
      </w:r>
      <w:r w:rsidRPr="006953D9">
        <w:t>any</w:t>
      </w:r>
      <w:r w:rsidR="000B5A3E" w:rsidRPr="006953D9">
        <w:t xml:space="preserve"> </w:t>
      </w:r>
      <w:r w:rsidRPr="006953D9">
        <w:t>time,</w:t>
      </w:r>
      <w:r w:rsidR="000B5A3E" w:rsidRPr="006953D9">
        <w:t xml:space="preserve"> </w:t>
      </w:r>
      <w:r w:rsidRPr="006953D9">
        <w:t>within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framework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United</w:t>
      </w:r>
      <w:r w:rsidR="000B5A3E" w:rsidRPr="006953D9">
        <w:t xml:space="preserve"> </w:t>
      </w:r>
      <w:r w:rsidRPr="006953D9">
        <w:t>Nations</w:t>
      </w:r>
      <w:r w:rsidR="000B5A3E" w:rsidRPr="006953D9">
        <w:t xml:space="preserve"> </w:t>
      </w:r>
      <w:r w:rsidRPr="006953D9">
        <w:t>Secretary</w:t>
      </w:r>
      <w:r w:rsidR="000B5A3E" w:rsidRPr="006953D9">
        <w:t xml:space="preserve"> </w:t>
      </w:r>
      <w:r w:rsidRPr="006953D9">
        <w:t>General</w:t>
      </w:r>
      <w:r w:rsidR="000B5A3E" w:rsidRPr="006953D9">
        <w:t xml:space="preserve"> </w:t>
      </w:r>
      <w:r w:rsidRPr="006953D9">
        <w:t>Good</w:t>
      </w:r>
      <w:r w:rsidR="000B5A3E" w:rsidRPr="006953D9">
        <w:t xml:space="preserve"> </w:t>
      </w:r>
      <w:r w:rsidRPr="006953D9">
        <w:t>Offices</w:t>
      </w:r>
      <w:r w:rsidR="000B5A3E" w:rsidRPr="006953D9">
        <w:t xml:space="preserve"> </w:t>
      </w:r>
      <w:r w:rsidRPr="006953D9">
        <w:t>Mission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="002206DB" w:rsidRPr="006953D9">
        <w:t>“</w:t>
      </w:r>
      <w:r w:rsidRPr="006953D9">
        <w:t>six</w:t>
      </w:r>
      <w:r w:rsidR="000B5A3E" w:rsidRPr="006953D9">
        <w:t xml:space="preserve"> </w:t>
      </w:r>
      <w:r w:rsidRPr="006953D9">
        <w:t>point</w:t>
      </w:r>
      <w:r w:rsidR="000B5A3E" w:rsidRPr="006953D9">
        <w:t xml:space="preserve"> </w:t>
      </w:r>
      <w:r w:rsidRPr="006953D9">
        <w:t>framework</w:t>
      </w:r>
      <w:r w:rsidR="002206DB" w:rsidRPr="006953D9">
        <w:t>”</w:t>
      </w:r>
      <w:r w:rsidR="000B5A3E" w:rsidRPr="006953D9">
        <w:t xml:space="preserve"> </w:t>
      </w:r>
      <w:r w:rsidRPr="006953D9">
        <w:t>submitted</w:t>
      </w:r>
      <w:r w:rsidR="000B5A3E" w:rsidRPr="006953D9">
        <w:t xml:space="preserve"> </w:t>
      </w:r>
      <w:r w:rsidRPr="006953D9">
        <w:t>by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</w:t>
      </w:r>
      <w:r w:rsidR="000B5A3E" w:rsidRPr="006953D9">
        <w:t xml:space="preserve"> </w:t>
      </w:r>
      <w:r w:rsidRPr="006953D9">
        <w:t>Secretary</w:t>
      </w:r>
      <w:r w:rsidR="000B5A3E" w:rsidRPr="006953D9">
        <w:t xml:space="preserve"> </w:t>
      </w:r>
      <w:r w:rsidRPr="006953D9">
        <w:t>General</w:t>
      </w:r>
      <w:r w:rsidR="000B5A3E" w:rsidRPr="006953D9">
        <w:t xml:space="preserve"> </w:t>
      </w:r>
      <w:r w:rsidRPr="006953D9">
        <w:t>during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aforementioned</w:t>
      </w:r>
      <w:r w:rsidR="000B5A3E" w:rsidRPr="006953D9">
        <w:t xml:space="preserve"> </w:t>
      </w:r>
      <w:r w:rsidRPr="006953D9">
        <w:t>Conference.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Republic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remains</w:t>
      </w:r>
      <w:r w:rsidR="000B5A3E" w:rsidRPr="006953D9">
        <w:t xml:space="preserve"> </w:t>
      </w:r>
      <w:r w:rsidRPr="006953D9">
        <w:t>committed</w:t>
      </w:r>
      <w:r w:rsidR="000B5A3E" w:rsidRPr="006953D9">
        <w:t xml:space="preserve"> </w:t>
      </w:r>
      <w:r w:rsidRPr="006953D9">
        <w:t>to</w:t>
      </w:r>
      <w:r w:rsidR="000B5A3E" w:rsidRPr="006953D9">
        <w:t xml:space="preserve"> </w:t>
      </w:r>
      <w:r w:rsidRPr="006953D9">
        <w:t>a</w:t>
      </w:r>
      <w:r w:rsidR="000B5A3E" w:rsidRPr="006953D9">
        <w:t xml:space="preserve"> </w:t>
      </w:r>
      <w:r w:rsidRPr="006953D9">
        <w:t>settlement</w:t>
      </w:r>
      <w:r w:rsidR="000B5A3E" w:rsidRPr="006953D9">
        <w:t xml:space="preserve"> </w:t>
      </w:r>
      <w:r w:rsidRPr="006953D9">
        <w:t>of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Cyprus</w:t>
      </w:r>
      <w:r w:rsidR="000B5A3E" w:rsidRPr="006953D9">
        <w:t xml:space="preserve"> </w:t>
      </w:r>
      <w:r w:rsidRPr="006953D9">
        <w:t>problem,</w:t>
      </w:r>
      <w:r w:rsidR="000B5A3E" w:rsidRPr="006953D9">
        <w:t xml:space="preserve"> </w:t>
      </w:r>
      <w:r w:rsidRPr="006953D9">
        <w:t>in</w:t>
      </w:r>
      <w:r w:rsidR="000B5A3E" w:rsidRPr="006953D9">
        <w:t xml:space="preserve"> </w:t>
      </w:r>
      <w:r w:rsidRPr="006953D9">
        <w:t>accordance</w:t>
      </w:r>
      <w:r w:rsidR="000B5A3E" w:rsidRPr="006953D9">
        <w:t xml:space="preserve"> </w:t>
      </w:r>
      <w:r w:rsidRPr="006953D9">
        <w:t>with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High</w:t>
      </w:r>
      <w:r w:rsidR="000B5A3E" w:rsidRPr="006953D9">
        <w:t xml:space="preserve"> </w:t>
      </w:r>
      <w:r w:rsidRPr="006953D9">
        <w:t>Level</w:t>
      </w:r>
      <w:r w:rsidR="000B5A3E" w:rsidRPr="006953D9">
        <w:t xml:space="preserve"> </w:t>
      </w:r>
      <w:r w:rsidRPr="006953D9">
        <w:t>Agreements,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UN</w:t>
      </w:r>
      <w:r w:rsidR="000B5A3E" w:rsidRPr="006953D9">
        <w:t xml:space="preserve"> </w:t>
      </w:r>
      <w:r w:rsidRPr="006953D9">
        <w:t>SC</w:t>
      </w:r>
      <w:r w:rsidR="000B5A3E" w:rsidRPr="006953D9">
        <w:t xml:space="preserve"> </w:t>
      </w:r>
      <w:r w:rsidRPr="006953D9">
        <w:t>Resolutions</w:t>
      </w:r>
      <w:r w:rsidR="000B5A3E" w:rsidRPr="006953D9">
        <w:t xml:space="preserve"> </w:t>
      </w:r>
      <w:r w:rsidRPr="006953D9">
        <w:t>and</w:t>
      </w:r>
      <w:r w:rsidR="000B5A3E" w:rsidRPr="006953D9">
        <w:t xml:space="preserve"> </w:t>
      </w:r>
      <w:r w:rsidRPr="006953D9">
        <w:t>the</w:t>
      </w:r>
      <w:r w:rsidR="000B5A3E" w:rsidRPr="006953D9">
        <w:t xml:space="preserve"> </w:t>
      </w:r>
      <w:r w:rsidRPr="006953D9">
        <w:t>European</w:t>
      </w:r>
      <w:r w:rsidR="000B5A3E" w:rsidRPr="006953D9">
        <w:t xml:space="preserve"> </w:t>
      </w:r>
      <w:proofErr w:type="spellStart"/>
      <w:r w:rsidRPr="006953D9">
        <w:t>Aquis</w:t>
      </w:r>
      <w:proofErr w:type="spellEnd"/>
      <w:r w:rsidR="000B5A3E" w:rsidRPr="006953D9">
        <w:t xml:space="preserve"> </w:t>
      </w:r>
      <w:proofErr w:type="spellStart"/>
      <w:r w:rsidRPr="006953D9">
        <w:t>Communautaire</w:t>
      </w:r>
      <w:proofErr w:type="spellEnd"/>
      <w:r w:rsidRPr="006953D9">
        <w:t>.</w:t>
      </w:r>
    </w:p>
    <w:p w:rsidR="00A369A7" w:rsidRPr="006953D9" w:rsidRDefault="00A369A7">
      <w:pPr>
        <w:spacing w:before="240"/>
        <w:jc w:val="center"/>
        <w:rPr>
          <w:u w:val="single"/>
        </w:rPr>
      </w:pPr>
      <w:r w:rsidRPr="006953D9">
        <w:rPr>
          <w:u w:val="single"/>
        </w:rPr>
        <w:tab/>
      </w:r>
      <w:r w:rsidRPr="006953D9">
        <w:rPr>
          <w:u w:val="single"/>
        </w:rPr>
        <w:tab/>
      </w:r>
      <w:r w:rsidRPr="006953D9">
        <w:rPr>
          <w:u w:val="single"/>
        </w:rPr>
        <w:tab/>
      </w:r>
    </w:p>
    <w:sectPr w:rsidR="00A369A7" w:rsidRPr="006953D9" w:rsidSect="00D370D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32" w:rsidRDefault="00C63A32"/>
  </w:endnote>
  <w:endnote w:type="continuationSeparator" w:id="0">
    <w:p w:rsidR="00C63A32" w:rsidRDefault="00C63A32"/>
  </w:endnote>
  <w:endnote w:type="continuationNotice" w:id="1">
    <w:p w:rsidR="00C63A32" w:rsidRDefault="00C63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32" w:rsidRPr="00D370D3" w:rsidRDefault="00C63A32" w:rsidP="00A26FA5">
    <w:pPr>
      <w:pStyle w:val="Footer"/>
      <w:tabs>
        <w:tab w:val="right" w:pos="9598"/>
      </w:tabs>
    </w:pPr>
    <w:r w:rsidRPr="00D370D3">
      <w:rPr>
        <w:b/>
        <w:sz w:val="18"/>
      </w:rPr>
      <w:fldChar w:fldCharType="begin"/>
    </w:r>
    <w:r w:rsidRPr="00D370D3">
      <w:rPr>
        <w:b/>
        <w:sz w:val="18"/>
      </w:rPr>
      <w:instrText xml:space="preserve"> PAGE  \* MERGEFORMAT </w:instrText>
    </w:r>
    <w:r w:rsidRPr="00D370D3">
      <w:rPr>
        <w:b/>
        <w:sz w:val="18"/>
      </w:rPr>
      <w:fldChar w:fldCharType="separate"/>
    </w:r>
    <w:r w:rsidR="000F4EA4">
      <w:rPr>
        <w:b/>
        <w:noProof/>
        <w:sz w:val="18"/>
      </w:rPr>
      <w:t>20</w:t>
    </w:r>
    <w:r w:rsidRPr="00D370D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32" w:rsidRPr="00D370D3" w:rsidRDefault="00C63A32" w:rsidP="00D370D3">
    <w:pPr>
      <w:pStyle w:val="Footer"/>
      <w:tabs>
        <w:tab w:val="right" w:pos="9598"/>
      </w:tabs>
      <w:rPr>
        <w:b/>
        <w:sz w:val="18"/>
      </w:rPr>
    </w:pPr>
    <w:r>
      <w:tab/>
    </w:r>
    <w:r w:rsidRPr="00D370D3">
      <w:rPr>
        <w:b/>
        <w:sz w:val="18"/>
      </w:rPr>
      <w:fldChar w:fldCharType="begin"/>
    </w:r>
    <w:r w:rsidRPr="00D370D3">
      <w:rPr>
        <w:b/>
        <w:sz w:val="18"/>
      </w:rPr>
      <w:instrText xml:space="preserve"> PAGE  \* MERGEFORMAT </w:instrText>
    </w:r>
    <w:r w:rsidRPr="00D370D3">
      <w:rPr>
        <w:b/>
        <w:sz w:val="18"/>
      </w:rPr>
      <w:fldChar w:fldCharType="separate"/>
    </w:r>
    <w:r w:rsidR="000F4EA4">
      <w:rPr>
        <w:b/>
        <w:noProof/>
        <w:sz w:val="18"/>
      </w:rPr>
      <w:t>21</w:t>
    </w:r>
    <w:r w:rsidRPr="00D370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5F" w:rsidRDefault="00F07E5F" w:rsidP="00F07E5F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E5F" w:rsidRDefault="00F07E5F" w:rsidP="00F07E5F">
    <w:pPr>
      <w:pStyle w:val="Footer"/>
      <w:ind w:right="1134"/>
      <w:rPr>
        <w:sz w:val="20"/>
      </w:rPr>
    </w:pPr>
    <w:r>
      <w:rPr>
        <w:sz w:val="20"/>
      </w:rPr>
      <w:t>GE.18-04455(E)</w:t>
    </w:r>
  </w:p>
  <w:p w:rsidR="00F07E5F" w:rsidRPr="00F07E5F" w:rsidRDefault="00F07E5F" w:rsidP="00F07E5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HRI/CORE/CYP/201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HRI/CORE/CYP/201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32" w:rsidRPr="000B175B" w:rsidRDefault="00C63A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3A32" w:rsidRPr="00FC68B7" w:rsidRDefault="00C63A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3A32" w:rsidRDefault="00C63A32"/>
  </w:footnote>
  <w:footnote w:id="2">
    <w:p w:rsidR="00C63A32" w:rsidRPr="006235A4" w:rsidRDefault="00C63A32">
      <w:pPr>
        <w:pStyle w:val="FootnoteText"/>
      </w:pPr>
      <w:r>
        <w:rPr>
          <w:rStyle w:val="FootnoteReference"/>
        </w:rPr>
        <w:tab/>
      </w:r>
      <w:r w:rsidRPr="006235A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235A4">
        <w:rPr>
          <w:sz w:val="20"/>
        </w:rPr>
        <w:t>The</w:t>
      </w:r>
      <w:r>
        <w:rPr>
          <w:sz w:val="20"/>
        </w:rPr>
        <w:t xml:space="preserve"> </w:t>
      </w:r>
      <w:r w:rsidRPr="006235A4">
        <w:rPr>
          <w:sz w:val="20"/>
        </w:rPr>
        <w:t>present</w:t>
      </w:r>
      <w:r>
        <w:rPr>
          <w:sz w:val="20"/>
        </w:rPr>
        <w:t xml:space="preserve"> </w:t>
      </w:r>
      <w:r w:rsidRPr="006235A4">
        <w:rPr>
          <w:sz w:val="20"/>
        </w:rPr>
        <w:t>document</w:t>
      </w:r>
      <w:r>
        <w:rPr>
          <w:sz w:val="20"/>
        </w:rPr>
        <w:t xml:space="preserve"> </w:t>
      </w:r>
      <w:r w:rsidRPr="006235A4">
        <w:rPr>
          <w:sz w:val="20"/>
        </w:rPr>
        <w:t>is</w:t>
      </w:r>
      <w:r>
        <w:rPr>
          <w:sz w:val="20"/>
        </w:rPr>
        <w:t xml:space="preserve"> </w:t>
      </w:r>
      <w:r w:rsidRPr="006235A4">
        <w:rPr>
          <w:sz w:val="20"/>
        </w:rPr>
        <w:t>being</w:t>
      </w:r>
      <w:r>
        <w:rPr>
          <w:sz w:val="20"/>
        </w:rPr>
        <w:t xml:space="preserve"> </w:t>
      </w:r>
      <w:r w:rsidRPr="006235A4">
        <w:rPr>
          <w:sz w:val="20"/>
        </w:rPr>
        <w:t>issued</w:t>
      </w:r>
      <w:r>
        <w:rPr>
          <w:sz w:val="20"/>
        </w:rPr>
        <w:t xml:space="preserve"> </w:t>
      </w:r>
      <w:r w:rsidRPr="006235A4">
        <w:rPr>
          <w:sz w:val="20"/>
        </w:rPr>
        <w:t>without</w:t>
      </w:r>
      <w:r>
        <w:rPr>
          <w:sz w:val="20"/>
        </w:rPr>
        <w:t xml:space="preserve"> </w:t>
      </w:r>
      <w:r w:rsidRPr="006235A4">
        <w:rPr>
          <w:sz w:val="20"/>
        </w:rPr>
        <w:t>formal</w:t>
      </w:r>
      <w:r>
        <w:rPr>
          <w:sz w:val="20"/>
        </w:rPr>
        <w:t xml:space="preserve"> </w:t>
      </w:r>
      <w:r w:rsidRPr="006235A4">
        <w:rPr>
          <w:sz w:val="20"/>
        </w:rPr>
        <w:t>editing.</w:t>
      </w:r>
    </w:p>
  </w:footnote>
  <w:footnote w:id="3">
    <w:p w:rsidR="00C63A32" w:rsidRPr="00093AE1" w:rsidRDefault="00C63A32" w:rsidP="007A4FEA">
      <w:pPr>
        <w:pStyle w:val="FootnoteText"/>
        <w:rPr>
          <w:sz w:val="20"/>
        </w:rPr>
      </w:pPr>
      <w:r>
        <w:rPr>
          <w:rStyle w:val="FootnoteReference"/>
        </w:rPr>
        <w:tab/>
      </w:r>
      <w:r w:rsidRPr="007A4FE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7A4FEA">
        <w:rPr>
          <w:sz w:val="20"/>
        </w:rPr>
        <w:t>Annexes</w:t>
      </w:r>
      <w:r>
        <w:rPr>
          <w:sz w:val="20"/>
        </w:rPr>
        <w:t xml:space="preserve"> </w:t>
      </w:r>
      <w:r w:rsidRPr="007A4FEA">
        <w:rPr>
          <w:sz w:val="20"/>
        </w:rPr>
        <w:t>can</w:t>
      </w:r>
      <w:r>
        <w:rPr>
          <w:sz w:val="20"/>
        </w:rPr>
        <w:t xml:space="preserve"> </w:t>
      </w:r>
      <w:r w:rsidRPr="007A4FEA">
        <w:rPr>
          <w:sz w:val="20"/>
        </w:rPr>
        <w:t>be</w:t>
      </w:r>
      <w:r>
        <w:rPr>
          <w:sz w:val="20"/>
        </w:rPr>
        <w:t xml:space="preserve"> </w:t>
      </w:r>
      <w:r w:rsidRPr="007A4FEA">
        <w:rPr>
          <w:sz w:val="20"/>
        </w:rPr>
        <w:t>consulted</w:t>
      </w:r>
      <w:r>
        <w:rPr>
          <w:sz w:val="20"/>
        </w:rPr>
        <w:t xml:space="preserve"> </w:t>
      </w:r>
      <w:r w:rsidRPr="007A4FEA">
        <w:rPr>
          <w:sz w:val="20"/>
        </w:rPr>
        <w:t>via</w:t>
      </w:r>
      <w:r>
        <w:rPr>
          <w:sz w:val="20"/>
        </w:rPr>
        <w:t xml:space="preserve"> </w:t>
      </w:r>
      <w:r w:rsidRPr="007A4FEA">
        <w:rPr>
          <w:sz w:val="20"/>
        </w:rPr>
        <w:t>the</w:t>
      </w:r>
      <w:r>
        <w:rPr>
          <w:sz w:val="20"/>
        </w:rPr>
        <w:t xml:space="preserve"> </w:t>
      </w:r>
      <w:r w:rsidRPr="007A4FEA">
        <w:rPr>
          <w:sz w:val="20"/>
        </w:rPr>
        <w:t>following</w:t>
      </w:r>
      <w:r>
        <w:rPr>
          <w:sz w:val="20"/>
        </w:rPr>
        <w:t xml:space="preserve"> </w:t>
      </w:r>
      <w:r w:rsidRPr="007A4FEA">
        <w:rPr>
          <w:sz w:val="20"/>
        </w:rPr>
        <w:t>link:</w:t>
      </w:r>
      <w:r>
        <w:rPr>
          <w:sz w:val="20"/>
        </w:rPr>
        <w:t xml:space="preserve"> </w:t>
      </w:r>
      <w:hyperlink r:id="rId1" w:history="1">
        <w:r w:rsidRPr="00093AE1">
          <w:rPr>
            <w:rStyle w:val="Hyperlink"/>
            <w:color w:val="auto"/>
            <w:sz w:val="20"/>
            <w:u w:val="none"/>
          </w:rPr>
          <w:t>http://tbinternet.ohchr.org/_layouts/</w:t>
        </w:r>
        <w:r w:rsidR="00394F89" w:rsidRPr="00093AE1">
          <w:rPr>
            <w:rStyle w:val="Hyperlink"/>
            <w:color w:val="auto"/>
            <w:sz w:val="20"/>
            <w:u w:val="none"/>
          </w:rPr>
          <w:t xml:space="preserve"> </w:t>
        </w:r>
        <w:r w:rsidRPr="00093AE1">
          <w:rPr>
            <w:rStyle w:val="Hyperlink"/>
            <w:color w:val="auto"/>
            <w:sz w:val="20"/>
            <w:u w:val="none"/>
          </w:rPr>
          <w:t>treatybodyexternal/Download.aspx?symbolno=INT%2fAllTreaties%2fACR%2fCYP%2f7567&amp;Lang=en</w:t>
        </w:r>
      </w:hyperlink>
      <w:r w:rsidRPr="00093AE1">
        <w:rPr>
          <w:sz w:val="20"/>
        </w:rPr>
        <w:t>.</w:t>
      </w:r>
    </w:p>
  </w:footnote>
  <w:footnote w:id="4">
    <w:p w:rsidR="00C63A32" w:rsidRPr="002B4ADB" w:rsidRDefault="00C63A32" w:rsidP="00D73656">
      <w:pPr>
        <w:pStyle w:val="FootnoteText"/>
        <w:rPr>
          <w:sz w:val="28"/>
          <w:szCs w:val="28"/>
        </w:rPr>
      </w:pPr>
      <w:r w:rsidRPr="002B4ADB">
        <w:rPr>
          <w:color w:val="000000"/>
          <w:sz w:val="28"/>
          <w:szCs w:val="28"/>
        </w:rPr>
        <w:tab/>
      </w:r>
      <w:r w:rsidRPr="00D73656">
        <w:rPr>
          <w:rStyle w:val="FootnoteReference"/>
        </w:rPr>
        <w:footnoteRef/>
      </w:r>
      <w:r w:rsidRPr="002B4ADB">
        <w:rPr>
          <w:color w:val="000000"/>
          <w:sz w:val="28"/>
          <w:szCs w:val="28"/>
        </w:rPr>
        <w:tab/>
      </w:r>
      <w:r w:rsidRPr="00D73656">
        <w:rPr>
          <w:rStyle w:val="FootnoteTextChar"/>
        </w:rPr>
        <w:t>See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inter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alia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General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Assembly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resolutions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3212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(XXIX)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Nov.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3395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(XXX)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Nov.1975;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31/12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(1976)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Nov.1976;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32/15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(1977)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Nov.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1977;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33/15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(1978)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Nov.1978;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34/30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(1979)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Nov.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1979;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37/253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(1983)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May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1983;</w:t>
      </w:r>
      <w:r>
        <w:rPr>
          <w:rStyle w:val="FootnoteTextChar"/>
        </w:rPr>
        <w:t xml:space="preserve"> — </w:t>
      </w:r>
      <w:r w:rsidRPr="00D73656">
        <w:rPr>
          <w:rStyle w:val="FootnoteTextChar"/>
        </w:rPr>
        <w:t>Security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Council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resolutions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353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July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354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July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355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August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357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August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358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August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359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August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360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16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August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361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August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364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365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Dec.1974;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367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(1975)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March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1975;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370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(1975)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1975;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414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(1977)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Sept.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1977;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440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(1978)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27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Nov.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1978;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541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(1983)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Nov.1983;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550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(1984)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11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May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1984;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649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(1990)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March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1990;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716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(1991)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11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Oct.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1991;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750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(1992)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April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1992;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774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(1992)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26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Aug.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1992;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789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(1992)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Nov.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1992;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939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July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969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21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1000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(1995)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1995;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1032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(1995)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1995;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1062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(1996)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1996;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1092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(1996)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1996;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1117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(1997)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27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1997;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1146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(1997)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1997;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1178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(1998)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1998;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1179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(1998)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1998;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1217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(1998)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1998;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1218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(1998)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Dec.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1998;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1250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(1999)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26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1999;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1251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(1999)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1999;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1283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(1999)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1999;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1303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(2000)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2000;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133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(2000)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2000;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1354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(2001)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2001;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1384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(2001)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2001;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1416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(2002)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2002;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1442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(2002)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2002;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1475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(2003)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April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2003;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1486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(2003)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2003;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1517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(2003)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2003;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1548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11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1568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(2004)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2004;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1604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(2005)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2005;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1642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(2005)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2005;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1687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(2006)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2006;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1728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(2006)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2006;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1758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(2007)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2007;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1789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(2007)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2007;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1818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(2008)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2008;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1847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(2008)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2008;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1873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(2009)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2009;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1898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(2009)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2009;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1930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(2010)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June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2010;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1953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(2010)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2010;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1986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(2011)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July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2011;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2026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(2011)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December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2011;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2058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(2012)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July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2012;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2089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(2013)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January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2013;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2114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(2013)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July</w:t>
      </w:r>
      <w:r>
        <w:rPr>
          <w:rStyle w:val="FootnoteTextChar"/>
        </w:rPr>
        <w:t xml:space="preserve"> </w:t>
      </w:r>
      <w:r w:rsidRPr="00D73656">
        <w:rPr>
          <w:rStyle w:val="FootnoteTextChar"/>
        </w:rPr>
        <w:t>2013.</w:t>
      </w:r>
      <w:r>
        <w:rPr>
          <w:color w:val="000000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32" w:rsidRPr="00D370D3" w:rsidRDefault="00C63A32" w:rsidP="00D370D3">
    <w:pPr>
      <w:pStyle w:val="Header"/>
    </w:pPr>
    <w:r w:rsidRPr="00D370D3">
      <w:t>HRI/CORE/CYP/2018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32" w:rsidRPr="00D370D3" w:rsidRDefault="00C63A32" w:rsidP="00D370D3">
    <w:pPr>
      <w:pStyle w:val="Header"/>
      <w:jc w:val="right"/>
    </w:pPr>
    <w:r w:rsidRPr="00D370D3">
      <w:t>HRI/CORE/CYP/2018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F117D"/>
    <w:multiLevelType w:val="hybridMultilevel"/>
    <w:tmpl w:val="26B207AC"/>
    <w:lvl w:ilvl="0" w:tplc="0A4ED614">
      <w:start w:val="1"/>
      <w:numFmt w:val="bullet"/>
      <w:pStyle w:val="Bullet2G"/>
      <w:lvlText w:val="-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253887"/>
    <w:multiLevelType w:val="hybridMultilevel"/>
    <w:tmpl w:val="A7063544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12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F07"/>
    <w:rsid w:val="00005B8B"/>
    <w:rsid w:val="0000710F"/>
    <w:rsid w:val="00031129"/>
    <w:rsid w:val="00050F6B"/>
    <w:rsid w:val="00057E97"/>
    <w:rsid w:val="00060C3A"/>
    <w:rsid w:val="00063F3A"/>
    <w:rsid w:val="000726BE"/>
    <w:rsid w:val="00072C8C"/>
    <w:rsid w:val="000733B5"/>
    <w:rsid w:val="00081815"/>
    <w:rsid w:val="0008312D"/>
    <w:rsid w:val="000931C0"/>
    <w:rsid w:val="00093AE1"/>
    <w:rsid w:val="000940D5"/>
    <w:rsid w:val="000B13D5"/>
    <w:rsid w:val="000B175B"/>
    <w:rsid w:val="000B243C"/>
    <w:rsid w:val="000B3A0F"/>
    <w:rsid w:val="000B4EF7"/>
    <w:rsid w:val="000B5A3E"/>
    <w:rsid w:val="000C2C03"/>
    <w:rsid w:val="000C2D2E"/>
    <w:rsid w:val="000D6098"/>
    <w:rsid w:val="000E0415"/>
    <w:rsid w:val="000E6337"/>
    <w:rsid w:val="000F1023"/>
    <w:rsid w:val="000F4EA4"/>
    <w:rsid w:val="001103AA"/>
    <w:rsid w:val="00134716"/>
    <w:rsid w:val="00137722"/>
    <w:rsid w:val="001405CC"/>
    <w:rsid w:val="00161578"/>
    <w:rsid w:val="001657D0"/>
    <w:rsid w:val="00165F3A"/>
    <w:rsid w:val="00183968"/>
    <w:rsid w:val="001A11B7"/>
    <w:rsid w:val="001A56D7"/>
    <w:rsid w:val="001A6686"/>
    <w:rsid w:val="001B4B04"/>
    <w:rsid w:val="001B4E45"/>
    <w:rsid w:val="001C6663"/>
    <w:rsid w:val="001C7895"/>
    <w:rsid w:val="001D0C8C"/>
    <w:rsid w:val="001D12AE"/>
    <w:rsid w:val="001D26DF"/>
    <w:rsid w:val="001D3A03"/>
    <w:rsid w:val="001F20C3"/>
    <w:rsid w:val="00200C10"/>
    <w:rsid w:val="00202DA8"/>
    <w:rsid w:val="00202F07"/>
    <w:rsid w:val="00211E0B"/>
    <w:rsid w:val="00216DC6"/>
    <w:rsid w:val="002206DB"/>
    <w:rsid w:val="00221B78"/>
    <w:rsid w:val="0023210C"/>
    <w:rsid w:val="00254B55"/>
    <w:rsid w:val="00267F5F"/>
    <w:rsid w:val="00284A81"/>
    <w:rsid w:val="00286B4D"/>
    <w:rsid w:val="002937F7"/>
    <w:rsid w:val="00296E93"/>
    <w:rsid w:val="002B0530"/>
    <w:rsid w:val="002B1ED2"/>
    <w:rsid w:val="002F175C"/>
    <w:rsid w:val="00314242"/>
    <w:rsid w:val="003229D8"/>
    <w:rsid w:val="0034534E"/>
    <w:rsid w:val="00352709"/>
    <w:rsid w:val="00354121"/>
    <w:rsid w:val="003662A1"/>
    <w:rsid w:val="00367315"/>
    <w:rsid w:val="00367567"/>
    <w:rsid w:val="00371178"/>
    <w:rsid w:val="0038024E"/>
    <w:rsid w:val="003914E7"/>
    <w:rsid w:val="00394F89"/>
    <w:rsid w:val="003A1BC2"/>
    <w:rsid w:val="003A5E81"/>
    <w:rsid w:val="003A6810"/>
    <w:rsid w:val="003C2CC4"/>
    <w:rsid w:val="003D3599"/>
    <w:rsid w:val="003D4B23"/>
    <w:rsid w:val="003D5972"/>
    <w:rsid w:val="003D7A80"/>
    <w:rsid w:val="003F5C11"/>
    <w:rsid w:val="00410C89"/>
    <w:rsid w:val="00426B9B"/>
    <w:rsid w:val="004325CB"/>
    <w:rsid w:val="00436B33"/>
    <w:rsid w:val="00441B13"/>
    <w:rsid w:val="00442A83"/>
    <w:rsid w:val="0045495B"/>
    <w:rsid w:val="004735BC"/>
    <w:rsid w:val="004765BA"/>
    <w:rsid w:val="00487488"/>
    <w:rsid w:val="004A558F"/>
    <w:rsid w:val="004A7727"/>
    <w:rsid w:val="004F40AE"/>
    <w:rsid w:val="0052136D"/>
    <w:rsid w:val="0052775E"/>
    <w:rsid w:val="005420F2"/>
    <w:rsid w:val="005570AD"/>
    <w:rsid w:val="005628B6"/>
    <w:rsid w:val="00577050"/>
    <w:rsid w:val="00584036"/>
    <w:rsid w:val="005848B3"/>
    <w:rsid w:val="00584DAE"/>
    <w:rsid w:val="0059483A"/>
    <w:rsid w:val="00597051"/>
    <w:rsid w:val="005B3DB3"/>
    <w:rsid w:val="005B55F1"/>
    <w:rsid w:val="005D4A7F"/>
    <w:rsid w:val="005F7717"/>
    <w:rsid w:val="005F7B75"/>
    <w:rsid w:val="006001EE"/>
    <w:rsid w:val="0060169C"/>
    <w:rsid w:val="00602D26"/>
    <w:rsid w:val="00605042"/>
    <w:rsid w:val="00611FC4"/>
    <w:rsid w:val="006176FB"/>
    <w:rsid w:val="006235A4"/>
    <w:rsid w:val="00640B26"/>
    <w:rsid w:val="00642CB2"/>
    <w:rsid w:val="00652D0A"/>
    <w:rsid w:val="00662BB6"/>
    <w:rsid w:val="006812FE"/>
    <w:rsid w:val="00684C21"/>
    <w:rsid w:val="006953D9"/>
    <w:rsid w:val="0069577F"/>
    <w:rsid w:val="00695A5A"/>
    <w:rsid w:val="006C5DD3"/>
    <w:rsid w:val="006D37AF"/>
    <w:rsid w:val="006D51D0"/>
    <w:rsid w:val="006E564B"/>
    <w:rsid w:val="006E7191"/>
    <w:rsid w:val="00703577"/>
    <w:rsid w:val="00717C2A"/>
    <w:rsid w:val="0072632A"/>
    <w:rsid w:val="007327D5"/>
    <w:rsid w:val="00733979"/>
    <w:rsid w:val="00751612"/>
    <w:rsid w:val="00754AE5"/>
    <w:rsid w:val="007629C8"/>
    <w:rsid w:val="00774D3F"/>
    <w:rsid w:val="00782B1B"/>
    <w:rsid w:val="007A42C1"/>
    <w:rsid w:val="007A4FEA"/>
    <w:rsid w:val="007A51B0"/>
    <w:rsid w:val="007B6BA5"/>
    <w:rsid w:val="007C3390"/>
    <w:rsid w:val="007C4F4B"/>
    <w:rsid w:val="007C784F"/>
    <w:rsid w:val="007D6AE1"/>
    <w:rsid w:val="007E01B9"/>
    <w:rsid w:val="007E0B2D"/>
    <w:rsid w:val="007F6611"/>
    <w:rsid w:val="008242D7"/>
    <w:rsid w:val="008257B1"/>
    <w:rsid w:val="00830021"/>
    <w:rsid w:val="00843767"/>
    <w:rsid w:val="008679D9"/>
    <w:rsid w:val="0087353A"/>
    <w:rsid w:val="0087714F"/>
    <w:rsid w:val="00895797"/>
    <w:rsid w:val="008979B1"/>
    <w:rsid w:val="008A1DB2"/>
    <w:rsid w:val="008A6B25"/>
    <w:rsid w:val="008A6C4F"/>
    <w:rsid w:val="008B2335"/>
    <w:rsid w:val="008D53A7"/>
    <w:rsid w:val="008E0678"/>
    <w:rsid w:val="008E6919"/>
    <w:rsid w:val="008F5557"/>
    <w:rsid w:val="009007D2"/>
    <w:rsid w:val="00904E89"/>
    <w:rsid w:val="00910F40"/>
    <w:rsid w:val="0091125D"/>
    <w:rsid w:val="0091168A"/>
    <w:rsid w:val="00912C08"/>
    <w:rsid w:val="009223CA"/>
    <w:rsid w:val="00933A86"/>
    <w:rsid w:val="00940F93"/>
    <w:rsid w:val="00942100"/>
    <w:rsid w:val="0095347F"/>
    <w:rsid w:val="00967D17"/>
    <w:rsid w:val="009700B4"/>
    <w:rsid w:val="009760F3"/>
    <w:rsid w:val="00977EF5"/>
    <w:rsid w:val="009909F5"/>
    <w:rsid w:val="00996D0C"/>
    <w:rsid w:val="009A0E8D"/>
    <w:rsid w:val="009A4916"/>
    <w:rsid w:val="009B26E7"/>
    <w:rsid w:val="009B271B"/>
    <w:rsid w:val="009C0F71"/>
    <w:rsid w:val="009E5632"/>
    <w:rsid w:val="009F2727"/>
    <w:rsid w:val="009F2FDB"/>
    <w:rsid w:val="00A00A3F"/>
    <w:rsid w:val="00A00E5E"/>
    <w:rsid w:val="00A01489"/>
    <w:rsid w:val="00A2046E"/>
    <w:rsid w:val="00A26FA5"/>
    <w:rsid w:val="00A31B6F"/>
    <w:rsid w:val="00A338F1"/>
    <w:rsid w:val="00A369A7"/>
    <w:rsid w:val="00A404FE"/>
    <w:rsid w:val="00A609B0"/>
    <w:rsid w:val="00A64FD8"/>
    <w:rsid w:val="00A72F22"/>
    <w:rsid w:val="00A7360F"/>
    <w:rsid w:val="00A748A6"/>
    <w:rsid w:val="00A769F4"/>
    <w:rsid w:val="00A776B4"/>
    <w:rsid w:val="00A864AC"/>
    <w:rsid w:val="00A94361"/>
    <w:rsid w:val="00AA293C"/>
    <w:rsid w:val="00AA3058"/>
    <w:rsid w:val="00B13E9B"/>
    <w:rsid w:val="00B30179"/>
    <w:rsid w:val="00B30325"/>
    <w:rsid w:val="00B339A7"/>
    <w:rsid w:val="00B46AAA"/>
    <w:rsid w:val="00B56E4A"/>
    <w:rsid w:val="00B56E9C"/>
    <w:rsid w:val="00B64B1F"/>
    <w:rsid w:val="00B6553F"/>
    <w:rsid w:val="00B66E5E"/>
    <w:rsid w:val="00B74359"/>
    <w:rsid w:val="00B77D05"/>
    <w:rsid w:val="00B81206"/>
    <w:rsid w:val="00B81E12"/>
    <w:rsid w:val="00B81E59"/>
    <w:rsid w:val="00B9067B"/>
    <w:rsid w:val="00B9552B"/>
    <w:rsid w:val="00BB5212"/>
    <w:rsid w:val="00BC2C23"/>
    <w:rsid w:val="00BC74E9"/>
    <w:rsid w:val="00BE0C8E"/>
    <w:rsid w:val="00BF5011"/>
    <w:rsid w:val="00BF68A8"/>
    <w:rsid w:val="00C11A03"/>
    <w:rsid w:val="00C31678"/>
    <w:rsid w:val="00C429C5"/>
    <w:rsid w:val="00C459EC"/>
    <w:rsid w:val="00C463DD"/>
    <w:rsid w:val="00C4724C"/>
    <w:rsid w:val="00C5788C"/>
    <w:rsid w:val="00C601B0"/>
    <w:rsid w:val="00C629A0"/>
    <w:rsid w:val="00C63A32"/>
    <w:rsid w:val="00C6470E"/>
    <w:rsid w:val="00C745C3"/>
    <w:rsid w:val="00CB02EB"/>
    <w:rsid w:val="00CC2632"/>
    <w:rsid w:val="00CD1C2E"/>
    <w:rsid w:val="00CD3371"/>
    <w:rsid w:val="00CE4A8F"/>
    <w:rsid w:val="00CE5B0B"/>
    <w:rsid w:val="00D00828"/>
    <w:rsid w:val="00D07749"/>
    <w:rsid w:val="00D2031B"/>
    <w:rsid w:val="00D25FE2"/>
    <w:rsid w:val="00D35EEF"/>
    <w:rsid w:val="00D370D3"/>
    <w:rsid w:val="00D37FAE"/>
    <w:rsid w:val="00D41E8D"/>
    <w:rsid w:val="00D43252"/>
    <w:rsid w:val="00D47EEA"/>
    <w:rsid w:val="00D73656"/>
    <w:rsid w:val="00D87F85"/>
    <w:rsid w:val="00D95303"/>
    <w:rsid w:val="00D95B89"/>
    <w:rsid w:val="00D978C6"/>
    <w:rsid w:val="00DA3111"/>
    <w:rsid w:val="00DA3C1C"/>
    <w:rsid w:val="00DB0C79"/>
    <w:rsid w:val="00DB2C75"/>
    <w:rsid w:val="00DC1590"/>
    <w:rsid w:val="00DE4741"/>
    <w:rsid w:val="00DF7883"/>
    <w:rsid w:val="00E000E1"/>
    <w:rsid w:val="00E2527B"/>
    <w:rsid w:val="00E27346"/>
    <w:rsid w:val="00E549A1"/>
    <w:rsid w:val="00E71BC8"/>
    <w:rsid w:val="00E7260F"/>
    <w:rsid w:val="00E779FC"/>
    <w:rsid w:val="00E96630"/>
    <w:rsid w:val="00EA4C9B"/>
    <w:rsid w:val="00EB2581"/>
    <w:rsid w:val="00EC3136"/>
    <w:rsid w:val="00EC4B12"/>
    <w:rsid w:val="00EC7075"/>
    <w:rsid w:val="00ED7A2A"/>
    <w:rsid w:val="00EF1D7F"/>
    <w:rsid w:val="00F04A39"/>
    <w:rsid w:val="00F07E5F"/>
    <w:rsid w:val="00F20C3D"/>
    <w:rsid w:val="00F303C5"/>
    <w:rsid w:val="00F326B8"/>
    <w:rsid w:val="00F43E9E"/>
    <w:rsid w:val="00F7110B"/>
    <w:rsid w:val="00F9057C"/>
    <w:rsid w:val="00F906D7"/>
    <w:rsid w:val="00F93781"/>
    <w:rsid w:val="00F9551A"/>
    <w:rsid w:val="00FB613B"/>
    <w:rsid w:val="00FC68B7"/>
    <w:rsid w:val="00FE106A"/>
    <w:rsid w:val="00FE611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5D409725-C42F-45CD-B61F-870D9693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3C2CC4"/>
    <w:pPr>
      <w:numPr>
        <w:numId w:val="1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95347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rsid w:val="000F1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F102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200C10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200C10"/>
    <w:rPr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200C10"/>
    <w:rPr>
      <w:sz w:val="18"/>
      <w:lang w:eastAsia="en-US"/>
    </w:rPr>
  </w:style>
  <w:style w:type="character" w:customStyle="1" w:styleId="FooterChar">
    <w:name w:val="Footer Char"/>
    <w:aliases w:val="3_G Char"/>
    <w:link w:val="Footer"/>
    <w:rsid w:val="00200C10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200C10"/>
    <w:rPr>
      <w:b/>
      <w:sz w:val="18"/>
      <w:lang w:eastAsia="en-US"/>
    </w:rPr>
  </w:style>
  <w:style w:type="character" w:customStyle="1" w:styleId="Heading2Char">
    <w:name w:val="Heading 2 Char"/>
    <w:link w:val="Heading2"/>
    <w:rsid w:val="00200C10"/>
    <w:rPr>
      <w:lang w:eastAsia="en-US"/>
    </w:rPr>
  </w:style>
  <w:style w:type="character" w:customStyle="1" w:styleId="Heading3Char">
    <w:name w:val="Heading 3 Char"/>
    <w:link w:val="Heading3"/>
    <w:rsid w:val="00200C10"/>
    <w:rPr>
      <w:lang w:eastAsia="en-US"/>
    </w:rPr>
  </w:style>
  <w:style w:type="character" w:customStyle="1" w:styleId="Heading4Char">
    <w:name w:val="Heading 4 Char"/>
    <w:link w:val="Heading4"/>
    <w:rsid w:val="00200C10"/>
    <w:rPr>
      <w:lang w:eastAsia="en-US"/>
    </w:rPr>
  </w:style>
  <w:style w:type="character" w:customStyle="1" w:styleId="Heading5Char">
    <w:name w:val="Heading 5 Char"/>
    <w:link w:val="Heading5"/>
    <w:rsid w:val="00200C10"/>
    <w:rPr>
      <w:lang w:eastAsia="en-US"/>
    </w:rPr>
  </w:style>
  <w:style w:type="character" w:customStyle="1" w:styleId="Heading6Char">
    <w:name w:val="Heading 6 Char"/>
    <w:link w:val="Heading6"/>
    <w:rsid w:val="00200C10"/>
    <w:rPr>
      <w:lang w:eastAsia="en-US"/>
    </w:rPr>
  </w:style>
  <w:style w:type="character" w:customStyle="1" w:styleId="Heading7Char">
    <w:name w:val="Heading 7 Char"/>
    <w:link w:val="Heading7"/>
    <w:rsid w:val="00200C10"/>
    <w:rPr>
      <w:lang w:eastAsia="en-US"/>
    </w:rPr>
  </w:style>
  <w:style w:type="character" w:customStyle="1" w:styleId="Heading8Char">
    <w:name w:val="Heading 8 Char"/>
    <w:link w:val="Heading8"/>
    <w:rsid w:val="00200C10"/>
    <w:rPr>
      <w:lang w:eastAsia="en-US"/>
    </w:rPr>
  </w:style>
  <w:style w:type="character" w:customStyle="1" w:styleId="Heading9Char">
    <w:name w:val="Heading 9 Char"/>
    <w:link w:val="Heading9"/>
    <w:rsid w:val="00200C10"/>
    <w:rPr>
      <w:lang w:eastAsia="en-US"/>
    </w:rPr>
  </w:style>
  <w:style w:type="paragraph" w:styleId="Revision">
    <w:name w:val="Revision"/>
    <w:hidden/>
    <w:uiPriority w:val="99"/>
    <w:semiHidden/>
    <w:rsid w:val="00200C10"/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516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161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INT%2fAllTreaties%2fACR%2fCYP%2f7567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HR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3349-08A6-413D-9F38-0969EE2F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31</Pages>
  <Words>13974</Words>
  <Characters>74460</Characters>
  <Application>Microsoft Office Word</Application>
  <DocSecurity>0</DocSecurity>
  <Lines>2495</Lines>
  <Paragraphs>1643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1804455</vt:lpstr>
    </vt:vector>
  </TitlesOfParts>
  <Company>CSD</Company>
  <LinksUpToDate>false</LinksUpToDate>
  <CharactersWithSpaces>87219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1804455</dc:title>
  <dc:subject>HRI/CORE/CYP/2018</dc:subject>
  <dc:creator>Generic Pdf eng</dc:creator>
  <cp:keywords/>
  <dc:description/>
  <cp:lastModifiedBy>Generic Pdf eng</cp:lastModifiedBy>
  <cp:revision>2</cp:revision>
  <cp:lastPrinted>2018-03-20T15:08:00Z</cp:lastPrinted>
  <dcterms:created xsi:type="dcterms:W3CDTF">2018-03-22T10:55:00Z</dcterms:created>
  <dcterms:modified xsi:type="dcterms:W3CDTF">2018-03-22T10:55:00Z</dcterms:modified>
</cp:coreProperties>
</file>