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E9F4D2E" w14:textId="77777777" w:rsidTr="003A3D90">
        <w:trPr>
          <w:trHeight w:hRule="exact" w:val="851"/>
        </w:trPr>
        <w:tc>
          <w:tcPr>
            <w:tcW w:w="142" w:type="dxa"/>
            <w:tcBorders>
              <w:bottom w:val="single" w:sz="4" w:space="0" w:color="auto"/>
            </w:tcBorders>
          </w:tcPr>
          <w:p w14:paraId="6283A5C1" w14:textId="77777777" w:rsidR="002D5AAC" w:rsidRDefault="002D5AAC" w:rsidP="0088700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F7AD8D1"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6DCC5DB" w14:textId="77777777" w:rsidR="002D5AAC" w:rsidRDefault="0088700C" w:rsidP="0088700C">
            <w:pPr>
              <w:jc w:val="right"/>
            </w:pPr>
            <w:r w:rsidRPr="0088700C">
              <w:rPr>
                <w:sz w:val="40"/>
              </w:rPr>
              <w:t>HRI</w:t>
            </w:r>
            <w:r>
              <w:t>/CORE/ESP/2019</w:t>
            </w:r>
          </w:p>
        </w:tc>
      </w:tr>
      <w:tr w:rsidR="002D5AAC" w:rsidRPr="00A1531E" w14:paraId="5ECB27AD" w14:textId="77777777" w:rsidTr="003A3D90">
        <w:trPr>
          <w:trHeight w:hRule="exact" w:val="2835"/>
        </w:trPr>
        <w:tc>
          <w:tcPr>
            <w:tcW w:w="1280" w:type="dxa"/>
            <w:gridSpan w:val="2"/>
            <w:tcBorders>
              <w:top w:val="single" w:sz="4" w:space="0" w:color="auto"/>
              <w:bottom w:val="single" w:sz="12" w:space="0" w:color="auto"/>
            </w:tcBorders>
          </w:tcPr>
          <w:p w14:paraId="7060C9C1" w14:textId="77777777" w:rsidR="002D5AAC" w:rsidRDefault="007B5263" w:rsidP="003A3D90">
            <w:pPr>
              <w:spacing w:before="120"/>
              <w:jc w:val="center"/>
            </w:pPr>
            <w:r>
              <w:rPr>
                <w:noProof/>
                <w:lang w:val="en-US"/>
              </w:rPr>
              <w:drawing>
                <wp:inline distT="0" distB="0" distL="0" distR="0" wp14:anchorId="35737D7B" wp14:editId="2AA1A8AF">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C28EE9E"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595706D4" w14:textId="77777777" w:rsidR="002D5AAC" w:rsidRPr="0088700C" w:rsidRDefault="0088700C" w:rsidP="003A3D90">
            <w:pPr>
              <w:spacing w:before="240"/>
              <w:rPr>
                <w:lang w:val="en-US"/>
              </w:rPr>
            </w:pPr>
            <w:r w:rsidRPr="0088700C">
              <w:rPr>
                <w:lang w:val="en-US"/>
              </w:rPr>
              <w:t>Distr.: General</w:t>
            </w:r>
          </w:p>
          <w:p w14:paraId="7AADCE46" w14:textId="77777777" w:rsidR="0088700C" w:rsidRPr="0088700C" w:rsidRDefault="0088700C" w:rsidP="0088700C">
            <w:pPr>
              <w:spacing w:line="240" w:lineRule="exact"/>
              <w:rPr>
                <w:lang w:val="en-US"/>
              </w:rPr>
            </w:pPr>
            <w:r w:rsidRPr="0088700C">
              <w:rPr>
                <w:lang w:val="en-US"/>
              </w:rPr>
              <w:t>24 April 2019</w:t>
            </w:r>
          </w:p>
          <w:p w14:paraId="78CF5CC5" w14:textId="77777777" w:rsidR="0088700C" w:rsidRPr="0088700C" w:rsidRDefault="0088700C" w:rsidP="0088700C">
            <w:pPr>
              <w:spacing w:line="240" w:lineRule="exact"/>
              <w:rPr>
                <w:lang w:val="en-US"/>
              </w:rPr>
            </w:pPr>
            <w:r w:rsidRPr="0088700C">
              <w:rPr>
                <w:lang w:val="en-US"/>
              </w:rPr>
              <w:t>Russian</w:t>
            </w:r>
          </w:p>
          <w:p w14:paraId="4626EFD2" w14:textId="77777777" w:rsidR="0088700C" w:rsidRPr="0088700C" w:rsidRDefault="0088700C" w:rsidP="0088700C">
            <w:pPr>
              <w:spacing w:line="240" w:lineRule="exact"/>
              <w:rPr>
                <w:lang w:val="en-US"/>
              </w:rPr>
            </w:pPr>
            <w:r w:rsidRPr="0088700C">
              <w:rPr>
                <w:lang w:val="en-US"/>
              </w:rPr>
              <w:t>Original: Spanish</w:t>
            </w:r>
          </w:p>
        </w:tc>
      </w:tr>
    </w:tbl>
    <w:p w14:paraId="32BDF044" w14:textId="77777777" w:rsidR="0088700C" w:rsidRPr="001C1E41" w:rsidRDefault="001C1E41" w:rsidP="001C1E41">
      <w:pPr>
        <w:pStyle w:val="HChG"/>
        <w:rPr>
          <w:sz w:val="34"/>
          <w:szCs w:val="34"/>
          <w:lang w:val="es-ES"/>
        </w:rPr>
      </w:pPr>
      <w:r w:rsidRPr="001C1E41">
        <w:rPr>
          <w:sz w:val="34"/>
          <w:szCs w:val="34"/>
          <w:lang w:val="en-US"/>
        </w:rPr>
        <w:tab/>
      </w:r>
      <w:r w:rsidRPr="001C1E41">
        <w:rPr>
          <w:sz w:val="34"/>
          <w:szCs w:val="34"/>
          <w:lang w:val="en-US"/>
        </w:rPr>
        <w:tab/>
      </w:r>
      <w:r w:rsidR="0088700C" w:rsidRPr="001C1E41">
        <w:rPr>
          <w:sz w:val="34"/>
          <w:szCs w:val="34"/>
          <w:lang w:val="es-ES"/>
        </w:rPr>
        <w:t xml:space="preserve">Общий базовый документ, являющийся составной частью докладов </w:t>
      </w:r>
      <w:r w:rsidR="00083987">
        <w:rPr>
          <w:sz w:val="34"/>
          <w:szCs w:val="34"/>
          <w:lang w:val="es-ES"/>
        </w:rPr>
        <w:br/>
      </w:r>
      <w:r w:rsidR="0088700C" w:rsidRPr="001C1E41">
        <w:rPr>
          <w:sz w:val="34"/>
          <w:szCs w:val="34"/>
          <w:lang w:val="es-ES"/>
        </w:rPr>
        <w:t>государств-участников</w:t>
      </w:r>
    </w:p>
    <w:p w14:paraId="3BB72111" w14:textId="77777777" w:rsidR="0088700C" w:rsidRPr="00B112A4" w:rsidRDefault="0088700C" w:rsidP="0088700C">
      <w:pPr>
        <w:pStyle w:val="SingleTxtG"/>
        <w:rPr>
          <w:lang w:val="es-ES"/>
        </w:rPr>
      </w:pPr>
      <w:r w:rsidRPr="00B112A4">
        <w:rPr>
          <w:lang w:val="es-ES"/>
        </w:rPr>
        <w:tab/>
      </w:r>
      <w:r w:rsidRPr="001C1E41">
        <w:rPr>
          <w:b/>
          <w:sz w:val="34"/>
          <w:szCs w:val="34"/>
          <w:lang w:val="es-ES" w:eastAsia="ru-RU"/>
        </w:rPr>
        <w:t>Испания</w:t>
      </w:r>
      <w:r w:rsidRPr="001C1E41">
        <w:rPr>
          <w:rStyle w:val="ab"/>
          <w:sz w:val="20"/>
          <w:vertAlign w:val="baseline"/>
          <w:lang w:eastAsia="ru-RU"/>
        </w:rPr>
        <w:footnoteReference w:customMarkFollows="1" w:id="1"/>
        <w:t>*</w:t>
      </w:r>
      <w:r w:rsidR="001C1E41" w:rsidRPr="001C1E41">
        <w:rPr>
          <w:lang w:eastAsia="ru-RU"/>
        </w:rPr>
        <w:t xml:space="preserve"> </w:t>
      </w:r>
      <w:r w:rsidRPr="001C1E41">
        <w:rPr>
          <w:rStyle w:val="ab"/>
          <w:sz w:val="20"/>
          <w:vertAlign w:val="baseline"/>
          <w:lang w:eastAsia="ru-RU"/>
        </w:rPr>
        <w:footnoteReference w:customMarkFollows="1" w:id="2"/>
        <w:t>**</w:t>
      </w:r>
    </w:p>
    <w:p w14:paraId="7B7C6423" w14:textId="77777777" w:rsidR="0088700C" w:rsidRPr="0088700C" w:rsidRDefault="0088700C" w:rsidP="001C1E41">
      <w:pPr>
        <w:pStyle w:val="SingleTxtG"/>
        <w:jc w:val="right"/>
      </w:pPr>
      <w:r w:rsidRPr="00B112A4">
        <w:rPr>
          <w:lang w:val="es-ES"/>
        </w:rPr>
        <w:t>[Дата получения: 18 февраля 2019 года]</w:t>
      </w:r>
    </w:p>
    <w:p w14:paraId="6E1A802F" w14:textId="77777777" w:rsidR="0088700C" w:rsidRDefault="0088700C">
      <w:pPr>
        <w:suppressAutoHyphens w:val="0"/>
        <w:spacing w:line="240" w:lineRule="auto"/>
        <w:rPr>
          <w:rFonts w:eastAsia="Times New Roman" w:cs="Times New Roman"/>
          <w:szCs w:val="20"/>
        </w:rPr>
      </w:pPr>
      <w:r>
        <w:br w:type="page"/>
      </w:r>
    </w:p>
    <w:p w14:paraId="09B47374" w14:textId="77777777" w:rsidR="0088700C" w:rsidRPr="00B112A4" w:rsidRDefault="0088700C" w:rsidP="001C1E41">
      <w:pPr>
        <w:pStyle w:val="HChG"/>
        <w:rPr>
          <w:lang w:val="es-ES"/>
        </w:rPr>
      </w:pPr>
      <w:r w:rsidRPr="00B112A4">
        <w:rPr>
          <w:lang w:val="es-ES"/>
        </w:rPr>
        <w:lastRenderedPageBreak/>
        <w:tab/>
        <w:t>I.</w:t>
      </w:r>
      <w:r w:rsidRPr="00B112A4">
        <w:rPr>
          <w:lang w:val="es-ES"/>
        </w:rPr>
        <w:tab/>
        <w:t>Общие сведения о государстве</w:t>
      </w:r>
    </w:p>
    <w:p w14:paraId="6ABDDDAA" w14:textId="77777777" w:rsidR="0088700C" w:rsidRPr="00B112A4" w:rsidRDefault="0088700C" w:rsidP="001C1E41">
      <w:pPr>
        <w:pStyle w:val="H1G"/>
        <w:rPr>
          <w:lang w:val="es-ES"/>
        </w:rPr>
      </w:pPr>
      <w:r w:rsidRPr="00B112A4">
        <w:rPr>
          <w:lang w:val="es-ES"/>
        </w:rPr>
        <w:tab/>
        <w:t>A.</w:t>
      </w:r>
      <w:r w:rsidRPr="00B112A4">
        <w:rPr>
          <w:lang w:val="es-ES"/>
        </w:rPr>
        <w:tab/>
        <w:t>Основные демографические, экономические и социальные показатели государства</w:t>
      </w:r>
      <w:r w:rsidRPr="00B112A4" w:rsidDel="005B69FA">
        <w:rPr>
          <w:lang w:val="es-ES"/>
        </w:rPr>
        <w:t xml:space="preserve"> </w:t>
      </w:r>
      <w:r w:rsidRPr="00B112A4">
        <w:rPr>
          <w:lang w:val="es-ES"/>
        </w:rPr>
        <w:t xml:space="preserve">и показатели в его сфере культуры </w:t>
      </w:r>
    </w:p>
    <w:p w14:paraId="10EDA943" w14:textId="77777777" w:rsidR="0088700C" w:rsidRPr="00B112A4" w:rsidRDefault="0088700C" w:rsidP="001C1E41">
      <w:pPr>
        <w:pStyle w:val="H23G"/>
        <w:rPr>
          <w:lang w:val="es-ES"/>
        </w:rPr>
      </w:pPr>
      <w:r w:rsidRPr="00B112A4">
        <w:rPr>
          <w:lang w:val="es-ES"/>
        </w:rPr>
        <w:tab/>
        <w:t>1.</w:t>
      </w:r>
      <w:r w:rsidRPr="00B112A4">
        <w:rPr>
          <w:lang w:val="es-ES"/>
        </w:rPr>
        <w:tab/>
        <w:t>Демографические показатели</w:t>
      </w:r>
    </w:p>
    <w:p w14:paraId="08833567" w14:textId="77777777" w:rsidR="0088700C" w:rsidRPr="00B112A4" w:rsidRDefault="0088700C" w:rsidP="0088700C">
      <w:pPr>
        <w:pStyle w:val="SingleTxtG"/>
        <w:rPr>
          <w:lang w:val="es-ES"/>
        </w:rPr>
      </w:pPr>
      <w:r w:rsidRPr="00B112A4">
        <w:rPr>
          <w:lang w:val="es-ES"/>
        </w:rPr>
        <w:t>1.</w:t>
      </w:r>
      <w:r w:rsidRPr="00B112A4">
        <w:rPr>
          <w:lang w:val="es-ES"/>
        </w:rPr>
        <w:tab/>
        <w:t>Бóльшая часть территории Испании находится на образующем юго-западную оконечность Европы Пиренейском полуострове, где расположены также Португалия и Андорра. Кроме того, в состав Испании входят такие островные территории, как Канарский и Балеарский архипелаги, другие менее крупные острова и города Сеута и Мелилья, расположенные в северной части африканского континента. Общая площадь Испании составляет 506 030 кв. км, и она входит в число 50 самых больших по площади территории стран мира. Площадь континентальной части составляет 493</w:t>
      </w:r>
      <w:r w:rsidR="00B94DA4">
        <w:t> </w:t>
      </w:r>
      <w:r w:rsidRPr="00B112A4">
        <w:rPr>
          <w:lang w:val="es-ES"/>
        </w:rPr>
        <w:t>514</w:t>
      </w:r>
      <w:r w:rsidR="00B94DA4">
        <w:t> </w:t>
      </w:r>
      <w:r w:rsidRPr="00B112A4">
        <w:rPr>
          <w:lang w:val="es-ES"/>
        </w:rPr>
        <w:t>кв. км, площадь Балеарского архипелага – 4 992 кв. км, Канарского архипелага</w:t>
      </w:r>
      <w:r w:rsidR="00B94DA4">
        <w:t> </w:t>
      </w:r>
      <w:r w:rsidRPr="00B112A4">
        <w:rPr>
          <w:lang w:val="es-ES"/>
        </w:rPr>
        <w:t>− 7 492 кв. км и городов Сеута и Мелилья − 32 кв. км.</w:t>
      </w:r>
    </w:p>
    <w:p w14:paraId="2CA45D87" w14:textId="77777777" w:rsidR="0088700C" w:rsidRPr="00B112A4" w:rsidRDefault="0088700C" w:rsidP="0088700C">
      <w:pPr>
        <w:pStyle w:val="SingleTxtG"/>
        <w:rPr>
          <w:lang w:val="es-ES"/>
        </w:rPr>
      </w:pPr>
      <w:r w:rsidRPr="00B112A4">
        <w:rPr>
          <w:lang w:val="es-ES"/>
        </w:rPr>
        <w:t>2.</w:t>
      </w:r>
      <w:r w:rsidRPr="00B112A4">
        <w:rPr>
          <w:lang w:val="es-ES"/>
        </w:rPr>
        <w:tab/>
        <w:t>По состоянию на 1 января 2018 года численность населения Испании составляла 46 658 447 человек. В последние годы этот показатель изменялся следующим образом: за период с начала 2001 года по начало 2009 года численность населения увеличивалась на 700 000 человек в год, что во многом было обусловлено увеличением числа проживающих в стране иностранцев (на начало 2009 года в стране проживало 5</w:t>
      </w:r>
      <w:r w:rsidR="00B94DA4">
        <w:t> </w:t>
      </w:r>
      <w:r w:rsidRPr="00B112A4">
        <w:rPr>
          <w:lang w:val="es-ES"/>
        </w:rPr>
        <w:t>386</w:t>
      </w:r>
      <w:r w:rsidR="00B94DA4">
        <w:t> </w:t>
      </w:r>
      <w:r w:rsidRPr="00B112A4">
        <w:rPr>
          <w:lang w:val="es-ES"/>
        </w:rPr>
        <w:t>659</w:t>
      </w:r>
      <w:r w:rsidR="00B94DA4">
        <w:t> </w:t>
      </w:r>
      <w:r w:rsidRPr="00B112A4">
        <w:rPr>
          <w:lang w:val="es-ES"/>
        </w:rPr>
        <w:t>иностранцев). В течение трех последующих лет общее число жителей увеличивалось примерно на 200 000 человек в год (в течение этого периода численность иностранцев сократилась на 150 000 человек). В течение четырех последующих лет (с 2013 года по 2016 год) общая численность населения сократилась на 378 000 человек. Отчасти это было связано с сокращением числа иностранцев, обусловленным</w:t>
      </w:r>
      <w:r w:rsidR="00B94DA4">
        <w:t>,</w:t>
      </w:r>
      <w:r w:rsidRPr="00B112A4">
        <w:rPr>
          <w:lang w:val="es-ES"/>
        </w:rPr>
        <w:t xml:space="preserve"> с одной стороны, натурализацией иностранных граждан, которых стали учитывать как граждан Испании, а с другой – возвращением иностранцев в страны происхождения.</w:t>
      </w:r>
    </w:p>
    <w:p w14:paraId="38A4C4DB" w14:textId="77777777" w:rsidR="0088700C" w:rsidRPr="00B112A4" w:rsidRDefault="0088700C" w:rsidP="0088700C">
      <w:pPr>
        <w:pStyle w:val="SingleTxtG"/>
        <w:rPr>
          <w:lang w:val="es-ES"/>
        </w:rPr>
      </w:pPr>
      <w:r w:rsidRPr="00B112A4">
        <w:rPr>
          <w:lang w:val="es-ES"/>
        </w:rPr>
        <w:t>3.</w:t>
      </w:r>
      <w:r w:rsidRPr="00B112A4">
        <w:rPr>
          <w:lang w:val="es-ES"/>
        </w:rPr>
        <w:tab/>
        <w:t>В 2017 году прирост иностранного населения составил более 130 000 человек. В основном это обусловлено увеличением численности выходцев из Венесуэлы и Колумбии: прирост в каждой из этих групп составил более 20 000 человек. Среди групп иностранцев, численность которых в Испании уменьшается, больше всего сократилось число проживающих в стране граждан Румынии и Великобритании</w:t>
      </w:r>
      <w:r w:rsidR="00B94DA4">
        <w:t> </w:t>
      </w:r>
      <w:r w:rsidRPr="00B112A4">
        <w:rPr>
          <w:lang w:val="es-ES"/>
        </w:rPr>
        <w:t>– примерно на 8 000 человек. Численность проживающих в Испании граждан 27 стран ЕС составляет 1 930 904 человека. Наиболее многочисленными среди них являются группы граждан Румынии (673 592 человек), Великобритании (284 987 человек) и</w:t>
      </w:r>
      <w:r w:rsidR="00B94DA4">
        <w:t> </w:t>
      </w:r>
      <w:r w:rsidRPr="00B112A4">
        <w:rPr>
          <w:lang w:val="es-ES"/>
        </w:rPr>
        <w:t>Италии (221 368 человек). Среди групп иностранцев, не являющихся выходцами из стран Европейского союза, наиболее многочисленными являются группы граждан Марокко (682 022 человека), Китая (183 491 человек) и Колумбии (159 563 человека).</w:t>
      </w:r>
    </w:p>
    <w:p w14:paraId="2420E3F8" w14:textId="77777777" w:rsidR="0088700C" w:rsidRPr="00B112A4" w:rsidRDefault="0088700C" w:rsidP="0088700C">
      <w:pPr>
        <w:pStyle w:val="SingleTxtG"/>
        <w:rPr>
          <w:lang w:val="es-ES"/>
        </w:rPr>
      </w:pPr>
      <w:r w:rsidRPr="00B112A4">
        <w:rPr>
          <w:lang w:val="es-ES"/>
        </w:rPr>
        <w:t>4.</w:t>
      </w:r>
      <w:r w:rsidRPr="00B112A4">
        <w:rPr>
          <w:lang w:val="es-ES"/>
        </w:rPr>
        <w:tab/>
        <w:t>По предварительным данным Национального статистического института Испании, в первом полугодии 2018 года число иностранцев в стране увеличилось на 100 764 человека и по состоянию на 1 июля 2018 года их общая численность составляела 4 663 726 человек. В течение первых шести месяцев 2018 года наибольший прирост наблюдался среди граждан Венесуэлы (18 749 человек), Колумбии (16 794 человек) и Марокко (10 356 человек).</w:t>
      </w:r>
    </w:p>
    <w:p w14:paraId="1CD675D7" w14:textId="77777777" w:rsidR="0088700C" w:rsidRPr="00B112A4" w:rsidRDefault="0088700C" w:rsidP="0088700C">
      <w:pPr>
        <w:pStyle w:val="SingleTxtG"/>
        <w:rPr>
          <w:lang w:val="es-ES"/>
        </w:rPr>
      </w:pPr>
      <w:r w:rsidRPr="00B112A4">
        <w:rPr>
          <w:lang w:val="es-ES"/>
        </w:rPr>
        <w:t>5.</w:t>
      </w:r>
      <w:r w:rsidRPr="00B112A4">
        <w:rPr>
          <w:lang w:val="es-ES"/>
        </w:rPr>
        <w:tab/>
        <w:t>Что касается половой структуры населения, то по данным на 1 января 2018 года 49,0% от общей численности населения составляют мужчины, а 51,0% – женщины. Среди испанцев доля мужчин составляет 49,0%, а женщин − 51,0%. В свою очередь</w:t>
      </w:r>
      <w:r w:rsidR="000028F0">
        <w:t>,</w:t>
      </w:r>
      <w:r w:rsidRPr="00B112A4">
        <w:rPr>
          <w:lang w:val="es-ES"/>
        </w:rPr>
        <w:t xml:space="preserve"> среди иностранцев доля мужчин составляет 49,5%, а женщин − 51,5%. Что касается возрастной структуры, то доля населения моложе 15 лет составляет 15,0%, в возрасте от 16 до 64 лет </w:t>
      </w:r>
      <w:r w:rsidR="00B94DA4">
        <w:t>–</w:t>
      </w:r>
      <w:r w:rsidRPr="00B112A4">
        <w:rPr>
          <w:lang w:val="es-ES"/>
        </w:rPr>
        <w:t xml:space="preserve"> 65,8%, и в возрасте 65 лет и старше </w:t>
      </w:r>
      <w:r w:rsidR="00B94DA4">
        <w:t>–</w:t>
      </w:r>
      <w:r w:rsidRPr="00B112A4">
        <w:rPr>
          <w:lang w:val="es-ES"/>
        </w:rPr>
        <w:t xml:space="preserve"> 19,2%. Среди испанцев доля группы младше 15 лет составляет 14,9%, группы от 16 до 64 лет </w:t>
      </w:r>
      <w:r w:rsidR="00B94DA4">
        <w:t>–</w:t>
      </w:r>
      <w:r w:rsidRPr="00B112A4">
        <w:rPr>
          <w:lang w:val="es-ES"/>
        </w:rPr>
        <w:t xml:space="preserve"> 64,7% и группы 65</w:t>
      </w:r>
      <w:r w:rsidR="00B94DA4">
        <w:t> </w:t>
      </w:r>
      <w:r w:rsidRPr="00B112A4">
        <w:rPr>
          <w:lang w:val="es-ES"/>
        </w:rPr>
        <w:t xml:space="preserve">лет и старше </w:t>
      </w:r>
      <w:r w:rsidR="00083987">
        <w:t>–</w:t>
      </w:r>
      <w:r w:rsidRPr="00B112A4">
        <w:rPr>
          <w:lang w:val="es-ES"/>
        </w:rPr>
        <w:t xml:space="preserve"> 20,4%. Среди иностранцев доля населения моложе 15 лет составляет 15,0%, группы в возрасте от 16 до 64 лет – 76,6%, а группы в возрасте 65 лет и старше</w:t>
      </w:r>
      <w:r w:rsidR="00B94DA4">
        <w:t> </w:t>
      </w:r>
      <w:r w:rsidRPr="00B112A4">
        <w:rPr>
          <w:lang w:val="es-ES"/>
        </w:rPr>
        <w:t>– 8,4%.</w:t>
      </w:r>
    </w:p>
    <w:p w14:paraId="6A737D4A" w14:textId="77777777" w:rsidR="0088700C" w:rsidRPr="00B112A4" w:rsidRDefault="0088700C" w:rsidP="001C1E41">
      <w:pPr>
        <w:pStyle w:val="H23G"/>
        <w:rPr>
          <w:lang w:val="es-ES"/>
        </w:rPr>
      </w:pPr>
      <w:r w:rsidRPr="00B112A4">
        <w:rPr>
          <w:lang w:val="es-ES"/>
        </w:rPr>
        <w:lastRenderedPageBreak/>
        <w:tab/>
        <w:t>2.</w:t>
      </w:r>
      <w:r w:rsidRPr="00B112A4">
        <w:rPr>
          <w:lang w:val="es-ES"/>
        </w:rPr>
        <w:tab/>
        <w:t>Экономические показатели</w:t>
      </w:r>
    </w:p>
    <w:p w14:paraId="6B9A64F5" w14:textId="77777777" w:rsidR="0088700C" w:rsidRPr="00B112A4" w:rsidRDefault="0088700C" w:rsidP="0088700C">
      <w:pPr>
        <w:pStyle w:val="SingleTxtG"/>
        <w:rPr>
          <w:lang w:val="es-ES"/>
        </w:rPr>
      </w:pPr>
      <w:r w:rsidRPr="00B112A4">
        <w:rPr>
          <w:lang w:val="es-ES"/>
        </w:rPr>
        <w:t>6.</w:t>
      </w:r>
      <w:r w:rsidRPr="00B112A4">
        <w:rPr>
          <w:lang w:val="es-ES"/>
        </w:rPr>
        <w:tab/>
        <w:t>В последние десятилетия испанская экономика претерпела беспрецедентную трансформацию, затронувшую не только производственную структуру экономики, но и роль экономической политики. Испания перешла от экономической системы, унаследованной от продолжавшегося до 1960-х годов периода жесткой автаркии и характеризовавшейся высокой степенью интервенционизма и слабой интеграцией с соседними странами, к вхождению в Экономический и валютный союз, представляющий собой самую продвинутую из ныне известных форм экономической интеграции.</w:t>
      </w:r>
    </w:p>
    <w:p w14:paraId="1D200C7C" w14:textId="77777777" w:rsidR="0088700C" w:rsidRPr="00B112A4" w:rsidRDefault="0088700C" w:rsidP="0088700C">
      <w:pPr>
        <w:pStyle w:val="SingleTxtG"/>
        <w:rPr>
          <w:lang w:val="es-ES"/>
        </w:rPr>
      </w:pPr>
      <w:r w:rsidRPr="00B112A4">
        <w:rPr>
          <w:lang w:val="es-ES"/>
        </w:rPr>
        <w:t>7.</w:t>
      </w:r>
      <w:r w:rsidRPr="00B112A4">
        <w:rPr>
          <w:lang w:val="es-ES"/>
        </w:rPr>
        <w:tab/>
        <w:t>Вступление в 1986 году в Европейское экономическое сообщество (ЕЭС) послужило стимулом к открытости Испании к внешнему миру и либерализации экономики в целях повышения эффективности рынков товаров, услуг и факторов производства. Кроме того, был запущен важный процесс реформирования экономической системы, цель которого заключалась в модернизации рынков путем улучшения их функционирования и содействия их интеграции сначала в европейские, а затем и в мировые производственные системы.</w:t>
      </w:r>
    </w:p>
    <w:p w14:paraId="718B9FB9" w14:textId="77777777" w:rsidR="0088700C" w:rsidRPr="00B112A4" w:rsidRDefault="0088700C" w:rsidP="0088700C">
      <w:pPr>
        <w:pStyle w:val="SingleTxtG"/>
        <w:rPr>
          <w:lang w:val="es-ES"/>
        </w:rPr>
      </w:pPr>
      <w:r w:rsidRPr="00B112A4">
        <w:rPr>
          <w:lang w:val="es-ES"/>
        </w:rPr>
        <w:t>8.</w:t>
      </w:r>
      <w:r w:rsidRPr="00B112A4">
        <w:rPr>
          <w:lang w:val="es-ES"/>
        </w:rPr>
        <w:tab/>
        <w:t>Начало этим преобразованиям, помимо режима открытости, предусмотренного принятым в 1959 году Планом стабилизации, было положено подписанием в 1977 году Пактов Монклоа, заключенных между правительством Адольфо Суареса и социальными партнерами в рамках комплексной стратегии модернизации испанской экономики и выхода из нефтяного кризиса. Вместе с тем воздействие на экономику западных стран таких новых факторов, как повышение цен на сырую нефть, повлекшее за собой замедление роста и увеличение инфляции, в значительной степени ограничивало потенциал новых реформ, призванных способствовать росту испанской экономики. В период с 1986 по 1989 годы темпы роста составляли примерно 5% (4,7%</w:t>
      </w:r>
      <w:r w:rsidR="00B94DA4">
        <w:t> </w:t>
      </w:r>
      <w:r w:rsidRPr="00B112A4">
        <w:rPr>
          <w:lang w:val="es-ES"/>
        </w:rPr>
        <w:t>в среднегодовом исчислении и около 20% за весь четырехлетний период), что объяснялось весьма динамичным ростом внутреннего спроса как в сфере инвестиций, так и в потреблении, который способствовал значительному увеличению занятости и укреплению государственных финансов. Однако в результате активизации внутреннего спроса возникла тенденция разбалансирования внешних расчетов и появились признаки инфляционного давления.</w:t>
      </w:r>
    </w:p>
    <w:p w14:paraId="147B82A2" w14:textId="77777777" w:rsidR="0088700C" w:rsidRPr="00B112A4" w:rsidRDefault="0088700C" w:rsidP="0088700C">
      <w:pPr>
        <w:pStyle w:val="SingleTxtG"/>
        <w:rPr>
          <w:lang w:val="es-ES"/>
        </w:rPr>
      </w:pPr>
      <w:r w:rsidRPr="00B112A4">
        <w:rPr>
          <w:lang w:val="es-ES"/>
        </w:rPr>
        <w:t>9.</w:t>
      </w:r>
      <w:r w:rsidRPr="00B112A4">
        <w:rPr>
          <w:lang w:val="es-ES"/>
        </w:rPr>
        <w:tab/>
        <w:t>В 1993 году испанская экономика погрузилась в глубокий кризис, замедливший процесс сближения, цель которого состояла в том, чтобы страна по уровню доходов сравнялась с другими участниками Сообщества. В результате значительно выросла безработица, достигшая примерно 25% общей численности экономически активного населения, и в то же время существенно ускорился рост инфляции и вырос дефицит государственного бюджета. 1 января 1999 года был завершен процесс создания Европейского валютного союза, объединившего 11 стран. Несомненно, непосредственным следствием создания общей валюты стала новая концепция денежно-кредитной политики, полностью отошедшей к компетенции Европейского центрального банка (ЕЦБ), в результате чего Банк Испании утратил непосредственную самостоятельность в вопросах, касающихся разработки стратегии монетарной политики.</w:t>
      </w:r>
    </w:p>
    <w:p w14:paraId="614F2F3B" w14:textId="77777777" w:rsidR="0088700C" w:rsidRPr="00B112A4" w:rsidRDefault="0088700C" w:rsidP="0088700C">
      <w:pPr>
        <w:pStyle w:val="SingleTxtG"/>
        <w:rPr>
          <w:lang w:val="es-ES"/>
        </w:rPr>
      </w:pPr>
      <w:r w:rsidRPr="00B112A4">
        <w:rPr>
          <w:lang w:val="es-ES"/>
        </w:rPr>
        <w:t>10.</w:t>
      </w:r>
      <w:r w:rsidRPr="00B112A4">
        <w:rPr>
          <w:lang w:val="es-ES"/>
        </w:rPr>
        <w:tab/>
        <w:t>Вхождение Испании в зону евро можно разделить на два основных этапа. На</w:t>
      </w:r>
      <w:r w:rsidR="00B94DA4">
        <w:t> </w:t>
      </w:r>
      <w:r w:rsidRPr="00B112A4">
        <w:rPr>
          <w:lang w:val="es-ES"/>
        </w:rPr>
        <w:t>первом этапе введение евро создало атмосферу высокого доверия в испанской экономике, стимулируя внутреннее потребление и инвестиции. Аналогичным образом, процесс сближения номинального душевого дохода и проциклический характер денежно-кредитной политики ЕЦБ привели к значительному снижению процентных ставок, что вызвало всысокий рост кредитования. В этом контексте произошло динамичное расширение внутреннего спроса и бурный рост сектора недвижимости. В ходе первого этапа в Испании были зафиксированы высокие темпы экономического роста и интенсивный процесс создания новых рабочих мест: в</w:t>
      </w:r>
      <w:r w:rsidR="00B94DA4">
        <w:t> </w:t>
      </w:r>
      <w:r w:rsidRPr="00B112A4">
        <w:rPr>
          <w:lang w:val="es-ES"/>
        </w:rPr>
        <w:t>2007</w:t>
      </w:r>
      <w:r w:rsidR="00B94DA4">
        <w:t> </w:t>
      </w:r>
      <w:r w:rsidRPr="00B112A4">
        <w:rPr>
          <w:lang w:val="es-ES"/>
        </w:rPr>
        <w:t>году средние темпы роста составили 8,23%.</w:t>
      </w:r>
    </w:p>
    <w:p w14:paraId="35D3D4FC" w14:textId="77777777" w:rsidR="0088700C" w:rsidRPr="00B112A4" w:rsidRDefault="0088700C" w:rsidP="0088700C">
      <w:pPr>
        <w:pStyle w:val="SingleTxtG"/>
        <w:rPr>
          <w:lang w:val="es-ES"/>
        </w:rPr>
      </w:pPr>
      <w:r w:rsidRPr="00B112A4">
        <w:rPr>
          <w:lang w:val="es-ES"/>
        </w:rPr>
        <w:t>11.</w:t>
      </w:r>
      <w:r w:rsidRPr="00B112A4">
        <w:rPr>
          <w:lang w:val="es-ES"/>
        </w:rPr>
        <w:tab/>
        <w:t xml:space="preserve">В 2008 году разразился международный финансовый кризис, который вызвал существенное сокращение предложения ликвидности на международных финансовых рынках. Они являлись основными источниками финансирования для испанских </w:t>
      </w:r>
      <w:r w:rsidRPr="00B112A4">
        <w:rPr>
          <w:lang w:val="es-ES"/>
        </w:rPr>
        <w:lastRenderedPageBreak/>
        <w:t>банков и сберегательных касс, поэтому предложение кредитов резко сократилось. Эта</w:t>
      </w:r>
      <w:r w:rsidR="00B94DA4">
        <w:t> </w:t>
      </w:r>
      <w:r w:rsidRPr="00B112A4">
        <w:rPr>
          <w:lang w:val="es-ES"/>
        </w:rPr>
        <w:t>ситуация особенно сильно затронула сектор строительства: в нем было занято много работников, и именно с него началось резкое сокращение рабочих мест. В</w:t>
      </w:r>
      <w:r w:rsidR="004F7544">
        <w:t> </w:t>
      </w:r>
      <w:r w:rsidRPr="00B112A4">
        <w:rPr>
          <w:lang w:val="es-ES"/>
        </w:rPr>
        <w:t>период с 2008 по 2011 год наблюдался высокий дефицит бюджета, что вызвало увеличение бремени государственного долга. Поэтому в конечном итоге урегулированием экономического кризиса и кризиса строительной отрасли стал заниматься государственный сектор, несмотря на проведенные в 2010 году реформы фискального характера и рынка трудовых ресурсов. В связи с ухудшением ситуации правительство Испании запросило финансовую помощь у Брюсселя для ускорения реструктуризации банковского сектора и начало интенсивный процесс бюджетной консолидации как в части расходов, так и доходов. Кроме того, чтобы остановить процесс сокращения занятости и повысить конкурентоспособность экономики, рынок труда также был реформирован в плане повышения его внутренней гибкости.</w:t>
      </w:r>
    </w:p>
    <w:p w14:paraId="1A9E8644" w14:textId="77777777" w:rsidR="0088700C" w:rsidRPr="00B112A4" w:rsidRDefault="0088700C" w:rsidP="0088700C">
      <w:pPr>
        <w:pStyle w:val="SingleTxtG"/>
        <w:rPr>
          <w:lang w:val="es-ES"/>
        </w:rPr>
      </w:pPr>
      <w:r w:rsidRPr="00B112A4">
        <w:rPr>
          <w:lang w:val="es-ES"/>
        </w:rPr>
        <w:t>12.</w:t>
      </w:r>
      <w:r w:rsidRPr="00B112A4">
        <w:rPr>
          <w:lang w:val="es-ES"/>
        </w:rPr>
        <w:tab/>
        <w:t>С 2014 года экономика Испании вновь стала расти, причем особенно динамичный рост был зарегистрирован в сфере экспорта. В период с 2015 года по 2018</w:t>
      </w:r>
      <w:r w:rsidR="00B94DA4">
        <w:t> </w:t>
      </w:r>
      <w:r w:rsidRPr="00B112A4">
        <w:rPr>
          <w:lang w:val="es-ES"/>
        </w:rPr>
        <w:t>год рост ВВП в неизменных ценах составил около 3%, и была скорректирована большая часть макроэкономических диспропорций, в том числе дефицит по текущим счетам, показатели сокращения рабочих мест и дефицит бюджета. В 2018 году экономика выросла на 2,5%, дефицит бюджета сократился до 2,7%, а уровень занятости увеличился почти на 3%.</w:t>
      </w:r>
    </w:p>
    <w:p w14:paraId="4E919374" w14:textId="77777777" w:rsidR="0088700C" w:rsidRPr="00B112A4" w:rsidRDefault="0088700C" w:rsidP="0088700C">
      <w:pPr>
        <w:pStyle w:val="SingleTxtG"/>
        <w:rPr>
          <w:lang w:val="es-ES"/>
        </w:rPr>
      </w:pPr>
      <w:r w:rsidRPr="00B112A4">
        <w:rPr>
          <w:lang w:val="es-ES"/>
        </w:rPr>
        <w:t>13.</w:t>
      </w:r>
      <w:r w:rsidRPr="00B112A4">
        <w:rPr>
          <w:lang w:val="es-ES"/>
        </w:rPr>
        <w:tab/>
        <w:t>Несмотря на благоприятную экономическую коньюнктуру, в стране по-прежнему проявляются определенные макроэкономические диспропорции, такие как высокий уровень безработицы, большой государственный долг и чрезмерная задолженность по счетам международных инвестиций. Кроме того, разрушительные последствия кризиса усилили социальное и территориальное неравенство в Испании. На решение этих проблем направлен ряд мер экономической политики и структурных реформ, призванных вывести Испанию на новый путь более устойчивого и инклюзивного экономического роста.</w:t>
      </w:r>
    </w:p>
    <w:p w14:paraId="41D29E2F" w14:textId="77777777" w:rsidR="0088700C" w:rsidRPr="00B112A4" w:rsidRDefault="0088700C" w:rsidP="001C1E41">
      <w:pPr>
        <w:pStyle w:val="H23G"/>
        <w:rPr>
          <w:lang w:val="es-ES"/>
        </w:rPr>
      </w:pPr>
      <w:r w:rsidRPr="00B112A4">
        <w:rPr>
          <w:lang w:val="es-ES"/>
        </w:rPr>
        <w:tab/>
      </w:r>
      <w:r w:rsidRPr="00B112A4">
        <w:rPr>
          <w:lang w:val="es-ES"/>
        </w:rPr>
        <w:tab/>
        <w:t>Современное состояние экономики Испании: экономическая структура по</w:t>
      </w:r>
      <w:r w:rsidR="00B94DA4">
        <w:t> </w:t>
      </w:r>
      <w:r w:rsidRPr="00B112A4">
        <w:rPr>
          <w:lang w:val="es-ES"/>
        </w:rPr>
        <w:t>секторам</w:t>
      </w:r>
    </w:p>
    <w:p w14:paraId="480B5122" w14:textId="77777777" w:rsidR="0088700C" w:rsidRPr="00B112A4" w:rsidRDefault="0088700C" w:rsidP="0088700C">
      <w:pPr>
        <w:pStyle w:val="SingleTxtG"/>
        <w:rPr>
          <w:lang w:val="es-ES"/>
        </w:rPr>
      </w:pPr>
      <w:r w:rsidRPr="00B112A4">
        <w:rPr>
          <w:lang w:val="es-ES"/>
        </w:rPr>
        <w:t>14.</w:t>
      </w:r>
      <w:r w:rsidRPr="00B112A4">
        <w:rPr>
          <w:lang w:val="es-ES"/>
        </w:rPr>
        <w:tab/>
        <w:t>За последние четыре десятилетия произошли существенные изменения в удельном весе секторов экономики, причем наиболее заметный рост, по сравнению с другими отраслями, наблюдался в секторе услуг. Так, в 1995 году объем валовой добавленной стоимости (ВДС) промышленного сектора составлял 20,3% ВВП, а в 2016</w:t>
      </w:r>
      <w:r w:rsidR="00B94DA4">
        <w:t> </w:t>
      </w:r>
      <w:r w:rsidRPr="00B112A4">
        <w:rPr>
          <w:lang w:val="es-ES"/>
        </w:rPr>
        <w:t>году этот показатель снизился до 16,20%. Наиболее значительным стало снижение удельного веса сектора строительства: в 1995 году он составлял 8,8% ВВП, в 2008 году достиг 10,4%, после чего началось его снижение, и в 2016 году он составлял уже 5,10% ВВП. В свою очередь</w:t>
      </w:r>
      <w:r w:rsidR="00B94DA4">
        <w:t>,</w:t>
      </w:r>
      <w:r w:rsidRPr="00B112A4">
        <w:rPr>
          <w:lang w:val="es-ES"/>
        </w:rPr>
        <w:t xml:space="preserve"> в течение этого периода удельный вес сектора услуг в ВВП увеличился более чем на 7 процентных пунктов: с 59,1% в 1995</w:t>
      </w:r>
      <w:r w:rsidR="00B94DA4">
        <w:t> </w:t>
      </w:r>
      <w:r w:rsidRPr="00B112A4">
        <w:rPr>
          <w:lang w:val="es-ES"/>
        </w:rPr>
        <w:t>году до 67% в 2016 году.</w:t>
      </w:r>
    </w:p>
    <w:p w14:paraId="753459F1" w14:textId="77777777" w:rsidR="0088700C" w:rsidRPr="00B112A4" w:rsidRDefault="00B94DA4" w:rsidP="001C1E41">
      <w:pPr>
        <w:pStyle w:val="H4G"/>
        <w:rPr>
          <w:lang w:val="es-ES"/>
        </w:rPr>
      </w:pPr>
      <w:r>
        <w:rPr>
          <w:lang w:val="es-ES"/>
        </w:rPr>
        <w:tab/>
      </w:r>
      <w:r>
        <w:rPr>
          <w:lang w:val="es-ES"/>
        </w:rPr>
        <w:tab/>
      </w:r>
      <w:r w:rsidR="0088700C" w:rsidRPr="00B112A4">
        <w:rPr>
          <w:lang w:val="es-ES"/>
        </w:rPr>
        <w:t>Промышленный сектор</w:t>
      </w:r>
    </w:p>
    <w:p w14:paraId="746B7586" w14:textId="77777777" w:rsidR="0088700C" w:rsidRPr="00B112A4" w:rsidRDefault="0088700C" w:rsidP="0088700C">
      <w:pPr>
        <w:pStyle w:val="SingleTxtG"/>
        <w:rPr>
          <w:lang w:val="es-ES"/>
        </w:rPr>
      </w:pPr>
      <w:r w:rsidRPr="00B112A4">
        <w:rPr>
          <w:lang w:val="es-ES"/>
        </w:rPr>
        <w:t>15.</w:t>
      </w:r>
      <w:r w:rsidRPr="00B112A4">
        <w:rPr>
          <w:lang w:val="es-ES"/>
        </w:rPr>
        <w:tab/>
        <w:t>Согласно данным Обследования промышленных предприятий, в 2017 году объем добавленной стоимости в промышленном секторе превысил 141 342 млн евро, а число занятых в этом секторе составило 2 137 085 человек. Капиталовложения в промышленное производство достигли 23 777 млн</w:t>
      </w:r>
      <w:r w:rsidR="009B48DA">
        <w:t> </w:t>
      </w:r>
      <w:r w:rsidRPr="00B112A4">
        <w:rPr>
          <w:lang w:val="es-ES"/>
        </w:rPr>
        <w:t>евро. С 2000 года производительность в данном секторе постоянно увеличивалась и была выше этого показателя по экономике в целом (по данным Системы национальных счетов). Этот тренд прервался в 2008 году, когда резкий спад ВДС в промышленности обусловил снижение производительности в секторе до более низких уровней, чем составляла производительность по экономике в целом. Однако с 2010 года производительность в промышленности вновь стала расти более высокими темпами, чем по экономике в целом, и в 2013 году прирост в этом секторе составил 4,5% (по экономике в целом</w:t>
      </w:r>
      <w:r w:rsidR="00B94DA4">
        <w:t> </w:t>
      </w:r>
      <w:r w:rsidRPr="00B112A4">
        <w:rPr>
          <w:lang w:val="es-ES"/>
        </w:rPr>
        <w:t>– 2,6%). В 2015 году оборот промышленных предприятий составил 582 357 млн евро, а</w:t>
      </w:r>
      <w:r w:rsidR="00B94DA4">
        <w:t> </w:t>
      </w:r>
      <w:r w:rsidRPr="00B112A4">
        <w:rPr>
          <w:lang w:val="es-ES"/>
        </w:rPr>
        <w:t>прирост за год составил 1,8%.</w:t>
      </w:r>
    </w:p>
    <w:p w14:paraId="59888300" w14:textId="77777777" w:rsidR="0088700C" w:rsidRPr="00B112A4" w:rsidRDefault="0088700C" w:rsidP="0088700C">
      <w:pPr>
        <w:pStyle w:val="SingleTxtG"/>
        <w:rPr>
          <w:lang w:val="es-ES"/>
        </w:rPr>
      </w:pPr>
      <w:r w:rsidRPr="00B112A4">
        <w:rPr>
          <w:lang w:val="es-ES"/>
        </w:rPr>
        <w:lastRenderedPageBreak/>
        <w:t>16.</w:t>
      </w:r>
      <w:r w:rsidRPr="00B112A4">
        <w:rPr>
          <w:lang w:val="es-ES"/>
        </w:rPr>
        <w:tab/>
        <w:t>Согласно анализу структуры промышленных предприятий в разбивке по размеру предприятия (по числу занятых лиц), в 2017 году на предприятия, на которых было занято более 250 работников, приходилось 54,4% от объема сделок, осуществленных во всем секторе, а доля занятых на таких предприятиях составила 34,2% от общего числа работников сектора.</w:t>
      </w:r>
    </w:p>
    <w:p w14:paraId="65167170" w14:textId="77777777" w:rsidR="0088700C" w:rsidRPr="00B112A4" w:rsidRDefault="0088700C" w:rsidP="0088700C">
      <w:pPr>
        <w:pStyle w:val="SingleTxtG"/>
        <w:rPr>
          <w:lang w:val="es-ES"/>
        </w:rPr>
      </w:pPr>
      <w:r w:rsidRPr="00B112A4">
        <w:rPr>
          <w:lang w:val="es-ES"/>
        </w:rPr>
        <w:t>17.</w:t>
      </w:r>
      <w:r w:rsidRPr="00B112A4">
        <w:rPr>
          <w:lang w:val="es-ES"/>
        </w:rPr>
        <w:tab/>
        <w:t>В 2017 году наиболее значительный вклад в общий объем промышленного производства страны внесли отрасли производства продуктов питания (16,4%), производства, транспортировки и распределения электрической энергии (11,8%) и производства автомобилей, прицепов и полуприцепов (11,7%). Что касается занятости, то наибольшее число рабочих мест обеспечивали пищевая промышленность (16,4%), производство металлоизделий, кроме машин и оборудования (11,4%)</w:t>
      </w:r>
      <w:r w:rsidR="00387437" w:rsidRPr="00B112A4">
        <w:rPr>
          <w:lang w:val="es-ES"/>
        </w:rPr>
        <w:t xml:space="preserve">, </w:t>
      </w:r>
      <w:r w:rsidRPr="00B112A4">
        <w:rPr>
          <w:lang w:val="es-ES"/>
        </w:rPr>
        <w:t>и производство автомобилей, прицепов и полуприцепов (7,4%).</w:t>
      </w:r>
    </w:p>
    <w:p w14:paraId="290AB8BF" w14:textId="77777777" w:rsidR="0088700C" w:rsidRPr="00B112A4" w:rsidRDefault="0088700C" w:rsidP="001C1E41">
      <w:pPr>
        <w:pStyle w:val="H4G"/>
        <w:rPr>
          <w:lang w:val="es-ES"/>
        </w:rPr>
      </w:pPr>
      <w:r w:rsidRPr="00B112A4">
        <w:rPr>
          <w:lang w:val="es-ES"/>
        </w:rPr>
        <w:tab/>
      </w:r>
      <w:r w:rsidRPr="00B112A4">
        <w:rPr>
          <w:lang w:val="es-ES"/>
        </w:rPr>
        <w:tab/>
        <w:t>Энергетический сектор</w:t>
      </w:r>
    </w:p>
    <w:p w14:paraId="1B5E2FCF" w14:textId="77777777" w:rsidR="0088700C" w:rsidRPr="00B112A4" w:rsidRDefault="0088700C" w:rsidP="0088700C">
      <w:pPr>
        <w:pStyle w:val="SingleTxtG"/>
        <w:rPr>
          <w:lang w:val="es-ES"/>
        </w:rPr>
      </w:pPr>
      <w:r w:rsidRPr="00B112A4">
        <w:rPr>
          <w:lang w:val="es-ES"/>
        </w:rPr>
        <w:t>18.</w:t>
      </w:r>
      <w:r w:rsidRPr="00B112A4">
        <w:rPr>
          <w:lang w:val="es-ES"/>
        </w:rPr>
        <w:tab/>
        <w:t>В 2017 году объем потребления первичной энергии в Испании составил 128</w:t>
      </w:r>
      <w:r w:rsidR="00B94DA4">
        <w:t> </w:t>
      </w:r>
      <w:r w:rsidRPr="00B112A4">
        <w:rPr>
          <w:lang w:val="es-ES"/>
        </w:rPr>
        <w:t>084</w:t>
      </w:r>
      <w:r w:rsidR="00B94DA4">
        <w:t> </w:t>
      </w:r>
      <w:r w:rsidRPr="00B112A4">
        <w:rPr>
          <w:lang w:val="es-ES"/>
        </w:rPr>
        <w:t>к</w:t>
      </w:r>
      <w:r w:rsidR="00B94DA4">
        <w:t>т</w:t>
      </w:r>
      <w:r w:rsidRPr="00B112A4">
        <w:rPr>
          <w:lang w:val="es-ES"/>
        </w:rPr>
        <w:t xml:space="preserve"> в нефтяном эквиваленте (ктн.э.); ее основными источниками стали ископаемые виды топлива: нефть (43,8%), природный газ (21,4%) и уголь (10,5%). На</w:t>
      </w:r>
      <w:r w:rsidR="00B94DA4">
        <w:t> </w:t>
      </w:r>
      <w:r w:rsidRPr="00B112A4">
        <w:rPr>
          <w:lang w:val="es-ES"/>
        </w:rPr>
        <w:t xml:space="preserve">долю возобновляемых источников энергии пришлось 12,2%, а атомной энергии – 11,9%. Конечное энергопотребление в 2017 году составило 85 516 </w:t>
      </w:r>
      <w:proofErr w:type="gramStart"/>
      <w:r w:rsidRPr="00B112A4">
        <w:rPr>
          <w:lang w:val="es-ES"/>
        </w:rPr>
        <w:t>ктн.э</w:t>
      </w:r>
      <w:proofErr w:type="gramEnd"/>
      <w:r w:rsidRPr="00B112A4">
        <w:rPr>
          <w:lang w:val="es-ES"/>
        </w:rPr>
        <w:t>, при этом 84</w:t>
      </w:r>
      <w:r w:rsidR="00B94DA4">
        <w:t> </w:t>
      </w:r>
      <w:r w:rsidRPr="00B112A4">
        <w:rPr>
          <w:lang w:val="es-ES"/>
        </w:rPr>
        <w:t>493 ктн.э пришлось на потребление в энергетических отраслях, а 4 023 ктн.э – на</w:t>
      </w:r>
      <w:r w:rsidR="00B94DA4">
        <w:t> </w:t>
      </w:r>
      <w:r w:rsidRPr="00B112A4">
        <w:rPr>
          <w:lang w:val="es-ES"/>
        </w:rPr>
        <w:t>неэнергетическое использование.</w:t>
      </w:r>
    </w:p>
    <w:p w14:paraId="075CE96D" w14:textId="77777777" w:rsidR="0088700C" w:rsidRPr="00B112A4" w:rsidRDefault="0088700C" w:rsidP="0088700C">
      <w:pPr>
        <w:pStyle w:val="SingleTxtG"/>
        <w:rPr>
          <w:lang w:val="es-ES"/>
        </w:rPr>
      </w:pPr>
      <w:r w:rsidRPr="00B112A4">
        <w:rPr>
          <w:lang w:val="es-ES"/>
        </w:rPr>
        <w:t>19.</w:t>
      </w:r>
      <w:r w:rsidRPr="00B112A4">
        <w:rPr>
          <w:lang w:val="es-ES"/>
        </w:rPr>
        <w:tab/>
        <w:t>Что касается совокупного производства электроэнергии, то в 2017 году этот показатель составил 275 611 ГВтч, причем 32,0% от этого объема было произведено с использованием возобновляемых источников энергии, 21,1% – в атомной энергетике, 17,5% – за счет угля, 22,4% – за счет природного газа, 5,8% – за счет нефтепродуктов, а 0,3% – с использованием иных источников. Чистый спрос на электроэнергию в</w:t>
      </w:r>
      <w:r w:rsidR="00B94DA4">
        <w:t> </w:t>
      </w:r>
      <w:r w:rsidRPr="00B112A4">
        <w:rPr>
          <w:lang w:val="es-ES"/>
        </w:rPr>
        <w:t>Испании составил 268</w:t>
      </w:r>
      <w:r w:rsidR="00387437">
        <w:t> </w:t>
      </w:r>
      <w:r w:rsidRPr="00B112A4">
        <w:rPr>
          <w:lang w:val="es-ES"/>
        </w:rPr>
        <w:t>140</w:t>
      </w:r>
      <w:r w:rsidR="00387437">
        <w:t> </w:t>
      </w:r>
      <w:r w:rsidRPr="00B112A4">
        <w:rPr>
          <w:lang w:val="es-ES"/>
        </w:rPr>
        <w:t>ГВтч, а итоговое сальдо импорта-экспорта электроэнергии</w:t>
      </w:r>
      <w:r w:rsidR="00B94DA4">
        <w:t> </w:t>
      </w:r>
      <w:r w:rsidRPr="00B112A4">
        <w:rPr>
          <w:lang w:val="es-ES"/>
        </w:rPr>
        <w:t>– 9 171 ГВтч.</w:t>
      </w:r>
    </w:p>
    <w:p w14:paraId="1273AA2E" w14:textId="77777777" w:rsidR="0088700C" w:rsidRPr="00B112A4" w:rsidRDefault="0088700C" w:rsidP="001C1E41">
      <w:pPr>
        <w:pStyle w:val="H4G"/>
        <w:rPr>
          <w:lang w:val="es-ES"/>
        </w:rPr>
      </w:pPr>
      <w:r w:rsidRPr="00B112A4">
        <w:rPr>
          <w:lang w:val="es-ES"/>
        </w:rPr>
        <w:tab/>
      </w:r>
      <w:r w:rsidRPr="00B112A4">
        <w:rPr>
          <w:lang w:val="es-ES"/>
        </w:rPr>
        <w:tab/>
        <w:t>Сектор услуг</w:t>
      </w:r>
    </w:p>
    <w:p w14:paraId="7A54674C" w14:textId="77777777" w:rsidR="0088700C" w:rsidRPr="00B112A4" w:rsidRDefault="0088700C" w:rsidP="0088700C">
      <w:pPr>
        <w:pStyle w:val="SingleTxtG"/>
        <w:rPr>
          <w:lang w:val="es-ES"/>
        </w:rPr>
      </w:pPr>
      <w:r w:rsidRPr="00B112A4">
        <w:rPr>
          <w:lang w:val="es-ES"/>
        </w:rPr>
        <w:t>20.</w:t>
      </w:r>
      <w:r w:rsidRPr="00B112A4">
        <w:rPr>
          <w:lang w:val="es-ES"/>
        </w:rPr>
        <w:tab/>
        <w:t>Доля сектора услуг в экономике росла и в 2017 году достигла 66,4% ВВП. По</w:t>
      </w:r>
      <w:r w:rsidR="00B94DA4">
        <w:t> </w:t>
      </w:r>
      <w:r w:rsidRPr="00B112A4">
        <w:rPr>
          <w:lang w:val="es-ES"/>
        </w:rPr>
        <w:t>данным статистического учета предприятий сектора услуг, в 2017 году объем сделок в этом секторе увеличился на 6,0%, по сравнению с предшествующим годом, и составил 499 192 млн евро. В разбивке по видам деятельности наибольший объем сделок приходится на транспорт и складские услуги (21,9%), затем следуют профессиональная, научная и техническая деятельность (17,7%) и информация и связь (16,9%). В секторе услуг первое место по степени воздействия на экономику и занятость занимают туризм и связанные с туризмом виды деятельности. В 2017 году Испанию посетили около 82 млн туристов, и она стала второй страной в мире по числу посетивших ее туристов и по объему доходов от туризма. В Испании находится штаб</w:t>
      </w:r>
      <w:r w:rsidR="00387437">
        <w:rPr>
          <w:lang w:val="es-ES"/>
        </w:rPr>
        <w:noBreakHyphen/>
      </w:r>
      <w:r w:rsidRPr="00B112A4">
        <w:rPr>
          <w:lang w:val="es-ES"/>
        </w:rPr>
        <w:t>квартира специализированного учреждения Организации Объединенных Наций</w:t>
      </w:r>
      <w:r w:rsidR="00B94DA4">
        <w:t> </w:t>
      </w:r>
      <w:r w:rsidRPr="00B112A4">
        <w:rPr>
          <w:lang w:val="es-ES"/>
        </w:rPr>
        <w:t>– Всемирной туристской организации.</w:t>
      </w:r>
    </w:p>
    <w:p w14:paraId="130BBE7B" w14:textId="77777777" w:rsidR="0088700C" w:rsidRPr="00B112A4" w:rsidRDefault="0088700C" w:rsidP="0088700C">
      <w:pPr>
        <w:pStyle w:val="SingleTxtG"/>
        <w:rPr>
          <w:lang w:val="es-ES"/>
        </w:rPr>
      </w:pPr>
      <w:r w:rsidRPr="00B112A4">
        <w:rPr>
          <w:lang w:val="es-ES"/>
        </w:rPr>
        <w:t>21.</w:t>
      </w:r>
      <w:r w:rsidRPr="00B112A4">
        <w:rPr>
          <w:lang w:val="es-ES"/>
        </w:rPr>
        <w:tab/>
        <w:t>Число занятых в сфере услуг составило 6 239 490 человек, причем этот показатель увеличился на 3,7%, по сравнению с 2016 годом. В разбивке по видам деятельности больше всего работников сферы услуг занят в сфере гостиничного дела (23,5%), затем следуют административная работа и профессиональная, научная и техническая деятельность (23,2% и 16,8% соответственно).</w:t>
      </w:r>
    </w:p>
    <w:p w14:paraId="44972F81" w14:textId="77777777" w:rsidR="0088700C" w:rsidRPr="00B112A4" w:rsidRDefault="0088700C" w:rsidP="001C1E41">
      <w:pPr>
        <w:pStyle w:val="H23G"/>
        <w:rPr>
          <w:lang w:val="es-ES"/>
        </w:rPr>
      </w:pPr>
      <w:r w:rsidRPr="00B112A4">
        <w:rPr>
          <w:lang w:val="es-ES"/>
        </w:rPr>
        <w:tab/>
        <w:t>3.</w:t>
      </w:r>
      <w:r w:rsidRPr="00B112A4">
        <w:rPr>
          <w:lang w:val="es-ES"/>
        </w:rPr>
        <w:tab/>
        <w:t>Социальные показатели</w:t>
      </w:r>
    </w:p>
    <w:p w14:paraId="770631E4" w14:textId="77777777" w:rsidR="0088700C" w:rsidRPr="00B112A4" w:rsidRDefault="0088700C" w:rsidP="004B3852">
      <w:pPr>
        <w:pStyle w:val="H23G"/>
        <w:rPr>
          <w:lang w:val="es-ES"/>
        </w:rPr>
      </w:pPr>
      <w:r w:rsidRPr="00B112A4">
        <w:rPr>
          <w:lang w:val="es-ES"/>
        </w:rPr>
        <w:tab/>
      </w:r>
      <w:r w:rsidRPr="00B112A4">
        <w:rPr>
          <w:lang w:val="es-ES"/>
        </w:rPr>
        <w:tab/>
        <w:t>Сфера труда, социальные субъекты и социальное согласие</w:t>
      </w:r>
    </w:p>
    <w:p w14:paraId="43B4E35A" w14:textId="77777777" w:rsidR="0088700C" w:rsidRPr="00B112A4" w:rsidRDefault="0088700C" w:rsidP="0088700C">
      <w:pPr>
        <w:pStyle w:val="SingleTxtG"/>
        <w:rPr>
          <w:lang w:val="es-ES"/>
        </w:rPr>
      </w:pPr>
      <w:r w:rsidRPr="00B112A4">
        <w:rPr>
          <w:lang w:val="es-ES"/>
        </w:rPr>
        <w:t>22.</w:t>
      </w:r>
      <w:r w:rsidRPr="00B112A4">
        <w:rPr>
          <w:lang w:val="es-ES"/>
        </w:rPr>
        <w:tab/>
        <w:t>По состоянию на четвертый квартал 2018 года общая численность экономически активного населения в Испании составляла 22 868 800 человек, а</w:t>
      </w:r>
      <w:r w:rsidR="00B94DA4">
        <w:t> </w:t>
      </w:r>
      <w:r w:rsidRPr="00B112A4">
        <w:rPr>
          <w:lang w:val="es-ES"/>
        </w:rPr>
        <w:t xml:space="preserve">уровень занятости населения – 58,61%. По данным Опроса экономически активного населения, в течение 2017 года его численность сократилась на 0,4%. Уровень безработицы в 2018 году составил 14,45%, и в десяти автономных сообществах он был </w:t>
      </w:r>
      <w:r w:rsidRPr="00B112A4">
        <w:rPr>
          <w:lang w:val="es-ES"/>
        </w:rPr>
        <w:lastRenderedPageBreak/>
        <w:t xml:space="preserve">ниже 15%. Уровень занятости как мужчин, так и женщин сокращался в течение последних пяти лет и в четвертом квартале 2018 года достиг соответственно 64,45% и 59,08%. В то же время уровень занятости иностранных граждан составлял 71,55%. </w:t>
      </w:r>
    </w:p>
    <w:p w14:paraId="0D82C05A" w14:textId="77777777" w:rsidR="0088700C" w:rsidRPr="00B112A4" w:rsidRDefault="0088700C" w:rsidP="0088700C">
      <w:pPr>
        <w:pStyle w:val="SingleTxtG"/>
        <w:rPr>
          <w:lang w:val="es-ES"/>
        </w:rPr>
      </w:pPr>
      <w:r w:rsidRPr="00B112A4">
        <w:rPr>
          <w:lang w:val="es-ES"/>
        </w:rPr>
        <w:t>23.</w:t>
      </w:r>
      <w:r w:rsidRPr="00B112A4">
        <w:rPr>
          <w:lang w:val="es-ES"/>
        </w:rPr>
        <w:tab/>
        <w:t xml:space="preserve">По итогам реформы 2010 года испанское трудовое законодательство включает в себя механизмы, которые позволяют предприятиям адаптироваться к изменяющимся условиям производства, корректируя элементы внутренней среды организации (рабочее время, функции и </w:t>
      </w:r>
      <w:r w:rsidR="00B94DA4">
        <w:rPr>
          <w:lang w:val="es-ES"/>
        </w:rPr>
        <w:t>т. д.</w:t>
      </w:r>
      <w:r w:rsidRPr="00B112A4">
        <w:rPr>
          <w:lang w:val="es-ES"/>
        </w:rPr>
        <w:t>) и сохраняя человеческий капитал, т. е. сочетая технологические корректировки с согласованным участием работников. Наряду с механизмами внутренней гибкости, необходимыми для того, чтобы избежать корректировок за счет неизбирательного применения найма работников на временной основе, должны существовать механизмы информирования работников, посредством которых с ними будут проводиться консультации и которые обеспечат достижение сбалансированных и приемлемых для сторон договоренностей. В последние годы ситуация стала ухудшаться, так как в результате некоторых реформ создались условия, при которых стало возможным в одностороннем порядке принимать решения, способствующие ухудшению условий труда, увеличению разногласий и сегментации среди групп работников. В этом контексте основной задачей правительства является восстановление баланса между защитой прав трудящихся и обеспечением конкурентоспособности предприятий.</w:t>
      </w:r>
    </w:p>
    <w:p w14:paraId="6C19E933" w14:textId="77777777" w:rsidR="0088700C" w:rsidRPr="00B112A4" w:rsidRDefault="0088700C" w:rsidP="0088700C">
      <w:pPr>
        <w:pStyle w:val="SingleTxtG"/>
        <w:rPr>
          <w:lang w:val="es-ES"/>
        </w:rPr>
      </w:pPr>
      <w:r w:rsidRPr="00B112A4">
        <w:rPr>
          <w:lang w:val="es-ES"/>
        </w:rPr>
        <w:t>24.</w:t>
      </w:r>
      <w:r w:rsidRPr="00B112A4">
        <w:rPr>
          <w:lang w:val="es-ES"/>
        </w:rPr>
        <w:tab/>
        <w:t>В 2013 году Национальная комиссия по вопросам безопасности и гигиены труда рассмотрела и утвердила итоги реализации национальной Стратегии по обеспечению безопасности и гигиены труда на производстве на 2007–2012 годы и положительно оценила более ста мероприятий, осуществленных в рамках этой Стратегии. В</w:t>
      </w:r>
      <w:r w:rsidR="00B94DA4">
        <w:t> </w:t>
      </w:r>
      <w:r w:rsidRPr="00B112A4">
        <w:rPr>
          <w:lang w:val="es-ES"/>
        </w:rPr>
        <w:t>2015</w:t>
      </w:r>
      <w:r w:rsidR="00B94DA4">
        <w:t> </w:t>
      </w:r>
      <w:r w:rsidRPr="00B112A4">
        <w:rPr>
          <w:lang w:val="es-ES"/>
        </w:rPr>
        <w:t>году Совет министров утвердил национальную Стратегию по вопросам безопасности и гигиены труда на рабочем месте на 2015–2020 годы, предварительно согласованную между центральными органами государственной власти, автономными сообществами и организациями работодателей и профсоюзов. Одной из основных целей этой Стратегии является обеспечение постоянного улучшения условий труда, с</w:t>
      </w:r>
      <w:r w:rsidR="00B94DA4">
        <w:t> </w:t>
      </w:r>
      <w:r w:rsidRPr="00B112A4">
        <w:rPr>
          <w:lang w:val="es-ES"/>
        </w:rPr>
        <w:t xml:space="preserve">уделением особого внимания профилактике профессиональных заболеваний и болезней, связанных с работой. </w:t>
      </w:r>
    </w:p>
    <w:p w14:paraId="391445AF" w14:textId="77777777" w:rsidR="0088700C" w:rsidRPr="00B112A4" w:rsidRDefault="0088700C" w:rsidP="0088700C">
      <w:pPr>
        <w:pStyle w:val="SingleTxtG"/>
        <w:rPr>
          <w:lang w:val="es-ES"/>
        </w:rPr>
      </w:pPr>
      <w:r w:rsidRPr="00B112A4">
        <w:rPr>
          <w:lang w:val="es-ES"/>
        </w:rPr>
        <w:t>25.</w:t>
      </w:r>
      <w:r w:rsidRPr="00B112A4">
        <w:rPr>
          <w:lang w:val="es-ES"/>
        </w:rPr>
        <w:tab/>
        <w:t>По прогнозам, в 2019 году межпрофессиональный минимум заработной платы увеличится на 22,3</w:t>
      </w:r>
      <w:r w:rsidR="00B94DA4">
        <w:t>%</w:t>
      </w:r>
      <w:r w:rsidRPr="00B112A4">
        <w:rPr>
          <w:lang w:val="es-ES"/>
        </w:rPr>
        <w:t>, что будет способствовать формированию более динамичной и сбалансированной производственной среды с более справедливыми и инклюзивными моделями участия в экономическом росте, позволит сократить существующий разрыв в оплате труда между различными категориями работников и улучшит стартовые условия групп населения, находящихся в наиболее неблагоприятном положении. Кроме того, комплекс действий, осуществляемых в рамках активной и пассивной политики на рынке труда, будет способствовать восстановлению занятости и оживлению спроса на рынке труда.</w:t>
      </w:r>
    </w:p>
    <w:p w14:paraId="59C223AA" w14:textId="77777777" w:rsidR="0088700C" w:rsidRPr="00B112A4" w:rsidRDefault="0088700C" w:rsidP="0088700C">
      <w:pPr>
        <w:pStyle w:val="SingleTxtG"/>
        <w:rPr>
          <w:lang w:val="es-ES"/>
        </w:rPr>
      </w:pPr>
      <w:r w:rsidRPr="00B112A4">
        <w:rPr>
          <w:lang w:val="es-ES"/>
        </w:rPr>
        <w:t>26.</w:t>
      </w:r>
      <w:r w:rsidR="00A7646D">
        <w:rPr>
          <w:lang w:val="es-ES"/>
        </w:rPr>
        <w:tab/>
      </w:r>
      <w:r w:rsidRPr="00B112A4">
        <w:rPr>
          <w:lang w:val="es-ES"/>
        </w:rPr>
        <w:t>В этом контексте правительство утвердило амбициозную и широкомасштабную реформу, целью которой является прекращение процесса сокращения рабочих мест и создание в срочном порядке новых рабочих мест. В частности, что касается трудовой миграции, то 31 декабря 2018 года в Официальном государственном вестнике было опубликовано новое постановление, касающееся регулирования коллективного найма работников в странах их происхождения. В этом постановлении подробно описываются различные аспекты найма в странах происхождения, направленные на достижения двух основных целей. С одной стороны, этот подход устанавливает процедуры безопасной, упорядоченной и организованной миграции, способствуя достижению Целей в области устойчивого развития, сформулированных в Повестке дня в области устойчивого развития на период до 2030 года, а также целей Глобального миграционного пакта. С другой стороны, этот подход способствует защите интересов трудящихся. Как показал анализ рынка труда и, в частности, некоторых конкретных секторов, наблюдается рост спроса на покрытие неудовлетворенных потребностей.</w:t>
      </w:r>
    </w:p>
    <w:p w14:paraId="07DF097A" w14:textId="77777777" w:rsidR="0088700C" w:rsidRPr="00B112A4" w:rsidRDefault="0088700C" w:rsidP="0088700C">
      <w:pPr>
        <w:pStyle w:val="SingleTxtG"/>
        <w:rPr>
          <w:lang w:val="es-ES"/>
        </w:rPr>
      </w:pPr>
      <w:r w:rsidRPr="00B112A4">
        <w:rPr>
          <w:lang w:val="es-ES"/>
        </w:rPr>
        <w:t>27.</w:t>
      </w:r>
      <w:r w:rsidRPr="00B112A4">
        <w:rPr>
          <w:lang w:val="es-ES"/>
        </w:rPr>
        <w:tab/>
        <w:t xml:space="preserve">В ноябре 2018 года число иностранцев, охваченных системой социального страхования, составляло 1 968 328 человек, что в значительной степени превышает показатели самых тяжелых лет экономического кризиса. Миграционная политика </w:t>
      </w:r>
      <w:r w:rsidRPr="00B112A4">
        <w:rPr>
          <w:lang w:val="es-ES"/>
        </w:rPr>
        <w:lastRenderedPageBreak/>
        <w:t>Испании традиционно увязывает приток мигрантов с поглощающей способностью рынка труда. В частности, это отражается в динамике найма на работу в странах происхождения. Так, в 2006 году в рамках найма работников в странах происхождения было выдано 6 248 разрешений на постоянную работу и 39 747 разрешений на сезонную работу, а в 2007 году было выдано максимальное число – 64 716 разрешений на сезонную и 5 748 – на постоянную работу. Начиная с 2009 года количество выданных разрешений работникам-мигрантам постепенно сокращается: в 2012 году было выдано 6 655 разрешений на сезонную работу и ни одного на постоянную. С</w:t>
      </w:r>
      <w:r w:rsidR="00B94DA4">
        <w:t> </w:t>
      </w:r>
      <w:r w:rsidRPr="00B112A4">
        <w:rPr>
          <w:lang w:val="es-ES"/>
        </w:rPr>
        <w:t>2012</w:t>
      </w:r>
      <w:r w:rsidR="00B94DA4">
        <w:t> </w:t>
      </w:r>
      <w:r w:rsidRPr="00B112A4">
        <w:rPr>
          <w:lang w:val="es-ES"/>
        </w:rPr>
        <w:t>года разрешения работникам-мигрантам стали выдавать только на сезонную работу в сельскохозяйственном секторе, причем за период с 2013 по 2016 год было выдано менее 3</w:t>
      </w:r>
      <w:r w:rsidR="00435B5F">
        <w:t> </w:t>
      </w:r>
      <w:r w:rsidRPr="00B112A4">
        <w:rPr>
          <w:lang w:val="es-ES"/>
        </w:rPr>
        <w:t>000 разрешений. С 2016 года вновь наблюдается рост найма работников по линии коллективных договоров, заключаемых в странах происхождения работников-мигрантов, их число увеличилось с 5 562 в 2016 году до 17</w:t>
      </w:r>
      <w:r w:rsidR="00435B5F">
        <w:t xml:space="preserve"> </w:t>
      </w:r>
      <w:r w:rsidRPr="00B112A4">
        <w:rPr>
          <w:lang w:val="es-ES"/>
        </w:rPr>
        <w:t>544 в 2017 году.</w:t>
      </w:r>
    </w:p>
    <w:p w14:paraId="127B4332" w14:textId="77777777" w:rsidR="0088700C" w:rsidRPr="00B112A4" w:rsidRDefault="0088700C" w:rsidP="0088700C">
      <w:pPr>
        <w:pStyle w:val="SingleTxtG"/>
        <w:rPr>
          <w:lang w:val="es-ES"/>
        </w:rPr>
      </w:pPr>
      <w:r w:rsidRPr="00B112A4">
        <w:rPr>
          <w:lang w:val="es-ES"/>
        </w:rPr>
        <w:t>28.</w:t>
      </w:r>
      <w:r w:rsidRPr="00B112A4">
        <w:rPr>
          <w:lang w:val="es-ES"/>
        </w:rPr>
        <w:tab/>
        <w:t>Государственный секретариат по вопросам миграции работает над планом возвращения испанских граждан в Испанию, который он надеется представить в феврале 2019 года. Этот план предполагает сотрудничество с рядом департаментов министерств, с автономными сообществами, местными структурами, университетами и социальными партнерами. Кроме того, в рамках плана предусмотрено сотрудничество с сектором работодателей для определения их потребностей в найме работников. На начальном этапе реализации этого плана предполагается провести анализ положения испанцев, проживающих за границей, их потребностей и запросов; ожидается, что на основе этого анализа можно будет определить условия для их возможного возвращения в страну. Предполагается, что согласно указанному плану в процессе возвращения в Испанию будут учитываться индивидуальные особенности ситуации каждого лица, административные процедуры станут более доступными, будет оказываться содействие интеграции таких лиц и их участию в жизни общества и, что очень важно, будут освещаться возможности трудоустройства и предпринимательской деятельности.</w:t>
      </w:r>
    </w:p>
    <w:p w14:paraId="1DCD9FA5" w14:textId="77777777" w:rsidR="0088700C" w:rsidRPr="00B112A4" w:rsidRDefault="0088700C" w:rsidP="0088700C">
      <w:pPr>
        <w:pStyle w:val="SingleTxtG"/>
        <w:rPr>
          <w:lang w:val="es-ES"/>
        </w:rPr>
      </w:pPr>
      <w:r w:rsidRPr="00B112A4">
        <w:rPr>
          <w:lang w:val="es-ES"/>
        </w:rPr>
        <w:t>29.</w:t>
      </w:r>
      <w:r w:rsidRPr="00B112A4">
        <w:rPr>
          <w:lang w:val="es-ES"/>
        </w:rPr>
        <w:tab/>
        <w:t xml:space="preserve">Правительство продолжает делать ставку на привлечение и удержание талантливых кадров. Так, с одной стороны, Закон № 14/2013 от 27 сентября 2013 года о поддержке предпринимателей и их выхода на международный рынок способствует въезду и проживанию в стране определенных групп, таких как инвесторы, предприниматели, высококвалифицированные специалисты, исследователи, научные или технические сотрудники, преподаватели университетов и бизнес-школ, а также лица, приезжающие в Испанию в рамках трудовых, профессиональных или профессионально-учебных отношений с предприятиями, зарегистрированными в Испании или в  другой стране. С принятием Королевского указа 11/2018 от 31 августа 2018 года о включении в законодательство Испании Директивы 2016/801/ЕС, к ранее существовавшим основаниям для получения вида на жительство были добавлены новые, такие как стажировка, поиск работы или запуск бизнес-проекта, ориентированные на иностранных студентов и исследователей, заканчивающих обучение или исследовательскую деятельность в Испании. Этот режим направлен на объединение традиционного подхода, при котором иммиграция рассматривалась как явление, обусловленное соображениями трудовой занятости и обеспечения безопасности, с новой перспективой </w:t>
      </w:r>
      <w:r w:rsidR="00435B5F">
        <w:t>–</w:t>
      </w:r>
      <w:r w:rsidRPr="00B112A4">
        <w:rPr>
          <w:lang w:val="es-ES"/>
        </w:rPr>
        <w:t xml:space="preserve"> соображениями поддержки международных экономических позиций страны и удержания талантливых кадров на основе концепции миграционной политики как элемента конкурентоспособности, который способствует экономическому и социальному прогрессу Испании.</w:t>
      </w:r>
    </w:p>
    <w:p w14:paraId="7472458B" w14:textId="77777777" w:rsidR="0088700C" w:rsidRPr="00B112A4" w:rsidRDefault="0088700C" w:rsidP="0088700C">
      <w:pPr>
        <w:pStyle w:val="SingleTxtG"/>
        <w:rPr>
          <w:lang w:val="es-ES"/>
        </w:rPr>
      </w:pPr>
      <w:r w:rsidRPr="00B112A4">
        <w:rPr>
          <w:lang w:val="es-ES"/>
        </w:rPr>
        <w:t>30.</w:t>
      </w:r>
      <w:r w:rsidRPr="00B112A4">
        <w:rPr>
          <w:lang w:val="es-ES"/>
        </w:rPr>
        <w:tab/>
        <w:t>Наиболее представительными социальными субъектами в Испании являются Испанская конфедерация предпринимательских организаций (ИКПО) и Испанская конфедерация малых и средних предприятий (ИКМСП), которые представляют интересы предпринимателей, а также Профсоюзная конфедерация Рабочих комиссий (ПКРК) и Всеобщий союз трудящихся (ВСТ), представляющие интересы трудящихся.</w:t>
      </w:r>
    </w:p>
    <w:p w14:paraId="5EE2E612" w14:textId="77777777" w:rsidR="0088700C" w:rsidRPr="00B112A4" w:rsidRDefault="0088700C" w:rsidP="0088700C">
      <w:pPr>
        <w:pStyle w:val="SingleTxtG"/>
        <w:rPr>
          <w:lang w:val="es-ES"/>
        </w:rPr>
      </w:pPr>
      <w:r w:rsidRPr="00B112A4">
        <w:rPr>
          <w:lang w:val="es-ES"/>
        </w:rPr>
        <w:t>31.</w:t>
      </w:r>
      <w:r w:rsidRPr="00B112A4">
        <w:rPr>
          <w:lang w:val="es-ES"/>
        </w:rPr>
        <w:tab/>
        <w:t xml:space="preserve">Министерство труда, миграции и социального обеспечения по линии Государственного секретариата по вопросам миграции принимает участие в работе Трехсторонней трудовой комиссии, представляющей собой постоянно действующий </w:t>
      </w:r>
      <w:r w:rsidRPr="00B112A4">
        <w:rPr>
          <w:lang w:val="es-ES"/>
        </w:rPr>
        <w:lastRenderedPageBreak/>
        <w:t>орган, в рамках которого между центральными органами государственной власти и наиболее представительными на общегосударственном уровне профсоюзами и организациями предпринимателей ведется диалог по вопросам управления миграционными потоками. Социальные субъекты участвуют в этой работе, с тем чтобы политика управления миграционными потоками наиболее эффективно способствовала решению задачи по удовлетворению потребностей в работниках, которые не могут быть покрыты за счет трудящихся-резидентов, в соответствии с действующими нормами как в сфере миграции, так и в сфере труда и при обеспечении гарантий прав трудящихся – граждан страны и иностранцев.</w:t>
      </w:r>
    </w:p>
    <w:p w14:paraId="41A1350E" w14:textId="77777777" w:rsidR="0088700C" w:rsidRPr="00B112A4" w:rsidRDefault="0088700C" w:rsidP="0088700C">
      <w:pPr>
        <w:pStyle w:val="SingleTxtG"/>
        <w:rPr>
          <w:lang w:val="es-ES"/>
        </w:rPr>
      </w:pPr>
      <w:r w:rsidRPr="00B112A4">
        <w:rPr>
          <w:lang w:val="es-ES"/>
        </w:rPr>
        <w:t>32.</w:t>
      </w:r>
      <w:r w:rsidRPr="00B112A4">
        <w:rPr>
          <w:lang w:val="es-ES"/>
        </w:rPr>
        <w:tab/>
        <w:t xml:space="preserve">Недавно был инициирован ряд диалогов с социальными партнерами, с тем чтобы обсудить и согласовать трудовые реформы и регулирование рынка труда. Обсуждения проходят с соблюдением демократических принципов трипартизма; они направлены на обеспечение экономического развития и модернизацию трудовых отношений в Испании. Этот подход является наиболее рациональным для поиска решений, связанных с регулированием рынка труда, на основе легитимности и эффективности, которые обеспечивает широкий социальный консенсус. </w:t>
      </w:r>
    </w:p>
    <w:p w14:paraId="607D1EDE" w14:textId="77777777" w:rsidR="0088700C" w:rsidRPr="00B112A4" w:rsidRDefault="0088700C" w:rsidP="001C1E41">
      <w:pPr>
        <w:pStyle w:val="H23G"/>
        <w:rPr>
          <w:lang w:val="es-ES"/>
        </w:rPr>
      </w:pPr>
      <w:r w:rsidRPr="00B112A4">
        <w:rPr>
          <w:lang w:val="es-ES"/>
        </w:rPr>
        <w:tab/>
      </w:r>
      <w:r w:rsidRPr="00B112A4">
        <w:rPr>
          <w:lang w:val="es-ES"/>
        </w:rPr>
        <w:tab/>
        <w:t>Здравоохранение и социальная политика</w:t>
      </w:r>
    </w:p>
    <w:p w14:paraId="3B16211C" w14:textId="77777777" w:rsidR="0088700C" w:rsidRPr="00B112A4" w:rsidRDefault="0088700C" w:rsidP="0088700C">
      <w:pPr>
        <w:pStyle w:val="SingleTxtG"/>
        <w:rPr>
          <w:lang w:val="es-ES"/>
        </w:rPr>
      </w:pPr>
      <w:r w:rsidRPr="00B112A4">
        <w:rPr>
          <w:lang w:val="es-ES"/>
        </w:rPr>
        <w:t>33.</w:t>
      </w:r>
      <w:r w:rsidRPr="00B112A4">
        <w:rPr>
          <w:lang w:val="es-ES"/>
        </w:rPr>
        <w:tab/>
        <w:t>Согласно данным ежегодного доклада Национальной системы здравоохранения за 2017 год, в Испании ожидаемая продолжительность жизни при рождении составляет 82,8 года, причем для мужчин она составляет 80 лет, а для женщин – 85,6 лет. За период с 2001 года ожидаемая продолжительность жизни при рождении увеличилась на 3,7</w:t>
      </w:r>
      <w:r w:rsidR="00435B5F">
        <w:t> </w:t>
      </w:r>
      <w:r w:rsidRPr="00B112A4">
        <w:rPr>
          <w:lang w:val="es-ES"/>
        </w:rPr>
        <w:t>года.</w:t>
      </w:r>
    </w:p>
    <w:p w14:paraId="5B010FAE" w14:textId="77777777" w:rsidR="0088700C" w:rsidRPr="00B112A4" w:rsidRDefault="0088700C" w:rsidP="0088700C">
      <w:pPr>
        <w:pStyle w:val="SingleTxtG"/>
        <w:rPr>
          <w:lang w:val="es-ES"/>
        </w:rPr>
      </w:pPr>
      <w:r w:rsidRPr="00B112A4">
        <w:rPr>
          <w:lang w:val="es-ES"/>
        </w:rPr>
        <w:t>34.</w:t>
      </w:r>
      <w:r w:rsidRPr="00B112A4">
        <w:rPr>
          <w:lang w:val="es-ES"/>
        </w:rPr>
        <w:tab/>
        <w:t>В 2015 году смертность в Испании составила 910 человек на каждые 100</w:t>
      </w:r>
      <w:r w:rsidR="00F16AC6">
        <w:t> </w:t>
      </w:r>
      <w:r w:rsidRPr="00B112A4">
        <w:rPr>
          <w:lang w:val="es-ES"/>
        </w:rPr>
        <w:t>000</w:t>
      </w:r>
      <w:r w:rsidR="00F16AC6">
        <w:t> </w:t>
      </w:r>
      <w:r w:rsidRPr="00B112A4">
        <w:rPr>
          <w:lang w:val="es-ES"/>
        </w:rPr>
        <w:t>жителей. Среди мужчин смертность составляла 935 на 100 000 человек, а</w:t>
      </w:r>
      <w:r w:rsidR="00F16AC6">
        <w:t> </w:t>
      </w:r>
      <w:r w:rsidRPr="00B112A4">
        <w:rPr>
          <w:lang w:val="es-ES"/>
        </w:rPr>
        <w:t xml:space="preserve">среди женщин </w:t>
      </w:r>
      <w:r w:rsidR="00435B5F">
        <w:t>–</w:t>
      </w:r>
      <w:r w:rsidRPr="00B112A4">
        <w:rPr>
          <w:lang w:val="es-ES"/>
        </w:rPr>
        <w:t xml:space="preserve"> 886 на 100 000 человек. Показатель общей смертности изменяется в сторону, обратную изменению показателя ожидаемой продолжительности жизни. Как уже отмечалось, продолжительность жизни женщин выше, чем мужчин. Это подтверждается числом смертей в пожилом возрасте: если среди мужчин 63% умерших в 2015 году были в возрасте 75 лет и старше, то доля женщин, которые умерли в возрасте 75 и старше, составила 82% от общего числа смертей.</w:t>
      </w:r>
    </w:p>
    <w:p w14:paraId="52C35E40" w14:textId="77777777" w:rsidR="0088700C" w:rsidRPr="00B112A4" w:rsidRDefault="0088700C" w:rsidP="0088700C">
      <w:pPr>
        <w:pStyle w:val="SingleTxtG"/>
        <w:rPr>
          <w:lang w:val="es-ES"/>
        </w:rPr>
      </w:pPr>
      <w:r w:rsidRPr="00B112A4">
        <w:rPr>
          <w:lang w:val="es-ES"/>
        </w:rPr>
        <w:t>35.</w:t>
      </w:r>
      <w:r w:rsidRPr="00B112A4">
        <w:rPr>
          <w:lang w:val="es-ES"/>
        </w:rPr>
        <w:tab/>
        <w:t>В последние годы в Испании произошло значительное снижение детской смертности, которая и до этого была на низком уровне. Если в 1990 году коэффициент младенческой смертности составлял 7,6 на 1</w:t>
      </w:r>
      <w:r w:rsidR="00435B5F">
        <w:t> </w:t>
      </w:r>
      <w:r w:rsidRPr="00B112A4">
        <w:rPr>
          <w:lang w:val="es-ES"/>
        </w:rPr>
        <w:t>000 живорождений, то в 2015 году – 2,7, т</w:t>
      </w:r>
      <w:r w:rsidR="00435B5F">
        <w:t>.</w:t>
      </w:r>
      <w:r w:rsidR="00F16AC6">
        <w:t> </w:t>
      </w:r>
      <w:r w:rsidRPr="00B112A4">
        <w:rPr>
          <w:lang w:val="es-ES"/>
        </w:rPr>
        <w:t>е</w:t>
      </w:r>
      <w:r w:rsidR="00435B5F">
        <w:t>.</w:t>
      </w:r>
      <w:r w:rsidRPr="00B112A4">
        <w:rPr>
          <w:lang w:val="es-ES"/>
        </w:rPr>
        <w:t xml:space="preserve"> снижение показателя за указанный период составило 64%.  Коэффициент неонатальной смертности снизился с 5 случаев смерти на 1 000 живорождений в 1990</w:t>
      </w:r>
      <w:r w:rsidR="00435B5F">
        <w:t> </w:t>
      </w:r>
      <w:r w:rsidRPr="00B112A4">
        <w:rPr>
          <w:lang w:val="es-ES"/>
        </w:rPr>
        <w:t>году до 1,8 в 2015 году, т</w:t>
      </w:r>
      <w:r w:rsidR="00435B5F">
        <w:t>. </w:t>
      </w:r>
      <w:r w:rsidRPr="00B112A4">
        <w:rPr>
          <w:lang w:val="es-ES"/>
        </w:rPr>
        <w:t>е</w:t>
      </w:r>
      <w:r w:rsidR="00435B5F">
        <w:t>.</w:t>
      </w:r>
      <w:r w:rsidRPr="00B112A4">
        <w:rPr>
          <w:lang w:val="es-ES"/>
        </w:rPr>
        <w:t xml:space="preserve"> тоже сократился на 64%, а показатель постнеонатальной смертности снизился на 66% – с 2,6 случаев смерти на 1</w:t>
      </w:r>
      <w:r w:rsidR="00435B5F">
        <w:t> </w:t>
      </w:r>
      <w:r w:rsidRPr="00B112A4">
        <w:rPr>
          <w:lang w:val="es-ES"/>
        </w:rPr>
        <w:t>000</w:t>
      </w:r>
      <w:r w:rsidR="00435B5F">
        <w:t> </w:t>
      </w:r>
      <w:r w:rsidRPr="00B112A4">
        <w:rPr>
          <w:lang w:val="es-ES"/>
        </w:rPr>
        <w:t>живорождений в 1990 году до 0,9 в 2015 году. Несколько десятилетий назад снижение детской смертности было обусловлено главным образом снижением постнеонатальной смертности, тесно связанной с внешними факторами; в настоящее время снижение неонатальной смертности вносит важный вклад в снижение младенческой смертности.</w:t>
      </w:r>
    </w:p>
    <w:p w14:paraId="2C03A780" w14:textId="77777777" w:rsidR="0088700C" w:rsidRPr="00B112A4" w:rsidRDefault="0088700C" w:rsidP="0088700C">
      <w:pPr>
        <w:pStyle w:val="SingleTxtG"/>
        <w:rPr>
          <w:lang w:val="es-ES"/>
        </w:rPr>
      </w:pPr>
      <w:r w:rsidRPr="00B112A4">
        <w:rPr>
          <w:lang w:val="es-ES"/>
        </w:rPr>
        <w:t>36.</w:t>
      </w:r>
      <w:r w:rsidRPr="00B112A4">
        <w:rPr>
          <w:lang w:val="es-ES"/>
        </w:rPr>
        <w:tab/>
        <w:t>В 2015 году доля детей, которые получили базовый комплекс рекомендованных в Испании вакцин, превысила 96%. 96,6% получили базовый комплекс вакцин против гепатита B, 97,0% – против менингококкового менингита C, 96,6% – против гемофильной инфекции типа B, 96,2% – вакцину MMR, 96,6% – против дифтерии, столбняка и коклюша, и 96,2% – против полиомиелита.</w:t>
      </w:r>
    </w:p>
    <w:p w14:paraId="233DA2B5" w14:textId="77777777" w:rsidR="0088700C" w:rsidRPr="00B112A4" w:rsidRDefault="0088700C" w:rsidP="0088700C">
      <w:pPr>
        <w:pStyle w:val="SingleTxtG"/>
        <w:rPr>
          <w:lang w:val="es-ES"/>
        </w:rPr>
      </w:pPr>
      <w:r w:rsidRPr="00B112A4">
        <w:rPr>
          <w:lang w:val="es-ES"/>
        </w:rPr>
        <w:t>37.</w:t>
      </w:r>
      <w:r w:rsidRPr="00B112A4">
        <w:rPr>
          <w:lang w:val="es-ES"/>
        </w:rPr>
        <w:tab/>
        <w:t>Испания занимает лидирующие позиции в мире по трансплантации органов и тканей, которая осуществляется в специальных аккредитованных центрах. Для</w:t>
      </w:r>
      <w:r w:rsidR="00435B5F">
        <w:t> </w:t>
      </w:r>
      <w:r w:rsidRPr="00B112A4">
        <w:rPr>
          <w:lang w:val="es-ES"/>
        </w:rPr>
        <w:t xml:space="preserve">пересадки органов требуется согласие донора. В 1989 году в Испании была создана Национальная организация трансплантологии. За прошедшие с тех пор 25 лет Испании удалось в три раза увеличить количество доноров и операций по трансплантации органов. Испанская модель трансплантологии является примером того, как, объединив усилия граждан и специалистов, участвующих в процессе донорства и трансплантации, удается спасти или улучшить качество жизни тысяч </w:t>
      </w:r>
      <w:r w:rsidRPr="00B112A4">
        <w:rPr>
          <w:lang w:val="es-ES"/>
        </w:rPr>
        <w:lastRenderedPageBreak/>
        <w:t>жителей страны. Национальная организация трансплантологии внедрила оригинальную модель управления, позволившую Испании выйти на ведущие позиции в мире в области донорства и трансплантации органов. В 2018 году в Испании насчитывалось 48 доноров органов на миллион населения, а в общей сложности численность доноров составила 2 243 человека, благодаря которым удалось провести 5</w:t>
      </w:r>
      <w:r w:rsidR="00F16AC6">
        <w:t> </w:t>
      </w:r>
      <w:r w:rsidRPr="00B112A4">
        <w:rPr>
          <w:lang w:val="es-ES"/>
        </w:rPr>
        <w:t>314 трансплантаций органов. В результате показатель масштабов операций по трансплантации органов достиг 114 на миллион человек населения (</w:t>
      </w:r>
      <w:r w:rsidR="00435B5F">
        <w:rPr>
          <w:lang w:val="es-ES"/>
        </w:rPr>
        <w:t>т. е.</w:t>
      </w:r>
      <w:r w:rsidRPr="00B112A4">
        <w:rPr>
          <w:lang w:val="es-ES"/>
        </w:rPr>
        <w:t xml:space="preserve"> ежедневно регистрируется в среднем 6 доноров и 14,6 операций по трансплантации органов) и является самым высоким в мире. В общей сложности проведено 3 310 операций по пересадке почек, 1 230 – по пересадке печени, 321 – по пересадке сердца, 369 – по</w:t>
      </w:r>
      <w:r w:rsidR="00435B5F">
        <w:t> </w:t>
      </w:r>
      <w:r w:rsidRPr="00B112A4">
        <w:rPr>
          <w:lang w:val="es-ES"/>
        </w:rPr>
        <w:t>пересадке легких, 82 – по пересадке поджелудочной железы и 6 по пересадке кишечника. Лист ожидания на трансплантацию всех органов, за исключением сердца и кишечника, стал короче – по состоянию на 31 декабря 2017 года в нем было 4</w:t>
      </w:r>
      <w:r w:rsidR="00435B5F">
        <w:rPr>
          <w:lang w:val="es-ES"/>
        </w:rPr>
        <w:t> </w:t>
      </w:r>
      <w:r w:rsidRPr="00B112A4">
        <w:rPr>
          <w:lang w:val="es-ES"/>
        </w:rPr>
        <w:t>891</w:t>
      </w:r>
      <w:r w:rsidR="00435B5F">
        <w:t> </w:t>
      </w:r>
      <w:r w:rsidRPr="00B112A4">
        <w:rPr>
          <w:lang w:val="es-ES"/>
        </w:rPr>
        <w:t xml:space="preserve">человек, а ровно через год – 4 804 человека, из которых 88 человек </w:t>
      </w:r>
      <w:r w:rsidR="00435B5F">
        <w:t>–</w:t>
      </w:r>
      <w:r w:rsidRPr="00B112A4">
        <w:rPr>
          <w:lang w:val="es-ES"/>
        </w:rPr>
        <w:t xml:space="preserve"> дети. Следует отметить значительное сокращение листа ожидания на трансплантацию печени (</w:t>
      </w:r>
      <w:r w:rsidR="00435B5F">
        <w:t>–</w:t>
      </w:r>
      <w:r w:rsidRPr="00B112A4">
        <w:rPr>
          <w:lang w:val="es-ES"/>
        </w:rPr>
        <w:t>19%). С другой стороны, продолжает снижаться количество трансплантаций почек от живых доноров, в общей сложности их было 289 (по сравнению с 332 в 2017</w:t>
      </w:r>
      <w:r w:rsidR="00435B5F">
        <w:t> </w:t>
      </w:r>
      <w:r w:rsidRPr="00B112A4">
        <w:rPr>
          <w:lang w:val="es-ES"/>
        </w:rPr>
        <w:t>году), поскольку увеличилось число предложений по пересадке органа умерших доноров. На такой тип трансплантации органов приходится 9% от общего числа соответствующих операций. Что касается возраста доноров, то более половины (57%) старше 60 лет, 31% – старше 70 лет, а 9% – старше 80 лет. Максимальный возраст эффективного донора составляет 91 год – для пересадки была использована его печень. Только 14% доноров моложе 45 лет. Несовместимость органов доноров и реципиентов, являющихся родственниками, составляет 14,8%.</w:t>
      </w:r>
    </w:p>
    <w:p w14:paraId="0E97BEFE" w14:textId="77777777" w:rsidR="0088700C" w:rsidRPr="00B112A4" w:rsidRDefault="0088700C" w:rsidP="0088700C">
      <w:pPr>
        <w:pStyle w:val="SingleTxtG"/>
        <w:rPr>
          <w:lang w:val="es-ES"/>
        </w:rPr>
      </w:pPr>
      <w:r w:rsidRPr="00B112A4">
        <w:rPr>
          <w:lang w:val="es-ES"/>
        </w:rPr>
        <w:t>38.</w:t>
      </w:r>
      <w:r w:rsidRPr="00B112A4">
        <w:rPr>
          <w:lang w:val="es-ES"/>
        </w:rPr>
        <w:tab/>
        <w:t xml:space="preserve">В Испании действует Национальная система здравоохранения (НСЗ), имеющая всеобщий охват и включающая широкий спектр услуг; эта система является одной из основ испанского государства всеобщего благосостояния. Согласно опросам Министерства здравоохранения, потребления и социального обеспечения, население страны разделяет мнение о том, что политика в области здравоохранения является исключительно важной. Всеобщий охват системы здравоохранения свидетельствует о том, что общество является справедливым и солидарным, и существуют научные доказательства того, что национальные системы здравоохранения представляют собой эффективные инвестиции в сокращение масштабов нищеты и неравенства. Приверженность Испании всеобщему охвату НСЗ наблюдается с момента ее создания. Так, Общий закон о здравоохранении 1986 года предусматривает создание национальной системы здравоохранения со всеобщим охватом, государственным снабжением и финансированием из общего государственного бюджета, объединяющей в своем составе все службы здравоохранения, которые находятся в ведении центральной государственной администрации, и службы здравоохранения автономных сообществ. </w:t>
      </w:r>
    </w:p>
    <w:p w14:paraId="6E86C374" w14:textId="77777777" w:rsidR="0088700C" w:rsidRPr="00B112A4" w:rsidRDefault="0088700C" w:rsidP="0088700C">
      <w:pPr>
        <w:pStyle w:val="SingleTxtG"/>
        <w:rPr>
          <w:lang w:val="es-ES"/>
        </w:rPr>
      </w:pPr>
      <w:r w:rsidRPr="00B112A4">
        <w:rPr>
          <w:lang w:val="es-ES"/>
        </w:rPr>
        <w:t>39.</w:t>
      </w:r>
      <w:r w:rsidRPr="00B112A4">
        <w:rPr>
          <w:lang w:val="es-ES"/>
        </w:rPr>
        <w:tab/>
        <w:t xml:space="preserve">Национальная система здравоохранения имеет основополагающее значение для осуществления права на здоровье, а ее структура и форма отвечают потребностям по обеспечению доступных медицинских услуг на условиях равенства. Медицинские услуги первого уровня – первичная медицинская помощь – характеризуются высокой доступностью и достаточным техническим потенциалом для того, чтобы всесторонне подойти к лечению распространенных заболеваний. Со своей стороны, медицинские учреждения второго уровня, оказывающие специализированную помощь, используют более сложные и затратные диагностические и терапевтические средства, которые эффективно применять при достаточно высокой интенсивности медицинских услуг, к которым обращаются, в основном, по показаниям врачей первичного звена. В рамках первичной помощи населению предоставляется ряд базовых услуг, доступ к которым можно получить в среднем за 15 минут вне зависимости от места проживания. Основными медицинскими учреждениями являются медицинские центры, в которых работают многопрофильные бригады специалистов – семейные врачи, педиатры, медсестры и административный персонал, а также социальные работники, акушерки и физиотерапевты. С учетом места, которое отведено этим учреждениям в структуре общества, на них возлагаются задачи по укреплению здоровья и профилактике заболеваний. Важным показателем доступности медицинских услуг для населения на </w:t>
      </w:r>
      <w:r w:rsidRPr="00B112A4">
        <w:rPr>
          <w:lang w:val="es-ES"/>
        </w:rPr>
        <w:lastRenderedPageBreak/>
        <w:t xml:space="preserve">равных условиях является тот факт, что при необходимости первичная помощь может быть оказана гражданину на дому. </w:t>
      </w:r>
    </w:p>
    <w:p w14:paraId="43052749" w14:textId="77777777" w:rsidR="0088700C" w:rsidRPr="00B112A4" w:rsidRDefault="0088700C" w:rsidP="0088700C">
      <w:pPr>
        <w:pStyle w:val="SingleTxtG"/>
        <w:rPr>
          <w:lang w:val="es-ES"/>
        </w:rPr>
      </w:pPr>
      <w:r w:rsidRPr="00B112A4">
        <w:rPr>
          <w:lang w:val="es-ES"/>
        </w:rPr>
        <w:t>40.</w:t>
      </w:r>
      <w:r w:rsidRPr="00B112A4">
        <w:rPr>
          <w:lang w:val="es-ES"/>
        </w:rPr>
        <w:tab/>
        <w:t xml:space="preserve">В учреждениях первичной медико-санитарной помощи Национальной системы здравоохранения осуществляется 371,6 </w:t>
      </w:r>
      <w:r w:rsidR="00435B5F">
        <w:t>млн</w:t>
      </w:r>
      <w:r w:rsidRPr="00B112A4">
        <w:rPr>
          <w:lang w:val="es-ES"/>
        </w:rPr>
        <w:t xml:space="preserve"> консультаций с врачами и младшим медицинским персоналом. Частота обращений к врачам составляет 5,2 на человека в год, а к младшему медицинскому персоналу – 2,9 на человека в год. Женщины чаще обращаются к врачам и младшему медицинскому персоналу, чем мужчины, причем эта разница более очевидна среди обращений к врачам. В течение года осуществляется 12,8 </w:t>
      </w:r>
      <w:r w:rsidR="00435B5F">
        <w:t>млн</w:t>
      </w:r>
      <w:r w:rsidR="00435B5F" w:rsidRPr="00B112A4">
        <w:rPr>
          <w:lang w:val="es-ES"/>
        </w:rPr>
        <w:t xml:space="preserve"> </w:t>
      </w:r>
      <w:r w:rsidRPr="00B112A4">
        <w:rPr>
          <w:lang w:val="es-ES"/>
        </w:rPr>
        <w:t xml:space="preserve">вызовов врачей на дом, что составляет 1,6% от общего числа обращений к специалистам в области семейной медицины и 7,2% – от числа обращений к младшему медицинскому персоналу, причем в основном такая помощь оказывается лицам старше 65 лет. На каждого человека, обслуживаемого в центрах первичной медико-санитарной помощи, в течение года в среднем приходится 7,3 проблемы со здоровьем. Среднее значение составляет 6,4 для мужчин и 8,1 для женщин. Больше всего проблем со здоровьем у лиц с самым низким уровнем дохода, безработных и уроженцев Испании, контактирующих с иностранными гражданами. Среди лиц старше 64 лет основными причинами обращений к врачу являются, в порядке убывания частоты обращений, заболевания опорно-двигательного аппарата и сердечно-сосудистой системы, проблемы общего и неконкретного характера и заболевания эндокринной системы, обмена веществ и питания. Для этой возрастной группы характерны хронические заболевания: гипертония, нарушения липидного обмена, сахарный диабет, катаракта и артрит. В больницах системы НСЗ производится 4,1 </w:t>
      </w:r>
      <w:r w:rsidR="00F16AC6">
        <w:t>млн</w:t>
      </w:r>
      <w:r w:rsidRPr="00B112A4">
        <w:rPr>
          <w:lang w:val="es-ES"/>
        </w:rPr>
        <w:t xml:space="preserve"> выписок в год, что составляет 76,7% от 5,3 </w:t>
      </w:r>
      <w:r w:rsidR="00F16AC6">
        <w:t>млн</w:t>
      </w:r>
      <w:r w:rsidRPr="00B112A4">
        <w:rPr>
          <w:lang w:val="es-ES"/>
        </w:rPr>
        <w:t xml:space="preserve"> выписок во всем больничном секторе Испании, а также осуществляется 79,7 млн медицинских консультаций. Продолжительность среднего пребывания в больницах НСЗ – 7,8 дней, а </w:t>
      </w:r>
      <w:r w:rsidR="00435B5F">
        <w:rPr>
          <w:lang w:val="es-ES"/>
        </w:rPr>
        <w:t>«</w:t>
      </w:r>
      <w:r w:rsidRPr="00B112A4">
        <w:rPr>
          <w:lang w:val="es-ES"/>
        </w:rPr>
        <w:t>оборот койки</w:t>
      </w:r>
      <w:r w:rsidR="00435B5F">
        <w:rPr>
          <w:lang w:val="es-ES"/>
        </w:rPr>
        <w:t>»</w:t>
      </w:r>
      <w:r w:rsidRPr="00B112A4">
        <w:rPr>
          <w:lang w:val="es-ES"/>
        </w:rPr>
        <w:t xml:space="preserve"> </w:t>
      </w:r>
      <w:r w:rsidR="00F16AC6">
        <w:t>–</w:t>
      </w:r>
      <w:r w:rsidRPr="00B112A4">
        <w:rPr>
          <w:lang w:val="es-ES"/>
        </w:rPr>
        <w:t xml:space="preserve"> составляет 37,2</w:t>
      </w:r>
      <w:r w:rsidR="00F16AC6">
        <w:t> </w:t>
      </w:r>
      <w:r w:rsidRPr="00B112A4">
        <w:rPr>
          <w:lang w:val="es-ES"/>
        </w:rPr>
        <w:t xml:space="preserve">больных. Выполнено 3,6 </w:t>
      </w:r>
      <w:r w:rsidR="00F16AC6">
        <w:t>млн</w:t>
      </w:r>
      <w:r w:rsidRPr="00B112A4">
        <w:rPr>
          <w:lang w:val="es-ES"/>
        </w:rPr>
        <w:t xml:space="preserve"> хирургических операций, из которых более одного миллиона были произведены амбулаторно. Основной причиной госпитализации в Испании являются заболевания сердечно-сосудистой системы (13,2%), за ними следуют заболевания дыхательной системы (12,2%) и</w:t>
      </w:r>
      <w:r w:rsidR="00435B5F">
        <w:t> </w:t>
      </w:r>
      <w:r w:rsidRPr="00B112A4">
        <w:rPr>
          <w:lang w:val="es-ES"/>
        </w:rPr>
        <w:t xml:space="preserve">пищеварительной системы (12,1%). Среди мужчин наиболее частой причиной госпитализации являются заболевания сердечно-сосудистой системы, за которыми следуют заболевания органов дыхания, пищеварительной системы и опухоли. Наиболее частые причины госпитализации женщин – роды, осложнения беременности и послеродового периода, заболевания органов дыхания, пищеварительной системы, сердечно-сосудистой системы и опухоли. Госпитализация в связи с психическими расстройствами чаще происходит у мужчин (2,2%), чем у женщин (1,8%). </w:t>
      </w:r>
    </w:p>
    <w:p w14:paraId="37C0F5F5" w14:textId="77777777" w:rsidR="0088700C" w:rsidRPr="00B112A4" w:rsidRDefault="0088700C" w:rsidP="001C1E41">
      <w:pPr>
        <w:pStyle w:val="H23G"/>
        <w:rPr>
          <w:lang w:val="es-ES"/>
        </w:rPr>
      </w:pPr>
      <w:r w:rsidRPr="00B112A4">
        <w:rPr>
          <w:lang w:val="es-ES"/>
        </w:rPr>
        <w:tab/>
      </w:r>
      <w:r w:rsidRPr="00B112A4">
        <w:rPr>
          <w:lang w:val="es-ES"/>
        </w:rPr>
        <w:tab/>
        <w:t>Образование</w:t>
      </w:r>
    </w:p>
    <w:p w14:paraId="00A89B10" w14:textId="77777777" w:rsidR="0088700C" w:rsidRPr="00B112A4" w:rsidRDefault="0088700C" w:rsidP="0088700C">
      <w:pPr>
        <w:pStyle w:val="SingleTxtG"/>
        <w:rPr>
          <w:lang w:val="es-ES"/>
        </w:rPr>
      </w:pPr>
      <w:r w:rsidRPr="00B112A4">
        <w:rPr>
          <w:lang w:val="es-ES"/>
        </w:rPr>
        <w:t>41.</w:t>
      </w:r>
      <w:r w:rsidRPr="00B112A4">
        <w:rPr>
          <w:lang w:val="es-ES"/>
        </w:rPr>
        <w:tab/>
        <w:t>Законодательная база, регламентирующая и направляющая деятельность испанской системы образования, определена Конституцией Испании 1978 года и следующими законами, в которых получают дальнейшее развитие закрепленные в Конституции принципы и права:</w:t>
      </w:r>
    </w:p>
    <w:p w14:paraId="5F516D3B" w14:textId="77777777" w:rsidR="0088700C" w:rsidRPr="00B112A4" w:rsidRDefault="0088700C" w:rsidP="001C1E41">
      <w:pPr>
        <w:pStyle w:val="Bullet1G"/>
        <w:rPr>
          <w:lang w:val="es-ES"/>
        </w:rPr>
      </w:pPr>
      <w:r w:rsidRPr="00B112A4">
        <w:rPr>
          <w:lang w:val="es-ES"/>
        </w:rPr>
        <w:t>Органический закон 1985 года, регулирующий право на образование (ОЗПО)</w:t>
      </w:r>
      <w:r w:rsidR="00435B5F">
        <w:t>;</w:t>
      </w:r>
    </w:p>
    <w:p w14:paraId="51D86805" w14:textId="77777777" w:rsidR="0088700C" w:rsidRPr="00B112A4" w:rsidRDefault="0088700C" w:rsidP="001C1E41">
      <w:pPr>
        <w:pStyle w:val="Bullet1G"/>
        <w:rPr>
          <w:lang w:val="es-ES"/>
        </w:rPr>
      </w:pPr>
      <w:r w:rsidRPr="00B112A4">
        <w:rPr>
          <w:lang w:val="es-ES"/>
        </w:rPr>
        <w:t>Органический закон об образовании от 3 мая 2006 года (ОЗО)</w:t>
      </w:r>
      <w:r w:rsidR="00435B5F">
        <w:t>;</w:t>
      </w:r>
    </w:p>
    <w:p w14:paraId="761B6938" w14:textId="77777777" w:rsidR="0088700C" w:rsidRPr="00B112A4" w:rsidRDefault="0088700C" w:rsidP="001C1E41">
      <w:pPr>
        <w:pStyle w:val="Bullet1G"/>
        <w:rPr>
          <w:lang w:val="es-ES"/>
        </w:rPr>
      </w:pPr>
      <w:r w:rsidRPr="00B112A4">
        <w:rPr>
          <w:lang w:val="es-ES"/>
        </w:rPr>
        <w:t>Закон 5/2002 о профессиональной квалификации и подготовке от 19 июня 2002</w:t>
      </w:r>
      <w:r w:rsidR="00435B5F">
        <w:t> </w:t>
      </w:r>
      <w:r w:rsidRPr="00B112A4">
        <w:rPr>
          <w:lang w:val="es-ES"/>
        </w:rPr>
        <w:t>года.</w:t>
      </w:r>
    </w:p>
    <w:p w14:paraId="14A08EA5" w14:textId="77777777" w:rsidR="0088700C" w:rsidRPr="00B112A4" w:rsidRDefault="0088700C" w:rsidP="0088700C">
      <w:pPr>
        <w:pStyle w:val="SingleTxtG"/>
        <w:rPr>
          <w:lang w:val="es-ES"/>
        </w:rPr>
      </w:pPr>
      <w:r w:rsidRPr="00B112A4">
        <w:rPr>
          <w:lang w:val="es-ES"/>
        </w:rPr>
        <w:t>42.</w:t>
      </w:r>
      <w:r w:rsidRPr="00B112A4">
        <w:rPr>
          <w:lang w:val="es-ES"/>
        </w:rPr>
        <w:tab/>
        <w:t>Органический закон об образовании регулирует структуру и организацию системы образования на всех уровнях, за исключением университетского. Он</w:t>
      </w:r>
      <w:r w:rsidR="00435B5F">
        <w:t> </w:t>
      </w:r>
      <w:r w:rsidRPr="00B112A4">
        <w:rPr>
          <w:lang w:val="es-ES"/>
        </w:rPr>
        <w:t xml:space="preserve">подтверждает признанные в Конституции и ОЗПО принципы и права и продвигает идею о качественном образовании для всех на равных условиях. В законе подчеркивается необходимость инклюзивного характера образования, равенство в обращении и недопустимость дискриминации в отношении любого лица при любых обстоятельствах. Образование рассматривается как предоставление обществу важнейшей услуги, которая должна обеспечивать доступность школьного образования для всех без разграничений по каким-либо категориям, в условиях равных возможностей, с гарантией его регулярности и непрерывности, а также на принципах </w:t>
      </w:r>
      <w:r w:rsidRPr="00B112A4">
        <w:rPr>
          <w:lang w:val="es-ES"/>
        </w:rPr>
        <w:lastRenderedPageBreak/>
        <w:t>его постепенной адаптации к изменениям социального характера. Государственная образовательная услуга может быть предоставлена как государственными органами власти, так и по общественной инициативе. Основные задачи системы образования в связи с учебным процессом являются: совершенствование образования и повышение успеваемости учащихся; успешное получение всеми обязательного школьного образования; расширение охвата дошкольным, средним и специальным образованием; увеличение выпуска дипломированных специалистов на уровне среднего и среднего специального образования; воспитание демократической гражданственности в целях утверждения свободного, толерантного и справедливого общества и содействия защите ценностей и принципов свободы, плюрализма, прав человека и верховенства закона, являющихся основой демократии, обеспечивая на основе трансверсального подхода учет принципов гражданского воспитания и приверженности Конституции при изучении всех предметов основной школы; поощрение обучения на протяжении всей жизни; строгое соблюдение принципа равенства в системе образования, в</w:t>
      </w:r>
      <w:r w:rsidR="00435B5F">
        <w:t> </w:t>
      </w:r>
      <w:r w:rsidRPr="00B112A4">
        <w:rPr>
          <w:lang w:val="es-ES"/>
        </w:rPr>
        <w:t>особенности в отношении групп учащихся с особыми образовательными потребностями, и содействие конвергенции со странами Европейского союза.</w:t>
      </w:r>
    </w:p>
    <w:p w14:paraId="6E8D08CF" w14:textId="77777777" w:rsidR="0088700C" w:rsidRPr="00B112A4" w:rsidRDefault="0088700C" w:rsidP="0088700C">
      <w:pPr>
        <w:pStyle w:val="SingleTxtG"/>
        <w:rPr>
          <w:lang w:val="es-ES"/>
        </w:rPr>
      </w:pPr>
      <w:r w:rsidRPr="00B112A4">
        <w:rPr>
          <w:lang w:val="es-ES"/>
        </w:rPr>
        <w:t>43.</w:t>
      </w:r>
      <w:r w:rsidRPr="00B112A4">
        <w:rPr>
          <w:lang w:val="es-ES"/>
        </w:rPr>
        <w:tab/>
        <w:t>Базовое образование предусматривает 10 лет регулярного школьного обучения для детей в возрасте от 6 до 16 лет. Обязательное базовое образование подразделяется на начальное и среднее образование. Кроме того, закон регламентирует предоставление дошкольного образования, образования после завершения обязательного этапа среднего школьного образования, художественного образования, спортивного образования, изучения иностранных языков, а также образования взрослых и дистанционного образования в рамках обучения на протяжении всей жизни. Закон также устанавливает, что организация и функционирование образовательных центров должны осуществляться при участии заинтересованных сторон, при соблюдении полномочий и организационной автономии соответствующих центров.  В законе также устанавливаются полномочия школьных советов и преподавательского коллектива. Поощряется сотрудничество между семьей и школой, что способствует расширению участия и повышению ответственности учащихся и родителей, в частности, в отношении реформирования системы образования по трем основным направлениям: развитие информационно-коммуникационных технологий с использованием модели цифровизации школы, содействие многоязычию, с тем чтобы учащиеся владели одним или даже двумя иностранными языками, и модернизация системы профессионального образования.</w:t>
      </w:r>
    </w:p>
    <w:p w14:paraId="3397E83C" w14:textId="77777777" w:rsidR="0088700C" w:rsidRPr="00B112A4" w:rsidRDefault="0088700C" w:rsidP="001C1E41">
      <w:pPr>
        <w:pStyle w:val="H23G"/>
        <w:rPr>
          <w:lang w:val="es-ES"/>
        </w:rPr>
      </w:pPr>
      <w:r w:rsidRPr="00B112A4">
        <w:rPr>
          <w:lang w:val="es-ES"/>
        </w:rPr>
        <w:tab/>
      </w:r>
      <w:r w:rsidRPr="00B112A4">
        <w:rPr>
          <w:lang w:val="es-ES"/>
        </w:rPr>
        <w:tab/>
        <w:t>Высшее университетское образование</w:t>
      </w:r>
    </w:p>
    <w:p w14:paraId="65B50329" w14:textId="77777777" w:rsidR="0088700C" w:rsidRPr="00B112A4" w:rsidRDefault="0088700C" w:rsidP="0088700C">
      <w:pPr>
        <w:pStyle w:val="SingleTxtG"/>
        <w:rPr>
          <w:lang w:val="es-ES"/>
        </w:rPr>
      </w:pPr>
      <w:r w:rsidRPr="00B112A4">
        <w:rPr>
          <w:lang w:val="es-ES"/>
        </w:rPr>
        <w:t>44.</w:t>
      </w:r>
      <w:r w:rsidRPr="00B112A4">
        <w:rPr>
          <w:lang w:val="es-ES"/>
        </w:rPr>
        <w:tab/>
        <w:t>Действующий в структуре Министерства по вопросам науки, инновации и университетов Генеральный секретариат университетов исполняет все функции, закрепленные за центральными органами государственной власти в сфере высшего университетского образования. В соответствии с Королевским указом 865/2018 от 13</w:t>
      </w:r>
      <w:r w:rsidR="00435B5F">
        <w:t> </w:t>
      </w:r>
      <w:r w:rsidRPr="00B112A4">
        <w:rPr>
          <w:lang w:val="es-ES"/>
        </w:rPr>
        <w:t xml:space="preserve">июля 2018 года, определившим базовую организационную структуру Министерства по вопросам науки, инновации и университетов, на Генеральный секретариат университетов возложены следующие обязанности: </w:t>
      </w:r>
    </w:p>
    <w:p w14:paraId="6C473307" w14:textId="77777777" w:rsidR="0088700C" w:rsidRPr="00B112A4" w:rsidRDefault="00435B5F" w:rsidP="001C1E41">
      <w:pPr>
        <w:pStyle w:val="Bullet1G"/>
        <w:rPr>
          <w:lang w:val="es-ES"/>
        </w:rPr>
      </w:pPr>
      <w:r>
        <w:t>р</w:t>
      </w:r>
      <w:r w:rsidR="0088700C" w:rsidRPr="00B112A4">
        <w:rPr>
          <w:lang w:val="es-ES"/>
        </w:rPr>
        <w:t>егламентирование университетского образования и порядка приема в университеты</w:t>
      </w:r>
      <w:r>
        <w:t>;</w:t>
      </w:r>
    </w:p>
    <w:p w14:paraId="027D8C68" w14:textId="77777777" w:rsidR="0088700C" w:rsidRPr="00B112A4" w:rsidRDefault="00435B5F" w:rsidP="001C1E41">
      <w:pPr>
        <w:pStyle w:val="Bullet1G"/>
        <w:rPr>
          <w:lang w:val="es-ES"/>
        </w:rPr>
      </w:pPr>
      <w:r>
        <w:t>р</w:t>
      </w:r>
      <w:r w:rsidR="0088700C" w:rsidRPr="00B112A4">
        <w:rPr>
          <w:lang w:val="es-ES"/>
        </w:rPr>
        <w:t>азвитие Европейского пространства высшего образования и содействие в принятии мер для адаптации системы университетских степеней</w:t>
      </w:r>
      <w:r>
        <w:t>;</w:t>
      </w:r>
    </w:p>
    <w:p w14:paraId="258024CF" w14:textId="77777777" w:rsidR="0088700C" w:rsidRPr="00B112A4" w:rsidRDefault="00435B5F" w:rsidP="001C1E41">
      <w:pPr>
        <w:pStyle w:val="Bullet1G"/>
        <w:rPr>
          <w:lang w:val="es-ES"/>
        </w:rPr>
      </w:pPr>
      <w:r>
        <w:t>с</w:t>
      </w:r>
      <w:r w:rsidR="0088700C" w:rsidRPr="00B112A4">
        <w:rPr>
          <w:lang w:val="es-ES"/>
        </w:rPr>
        <w:t>оздание условий для аккредитации официальных университетских степеней и приравненных к ним званий, признания и подтверждения степеней, присваиваемых в Испании и за границей</w:t>
      </w:r>
      <w:r>
        <w:t>;</w:t>
      </w:r>
    </w:p>
    <w:p w14:paraId="4010E76D" w14:textId="77777777" w:rsidR="0088700C" w:rsidRPr="00B112A4" w:rsidRDefault="00435B5F" w:rsidP="001C1E41">
      <w:pPr>
        <w:pStyle w:val="Bullet1G"/>
        <w:rPr>
          <w:lang w:val="es-ES"/>
        </w:rPr>
      </w:pPr>
      <w:r>
        <w:t>с</w:t>
      </w:r>
      <w:r w:rsidR="0088700C" w:rsidRPr="00B112A4">
        <w:rPr>
          <w:lang w:val="es-ES"/>
        </w:rPr>
        <w:t>одействие международной мобильности студентов и дипломированных специалистов в рамках Европейского союза и за его пределами</w:t>
      </w:r>
      <w:r>
        <w:t>;</w:t>
      </w:r>
    </w:p>
    <w:p w14:paraId="638B235A" w14:textId="77777777" w:rsidR="0088700C" w:rsidRPr="00B112A4" w:rsidRDefault="00435B5F" w:rsidP="001C1E41">
      <w:pPr>
        <w:pStyle w:val="Bullet1G"/>
        <w:rPr>
          <w:lang w:val="es-ES"/>
        </w:rPr>
      </w:pPr>
      <w:r>
        <w:t>э</w:t>
      </w:r>
      <w:r w:rsidR="0088700C" w:rsidRPr="00B112A4">
        <w:rPr>
          <w:lang w:val="es-ES"/>
        </w:rPr>
        <w:t>кономико-финансовое управление Государственным планом по научно-техническим и инновационным исследованиям на 2017</w:t>
      </w:r>
      <w:r>
        <w:t>–</w:t>
      </w:r>
      <w:r w:rsidR="0088700C" w:rsidRPr="00B112A4">
        <w:rPr>
          <w:lang w:val="es-ES"/>
        </w:rPr>
        <w:t>2020 годы.</w:t>
      </w:r>
    </w:p>
    <w:p w14:paraId="6BD81CF8" w14:textId="77777777" w:rsidR="0088700C" w:rsidRPr="00B112A4" w:rsidRDefault="0088700C" w:rsidP="0088700C">
      <w:pPr>
        <w:pStyle w:val="SingleTxtG"/>
        <w:rPr>
          <w:lang w:val="es-ES"/>
        </w:rPr>
      </w:pPr>
      <w:r w:rsidRPr="00B112A4">
        <w:rPr>
          <w:lang w:val="es-ES"/>
        </w:rPr>
        <w:lastRenderedPageBreak/>
        <w:t>45.</w:t>
      </w:r>
      <w:r w:rsidRPr="00B112A4">
        <w:rPr>
          <w:lang w:val="es-ES"/>
        </w:rPr>
        <w:tab/>
        <w:t xml:space="preserve">Через Генеральный секретариат университетов (ГСУ) осуществляются контакты между Министерством, с одной стороны, и Национальным агентством по оценке качества образования и аккредитации (АНЕКА), Испанской службой по усилению международного характера высшего образования и Международным университетом Менендес Пелайо </w:t>
      </w:r>
      <w:r w:rsidR="00435B5F">
        <w:t>–</w:t>
      </w:r>
      <w:r w:rsidRPr="00B112A4">
        <w:rPr>
          <w:lang w:val="es-ES"/>
        </w:rPr>
        <w:t xml:space="preserve"> с другой. В 2014 году ГСУ, действуя в соответствии со своей функцией по ориентации и развитию международных контактов в сфере высшего университетского образования, приступил к реализации Стратегии интернационализации университетов Испании. Другим важнейшим инструментом ГСУ является Комплексная система информации о деятельности университетов (КСИДУ), которая на постоянной основе составляет показатели, необходимые для оценки и мониторинга состояния испанской системы университетского образования. </w:t>
      </w:r>
    </w:p>
    <w:p w14:paraId="5CDC37CC" w14:textId="77777777" w:rsidR="0088700C" w:rsidRPr="00B112A4" w:rsidRDefault="0088700C" w:rsidP="0088700C">
      <w:pPr>
        <w:pStyle w:val="SingleTxtG"/>
        <w:rPr>
          <w:lang w:val="es-ES"/>
        </w:rPr>
      </w:pPr>
      <w:r w:rsidRPr="00B112A4">
        <w:rPr>
          <w:lang w:val="es-ES"/>
        </w:rPr>
        <w:t>46.</w:t>
      </w:r>
      <w:r w:rsidRPr="00B112A4">
        <w:rPr>
          <w:lang w:val="es-ES"/>
        </w:rPr>
        <w:tab/>
        <w:t xml:space="preserve">Принятый 12 апреля 2007 года Органический закон № 4/2007 о внесении изменений в Органический закон об университетах № 6/2001 от 21 декабря 2001 года предусматривает проведение ряда реформ, направленных на укрепление автономии университетов при одновременном ужесточении требований в отношении отчетности о выполнении ими своих функций. Эти изменения направлены прежде всего на повышение качества образования в испанских университетах, а также на включение испанских университетов в Европейское пространство высшего образования (ЕПВО) и на присоединение испанского научного и исследовательского сообщества к проекту Европейского исследовательского пространства (ЕИП). Европейский союз поддерживает это направление деятельности, проводя политику модернизации университетов и превращения их в активных субъектов преобразований в Европе, развивающейся </w:t>
      </w:r>
      <w:r w:rsidR="00435B5F">
        <w:rPr>
          <w:lang w:val="es-ES"/>
        </w:rPr>
        <w:t>«</w:t>
      </w:r>
      <w:r w:rsidRPr="00B112A4">
        <w:rPr>
          <w:lang w:val="es-ES"/>
        </w:rPr>
        <w:t>на основе знаний, повышения международной конкурентоспособности и динамики своей экономики, обеспечения устойчивого экономического роста, создающего новые и более качественные рабочие места и способствующего укреплению социальной сплоченности</w:t>
      </w:r>
      <w:r w:rsidR="00435B5F">
        <w:rPr>
          <w:lang w:val="es-ES"/>
        </w:rPr>
        <w:t>»</w:t>
      </w:r>
      <w:r w:rsidRPr="00B112A4">
        <w:rPr>
          <w:lang w:val="es-ES"/>
        </w:rPr>
        <w:t xml:space="preserve">. Для решения этой задачи европейские университеты должны взять на себя ведущую роль и стать проводниками новой парадигмы, в основе которой лежит общество знаний, а также быть конкурентоспособными на мировой арене; в этом контексте Европейская комиссия подчеркивает, что необходимо </w:t>
      </w:r>
      <w:r w:rsidR="00435B5F">
        <w:rPr>
          <w:lang w:val="es-ES"/>
        </w:rPr>
        <w:t>«</w:t>
      </w:r>
      <w:r w:rsidRPr="00B112A4">
        <w:rPr>
          <w:lang w:val="es-ES"/>
        </w:rPr>
        <w:t>мобилизовать интеллектуальный капитал Европы, в</w:t>
      </w:r>
      <w:r w:rsidR="00F16AC6">
        <w:t> </w:t>
      </w:r>
      <w:r w:rsidRPr="00B112A4">
        <w:rPr>
          <w:lang w:val="es-ES"/>
        </w:rPr>
        <w:t>частности, создать условия, необходимые для того, чтобы университеты могли в полной мере вносить свой вклад в осуществление Лиссабонской стратегии 2005 года</w:t>
      </w:r>
      <w:r w:rsidR="00435B5F">
        <w:rPr>
          <w:lang w:val="es-ES"/>
        </w:rPr>
        <w:t>»</w:t>
      </w:r>
      <w:r w:rsidRPr="00B112A4">
        <w:rPr>
          <w:lang w:val="es-ES"/>
        </w:rPr>
        <w:t>. Для адаптации к требованиям Европейского пространства высшего образования (ЕПВО) необходимо обеспечить внедрение системы проверки и оценки качества образования и аккредитации АНЕКА и соответствующих агентств регионального уровня, а также создание системы присвоения новых ученых степеней автономными сообществами и Советом университетов.</w:t>
      </w:r>
    </w:p>
    <w:p w14:paraId="075587EC" w14:textId="77777777" w:rsidR="0088700C" w:rsidRPr="00B112A4" w:rsidRDefault="0088700C" w:rsidP="0088700C">
      <w:pPr>
        <w:pStyle w:val="SingleTxtG"/>
        <w:rPr>
          <w:lang w:val="es-ES"/>
        </w:rPr>
      </w:pPr>
      <w:r w:rsidRPr="00B112A4">
        <w:rPr>
          <w:lang w:val="es-ES"/>
        </w:rPr>
        <w:t>47.</w:t>
      </w:r>
      <w:r w:rsidRPr="00B112A4">
        <w:rPr>
          <w:lang w:val="es-ES"/>
        </w:rPr>
        <w:tab/>
        <w:t>В 2018</w:t>
      </w:r>
      <w:r w:rsidR="00C55C20">
        <w:t>/</w:t>
      </w:r>
      <w:r w:rsidRPr="00B112A4">
        <w:rPr>
          <w:lang w:val="es-ES"/>
        </w:rPr>
        <w:t>19 учебном году в состав испанской университетской системы входили в общей сложности 85 университетов – в том числе 53 государственных и 32</w:t>
      </w:r>
      <w:r w:rsidR="00435B5F">
        <w:t> </w:t>
      </w:r>
      <w:r w:rsidRPr="00B112A4">
        <w:rPr>
          <w:lang w:val="es-ES"/>
        </w:rPr>
        <w:t>частных университета. Основные обновленные показатели университетской системы за 2017/18 учебный год представлены в приведенной ниже таблице:</w:t>
      </w:r>
    </w:p>
    <w:p w14:paraId="774C110B" w14:textId="77777777" w:rsidR="0088700C" w:rsidRPr="0088700C" w:rsidRDefault="0088700C" w:rsidP="0088700C">
      <w:pPr>
        <w:pStyle w:val="SingleTxtG"/>
        <w:rPr>
          <w:lang w:val="es-ES"/>
        </w:rPr>
      </w:pPr>
      <w:r w:rsidRPr="00B112A4">
        <w:rPr>
          <w:noProof/>
          <w:lang w:val="en-US"/>
        </w:rPr>
        <w:lastRenderedPageBreak/>
        <w:drawing>
          <wp:inline distT="0" distB="0" distL="0" distR="0" wp14:anchorId="16D1029D" wp14:editId="6B5E0DFC">
            <wp:extent cx="4780343" cy="4583575"/>
            <wp:effectExtent l="0" t="0" r="1270" b="7620"/>
            <wp:docPr id="4" name="Imagen 4" descr="Resumen de d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men de da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0343" cy="4583575"/>
                    </a:xfrm>
                    <a:prstGeom prst="rect">
                      <a:avLst/>
                    </a:prstGeom>
                    <a:noFill/>
                    <a:ln>
                      <a:noFill/>
                    </a:ln>
                  </pic:spPr>
                </pic:pic>
              </a:graphicData>
            </a:graphic>
          </wp:inline>
        </w:drawing>
      </w:r>
    </w:p>
    <w:p w14:paraId="3C36C88F" w14:textId="77777777" w:rsidR="0088700C" w:rsidRPr="001C1E41" w:rsidRDefault="0088700C" w:rsidP="001C1E41">
      <w:pPr>
        <w:pStyle w:val="SingleTxtG"/>
        <w:spacing w:line="220" w:lineRule="exact"/>
        <w:ind w:firstLine="170"/>
        <w:jc w:val="left"/>
        <w:rPr>
          <w:sz w:val="18"/>
          <w:szCs w:val="18"/>
          <w:lang w:val="es-ES"/>
        </w:rPr>
      </w:pPr>
      <w:r w:rsidRPr="001C1E41">
        <w:rPr>
          <w:i/>
          <w:sz w:val="18"/>
          <w:szCs w:val="18"/>
          <w:lang w:val="es-ES"/>
        </w:rPr>
        <w:t>Источник</w:t>
      </w:r>
      <w:r w:rsidRPr="001C1E41">
        <w:rPr>
          <w:sz w:val="18"/>
          <w:szCs w:val="18"/>
          <w:lang w:val="es-ES"/>
        </w:rPr>
        <w:t>: Министерство образования и профессиональной подготовки.</w:t>
      </w:r>
    </w:p>
    <w:p w14:paraId="1CB8EFA4" w14:textId="77777777" w:rsidR="0088700C" w:rsidRPr="00B112A4" w:rsidRDefault="0088700C" w:rsidP="0088700C">
      <w:pPr>
        <w:pStyle w:val="SingleTxtG"/>
        <w:rPr>
          <w:lang w:val="es-ES"/>
        </w:rPr>
      </w:pPr>
      <w:r w:rsidRPr="00B112A4">
        <w:rPr>
          <w:lang w:val="es-ES"/>
        </w:rPr>
        <w:t>48.</w:t>
      </w:r>
      <w:r w:rsidRPr="00B112A4">
        <w:rPr>
          <w:lang w:val="es-ES"/>
        </w:rPr>
        <w:tab/>
        <w:t xml:space="preserve">С другой стороны, процесс создания Европейского пространства высшего образования, начало которому было положено с принятием Болонской декларации 1999 года, предусматривает, среди прочего, внедрение гибкой системы четких, понятных и сопоставимых ученых степеней в целях расширения таким образом возможностей трудоустройства учащихся и повышения конкурентоспособности европейской системы высшего образования на международной арене. В свою очередь 23 ноября 2007 года Совет ЕС укрепил роль университетов в модели </w:t>
      </w:r>
      <w:r w:rsidR="00435B5F">
        <w:rPr>
          <w:lang w:val="es-ES"/>
        </w:rPr>
        <w:t>«</w:t>
      </w:r>
      <w:r w:rsidRPr="00B112A4">
        <w:rPr>
          <w:lang w:val="es-ES"/>
        </w:rPr>
        <w:t>Треугольник знаний</w:t>
      </w:r>
      <w:r w:rsidR="00435B5F">
        <w:rPr>
          <w:lang w:val="es-ES"/>
        </w:rPr>
        <w:t>»</w:t>
      </w:r>
      <w:r w:rsidRPr="00B112A4">
        <w:rPr>
          <w:lang w:val="es-ES"/>
        </w:rPr>
        <w:t xml:space="preserve"> в рамках процесса </w:t>
      </w:r>
      <w:r w:rsidR="00435B5F">
        <w:rPr>
          <w:lang w:val="es-ES"/>
        </w:rPr>
        <w:t>«</w:t>
      </w:r>
      <w:r w:rsidRPr="00B112A4">
        <w:rPr>
          <w:lang w:val="es-ES"/>
        </w:rPr>
        <w:t>модернизации университетов для обеспечения конкурентоспособности Европы в мировой экономике знаний</w:t>
      </w:r>
      <w:r w:rsidR="00435B5F">
        <w:rPr>
          <w:lang w:val="es-ES"/>
        </w:rPr>
        <w:t>»</w:t>
      </w:r>
      <w:r w:rsidRPr="00B112A4">
        <w:rPr>
          <w:lang w:val="es-ES"/>
        </w:rPr>
        <w:t xml:space="preserve">. Вклад университетской системы Испании в создание ЕПВО и ЕИП и ее полная интеграция в них предполагает трансформацию всех аспектов ее структуры и представляет собой исторически важную веху в плане как ее собственного генезиса, так и ее методологической концепции и целей, что открывает перед ней возможности обновления. Для придания нового импульса университетской системе Испании было начато осуществление Стратегии </w:t>
      </w:r>
      <w:r w:rsidR="00435B5F">
        <w:rPr>
          <w:lang w:val="es-ES"/>
        </w:rPr>
        <w:t>«</w:t>
      </w:r>
      <w:r w:rsidRPr="00B112A4">
        <w:rPr>
          <w:lang w:val="es-ES"/>
        </w:rPr>
        <w:t>Университет 2015</w:t>
      </w:r>
      <w:r w:rsidR="00435B5F">
        <w:rPr>
          <w:lang w:val="es-ES"/>
        </w:rPr>
        <w:t>»</w:t>
      </w:r>
      <w:r w:rsidRPr="00B112A4">
        <w:rPr>
          <w:lang w:val="es-ES"/>
        </w:rPr>
        <w:t>, призванной стать катализатором более широкого обсуждения той роли, которую университет должен играть в новой социальной политике и в новой системе устойчивого производства на основе знаний, а также того, как улучшение и модернизация университетов на основе добровольных решений может способствовать заключению нового общественного договора между университетами и обществом.</w:t>
      </w:r>
    </w:p>
    <w:p w14:paraId="7DCE2A4F" w14:textId="77777777" w:rsidR="0088700C" w:rsidRPr="00B112A4" w:rsidRDefault="0088700C" w:rsidP="0088700C">
      <w:pPr>
        <w:pStyle w:val="SingleTxtG"/>
        <w:rPr>
          <w:lang w:val="es-ES"/>
        </w:rPr>
      </w:pPr>
      <w:r w:rsidRPr="00B112A4">
        <w:rPr>
          <w:lang w:val="es-ES"/>
        </w:rPr>
        <w:t>49.</w:t>
      </w:r>
      <w:r w:rsidRPr="00B112A4">
        <w:rPr>
          <w:lang w:val="es-ES"/>
        </w:rPr>
        <w:tab/>
        <w:t>Что касается подробной информации об основных грантах в высшем образовании, то определенное представление могут дать данные об эволюции   размеров грантов, полученных преподавателями университетов, в течение нескольких последних лет:</w:t>
      </w:r>
    </w:p>
    <w:p w14:paraId="693A20B1" w14:textId="77777777" w:rsidR="0088700C" w:rsidRPr="00B112A4" w:rsidRDefault="0088700C" w:rsidP="0088700C">
      <w:pPr>
        <w:pStyle w:val="SingleTxtG"/>
        <w:rPr>
          <w:lang w:val="es-ES"/>
        </w:rPr>
      </w:pPr>
      <w:r w:rsidRPr="00B112A4">
        <w:rPr>
          <w:noProof/>
          <w:lang w:val="en-US"/>
        </w:rPr>
        <w:lastRenderedPageBreak/>
        <w:drawing>
          <wp:inline distT="0" distB="0" distL="0" distR="0" wp14:anchorId="124B6B4B" wp14:editId="725FE1B4">
            <wp:extent cx="4722344" cy="2393343"/>
            <wp:effectExtent l="0" t="0" r="254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734" cy="2391514"/>
                    </a:xfrm>
                    <a:prstGeom prst="rect">
                      <a:avLst/>
                    </a:prstGeom>
                    <a:noFill/>
                  </pic:spPr>
                </pic:pic>
              </a:graphicData>
            </a:graphic>
          </wp:inline>
        </w:drawing>
      </w:r>
    </w:p>
    <w:p w14:paraId="76051A36" w14:textId="77777777" w:rsidR="0088700C" w:rsidRPr="001C1E41" w:rsidRDefault="0088700C" w:rsidP="001C1E41">
      <w:pPr>
        <w:pStyle w:val="SingleTxtG"/>
        <w:spacing w:line="220" w:lineRule="exact"/>
        <w:ind w:firstLine="170"/>
        <w:jc w:val="left"/>
        <w:rPr>
          <w:sz w:val="18"/>
          <w:szCs w:val="18"/>
          <w:lang w:val="es-ES"/>
        </w:rPr>
      </w:pPr>
      <w:r w:rsidRPr="001C1E41">
        <w:rPr>
          <w:i/>
          <w:sz w:val="18"/>
          <w:szCs w:val="18"/>
          <w:lang w:val="es-ES"/>
        </w:rPr>
        <w:t>Источник</w:t>
      </w:r>
      <w:r w:rsidRPr="001C1E41">
        <w:rPr>
          <w:sz w:val="18"/>
          <w:szCs w:val="18"/>
          <w:lang w:val="es-ES"/>
        </w:rPr>
        <w:t>: Генеральный секретариат университетов (Министерство науки, инновации и университетов).</w:t>
      </w:r>
    </w:p>
    <w:p w14:paraId="3CCB89BF" w14:textId="77777777" w:rsidR="0088700C" w:rsidRPr="00B112A4" w:rsidRDefault="0088700C" w:rsidP="0088700C">
      <w:pPr>
        <w:pStyle w:val="SingleTxtG"/>
        <w:rPr>
          <w:lang w:val="es-ES"/>
        </w:rPr>
      </w:pPr>
      <w:r w:rsidRPr="00B112A4">
        <w:rPr>
          <w:lang w:val="es-ES"/>
        </w:rPr>
        <w:t>50.</w:t>
      </w:r>
      <w:r w:rsidRPr="00B112A4">
        <w:rPr>
          <w:lang w:val="es-ES"/>
        </w:rPr>
        <w:tab/>
        <w:t>Следует также отметить приверженность Испании формированию фактического права на стипендию для получения высшего образования. Основные данные о таких стипендиях за последние два десятилетия приводятся ниже:</w:t>
      </w:r>
    </w:p>
    <w:p w14:paraId="67702F3D" w14:textId="77777777" w:rsidR="0088700C" w:rsidRPr="00B112A4" w:rsidRDefault="0088700C" w:rsidP="0088700C">
      <w:pPr>
        <w:pStyle w:val="SingleTxtG"/>
        <w:rPr>
          <w:lang w:val="es-ES"/>
        </w:rPr>
      </w:pPr>
      <w:r w:rsidRPr="00B112A4">
        <w:rPr>
          <w:noProof/>
          <w:lang w:val="en-US"/>
        </w:rPr>
        <w:drawing>
          <wp:inline distT="0" distB="0" distL="0" distR="0" wp14:anchorId="63629ED7" wp14:editId="59748009">
            <wp:extent cx="3188473" cy="23008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473" cy="2300870"/>
                    </a:xfrm>
                    <a:prstGeom prst="rect">
                      <a:avLst/>
                    </a:prstGeom>
                    <a:noFill/>
                  </pic:spPr>
                </pic:pic>
              </a:graphicData>
            </a:graphic>
          </wp:inline>
        </w:drawing>
      </w:r>
    </w:p>
    <w:p w14:paraId="55D1229B" w14:textId="77777777" w:rsidR="0088700C" w:rsidRPr="00121987" w:rsidRDefault="0088700C" w:rsidP="001C1E41">
      <w:pPr>
        <w:pStyle w:val="SingleTxtG"/>
        <w:spacing w:line="220" w:lineRule="exact"/>
        <w:ind w:firstLine="170"/>
        <w:jc w:val="left"/>
        <w:rPr>
          <w:sz w:val="18"/>
          <w:szCs w:val="18"/>
          <w:lang w:val="es-ES"/>
        </w:rPr>
      </w:pPr>
      <w:r w:rsidRPr="00121987">
        <w:rPr>
          <w:i/>
          <w:sz w:val="18"/>
          <w:szCs w:val="18"/>
          <w:lang w:val="es-ES"/>
        </w:rPr>
        <w:t>Источник</w:t>
      </w:r>
      <w:r w:rsidRPr="00121987">
        <w:rPr>
          <w:sz w:val="18"/>
          <w:szCs w:val="18"/>
          <w:lang w:val="es-ES"/>
        </w:rPr>
        <w:t>: Генеральное управление по планированию и управлению в сфере образования (Министерство образования и профессиональной подготовки).</w:t>
      </w:r>
    </w:p>
    <w:p w14:paraId="53298048" w14:textId="77777777" w:rsidR="0088700C" w:rsidRPr="00B112A4" w:rsidRDefault="0088700C" w:rsidP="0088700C">
      <w:pPr>
        <w:pStyle w:val="SingleTxtG"/>
        <w:rPr>
          <w:lang w:val="es-ES"/>
        </w:rPr>
      </w:pPr>
      <w:r w:rsidRPr="00B112A4">
        <w:rPr>
          <w:lang w:val="es-ES"/>
        </w:rPr>
        <w:t>51.</w:t>
      </w:r>
      <w:r w:rsidRPr="00B112A4">
        <w:rPr>
          <w:lang w:val="es-ES"/>
        </w:rPr>
        <w:tab/>
        <w:t>С другой стороны, Стратегия интернационализации университетов Испании на 2015</w:t>
      </w:r>
      <w:r w:rsidR="00435B5F">
        <w:t>–</w:t>
      </w:r>
      <w:r w:rsidRPr="00B112A4">
        <w:rPr>
          <w:lang w:val="es-ES"/>
        </w:rPr>
        <w:t xml:space="preserve">2020 годы зародилась в духе трансформации, так как она гласила, что </w:t>
      </w:r>
      <w:r w:rsidR="00435B5F">
        <w:rPr>
          <w:lang w:val="es-ES"/>
        </w:rPr>
        <w:t>«</w:t>
      </w:r>
      <w:r w:rsidRPr="00B112A4">
        <w:rPr>
          <w:lang w:val="es-ES"/>
        </w:rPr>
        <w:t>интернационализация является ключевым фактором для повышения качества испанских университетов и обладает потенциалом для того, чтобы быть движущей силой реформы университетской системы Испании в стремлении повысить ее эффективность, качество и конкурентоспособность в глобальной среде</w:t>
      </w:r>
      <w:r w:rsidR="00435B5F">
        <w:rPr>
          <w:lang w:val="es-ES"/>
        </w:rPr>
        <w:t>»</w:t>
      </w:r>
      <w:r w:rsidRPr="00B112A4">
        <w:rPr>
          <w:lang w:val="es-ES"/>
        </w:rPr>
        <w:t xml:space="preserve">. Целью указанной стратегии является создание сильной и привлекательной на международном уровне системы университетов, поощряющей мобильность (въезд и выезд) лучших учащихся, профессоров, исследователей, а также административного и обслуживающего персонала. Все это, с одной стороны, на образовательном уровне направлено на повышение качества образования, интернационализацию учебных программ и научно-исследовательской деятельности, а с другой стороны, на более общем уровне, способствует повышению привлекательности и международной конкурентоспособности Испании, а также социально-экономическому развитию страны на основе знаний. В рамках этой стратегии органы образования (Министерство науки, инноваций и университетов, Испанская служба интернационализации образования и университеты) и миграционные органы укрепили свои партнерские отношения в целях содействия притоку в страну иностранных студентов, исследователей и преподавателей. Наиболее заметным событием стала недавняя </w:t>
      </w:r>
      <w:r w:rsidRPr="00B112A4">
        <w:rPr>
          <w:lang w:val="es-ES"/>
        </w:rPr>
        <w:lastRenderedPageBreak/>
        <w:t xml:space="preserve">транспозиция  Директивы (ЕС) 2016/801, благодаря чему удалось решить некоторые процедурные вопросы, включив новые важные пункты в порядок приема иностранных студентов, такие как возможность подачи заявления на получение разрешения на пребывание для обучения, находясь в Испании, возможность получения визы через национальное представительство или предоставление возможности самим высшим учебным заведениям подавать заявления на получение разрешения на пребывание для своих иностранных студентов. Кроме того, была установлена процедура регулирования вопросов мобильности иностранных студентов внутри ЕС на основе уведомлений. </w:t>
      </w:r>
    </w:p>
    <w:p w14:paraId="7A2B1A2D" w14:textId="77777777" w:rsidR="0088700C" w:rsidRPr="00B112A4" w:rsidRDefault="0088700C" w:rsidP="0088700C">
      <w:pPr>
        <w:pStyle w:val="SingleTxtG"/>
        <w:rPr>
          <w:lang w:val="es-ES"/>
        </w:rPr>
      </w:pPr>
      <w:r w:rsidRPr="00B112A4">
        <w:rPr>
          <w:lang w:val="es-ES"/>
        </w:rPr>
        <w:t>52.</w:t>
      </w:r>
      <w:r w:rsidRPr="00B112A4">
        <w:rPr>
          <w:lang w:val="es-ES"/>
        </w:rPr>
        <w:tab/>
        <w:t>В 2018/19 учебном году вновь выросло количество испанцев – студентов университетов, участвующих в программе ЭРАЗМУС; теперь их 47 804 человека. Число студентов, приезжающих в Испанию и выезжающих из нее в рамках данной программы, примерно одинаково, что означает, что возможности Испании по включению своих студентов в программу ЭРАЗМУС аналогичны ее возможностям привлекать студентов–участников этой программы со всей Европы. По последним данным, опубликованным Национальным институтом статистики (НИС), в 2015 году 24,2% участников программы ЭРАЗМУС изучали бизнес, управление и право. Основной страной, в которой обучаются испанские студенты в рамках программы ЭРАЗМУС, является Италия – в ее университетах в 2018/19 учебном году проходили обучение 19,3% потока студентов из Испании. За ней следуют Великобритания (13%), Германия (10,3%), Франция (10,1%) и Польша (8%). Университеты Испании также принимают все больше иностранных студентов: по последним имеющимся данным, в</w:t>
      </w:r>
      <w:r w:rsidR="00435B5F">
        <w:t> </w:t>
      </w:r>
      <w:r w:rsidRPr="00B112A4">
        <w:rPr>
          <w:lang w:val="es-ES"/>
        </w:rPr>
        <w:t>2016/17 учебном году их число составило 40 079 человек. По числу обучающихся в стране иностранных студентов Испания занимает в Европе третье место, уступая лишь Франции (43 905 человек) и Германии (40 959 человек).</w:t>
      </w:r>
    </w:p>
    <w:p w14:paraId="62983040" w14:textId="77777777" w:rsidR="0088700C" w:rsidRPr="00B112A4" w:rsidRDefault="0088700C" w:rsidP="001C1E41">
      <w:pPr>
        <w:pStyle w:val="H23G"/>
        <w:rPr>
          <w:lang w:val="es-ES"/>
        </w:rPr>
      </w:pPr>
      <w:r w:rsidRPr="00B112A4">
        <w:rPr>
          <w:lang w:val="es-ES"/>
        </w:rPr>
        <w:tab/>
      </w:r>
      <w:r w:rsidRPr="00B112A4">
        <w:rPr>
          <w:lang w:val="es-ES"/>
        </w:rPr>
        <w:tab/>
        <w:t>Культура</w:t>
      </w:r>
    </w:p>
    <w:p w14:paraId="037FE37E" w14:textId="77777777" w:rsidR="0088700C" w:rsidRPr="00B112A4" w:rsidRDefault="0088700C" w:rsidP="0088700C">
      <w:pPr>
        <w:pStyle w:val="SingleTxtG"/>
        <w:rPr>
          <w:lang w:val="es-ES"/>
        </w:rPr>
      </w:pPr>
      <w:r w:rsidRPr="00B112A4">
        <w:rPr>
          <w:lang w:val="es-ES"/>
        </w:rPr>
        <w:t>53.</w:t>
      </w:r>
      <w:r w:rsidRPr="00B112A4">
        <w:rPr>
          <w:lang w:val="es-ES"/>
        </w:rPr>
        <w:tab/>
        <w:t>Согласно действующей Конституции 1978 года, государственные органы должны обеспечивать и поощрять широкий доступ к культуре для всех граждан и защищать культурное и языковое многообразие. Это означает, что государственные органы, не ограничиваясь лишь пассивными мерами защиты, обязаны содействовать культурному развитию общества в соответствии с общими интересами и обеспечивать доступ всех людей к культуре. За время, прошедшее после принятия Конституции, был пройден долгий путь в формировании инфраструктуры культуры, в содействии развитию творческих начал и в организации культурных мероприятий, и параллельно с этим росла потребность граждан в культуре. Этот процесс проходил весьма интенсивно и требовал больших усилий, поскольку исходные уровни были невысоки; стабилизация процесса наступила в середине 1990-х годов.</w:t>
      </w:r>
    </w:p>
    <w:p w14:paraId="5C46FCE3" w14:textId="77777777" w:rsidR="0088700C" w:rsidRPr="00B112A4" w:rsidRDefault="0088700C" w:rsidP="0088700C">
      <w:pPr>
        <w:pStyle w:val="SingleTxtG"/>
        <w:rPr>
          <w:lang w:val="es-ES"/>
        </w:rPr>
      </w:pPr>
      <w:r w:rsidRPr="00B112A4">
        <w:rPr>
          <w:lang w:val="es-ES"/>
        </w:rPr>
        <w:t>54.</w:t>
      </w:r>
      <w:r w:rsidRPr="00B112A4">
        <w:rPr>
          <w:lang w:val="es-ES"/>
        </w:rPr>
        <w:tab/>
        <w:t xml:space="preserve">За этот период были направлены значительные средства на развитие так называемых </w:t>
      </w:r>
      <w:r w:rsidR="00435B5F">
        <w:rPr>
          <w:lang w:val="es-ES"/>
        </w:rPr>
        <w:t>«</w:t>
      </w:r>
      <w:r w:rsidRPr="00B112A4">
        <w:rPr>
          <w:lang w:val="es-ES"/>
        </w:rPr>
        <w:t>ведущих учреждений культуры</w:t>
      </w:r>
      <w:r w:rsidR="00435B5F">
        <w:rPr>
          <w:lang w:val="es-ES"/>
        </w:rPr>
        <w:t>»</w:t>
      </w:r>
      <w:r w:rsidRPr="00B112A4">
        <w:rPr>
          <w:lang w:val="es-ES"/>
        </w:rPr>
        <w:t xml:space="preserve">. Существенная часть этих учреждений по праву занимает видное место на культурной карте мира: достаточно назвать хотя бы несколько музеев – Национальный музей </w:t>
      </w:r>
      <w:r w:rsidR="00435B5F">
        <w:rPr>
          <w:lang w:val="es-ES"/>
        </w:rPr>
        <w:t>«</w:t>
      </w:r>
      <w:r w:rsidRPr="00B112A4">
        <w:rPr>
          <w:lang w:val="es-ES"/>
        </w:rPr>
        <w:t>Центр искусств королевы Софии</w:t>
      </w:r>
      <w:r w:rsidR="00435B5F">
        <w:rPr>
          <w:lang w:val="es-ES"/>
        </w:rPr>
        <w:t>»</w:t>
      </w:r>
      <w:r w:rsidRPr="00B112A4">
        <w:rPr>
          <w:lang w:val="es-ES"/>
        </w:rPr>
        <w:t xml:space="preserve"> в Мадриде, Музей современного искусства в Барселоне, Валенсийский институт современного искусства, музей Гуггенхайма в Бильбао или приобретенную государством коллекцию Тиссена. Эти крупные центры наряду с такими известными музеями, как мадридский музей Прадо, в значительной мере способствовали развитию туризма в соответствующих городах. В частности, следует отметить музей Гуггенхайма, который дал стимул к всестороннему обновлению Бильбао и который сам является центром притяжения, благодаря чему через этот город стали проходить маршруты культурного туризма (внутреннего и внешнего), чего не было раньше. Также стоит отметить проводившуюся в течение всего рассматриваемого периода широкую децентрализацию, благодаря которой на всей территории Испании появились крупные культурные центры, достойные внимания.</w:t>
      </w:r>
    </w:p>
    <w:p w14:paraId="2A607F6F" w14:textId="77777777" w:rsidR="0088700C" w:rsidRPr="00B112A4" w:rsidRDefault="0088700C" w:rsidP="0088700C">
      <w:pPr>
        <w:pStyle w:val="SingleTxtG"/>
        <w:rPr>
          <w:lang w:val="es-ES"/>
        </w:rPr>
      </w:pPr>
      <w:r w:rsidRPr="00B112A4">
        <w:rPr>
          <w:lang w:val="es-ES"/>
        </w:rPr>
        <w:t>55.</w:t>
      </w:r>
      <w:r w:rsidRPr="00B112A4">
        <w:rPr>
          <w:lang w:val="es-ES"/>
        </w:rPr>
        <w:tab/>
        <w:t xml:space="preserve">Расходы на проведение культурных мероприятий берут на себя как центральные, так и территориальные органы власти (в том числе власти автономных сообществ и органы местного самоуправления), причем на органы местного самоуправления приходится почти две трети всех соответствующих расходов. </w:t>
      </w:r>
      <w:r w:rsidRPr="00B112A4">
        <w:rPr>
          <w:lang w:val="es-ES"/>
        </w:rPr>
        <w:lastRenderedPageBreak/>
        <w:t>Единственное, что обязаны делать муниципии с населением более 5 000 человек, – это содействовать функционированию публичных библиотек, хотя как правило эти органы активно занимаются организацией концертов, кинопоказов, театральных постановок и т.п. В целом следует отметить, что государство в централизованном порядке главным образом предоставляет лишь дотации на проведение культурных мероприятий, тогда как местные органы непосредственно организуют их в тех или иных масштабах, с учетом своих размеров и имеющихся средств. В результате наблюдавшегося в последние годы глубокого экономического кризиса положение дел существенно изменилось и потребовалось внести изменения в модель финансирования культуры. С одной стороны, были приняты меры по расширению участия в финансировании частного сектора и гражданского общества, а с другой – были значительно сокращены государственные расходы в большинстве секторов, в том числе расходы на культуру. В настоящее время эта тенденция меняется на противоположную, но за последнее десятилетие доля расходов на культуру в процентах от ВВП значительно уменьшилась.</w:t>
      </w:r>
    </w:p>
    <w:p w14:paraId="53059F89" w14:textId="77777777" w:rsidR="0088700C" w:rsidRPr="00B112A4" w:rsidRDefault="0088700C" w:rsidP="0088700C">
      <w:pPr>
        <w:pStyle w:val="SingleTxtG"/>
        <w:rPr>
          <w:lang w:val="es-ES"/>
        </w:rPr>
      </w:pPr>
      <w:r w:rsidRPr="00B112A4">
        <w:rPr>
          <w:lang w:val="es-ES"/>
        </w:rPr>
        <w:t>56.</w:t>
      </w:r>
      <w:r w:rsidRPr="00B112A4">
        <w:rPr>
          <w:lang w:val="es-ES"/>
        </w:rPr>
        <w:tab/>
        <w:t xml:space="preserve">Получили широкое развитие системы измерения результатов деятельности. Так, Министерство культуры и спорта издает </w:t>
      </w:r>
      <w:r w:rsidRPr="00121987">
        <w:rPr>
          <w:i/>
          <w:lang w:val="es-ES"/>
        </w:rPr>
        <w:t>Статистический ежегодник в области культуры</w:t>
      </w:r>
      <w:r w:rsidRPr="00435B5F">
        <w:rPr>
          <w:sz w:val="18"/>
          <w:szCs w:val="18"/>
          <w:vertAlign w:val="superscript"/>
          <w:lang w:val="es-ES"/>
        </w:rPr>
        <w:footnoteReference w:id="3"/>
      </w:r>
      <w:r w:rsidRPr="00B112A4">
        <w:rPr>
          <w:lang w:val="es-ES"/>
        </w:rPr>
        <w:t xml:space="preserve">, основная задача которого заключается в представлении выборки наиболее показательных данных из области культуры, что позволяет следить за изменением культурной ситуации в Испании, осознать социальную ценность культуры и ее роль как источника богатства и экономического развития испанского общества. Публикации </w:t>
      </w:r>
      <w:r w:rsidRPr="00121987">
        <w:rPr>
          <w:i/>
          <w:lang w:val="es-ES"/>
        </w:rPr>
        <w:t>Обзор досуговых предпочтений и практики культурного досуга</w:t>
      </w:r>
      <w:r w:rsidRPr="00B112A4">
        <w:rPr>
          <w:lang w:val="es-ES"/>
        </w:rPr>
        <w:t xml:space="preserve"> дают представление об участии граждан в разных проявлениях культурной жизни. Кроме того, Испания – одна из немногих стран мира, в которой составляется </w:t>
      </w:r>
      <w:r w:rsidRPr="00121987">
        <w:rPr>
          <w:i/>
          <w:lang w:val="es-ES"/>
        </w:rPr>
        <w:t>Вспомогательный счет культуры</w:t>
      </w:r>
      <w:r w:rsidRPr="00B112A4">
        <w:rPr>
          <w:lang w:val="es-ES"/>
        </w:rPr>
        <w:t xml:space="preserve"> (статистическая операция в рамках Системы национальных счетов, позволяющая оценить воздействие культуры на экономику страны в целом). Все эти источники позволяют получить обширную информацию. Согласно данным Вспомогательного счета культуры за 2010</w:t>
      </w:r>
      <w:r w:rsidR="00435B5F">
        <w:t>–</w:t>
      </w:r>
      <w:r w:rsidRPr="00B112A4">
        <w:rPr>
          <w:lang w:val="es-ES"/>
        </w:rPr>
        <w:t xml:space="preserve">2016 годы, доходы сектора индустрии культуры составили в 2017 году 2,5% ВВП Испании (с учетом деятельности в области правовой охраны интеллектуальной собственности </w:t>
      </w:r>
      <w:r w:rsidR="00435B5F">
        <w:t>–</w:t>
      </w:r>
      <w:r w:rsidRPr="00B112A4">
        <w:rPr>
          <w:lang w:val="es-ES"/>
        </w:rPr>
        <w:t xml:space="preserve"> 3,3%), что несколько ниже показателей предшествующих лет. Самый большой вклад вносит издательская деятельность, за ней следуют аудиовизуальный сектор и сектор мультимедиа. Что касается занятости, то для работников сектора культуры характерен относительно высокий уровень образования, по сравнению со средними показателями. В этой отрасли занято 3,7% от общей численности занятого населения. Что касается </w:t>
      </w:r>
      <w:r w:rsidR="00435B5F">
        <w:rPr>
          <w:lang w:val="es-ES"/>
        </w:rPr>
        <w:t>«</w:t>
      </w:r>
      <w:r w:rsidRPr="00B112A4">
        <w:rPr>
          <w:lang w:val="es-ES"/>
        </w:rPr>
        <w:t>потребления услуг культуры</w:t>
      </w:r>
      <w:r w:rsidR="00435B5F">
        <w:rPr>
          <w:lang w:val="es-ES"/>
        </w:rPr>
        <w:t>»</w:t>
      </w:r>
      <w:r w:rsidRPr="00B112A4">
        <w:rPr>
          <w:lang w:val="es-ES"/>
        </w:rPr>
        <w:t>, то средний уровень расходов на культуру в 2017 году снизился, по сравнению с предыдущим годом, и составил 2,5% от общих расходов на товары и услуги (в предыдущем году этот показатель составлял 2,7%) или 289 евро на человека.</w:t>
      </w:r>
    </w:p>
    <w:p w14:paraId="19C63F49" w14:textId="77777777" w:rsidR="0088700C" w:rsidRPr="00B112A4" w:rsidRDefault="0088700C" w:rsidP="0088700C">
      <w:pPr>
        <w:pStyle w:val="SingleTxtG"/>
        <w:rPr>
          <w:lang w:val="es-ES"/>
        </w:rPr>
      </w:pPr>
      <w:r w:rsidRPr="00B112A4">
        <w:rPr>
          <w:lang w:val="es-ES"/>
        </w:rPr>
        <w:t>57.</w:t>
      </w:r>
      <w:r w:rsidRPr="00B112A4">
        <w:rPr>
          <w:lang w:val="es-ES"/>
        </w:rPr>
        <w:tab/>
        <w:t xml:space="preserve">В Испании во всех отраслях культуры – в литературе, кино, музыке, театре, хореографии и </w:t>
      </w:r>
      <w:r w:rsidR="00B94DA4">
        <w:rPr>
          <w:lang w:val="es-ES"/>
        </w:rPr>
        <w:t>т. д.</w:t>
      </w:r>
      <w:r w:rsidRPr="00B112A4">
        <w:rPr>
          <w:lang w:val="es-ES"/>
        </w:rPr>
        <w:t xml:space="preserve"> – работают деятели высочайшего уровня, завоевавшие международное признание. К их числу следует также отнести специалистов из других сфер, пришедших в культуру или, в более широком смысле, в </w:t>
      </w:r>
      <w:r w:rsidR="00435B5F">
        <w:rPr>
          <w:lang w:val="es-ES"/>
        </w:rPr>
        <w:t>«</w:t>
      </w:r>
      <w:r w:rsidRPr="00B112A4">
        <w:rPr>
          <w:lang w:val="es-ES"/>
        </w:rPr>
        <w:t>отрасли культуры и творчества</w:t>
      </w:r>
      <w:r w:rsidR="00435B5F">
        <w:rPr>
          <w:lang w:val="es-ES"/>
        </w:rPr>
        <w:t>»</w:t>
      </w:r>
      <w:r w:rsidRPr="00B112A4">
        <w:rPr>
          <w:lang w:val="es-ES"/>
        </w:rPr>
        <w:t xml:space="preserve"> (среди них – гастрономия, дизайн и мода, видеоигры и архитектура), среди которых также имеются выдающиеся деятели. Фактически культура является стратегически важным сектором для продвижения национального </w:t>
      </w:r>
      <w:r w:rsidR="00435B5F">
        <w:rPr>
          <w:lang w:val="es-ES"/>
        </w:rPr>
        <w:t>«</w:t>
      </w:r>
      <w:r w:rsidRPr="00B112A4">
        <w:rPr>
          <w:lang w:val="es-ES"/>
        </w:rPr>
        <w:t>бренда Испании</w:t>
      </w:r>
      <w:r w:rsidR="00435B5F">
        <w:rPr>
          <w:lang w:val="es-ES"/>
        </w:rPr>
        <w:t>»</w:t>
      </w:r>
      <w:r w:rsidRPr="00B112A4">
        <w:rPr>
          <w:lang w:val="es-ES"/>
        </w:rPr>
        <w:t xml:space="preserve"> на международном уровне, и одним из ее величайших достояний является испанский язык, на котором говорят 500 млн человек и который по распространенности занимает второе место в мире (отстает лишь от китайского языка и распространяется высокими темпами). Потенциал испанского языка наряду с демографическим фактором определяется еще двумя обстоятельствами – его широкой функциональностью (в</w:t>
      </w:r>
      <w:r w:rsidR="00435B5F">
        <w:t> </w:t>
      </w:r>
      <w:r w:rsidRPr="00B112A4">
        <w:rPr>
          <w:lang w:val="es-ES"/>
        </w:rPr>
        <w:t>качестве языка международного общения испанский занимает устойчивое положение на международной арене, обеспечивая перспективы международного практического применения тем, кто его изучает) и его признанной культурной значимостью (владение испанским языком открывает доступ к произведениям культуры, создаваемым всеми испаноязычными странами в любых формах</w:t>
      </w:r>
      <w:r w:rsidR="00435B5F">
        <w:t> </w:t>
      </w:r>
      <w:r w:rsidRPr="00B112A4">
        <w:rPr>
          <w:lang w:val="es-ES"/>
        </w:rPr>
        <w:t xml:space="preserve">– </w:t>
      </w:r>
      <w:r w:rsidRPr="00B112A4">
        <w:rPr>
          <w:lang w:val="es-ES"/>
        </w:rPr>
        <w:lastRenderedPageBreak/>
        <w:t>в</w:t>
      </w:r>
      <w:r w:rsidR="00435B5F">
        <w:t> </w:t>
      </w:r>
      <w:r w:rsidRPr="00B112A4">
        <w:rPr>
          <w:lang w:val="es-ES"/>
        </w:rPr>
        <w:t xml:space="preserve">литературе, артистическом творчестве, кинематографии и </w:t>
      </w:r>
      <w:r w:rsidR="00B94DA4">
        <w:rPr>
          <w:lang w:val="es-ES"/>
        </w:rPr>
        <w:t>т. д.</w:t>
      </w:r>
      <w:r w:rsidRPr="00B112A4">
        <w:rPr>
          <w:lang w:val="es-ES"/>
        </w:rPr>
        <w:t>). Одним из ведущих учреждений культуры, о которых следует упомянуть, является Институт Сервантеса, учрежденный в 1991 году. В сеть Института входят 87 центров в 44 странах мира. На</w:t>
      </w:r>
      <w:r w:rsidR="00435B5F">
        <w:t> </w:t>
      </w:r>
      <w:r w:rsidRPr="00B112A4">
        <w:rPr>
          <w:lang w:val="es-ES"/>
        </w:rPr>
        <w:t>него возложена конкретная миссия пропаганды испанского языка и культуры. Аналогичные учреждения культуры соседних стран начали функционировать гораздо раньше, и Институту Сервантеса предстоит еще многое сделать для расширения сферы своей деятельности.</w:t>
      </w:r>
    </w:p>
    <w:p w14:paraId="6576984D" w14:textId="77777777" w:rsidR="0088700C" w:rsidRPr="00B112A4" w:rsidRDefault="0088700C" w:rsidP="0088700C">
      <w:pPr>
        <w:pStyle w:val="SingleTxtG"/>
        <w:rPr>
          <w:lang w:val="es-ES"/>
        </w:rPr>
      </w:pPr>
      <w:r w:rsidRPr="00B112A4">
        <w:rPr>
          <w:lang w:val="es-ES"/>
        </w:rPr>
        <w:t>58.</w:t>
      </w:r>
      <w:r w:rsidRPr="00B112A4">
        <w:rPr>
          <w:lang w:val="es-ES"/>
        </w:rPr>
        <w:tab/>
        <w:t xml:space="preserve">Следует отметить изменения, происходящие под влиянием использования современных технологий как в области потребления услуг культуры, так и в области художественного творчества. Согласно статистическим данным, около 77,7% домохозяйств имеют доступ к Интернету, что ставит перед поставщиками услуг новые задачи – от оцифровки фондов (значительная часть фондов музеев и библиотек доступна для публики, а в некоторых случаях даже существует услуга по предоставлению в аренду цифровых устройств для чтения) до изменения моделей потребительского поведения. Для эффективной борьбы с пиратством принимаются меры, согласованные между государственными органами и секторами, представляющими интересы обладателей авторских прав или авторов. Спектр таких мер довольно широк - от образовательных мероприятий и рекламных кампаний до более жестких меры принуждения. Еще одной сферой деятельности такого рода является увеличение предложения легально доступного контента в Интернете.  Также учрежден почетный знак </w:t>
      </w:r>
      <w:r w:rsidR="00435B5F">
        <w:rPr>
          <w:lang w:val="es-ES"/>
        </w:rPr>
        <w:t>«</w:t>
      </w:r>
      <w:r w:rsidRPr="00B112A4">
        <w:rPr>
          <w:lang w:val="es-ES"/>
        </w:rPr>
        <w:t>Положительная культура</w:t>
      </w:r>
      <w:r w:rsidR="00435B5F">
        <w:rPr>
          <w:lang w:val="es-ES"/>
        </w:rPr>
        <w:t>»</w:t>
      </w:r>
      <w:r w:rsidRPr="00B112A4">
        <w:rPr>
          <w:lang w:val="es-ES"/>
        </w:rPr>
        <w:t>, которым отмечают организации и учреждения, соблюдающие права интеллектуальной собственности и законопослушно пользующиеся Интернетом.</w:t>
      </w:r>
    </w:p>
    <w:p w14:paraId="11BDB870" w14:textId="77777777" w:rsidR="0088700C" w:rsidRPr="00B112A4" w:rsidRDefault="0088700C" w:rsidP="0088700C">
      <w:pPr>
        <w:pStyle w:val="SingleTxtG"/>
        <w:rPr>
          <w:lang w:val="es-ES"/>
        </w:rPr>
      </w:pPr>
      <w:r w:rsidRPr="00B112A4">
        <w:rPr>
          <w:lang w:val="es-ES"/>
        </w:rPr>
        <w:t>59.</w:t>
      </w:r>
      <w:r w:rsidRPr="00B112A4">
        <w:rPr>
          <w:lang w:val="es-ES"/>
        </w:rPr>
        <w:tab/>
        <w:t xml:space="preserve">В последние годы особое внимание уделяется – и весьма успешно – развитию культурного туризма, который дополняет массовый пляжный туризм, традиционно пользующийся популярностью на протяжении более пятидесяти лет.  Предложение соответствующих услуг уже достаточно хорошо разработано, и Министерство культуры и спорта недавно подписало соглашение с Министерством промышленности, торговли и туризма, касающееся, в частности, продвижения следующих направлений культурного туризма: музеи, основные культурные маршруты и направления, объекты всемирного наследия, проявления нематериального культурного наследия, Испания как место для обучения, Испания как съемочная площадка для индустрии кино, литературные маршруты, известные на международном уровне, Путь святого Иакова и объекты современного изобразительного искусства. Также важно отметить интернет-портал Министерства культуры и спорта </w:t>
      </w:r>
      <w:r w:rsidRPr="00EF6A1C">
        <w:rPr>
          <w:i/>
          <w:lang w:val="es-ES"/>
        </w:rPr>
        <w:t>Испания – это культура</w:t>
      </w:r>
      <w:r w:rsidRPr="00B112A4">
        <w:rPr>
          <w:lang w:val="es-ES"/>
        </w:rPr>
        <w:t xml:space="preserve"> (</w:t>
      </w:r>
      <w:r w:rsidRPr="00EF6A1C">
        <w:rPr>
          <w:i/>
          <w:lang w:val="es-ES"/>
        </w:rPr>
        <w:t>Spain Is Culture</w:t>
      </w:r>
      <w:r w:rsidRPr="00B112A4">
        <w:rPr>
          <w:lang w:val="es-ES"/>
        </w:rPr>
        <w:t>), на котором приводится географическая, сезонная, тематическая, а также логистическая информация. Эта</w:t>
      </w:r>
      <w:r w:rsidR="00435B5F">
        <w:t> </w:t>
      </w:r>
      <w:r w:rsidRPr="00B112A4">
        <w:rPr>
          <w:lang w:val="es-ES"/>
        </w:rPr>
        <w:t>платформа будет обновлена в 2019 году. Данные по культурному туризму очень обнадеживают: в 2017 году по мотивам культурного туризма было совершено 12,8% всех поездок, совершенных жителями Испании, и 18,1% поездок иностранных граждан. Следует также отметить, что расходы на поездки такого рода были выше средних и составили 6 747,7 млн евро для жителей Испании и 13 923,6 млн евро для въезжающих на территорию страны иностранных туристов.</w:t>
      </w:r>
    </w:p>
    <w:p w14:paraId="36595AD5" w14:textId="77777777" w:rsidR="0088700C" w:rsidRPr="00B112A4" w:rsidRDefault="0088700C" w:rsidP="0088700C">
      <w:pPr>
        <w:pStyle w:val="SingleTxtG"/>
        <w:rPr>
          <w:lang w:val="es-ES"/>
        </w:rPr>
      </w:pPr>
      <w:r w:rsidRPr="00B112A4">
        <w:rPr>
          <w:lang w:val="es-ES"/>
        </w:rPr>
        <w:t>60.</w:t>
      </w:r>
      <w:r w:rsidRPr="00B112A4">
        <w:rPr>
          <w:lang w:val="es-ES"/>
        </w:rPr>
        <w:tab/>
        <w:t xml:space="preserve">Испания занимает третье место в мире по числу объектов, внесенных в Список объектов всемирного наследия Организации Объединенных Наций по вопросам образования, науки и культуры (ЮНЕСКО). Одной из самых серьезных задач страны является повышение качества управления этими объектами и их интеграция в общество, основанное на знаниях: действительно, применение цифровых технологий и, прежде всего, обеспечение доступа к информации об этих объектах через Интернет являются наиболее экономичными и демократичными способами пропаганды культуры, и на эти цели в последние годы выделялись значительные государственные средства. Одним из наиболее эффективных инструментов управления объектами культуры являются так называемые национальные планы (НП), выполняемые под руководством Института культурного наследия Испании, при сотрудничестве с административными органами и различными государственными и частными </w:t>
      </w:r>
      <w:r w:rsidRPr="00B112A4">
        <w:rPr>
          <w:lang w:val="es-ES"/>
        </w:rPr>
        <w:lastRenderedPageBreak/>
        <w:t>структурами. Насчитывается в общей сложности четырнадцать</w:t>
      </w:r>
      <w:r w:rsidRPr="00435B5F">
        <w:rPr>
          <w:sz w:val="18"/>
          <w:szCs w:val="18"/>
          <w:vertAlign w:val="superscript"/>
          <w:lang w:val="es-ES"/>
        </w:rPr>
        <w:footnoteReference w:id="4"/>
      </w:r>
      <w:r w:rsidRPr="00B112A4">
        <w:rPr>
          <w:lang w:val="es-ES"/>
        </w:rPr>
        <w:t xml:space="preserve"> упомянутых планов. Существуют национальные планы в отношении соборов, в отношении промышленного наследия, в отношении культурного ландшафта, в отношении культурного наследия ХХ века, в отношении замков и Национальный план в отношении объектов всемирного наследия. Общим для всех национальных планов является то, что они направлены на решение задач, касающихся, с одной стороны, использования огромных ресурсов культурного наследия в качестве механизма пропаганды испанской идентичности и ее отличительной самобытности, а с другой - сохранения и защиты культурного наследия при одновременной реализации экономического потенциала культурного наследия по линии туризма. В терминах ЮНЕСКО, речь идет о балансе между </w:t>
      </w:r>
      <w:r w:rsidR="00435B5F">
        <w:rPr>
          <w:lang w:val="es-ES"/>
        </w:rPr>
        <w:t>«</w:t>
      </w:r>
      <w:r w:rsidRPr="00B112A4">
        <w:rPr>
          <w:lang w:val="es-ES"/>
        </w:rPr>
        <w:t>хрупким богатством</w:t>
      </w:r>
      <w:r w:rsidR="00435B5F">
        <w:rPr>
          <w:lang w:val="es-ES"/>
        </w:rPr>
        <w:t>»</w:t>
      </w:r>
      <w:r w:rsidRPr="00B112A4">
        <w:rPr>
          <w:lang w:val="es-ES"/>
        </w:rPr>
        <w:t xml:space="preserve"> объектов культурного наследия и их использованием или эксплуатацией гражданами.</w:t>
      </w:r>
    </w:p>
    <w:p w14:paraId="1CFE756C" w14:textId="77777777" w:rsidR="0088700C" w:rsidRPr="00B112A4" w:rsidRDefault="0088700C" w:rsidP="0088700C">
      <w:pPr>
        <w:pStyle w:val="SingleTxtG"/>
        <w:rPr>
          <w:lang w:val="es-ES"/>
        </w:rPr>
      </w:pPr>
      <w:r w:rsidRPr="00B112A4">
        <w:rPr>
          <w:lang w:val="es-ES"/>
        </w:rPr>
        <w:t>61.</w:t>
      </w:r>
      <w:r w:rsidRPr="00B112A4">
        <w:rPr>
          <w:lang w:val="es-ES"/>
        </w:rPr>
        <w:tab/>
        <w:t xml:space="preserve">Испанские музеи находятся в ведении государственных ведомств, автономных сообществ или местных органов. Они пользуются прекрасной репутацией и в последние годы активно работают над цифровизацией своих фондов. Через веб-сайт Министерства культуры и спорта можно виртуально посетить 12 государственных музеев (в подавляющем большинстве автономных сообществ также имеется аналогичный доступ к их музеям), а также ознакомиться с общим каталогом библиографических коллекций соответствующих музеев. В последние годы были созданы виртуальные музейные экспозиции и разработаны различные мобильные приложения, позволяющие получить доступ к музейным гидам и совершать виртуальные экскурсии. Помимо этого в сети функционирует платформа </w:t>
      </w:r>
      <w:r w:rsidRPr="00C51CD9">
        <w:rPr>
          <w:i/>
          <w:lang w:val="es-ES"/>
        </w:rPr>
        <w:t>CER.colecciones</w:t>
      </w:r>
      <w:r w:rsidRPr="00B112A4">
        <w:rPr>
          <w:lang w:val="es-ES"/>
        </w:rPr>
        <w:t xml:space="preserve">, с помощью которой можно посетить 113 музеев. Началась реализация программы </w:t>
      </w:r>
      <w:r w:rsidRPr="00C51CD9">
        <w:rPr>
          <w:i/>
          <w:lang w:val="es-ES"/>
        </w:rPr>
        <w:t>Музеи + социальные службы</w:t>
      </w:r>
      <w:r w:rsidRPr="00B112A4">
        <w:rPr>
          <w:lang w:val="es-ES"/>
        </w:rPr>
        <w:t>, способствующей укреплению связей музеев с населением, в том числе направленной на повышение доступности музеев для групп населения, находящихся в наиболее неблагоприятном положении. По данным за 2018</w:t>
      </w:r>
      <w:r w:rsidR="009A5D34">
        <w:t> </w:t>
      </w:r>
      <w:r w:rsidRPr="00B112A4">
        <w:rPr>
          <w:lang w:val="es-ES"/>
        </w:rPr>
        <w:t xml:space="preserve">год, примерно миллион или более миллиона человек посетили следующие музеи: Национальный музей </w:t>
      </w:r>
      <w:r w:rsidR="00435B5F">
        <w:rPr>
          <w:lang w:val="es-ES"/>
        </w:rPr>
        <w:t>«</w:t>
      </w:r>
      <w:r w:rsidRPr="00B112A4">
        <w:rPr>
          <w:lang w:val="es-ES"/>
        </w:rPr>
        <w:t>Центр искусств королевы Софии</w:t>
      </w:r>
      <w:r w:rsidR="00435B5F">
        <w:rPr>
          <w:lang w:val="es-ES"/>
        </w:rPr>
        <w:t>»</w:t>
      </w:r>
      <w:r w:rsidRPr="00B112A4">
        <w:rPr>
          <w:lang w:val="es-ES"/>
        </w:rPr>
        <w:t xml:space="preserve"> в Мадриде</w:t>
      </w:r>
      <w:r w:rsidR="00252A39">
        <w:t> </w:t>
      </w:r>
      <w:r w:rsidRPr="00B112A4">
        <w:rPr>
          <w:lang w:val="es-ES"/>
        </w:rPr>
        <w:t>– 3 898</w:t>
      </w:r>
      <w:r w:rsidR="009A5D34">
        <w:rPr>
          <w:lang w:val="es-ES"/>
        </w:rPr>
        <w:t> </w:t>
      </w:r>
      <w:r w:rsidRPr="00B112A4">
        <w:rPr>
          <w:lang w:val="es-ES"/>
        </w:rPr>
        <w:t>000</w:t>
      </w:r>
      <w:r w:rsidR="009A5D34">
        <w:t> </w:t>
      </w:r>
      <w:r w:rsidRPr="00B112A4">
        <w:rPr>
          <w:lang w:val="es-ES"/>
        </w:rPr>
        <w:t>человек, музей Прадо – 2 900 000 человек, музеи Дали</w:t>
      </w:r>
      <w:r w:rsidR="00435B5F">
        <w:t> </w:t>
      </w:r>
      <w:r w:rsidRPr="00B112A4">
        <w:rPr>
          <w:lang w:val="es-ES"/>
        </w:rPr>
        <w:t>– 1 336</w:t>
      </w:r>
      <w:r w:rsidR="00435B5F">
        <w:rPr>
          <w:lang w:val="es-ES"/>
        </w:rPr>
        <w:t> </w:t>
      </w:r>
      <w:r w:rsidRPr="00B112A4">
        <w:rPr>
          <w:lang w:val="es-ES"/>
        </w:rPr>
        <w:t>000</w:t>
      </w:r>
      <w:r w:rsidR="00435B5F">
        <w:t> </w:t>
      </w:r>
      <w:r w:rsidRPr="00B112A4">
        <w:rPr>
          <w:lang w:val="es-ES"/>
        </w:rPr>
        <w:t>человек, музей Гуггенхайма в Бильбао – 1 265 000 человек, и Фонд Тиссена</w:t>
      </w:r>
      <w:r w:rsidR="00435B5F">
        <w:t> </w:t>
      </w:r>
      <w:r w:rsidRPr="00B112A4">
        <w:rPr>
          <w:lang w:val="es-ES"/>
        </w:rPr>
        <w:t>– 906 000 человек. Являющиеся Национальным достоянием королевские дворцы и парки посетили 3</w:t>
      </w:r>
      <w:r w:rsidR="00252A39">
        <w:t> </w:t>
      </w:r>
      <w:r w:rsidRPr="00B112A4">
        <w:rPr>
          <w:lang w:val="es-ES"/>
        </w:rPr>
        <w:t>530</w:t>
      </w:r>
      <w:r w:rsidR="00252A39">
        <w:t> </w:t>
      </w:r>
      <w:r w:rsidRPr="00B112A4">
        <w:rPr>
          <w:lang w:val="es-ES"/>
        </w:rPr>
        <w:t>000 человек, а 16 государственных музеев – в общей сложности 3</w:t>
      </w:r>
      <w:r w:rsidR="00252A39">
        <w:t> </w:t>
      </w:r>
      <w:r w:rsidRPr="00B112A4">
        <w:rPr>
          <w:lang w:val="es-ES"/>
        </w:rPr>
        <w:t>013</w:t>
      </w:r>
      <w:r w:rsidR="00252A39">
        <w:rPr>
          <w:lang w:val="es-ES"/>
        </w:rPr>
        <w:t> </w:t>
      </w:r>
      <w:r w:rsidRPr="00B112A4">
        <w:rPr>
          <w:lang w:val="es-ES"/>
        </w:rPr>
        <w:t>000</w:t>
      </w:r>
      <w:r w:rsidR="00252A39">
        <w:t> </w:t>
      </w:r>
      <w:r w:rsidRPr="00B112A4">
        <w:rPr>
          <w:lang w:val="es-ES"/>
        </w:rPr>
        <w:t>человек, в том числе Национальный археологический музей посетили 516</w:t>
      </w:r>
      <w:r w:rsidR="00435B5F">
        <w:t> </w:t>
      </w:r>
      <w:r w:rsidRPr="00B112A4">
        <w:rPr>
          <w:lang w:val="es-ES"/>
        </w:rPr>
        <w:t>000 человек.</w:t>
      </w:r>
    </w:p>
    <w:p w14:paraId="68EB741E" w14:textId="77777777" w:rsidR="0088700C" w:rsidRPr="00B112A4" w:rsidRDefault="0088700C" w:rsidP="0088700C">
      <w:pPr>
        <w:pStyle w:val="SingleTxtG"/>
        <w:rPr>
          <w:lang w:val="es-ES"/>
        </w:rPr>
      </w:pPr>
      <w:r w:rsidRPr="00B112A4">
        <w:rPr>
          <w:lang w:val="es-ES"/>
        </w:rPr>
        <w:t>62.</w:t>
      </w:r>
      <w:r w:rsidRPr="00B112A4">
        <w:rPr>
          <w:lang w:val="es-ES"/>
        </w:rPr>
        <w:tab/>
        <w:t>Сектор книгоиздания и издательского дела остается наиболее производительной отраслью индустрии культуры в Испании даже сегодня, когда он пострадал, с одной стороны, от долгого экономического кризиса, а с другой – от</w:t>
      </w:r>
      <w:r w:rsidR="00435B5F">
        <w:t> </w:t>
      </w:r>
      <w:r w:rsidRPr="00B112A4">
        <w:rPr>
          <w:lang w:val="es-ES"/>
        </w:rPr>
        <w:t xml:space="preserve">изменения модели книгоиздания вследствие распространения электронных книг. Однако и в этой ситуации указанный сектор продолжает оставаться прибыльным, и только в этом секторе поступления от экспорта в два раза превышают расходы на импорт. Этому способствует такой уже упоминавшийся позитивный фактор, как язык, который обеспечивает обширный рынок без дополнительных затрат. Успеху сектора способствует также высокий престиж многочисленных испанских авторов, а также издателей испаноязычных стран Латинской Америки, выпускающих свои книги в издательствах Испании. </w:t>
      </w:r>
    </w:p>
    <w:p w14:paraId="2BD29278" w14:textId="77777777" w:rsidR="0088700C" w:rsidRPr="00B112A4" w:rsidRDefault="0088700C" w:rsidP="0088700C">
      <w:pPr>
        <w:pStyle w:val="SingleTxtG"/>
        <w:rPr>
          <w:lang w:val="es-ES"/>
        </w:rPr>
      </w:pPr>
      <w:r w:rsidRPr="00B112A4">
        <w:rPr>
          <w:lang w:val="es-ES"/>
        </w:rPr>
        <w:t>63.</w:t>
      </w:r>
      <w:r w:rsidRPr="00B112A4">
        <w:rPr>
          <w:lang w:val="es-ES"/>
        </w:rPr>
        <w:tab/>
        <w:t>Следует отметить, что в Испании имеется 6 636 библиотек, из которых 4</w:t>
      </w:r>
      <w:r w:rsidR="00435B5F">
        <w:t> </w:t>
      </w:r>
      <w:r w:rsidRPr="00B112A4">
        <w:rPr>
          <w:lang w:val="es-ES"/>
        </w:rPr>
        <w:t>035</w:t>
      </w:r>
      <w:r w:rsidR="00435B5F">
        <w:t> </w:t>
      </w:r>
      <w:r w:rsidRPr="00B112A4">
        <w:rPr>
          <w:lang w:val="es-ES"/>
        </w:rPr>
        <w:t>находятся в государственной собственности, а остальные являются частными, университетскими или принадлежат каким-либо иным структурам. Соотношение количества библиотек и численности населения практически не изменилось: в</w:t>
      </w:r>
      <w:r w:rsidR="00435B5F">
        <w:t> </w:t>
      </w:r>
      <w:r w:rsidRPr="00B112A4">
        <w:rPr>
          <w:lang w:val="es-ES"/>
        </w:rPr>
        <w:t>2016</w:t>
      </w:r>
      <w:r w:rsidR="00435B5F">
        <w:t> </w:t>
      </w:r>
      <w:r w:rsidRPr="00B112A4">
        <w:rPr>
          <w:lang w:val="es-ES"/>
        </w:rPr>
        <w:t xml:space="preserve">году на 100 000 жителей приходилось 14,3 библиотеки. Как уже отмечалось выше, в муниципиях с численностью населения более 5 000 человек библиотеки создаются в обязательном порядке. В стране имеется широкая сеть библиотек, и в настоящее время ведется работа по предложению населению новых видов библиотечных услуг, таких как, например, доступ к каталогу по Интернету, межбиблиотечный обмен фондами, прокат электронных книг, а зачастую и устройств </w:t>
      </w:r>
      <w:r w:rsidRPr="00B112A4">
        <w:rPr>
          <w:lang w:val="es-ES"/>
        </w:rPr>
        <w:lastRenderedPageBreak/>
        <w:t xml:space="preserve">для их чтения и </w:t>
      </w:r>
      <w:r w:rsidR="00B94DA4">
        <w:rPr>
          <w:lang w:val="es-ES"/>
        </w:rPr>
        <w:t>т. д.</w:t>
      </w:r>
      <w:r w:rsidRPr="00B112A4">
        <w:rPr>
          <w:lang w:val="es-ES"/>
        </w:rPr>
        <w:t xml:space="preserve"> В некоторых библиотеках также действует прокат аудиовизуальных и других материалов. Реализуется амбициозный план Министерства культуры и спорта по содействию книгоизданию и чтению на 2017</w:t>
      </w:r>
      <w:r w:rsidR="00435B5F">
        <w:t>–</w:t>
      </w:r>
      <w:r w:rsidRPr="00B112A4">
        <w:rPr>
          <w:lang w:val="es-ES"/>
        </w:rPr>
        <w:t>2020 годы</w:t>
      </w:r>
      <w:r w:rsidRPr="00435B5F">
        <w:rPr>
          <w:sz w:val="18"/>
          <w:szCs w:val="18"/>
          <w:vertAlign w:val="superscript"/>
          <w:lang w:val="es-ES"/>
        </w:rPr>
        <w:footnoteReference w:id="5"/>
      </w:r>
      <w:r w:rsidRPr="00B112A4">
        <w:rPr>
          <w:lang w:val="es-ES"/>
        </w:rPr>
        <w:t xml:space="preserve"> под девизом </w:t>
      </w:r>
      <w:r w:rsidR="00435B5F">
        <w:rPr>
          <w:lang w:val="es-ES"/>
        </w:rPr>
        <w:t>«</w:t>
      </w:r>
      <w:r w:rsidRPr="00B112A4">
        <w:rPr>
          <w:lang w:val="es-ES"/>
        </w:rPr>
        <w:t>Чтение дает вам дополнительный жизненный опыт</w:t>
      </w:r>
      <w:r w:rsidR="00435B5F">
        <w:rPr>
          <w:lang w:val="es-ES"/>
        </w:rPr>
        <w:t>»</w:t>
      </w:r>
      <w:r w:rsidRPr="00B112A4">
        <w:rPr>
          <w:lang w:val="es-ES"/>
        </w:rPr>
        <w:t>.</w:t>
      </w:r>
    </w:p>
    <w:p w14:paraId="4849CAD4" w14:textId="77777777" w:rsidR="0088700C" w:rsidRPr="00B112A4" w:rsidRDefault="0088700C" w:rsidP="0088700C">
      <w:pPr>
        <w:pStyle w:val="SingleTxtG"/>
        <w:rPr>
          <w:lang w:val="es-ES"/>
        </w:rPr>
      </w:pPr>
      <w:r w:rsidRPr="00B112A4">
        <w:rPr>
          <w:lang w:val="es-ES"/>
        </w:rPr>
        <w:t>64.</w:t>
      </w:r>
      <w:r w:rsidRPr="00B112A4">
        <w:rPr>
          <w:lang w:val="es-ES"/>
        </w:rPr>
        <w:tab/>
        <w:t>Исполнительские виды искусства и музыка – это сферы, управление которыми осуществляется через Национальный институт исполнительских искусств и музыки (НИИИМ) - находящийся в ведении Министерства культуры и спорта независимый орган, в рамках которого функционируют несколько продюсерских компаний и который стимулирует развитие этого сектора и его интернационализацию посредством оказания помощи по различным направлениям. В рамках НИИИМ осуществляет свою деятельность Государственный совет по исполнительскому искусству и музыке, который при содействии музыкального, театрального, танцевального и циркового секторов определяет приоритеты культурной политики в соответствующих областях. Реализуются новые программы, такие как разработанная в 2013 году программа ПЛАТЕА, целью которой является создание каталога культурных мероприятий, который можно распространять по всей Испании, предлагая качественные шоу, обеспечивая их доступность для широкой публики и оказывая поддержку соответствующему сектору. В 2016 году к программе присоединились 162</w:t>
      </w:r>
      <w:r w:rsidR="00435B5F">
        <w:t> </w:t>
      </w:r>
      <w:r w:rsidRPr="00B112A4">
        <w:rPr>
          <w:lang w:val="es-ES"/>
        </w:rPr>
        <w:t>местных учреждения и 283 художественных коллектива, организовавших 876</w:t>
      </w:r>
      <w:r w:rsidR="00435B5F">
        <w:t> </w:t>
      </w:r>
      <w:r w:rsidRPr="00B112A4">
        <w:rPr>
          <w:lang w:val="es-ES"/>
        </w:rPr>
        <w:t>выступлений, которые посетили 203 889 зрителей.</w:t>
      </w:r>
    </w:p>
    <w:p w14:paraId="51F6FA8F" w14:textId="77777777" w:rsidR="0088700C" w:rsidRPr="00B112A4" w:rsidRDefault="0088700C" w:rsidP="0088700C">
      <w:pPr>
        <w:pStyle w:val="SingleTxtG"/>
        <w:rPr>
          <w:lang w:val="es-ES"/>
        </w:rPr>
      </w:pPr>
      <w:r w:rsidRPr="00B112A4">
        <w:rPr>
          <w:lang w:val="es-ES"/>
        </w:rPr>
        <w:t>65.</w:t>
      </w:r>
      <w:r w:rsidRPr="00B112A4">
        <w:rPr>
          <w:lang w:val="es-ES"/>
        </w:rPr>
        <w:tab/>
        <w:t>В 2018 году Конгресс депутатов единогласно утвердил доклад о разработке Статуса представителей творческих профессий, представляющий собой дорожную карту для законодателей, с тем, чтобы они могли учитывать особые характеристики творческой работы и необходимость выработки для творческих работников специальных норм. На этой основе в конце декабря 2018 года была принята норма законодательства (Королевский указ от 28 декабря, в котором устанавливается принятие срочных мер, касающиеся художественного творчества), предусматривающая изменения, которые призваны усовершенствовать налогообложение сектора, защиту труда и социальное обеспечение (пенсионное страхование), а также урегулировать совместимость пенсионных выплат и выплат авторского вознаграждения.</w:t>
      </w:r>
    </w:p>
    <w:p w14:paraId="0AF72E19" w14:textId="77777777" w:rsidR="0088700C" w:rsidRPr="00B112A4" w:rsidRDefault="0088700C" w:rsidP="0088700C">
      <w:pPr>
        <w:pStyle w:val="SingleTxtG"/>
        <w:rPr>
          <w:lang w:val="es-ES"/>
        </w:rPr>
      </w:pPr>
      <w:r w:rsidRPr="00B112A4">
        <w:rPr>
          <w:lang w:val="es-ES"/>
        </w:rPr>
        <w:t>66.</w:t>
      </w:r>
      <w:r w:rsidRPr="00B112A4">
        <w:rPr>
          <w:lang w:val="es-ES"/>
        </w:rPr>
        <w:tab/>
        <w:t>В течение уже многих лет киноиндустрия переживает глубокие преобразования, затрагивающие все ее сферы, начиная с производства и используемых технологий, и учитывающие радикально изменившиеся привычки и ожидания зрителей. Упрощение процессов и снижение затрат позволили обеспечить развитие кинопроизводства, несмотря на неблагоприятные экономические обстоятельства. Институт кинематографии и аудиовизуальных искусств (ИКАИ) Министерства культуры и спорта осуществляет частичное финансирование проектов либо за счет собственных средств, либо через кредитные учреждения на льготных условиях, либо способствуя привлечению средств из частного сектора, не имеющего отношения к аудиовизуальной сфере. Недавно была утверждена новая правовая база, которая призвана совершенствовать ныне осуществляемую деятельность ИКАИ и адаптировать ее к новым реалиям. Что касается конкретных данных, то за последние пять лет число продюсерских компаний значительно увеличилось, как и количество отснятых полнометражных и короткометражных фильмов; средние расходы на производство полнометражного фильма несколько увеличились (в 2017 году они составили 3,1 млн евро). Единственное, что сократилось – это количество кинотеатров и экранов: в 2013 году насчитывалось 777 кинотеатров и 3 908 экранов, а в 2017 году</w:t>
      </w:r>
      <w:r w:rsidR="00435B5F">
        <w:t> –</w:t>
      </w:r>
      <w:r w:rsidRPr="00B112A4">
        <w:rPr>
          <w:lang w:val="es-ES"/>
        </w:rPr>
        <w:t xml:space="preserve"> 721 кинотеатр и 3 554 экрана.</w:t>
      </w:r>
    </w:p>
    <w:p w14:paraId="47B02902" w14:textId="77777777" w:rsidR="0088700C" w:rsidRPr="00B112A4" w:rsidRDefault="0088700C" w:rsidP="001C1E41">
      <w:pPr>
        <w:pStyle w:val="H23G"/>
        <w:rPr>
          <w:lang w:val="es-ES"/>
        </w:rPr>
      </w:pPr>
      <w:r w:rsidRPr="00B112A4">
        <w:rPr>
          <w:lang w:val="es-ES"/>
        </w:rPr>
        <w:tab/>
      </w:r>
      <w:r w:rsidRPr="00B112A4">
        <w:rPr>
          <w:lang w:val="es-ES"/>
        </w:rPr>
        <w:tab/>
        <w:t>Жилье</w:t>
      </w:r>
    </w:p>
    <w:p w14:paraId="4C2206D8" w14:textId="77777777" w:rsidR="0088700C" w:rsidRPr="00B112A4" w:rsidRDefault="0088700C" w:rsidP="0088700C">
      <w:pPr>
        <w:pStyle w:val="SingleTxtG"/>
        <w:rPr>
          <w:lang w:val="es-ES"/>
        </w:rPr>
      </w:pPr>
      <w:r w:rsidRPr="00B112A4">
        <w:rPr>
          <w:lang w:val="es-ES"/>
        </w:rPr>
        <w:t>67.</w:t>
      </w:r>
      <w:r w:rsidRPr="00B112A4">
        <w:rPr>
          <w:lang w:val="es-ES"/>
        </w:rPr>
        <w:tab/>
        <w:t>По данным Постоянного обследования домохозяйств (ПОД) за 2017 год, 46,7</w:t>
      </w:r>
      <w:r w:rsidR="00435B5F">
        <w:t> </w:t>
      </w:r>
      <w:r w:rsidRPr="00B112A4">
        <w:rPr>
          <w:lang w:val="es-ES"/>
        </w:rPr>
        <w:t>млн человек, проживающих в Испании, проживают в 18,5 млн домохозяйств (на</w:t>
      </w:r>
      <w:r w:rsidR="00435B5F">
        <w:t> </w:t>
      </w:r>
      <w:r w:rsidRPr="00B112A4">
        <w:rPr>
          <w:lang w:val="es-ES"/>
        </w:rPr>
        <w:t>0,4% больше, чем годом ранее); среднее число членов домохозяйства</w:t>
      </w:r>
      <w:r w:rsidR="00252A39">
        <w:t> </w:t>
      </w:r>
      <w:r w:rsidRPr="00B112A4">
        <w:rPr>
          <w:lang w:val="es-ES"/>
        </w:rPr>
        <w:t xml:space="preserve">– </w:t>
      </w:r>
      <w:r w:rsidRPr="00B112A4">
        <w:rPr>
          <w:lang w:val="es-ES"/>
        </w:rPr>
        <w:lastRenderedPageBreak/>
        <w:t>2,5</w:t>
      </w:r>
      <w:r w:rsidR="00252A39">
        <w:t> </w:t>
      </w:r>
      <w:r w:rsidRPr="00B112A4">
        <w:rPr>
          <w:lang w:val="es-ES"/>
        </w:rPr>
        <w:t>человека. Важно отметить высокий показатель владения жильем среди членов этих домохозяйств: в их собственности находится 76,7% от общего числа единиц жилья, что значительно выше показателя по всему Европейскому союзу, составляющему 69,3%.</w:t>
      </w:r>
    </w:p>
    <w:p w14:paraId="506D737F" w14:textId="77777777" w:rsidR="0088700C" w:rsidRPr="00B112A4" w:rsidRDefault="0088700C" w:rsidP="0088700C">
      <w:pPr>
        <w:pStyle w:val="SingleTxtG"/>
        <w:rPr>
          <w:lang w:val="es-ES"/>
        </w:rPr>
      </w:pPr>
      <w:r w:rsidRPr="00B112A4">
        <w:rPr>
          <w:lang w:val="es-ES"/>
        </w:rPr>
        <w:t>68.</w:t>
      </w:r>
      <w:r w:rsidRPr="00B112A4">
        <w:rPr>
          <w:lang w:val="es-ES"/>
        </w:rPr>
        <w:tab/>
        <w:t>Что касается динамики цен на жилье, то следует отметить, что после их снижения с началом экономического кризиса и несмотря на рост в последние годы, в целом цены на жилье находятся на уровне, который на 24,4% ниже максимума 2007</w:t>
      </w:r>
      <w:r w:rsidR="00435B5F">
        <w:t> </w:t>
      </w:r>
      <w:r w:rsidRPr="00B112A4">
        <w:rPr>
          <w:lang w:val="es-ES"/>
        </w:rPr>
        <w:t xml:space="preserve">года, а стоимость аренды жилья </w:t>
      </w:r>
      <w:r w:rsidR="00435B5F">
        <w:t>–</w:t>
      </w:r>
      <w:r w:rsidRPr="00B112A4">
        <w:rPr>
          <w:lang w:val="es-ES"/>
        </w:rPr>
        <w:t xml:space="preserve"> на 17,7% ниже максимума. Однако следует отметить, что ситуация очень неоднородна, и в крупных городских агломерациях и в островных регионах цены уже вышли на максимально высокий уровень.</w:t>
      </w:r>
    </w:p>
    <w:p w14:paraId="11F49F9D" w14:textId="77777777" w:rsidR="0088700C" w:rsidRPr="00B112A4" w:rsidRDefault="0088700C" w:rsidP="0088700C">
      <w:pPr>
        <w:pStyle w:val="SingleTxtG"/>
        <w:rPr>
          <w:lang w:val="es-ES"/>
        </w:rPr>
      </w:pPr>
      <w:r w:rsidRPr="00B112A4">
        <w:rPr>
          <w:lang w:val="es-ES"/>
        </w:rPr>
        <w:t>69.</w:t>
      </w:r>
      <w:r w:rsidRPr="00B112A4">
        <w:rPr>
          <w:lang w:val="es-ES"/>
        </w:rPr>
        <w:tab/>
        <w:t>Социально-экономическая уязвимость населения в сфере жилья в основном связана с арендной платой: 42,1% испанских домохозяйств, проживающих в арендованном жилье, тратят на оплату аренды более 40% своего дохода – это намного выше аналогичного показателя по Европейскому союзу в целом, который составляет 26,3%. Что касается принудительных выселений, то следует отметить, что, по</w:t>
      </w:r>
      <w:r w:rsidR="00435B5F">
        <w:t> </w:t>
      </w:r>
      <w:r w:rsidRPr="00B112A4">
        <w:rPr>
          <w:lang w:val="es-ES"/>
        </w:rPr>
        <w:t>последним данным за третий квартал 2018 года, число выселений из арендуемого жилья увеличилось на 7,9%, по сравнению с предыдущим годом, в то время как количество выселений в связи с задолженностью по ипотеке сократилось на 16,2%.</w:t>
      </w:r>
    </w:p>
    <w:p w14:paraId="709C00A8" w14:textId="77777777" w:rsidR="0088700C" w:rsidRPr="00B112A4" w:rsidRDefault="0088700C" w:rsidP="0088700C">
      <w:pPr>
        <w:pStyle w:val="SingleTxtG"/>
        <w:rPr>
          <w:lang w:val="es-ES"/>
        </w:rPr>
      </w:pPr>
      <w:r w:rsidRPr="00B112A4">
        <w:rPr>
          <w:lang w:val="es-ES"/>
        </w:rPr>
        <w:t>70.</w:t>
      </w:r>
      <w:r w:rsidRPr="00B112A4">
        <w:rPr>
          <w:lang w:val="es-ES"/>
        </w:rPr>
        <w:tab/>
        <w:t xml:space="preserve">С момента вступления в силу Конституции до самых последних лет существовало два инструмента, при помощи которых государство напрямую вмешивалось и определяло жилищную политику: налоговые стимулы и планы строительства государственного жилья. Что касается строительства государственного жилья, то государство предоставило автономным сообществам возможности участия в разработке и осуществлении планов такого строительства. </w:t>
      </w:r>
    </w:p>
    <w:p w14:paraId="2BD216D5" w14:textId="77777777" w:rsidR="0088700C" w:rsidRPr="00B112A4" w:rsidRDefault="0088700C" w:rsidP="0088700C">
      <w:pPr>
        <w:pStyle w:val="SingleTxtG"/>
        <w:rPr>
          <w:lang w:val="es-ES"/>
        </w:rPr>
      </w:pPr>
      <w:r w:rsidRPr="00B112A4">
        <w:rPr>
          <w:lang w:val="es-ES"/>
        </w:rPr>
        <w:t>71.</w:t>
      </w:r>
      <w:r w:rsidRPr="00B112A4">
        <w:rPr>
          <w:lang w:val="es-ES"/>
        </w:rPr>
        <w:tab/>
        <w:t>С 2007 года в связи с экономическим кризисом и его последствиями не только для строительного сектора, но и для экономики в целом, и прежде всего из-за уязвимости и чрезвычайно тяжелого положения многих семей, были изменены инструменты, традиционно использовавшиеся в жилищной политике. Органы государственного управления стали создавать новые механизмы, предполагающие оказание предпочтений проектам консолидации, а не экспансии городов, а также сокращение существующего дисбаланса между режимами пользования жильем в Испании путем оказания содействия расширению предложения съемного жилья в качестве альтернативы владению. Наряду с этим, в порядке реакции на чрезвычайное социальное положение, в котором из-за экономического кризиса и кризиса сектора недвижимости оказались многие семьи, было принято несколько королевских указов и законов о неотложных мерах по защите должников по ипотечным кредитам, не</w:t>
      </w:r>
      <w:r w:rsidR="00435B5F">
        <w:t> </w:t>
      </w:r>
      <w:r w:rsidRPr="00B112A4">
        <w:rPr>
          <w:lang w:val="es-ES"/>
        </w:rPr>
        <w:t>имеющих ресурсов.</w:t>
      </w:r>
    </w:p>
    <w:p w14:paraId="35C2AF23" w14:textId="77777777" w:rsidR="0088700C" w:rsidRPr="00B112A4" w:rsidRDefault="0088700C" w:rsidP="001C1E41">
      <w:pPr>
        <w:pStyle w:val="H1G"/>
        <w:rPr>
          <w:lang w:val="es-ES"/>
        </w:rPr>
      </w:pPr>
      <w:r w:rsidRPr="00B112A4">
        <w:rPr>
          <w:lang w:val="es-ES"/>
        </w:rPr>
        <w:tab/>
        <w:t>B.</w:t>
      </w:r>
      <w:r w:rsidRPr="00B112A4">
        <w:rPr>
          <w:lang w:val="es-ES"/>
        </w:rPr>
        <w:tab/>
        <w:t>Конституционная, политическая и правовая структура государства</w:t>
      </w:r>
    </w:p>
    <w:p w14:paraId="08C5AFAE" w14:textId="77777777" w:rsidR="0088700C" w:rsidRPr="00B112A4" w:rsidRDefault="0088700C" w:rsidP="001C1E41">
      <w:pPr>
        <w:pStyle w:val="H23G"/>
        <w:rPr>
          <w:lang w:val="es-ES"/>
        </w:rPr>
      </w:pPr>
      <w:r w:rsidRPr="00B112A4">
        <w:rPr>
          <w:lang w:val="es-ES"/>
        </w:rPr>
        <w:tab/>
      </w:r>
      <w:r w:rsidRPr="00B112A4">
        <w:rPr>
          <w:lang w:val="es-ES"/>
        </w:rPr>
        <w:tab/>
        <w:t>Конституция Испании 1978 года</w:t>
      </w:r>
    </w:p>
    <w:p w14:paraId="22F15126" w14:textId="77777777" w:rsidR="0088700C" w:rsidRPr="00B112A4" w:rsidRDefault="0088700C" w:rsidP="0088700C">
      <w:pPr>
        <w:pStyle w:val="SingleTxtG"/>
        <w:rPr>
          <w:lang w:val="es-ES"/>
        </w:rPr>
      </w:pPr>
      <w:r w:rsidRPr="00B112A4">
        <w:rPr>
          <w:lang w:val="es-ES"/>
        </w:rPr>
        <w:t>72.</w:t>
      </w:r>
      <w:r w:rsidRPr="00B112A4">
        <w:rPr>
          <w:lang w:val="es-ES"/>
        </w:rPr>
        <w:tab/>
        <w:t>Текст Конституции Испании был составлен на основе переговоров и соглашений между различными политическими партиями, представленными в парламенте. Конституция 1978 года, принятая испанцами на референдуме, который состоялся 6 декабря 1978 года, вступила в силу 29 декабря того же года. Текст нынешней Конституция состоит из преамбулы, 169 статей, разбитых на 10 разделов, и</w:t>
      </w:r>
      <w:r w:rsidR="00435B5F">
        <w:t> </w:t>
      </w:r>
      <w:r w:rsidRPr="00B112A4">
        <w:rPr>
          <w:lang w:val="es-ES"/>
        </w:rPr>
        <w:t>ряда переходных и дополнительных положений; он является самым обширным нормативным актом в испанской истории после Конституции 1812 года.</w:t>
      </w:r>
    </w:p>
    <w:p w14:paraId="1EC2D55B" w14:textId="77777777" w:rsidR="0088700C" w:rsidRPr="00B112A4" w:rsidRDefault="0088700C" w:rsidP="0088700C">
      <w:pPr>
        <w:pStyle w:val="SingleTxtG"/>
        <w:rPr>
          <w:lang w:val="es-ES"/>
        </w:rPr>
      </w:pPr>
      <w:r w:rsidRPr="00B112A4">
        <w:rPr>
          <w:lang w:val="es-ES"/>
        </w:rPr>
        <w:t>73.</w:t>
      </w:r>
      <w:r w:rsidRPr="00B112A4">
        <w:rPr>
          <w:lang w:val="es-ES"/>
        </w:rPr>
        <w:tab/>
        <w:t xml:space="preserve">В статье 1 Испания провозглашается правовым, социальным и демократическим государством, которое в качестве высших ценностей своего правопорядка провозглашает свободу, справедливость, равенство и политический плюрализм. Кроме того, в указанной статье устанавливается, что национальный суверенитет принадлежит испанскому народу, от которого исходят полномочия государства, и что политической формой испанского государства является </w:t>
      </w:r>
      <w:r w:rsidRPr="00B112A4">
        <w:rPr>
          <w:lang w:val="es-ES"/>
        </w:rPr>
        <w:lastRenderedPageBreak/>
        <w:t>парламентская монархия. Основной закон подробно излагает основные права и политические свободы всех граждан и наделяет автономии государственными полномочиями. Устанавливается также принцип разделения государственной власти на законодательную, исполнительную и судебную ветви.</w:t>
      </w:r>
    </w:p>
    <w:p w14:paraId="337FC087" w14:textId="77777777" w:rsidR="0088700C" w:rsidRPr="00B112A4" w:rsidRDefault="0088700C" w:rsidP="0088700C">
      <w:pPr>
        <w:pStyle w:val="SingleTxtG"/>
        <w:rPr>
          <w:lang w:val="es-ES"/>
        </w:rPr>
      </w:pPr>
      <w:r w:rsidRPr="00B112A4">
        <w:rPr>
          <w:lang w:val="es-ES"/>
        </w:rPr>
        <w:t>74.</w:t>
      </w:r>
      <w:r w:rsidRPr="00B112A4">
        <w:rPr>
          <w:lang w:val="es-ES"/>
        </w:rPr>
        <w:tab/>
        <w:t xml:space="preserve">Конституционный суд. Конституционному суду принадлежат верховные полномочия в толковании Конституции, он действует независимо от других конституционных органов и подчиняется только Конституции и Органическому закону № 2/1979 от 3 октября 1979 года, в котором регламентируется его деятельность. Конституционный суд состоит из 12 членов, назначаемых Королем, из которых четверо назначаются по предложению Конгресса депутатов, принимаемому большинством в три пятых голосов его членов, четверо − по предложению Сената, принимаемому таким же большинством, двое − по предложению правительства и еще двое − по предложению Генерального совета судебной власти. Члены Конституционного суда назначаются на девятилетний период, и каждые три года его состав обновляется на одну треть без права переизбрания. Его полномочия включают в себя: во-первых, контроль за конституционностью принимаемых законов; во-вторых, принятие окончательных решений по урегулированию конфликтов в связи с распределением полномочий между государством и автономными сообществами или между автономными сообществами; и наконец, принятие решений по ходатайствам о нарушении основных прав граждан по так называемой </w:t>
      </w:r>
      <w:r w:rsidR="00435B5F">
        <w:rPr>
          <w:lang w:val="es-ES"/>
        </w:rPr>
        <w:t>«</w:t>
      </w:r>
      <w:r w:rsidRPr="00B112A4">
        <w:rPr>
          <w:lang w:val="es-ES"/>
        </w:rPr>
        <w:t>процедуре ампаро</w:t>
      </w:r>
      <w:r w:rsidR="00435B5F">
        <w:rPr>
          <w:lang w:val="es-ES"/>
        </w:rPr>
        <w:t>»</w:t>
      </w:r>
      <w:r w:rsidRPr="00B112A4">
        <w:rPr>
          <w:lang w:val="es-ES"/>
        </w:rPr>
        <w:t xml:space="preserve"> после исчерпания ими средств правовой защиты от предполагаемых нарушений их прав в обычных судебных инстанциях. Обращаться с ходатайствами по этой процедуре правомочны граждане, Народный защитник и Прокуратура.</w:t>
      </w:r>
    </w:p>
    <w:p w14:paraId="4709C4EC" w14:textId="77777777" w:rsidR="0088700C" w:rsidRPr="00B112A4" w:rsidRDefault="0088700C" w:rsidP="0088700C">
      <w:pPr>
        <w:pStyle w:val="SingleTxtG"/>
        <w:rPr>
          <w:lang w:val="es-ES"/>
        </w:rPr>
      </w:pPr>
      <w:r w:rsidRPr="00B112A4">
        <w:rPr>
          <w:lang w:val="es-ES"/>
        </w:rPr>
        <w:t>75.</w:t>
      </w:r>
      <w:r w:rsidRPr="00B112A4">
        <w:rPr>
          <w:lang w:val="es-ES"/>
        </w:rPr>
        <w:tab/>
        <w:t>Институты: Корона. Политической формой испанского государства является парламентская монархия. Король в своем качестве главы государства символизирует его единство и незыблемость, выполняет функции арбитра и гаранта надлежащего функционирования государственных институтов и осуществляет высшее представительство испанского государства в международных отношениях.</w:t>
      </w:r>
    </w:p>
    <w:p w14:paraId="5CD46F52" w14:textId="77777777" w:rsidR="0088700C" w:rsidRPr="00B112A4" w:rsidRDefault="0088700C" w:rsidP="0088700C">
      <w:pPr>
        <w:pStyle w:val="SingleTxtG"/>
        <w:rPr>
          <w:lang w:val="es-ES"/>
        </w:rPr>
      </w:pPr>
      <w:r w:rsidRPr="00B112A4">
        <w:rPr>
          <w:lang w:val="es-ES"/>
        </w:rPr>
        <w:t>76.</w:t>
      </w:r>
      <w:r w:rsidRPr="00B112A4">
        <w:rPr>
          <w:lang w:val="es-ES"/>
        </w:rPr>
        <w:tab/>
        <w:t>Вооруженные силы. В состав Вооруженных сил входят сухопутные войска, военно-морской флот и Военно-воздушные силы. Основной задачей Вооруженных сил являются обеспечение суверенитета и независимости Испании, защита ее территориальной целостности и конституционного порядка. Вооруженные силы подчиняются Министерству обороны и являются важнейшим средством осуществления оборонной политики Испании, которая, будучи сферой ответственности правительства, имеет целью обеспечение безопасности и интересов Испании и испанцев, защиту прав и принципов, закрепленных в Конституции 1978</w:t>
      </w:r>
      <w:r w:rsidR="00435B5F">
        <w:t> </w:t>
      </w:r>
      <w:r w:rsidRPr="00B112A4">
        <w:rPr>
          <w:lang w:val="es-ES"/>
        </w:rPr>
        <w:t>года и в принятом в 1945 году Уставе Организации Объединенных Наций, а также содействие в рамках международного права миру и стабильности во всем мире.</w:t>
      </w:r>
    </w:p>
    <w:p w14:paraId="5CBF719B" w14:textId="77777777" w:rsidR="0088700C" w:rsidRPr="00B112A4" w:rsidRDefault="0088700C" w:rsidP="0088700C">
      <w:pPr>
        <w:pStyle w:val="SingleTxtG"/>
        <w:rPr>
          <w:lang w:val="es-ES"/>
        </w:rPr>
      </w:pPr>
      <w:r w:rsidRPr="00B112A4">
        <w:rPr>
          <w:lang w:val="es-ES"/>
        </w:rPr>
        <w:t>77.</w:t>
      </w:r>
      <w:r w:rsidRPr="00B112A4">
        <w:rPr>
          <w:lang w:val="es-ES"/>
        </w:rPr>
        <w:tab/>
        <w:t xml:space="preserve">.Законодательная власть: Генеральные кортесы. Законодательную власть государства осуществляют Генеральные кортесы, которые представляют испанский народ и контролируют деятельность правительства. Они состоят из двух палат: Конгресса депутатов и Сената. Таким образом, речь идет о парламентской системе двухпалатного типа, известной как </w:t>
      </w:r>
      <w:r w:rsidR="00435B5F">
        <w:rPr>
          <w:lang w:val="es-ES"/>
        </w:rPr>
        <w:t>«</w:t>
      </w:r>
      <w:r w:rsidRPr="00B112A4">
        <w:rPr>
          <w:lang w:val="es-ES"/>
        </w:rPr>
        <w:t>несовершенная двухпалатная модель</w:t>
      </w:r>
      <w:r w:rsidR="00435B5F">
        <w:rPr>
          <w:lang w:val="es-ES"/>
        </w:rPr>
        <w:t>»</w:t>
      </w:r>
      <w:r w:rsidRPr="00B112A4">
        <w:rPr>
          <w:lang w:val="es-ES"/>
        </w:rPr>
        <w:t>, поскольку полномочия обеих палат несопоставимы, так как Конгрессу принадлежит главенствующая роль в осуществлении значительной части функций Кортесов. Депутаты и сенаторы избираются на четырехлетний срок. Существует возможность досрочного роспуска Кортесов по инициативе Председателя правительства. Конгресс депутатов состоит из 350 членов. Все законопроекты и законодательные предложения в первую очередь и без каких-либо исключений рассматриваются в Конгрессе депутатов, при этом Сенат имеет право вето и право внесения поправок в текст, разработанный Конгрессом, и в последнем случае − право окончательного утверждения текста после нового рассмотрения. Также Конгресс приводит к присяге Председателя правительства и ввиду этого может отправлять его в отставку либо посредством вотума недоверия, либо посредством отказа в доверии, о котором просит правительство. Сенат определен в Конституции как палата территориального представительства. В состав Парламента десятого созыва входят 266 сенаторов, из</w:t>
      </w:r>
      <w:r w:rsidR="00435B5F">
        <w:t> </w:t>
      </w:r>
      <w:r w:rsidRPr="00B112A4">
        <w:rPr>
          <w:lang w:val="es-ES"/>
        </w:rPr>
        <w:t xml:space="preserve">которых 208 избраны всеобщим прямым голосованием, а остальные 58 назначены </w:t>
      </w:r>
      <w:r w:rsidRPr="00B112A4">
        <w:rPr>
          <w:lang w:val="es-ES"/>
        </w:rPr>
        <w:lastRenderedPageBreak/>
        <w:t>законодательными ассамблеями автономных сообществ по принципу избрания по одному сенатору и еще по одному сенатору от каждого миллиона населения, проживающего на их территории.</w:t>
      </w:r>
    </w:p>
    <w:p w14:paraId="377638D3" w14:textId="77777777" w:rsidR="0088700C" w:rsidRPr="00B112A4" w:rsidRDefault="0088700C" w:rsidP="0088700C">
      <w:pPr>
        <w:pStyle w:val="SingleTxtG"/>
        <w:rPr>
          <w:lang w:val="es-ES"/>
        </w:rPr>
      </w:pPr>
      <w:r w:rsidRPr="00B112A4">
        <w:rPr>
          <w:lang w:val="es-ES"/>
        </w:rPr>
        <w:t>78.</w:t>
      </w:r>
      <w:r w:rsidRPr="00B112A4">
        <w:rPr>
          <w:lang w:val="es-ES"/>
        </w:rPr>
        <w:tab/>
        <w:t>Исполнительная власть: правительство. В отношении функций правительства Конституция Испании практически не отличается от обычных для современных парламентских систем законодательных текстов. Правительство выполняет функции исполнительной власти и имеет право законодательной инициативы, а также в чрезвычайных случаях может издавать законодательные акты (которые передаются на утверждение Конгрессу) и разрабатывает проект общего государственного бюджета. Правительство руководит внешней и внутренней политикой, гражданской и военной администрацией и обороной государства. Формирование правительства осуществляется в Испании в два отдельных этапа. На первом этапе кандидат в председатели правительства представляет на рассмотрение Конгресса свою правительственную программу, а на втором этапе Председатель правительства, уже облеченный доверием Палаты и назначенный Королем, предлагает Королю кандидатуры для назначения на должности министров. После этого Председатель правительства, наряду с руководством деятельностью правительства, занимает в структуре исполнительной власти настолько главенствующее положение, что испанский конституционный режим можно охарактеризовать как режим премьер-министра. Коллегиальным органом исполнительной власти является Совет министров, в состав которого входят Председатель, заместитель или заместители Председателя и министры. Как правило, Совет министров заседает еженедельно. В состав нынешнего правительства входят Председатель правительства, один заместитель Председателя с министерским портфелем и 12 министров. Существует два института, непосредственно подчиняющихся Генеральным кортесам, которые, в соответствии с Конституцией, выполняют специфические задачи по контролю за деятельностью государственной администрации.</w:t>
      </w:r>
    </w:p>
    <w:p w14:paraId="4D6ED79C" w14:textId="77777777" w:rsidR="0088700C" w:rsidRPr="00B112A4" w:rsidRDefault="0088700C" w:rsidP="0088700C">
      <w:pPr>
        <w:pStyle w:val="SingleTxtG"/>
        <w:rPr>
          <w:lang w:val="es-ES"/>
        </w:rPr>
      </w:pPr>
      <w:r w:rsidRPr="00B112A4">
        <w:rPr>
          <w:lang w:val="es-ES"/>
        </w:rPr>
        <w:t>79.</w:t>
      </w:r>
      <w:r w:rsidRPr="00B112A4">
        <w:rPr>
          <w:lang w:val="es-ES"/>
        </w:rPr>
        <w:tab/>
        <w:t>Счетная палата. Согласно статье 136 Конституции, Счетная палата является высшим органом финансового контроля счетов и экономической деятельности государства, а также публичного сектора. Как уже отмечалось, она несет прямую ответственность перед Генеральными кортесами, и в случае возникновения споров в отношении полномочий или функций Счетной палаты решения по их урегулированию принимаются Конституционным судом. Организация и деятельность Счетной палаты регулируется Органическим законом № 2/1982 от 12 мая 1982 года. Председатель Счетной палаты назначается Королем по предложению Пленума из числа членов Счетной палаты сроком на три года. Пленум состоит из 12 советников и прокурора.</w:t>
      </w:r>
    </w:p>
    <w:p w14:paraId="30525729" w14:textId="77777777" w:rsidR="0088700C" w:rsidRPr="00B112A4" w:rsidRDefault="0088700C" w:rsidP="0088700C">
      <w:pPr>
        <w:pStyle w:val="SingleTxtG"/>
        <w:rPr>
          <w:lang w:val="es-ES"/>
        </w:rPr>
      </w:pPr>
      <w:r w:rsidRPr="00B112A4">
        <w:rPr>
          <w:lang w:val="es-ES"/>
        </w:rPr>
        <w:t>80.</w:t>
      </w:r>
      <w:r w:rsidRPr="00B112A4">
        <w:rPr>
          <w:lang w:val="es-ES"/>
        </w:rPr>
        <w:tab/>
        <w:t xml:space="preserve">Народный защитник. Испанской Конституцией 1978 года был создан институт Народного защитника в качестве </w:t>
      </w:r>
      <w:r w:rsidR="00435B5F">
        <w:rPr>
          <w:lang w:val="es-ES"/>
        </w:rPr>
        <w:t>«</w:t>
      </w:r>
      <w:r w:rsidRPr="00B112A4">
        <w:rPr>
          <w:lang w:val="es-ES"/>
        </w:rPr>
        <w:t>верховного уполномоченного</w:t>
      </w:r>
      <w:r w:rsidR="00435B5F">
        <w:rPr>
          <w:lang w:val="es-ES"/>
        </w:rPr>
        <w:t>»</w:t>
      </w:r>
      <w:r w:rsidRPr="00B112A4">
        <w:rPr>
          <w:lang w:val="es-ES"/>
        </w:rPr>
        <w:t xml:space="preserve"> Генеральных кортесов, с тем чтобы обеспечивать охрану и защиту основных прав человека. В</w:t>
      </w:r>
      <w:r w:rsidR="00435B5F">
        <w:t> </w:t>
      </w:r>
      <w:r w:rsidRPr="00B112A4">
        <w:rPr>
          <w:lang w:val="es-ES"/>
        </w:rPr>
        <w:t>соответствии с этой целью он уполномочен осуществлять надзор за деятельностью всех органов государственной администрации. Народный защитник избирается Генеральными кортесами большинством в три пятых голосов членов каждой Палаты на пятилетний срок в соответствии с Органическим законом № 3/1981 от 6 апреля о Народном защитнике, которым регулируется деятельность этого института. Соответствующая должность существует также во многих автономных сообществах.</w:t>
      </w:r>
    </w:p>
    <w:p w14:paraId="61E6916A" w14:textId="77777777" w:rsidR="0088700C" w:rsidRPr="00B112A4" w:rsidRDefault="0088700C" w:rsidP="0088700C">
      <w:pPr>
        <w:pStyle w:val="SingleTxtG"/>
        <w:rPr>
          <w:lang w:val="es-ES"/>
        </w:rPr>
      </w:pPr>
      <w:r w:rsidRPr="00B112A4">
        <w:rPr>
          <w:lang w:val="es-ES"/>
        </w:rPr>
        <w:t>81.</w:t>
      </w:r>
      <w:r w:rsidRPr="00B112A4">
        <w:rPr>
          <w:lang w:val="es-ES"/>
        </w:rPr>
        <w:tab/>
        <w:t>Консультативные органы правительства: Государственный совет. Государственный совет является высшим консультативным органом правительства, деятельность которого регламентируется Органическим законом № 3/1980 от 22</w:t>
      </w:r>
      <w:r w:rsidR="007B123B">
        <w:t> </w:t>
      </w:r>
      <w:r w:rsidRPr="00B112A4">
        <w:rPr>
          <w:lang w:val="es-ES"/>
        </w:rPr>
        <w:t>апреля 1980 года. Его основная функция состоит в консультировании и сводится к изложению обоснованного мнения по предмету консультаций.</w:t>
      </w:r>
    </w:p>
    <w:p w14:paraId="65658152" w14:textId="77777777" w:rsidR="0088700C" w:rsidRPr="00B112A4" w:rsidRDefault="0088700C" w:rsidP="0088700C">
      <w:pPr>
        <w:pStyle w:val="SingleTxtG"/>
        <w:rPr>
          <w:lang w:val="es-ES"/>
        </w:rPr>
      </w:pPr>
      <w:r w:rsidRPr="00B112A4">
        <w:rPr>
          <w:lang w:val="es-ES"/>
        </w:rPr>
        <w:t>82.</w:t>
      </w:r>
      <w:r w:rsidRPr="00B112A4">
        <w:rPr>
          <w:lang w:val="es-ES"/>
        </w:rPr>
        <w:tab/>
        <w:t>Экономический и Социальный Совет. Это высший консультативный орган правительства по социально-экономическим вопросам, а также согласительный совет социальных и экономических субъектов, задача которого заключается в развитии социального и демократического правового государства. В состав Совета входят Председатель и 60 членов: 20 членов Совета назначаются профсоюзными организациями, еще 20 − организациями предпринимателей, а остальные 20</w:t>
      </w:r>
      <w:r w:rsidR="005E0FF2">
        <w:t> </w:t>
      </w:r>
      <w:r w:rsidRPr="00B112A4">
        <w:rPr>
          <w:lang w:val="es-ES"/>
        </w:rPr>
        <w:t>представляют ассоциации и организации.</w:t>
      </w:r>
    </w:p>
    <w:p w14:paraId="021F23A0" w14:textId="77777777" w:rsidR="0088700C" w:rsidRPr="00B112A4" w:rsidRDefault="0088700C" w:rsidP="0088700C">
      <w:pPr>
        <w:pStyle w:val="SingleTxtG"/>
        <w:rPr>
          <w:lang w:val="es-ES"/>
        </w:rPr>
      </w:pPr>
      <w:r w:rsidRPr="00B112A4">
        <w:rPr>
          <w:lang w:val="es-ES"/>
        </w:rPr>
        <w:lastRenderedPageBreak/>
        <w:t>83.</w:t>
      </w:r>
      <w:r w:rsidRPr="00B112A4">
        <w:rPr>
          <w:lang w:val="es-ES"/>
        </w:rPr>
        <w:tab/>
        <w:t>Судебная власть. Согласно Конституции, правосудие исходит от народа и осуществляется от имени Короля судьями и магистратами, представляющими судебную власть. Следует, прежде всего, отметить единство судебной власти, которое обеспечивается отправлением правосудия единым корпусом судей и магистратов. Органом управления судьями и магистратами является Генеральный совет судебной власти. В его состав входят Председатель Верховного суда, который председательствует в Генеральном совете, и 20 членов, назначаемых Королем на пятилетний срок по предложению Генеральных кортесов, избирающих их большинством в три пятых голосов. Двенадцать из них должны занимать должности судей или магистратов.</w:t>
      </w:r>
    </w:p>
    <w:p w14:paraId="7FA655C3" w14:textId="77777777" w:rsidR="0088700C" w:rsidRPr="00B112A4" w:rsidRDefault="0088700C" w:rsidP="0088700C">
      <w:pPr>
        <w:pStyle w:val="SingleTxtG"/>
        <w:rPr>
          <w:lang w:val="es-ES"/>
        </w:rPr>
      </w:pPr>
      <w:r w:rsidRPr="00B112A4">
        <w:rPr>
          <w:lang w:val="es-ES"/>
        </w:rPr>
        <w:t>84.</w:t>
      </w:r>
      <w:r w:rsidRPr="00B112A4">
        <w:rPr>
          <w:lang w:val="es-ES"/>
        </w:rPr>
        <w:tab/>
        <w:t>Верховный суд. Этот орган является высшей судебной инстанцией государства во всех областях, за исключением относящихся к конституционным гарантиям, которые входят в компетенцию Конституционного суда. Председатель Верховного суда, являющийся также Председателем Генерального совета судебной власти, назначается Королем по предложению этого органа.</w:t>
      </w:r>
    </w:p>
    <w:p w14:paraId="2B35133A" w14:textId="77777777" w:rsidR="0088700C" w:rsidRPr="00B112A4" w:rsidRDefault="0088700C" w:rsidP="0088700C">
      <w:pPr>
        <w:pStyle w:val="SingleTxtG"/>
        <w:rPr>
          <w:lang w:val="es-ES"/>
        </w:rPr>
      </w:pPr>
      <w:r w:rsidRPr="00B112A4">
        <w:rPr>
          <w:lang w:val="es-ES"/>
        </w:rPr>
        <w:t>85.</w:t>
      </w:r>
      <w:r w:rsidRPr="00B112A4">
        <w:rPr>
          <w:lang w:val="es-ES"/>
        </w:rPr>
        <w:tab/>
        <w:t>Генеральный прокурор государства. Генеральный прокурор назначается Королем по предложению правительства после консультации с Генеральным советом судебной власти. Задача Прокуратуры – содействовать отправлению правосудия в целях защиты прав граждан и охраняемых законом общественных интересов либо в силу своих обязанностей, либо по ходатайству заинтересованных сторон. В ее обязанности также входит обеспечение независимости судов и удовлетворения в них интересов общества. Прокуратура может подавать ходатайства по процедуре ампаро.</w:t>
      </w:r>
    </w:p>
    <w:p w14:paraId="2E2F6C84" w14:textId="77777777" w:rsidR="0088700C" w:rsidRPr="00B112A4" w:rsidRDefault="0088700C" w:rsidP="0088700C">
      <w:pPr>
        <w:pStyle w:val="SingleTxtG"/>
        <w:rPr>
          <w:lang w:val="es-ES"/>
        </w:rPr>
      </w:pPr>
      <w:r w:rsidRPr="00B112A4">
        <w:rPr>
          <w:lang w:val="es-ES"/>
        </w:rPr>
        <w:t>86.</w:t>
      </w:r>
      <w:r w:rsidRPr="00B112A4">
        <w:rPr>
          <w:lang w:val="es-ES"/>
        </w:rPr>
        <w:tab/>
        <w:t>Территориальное устройство государства: автономные сообщества и города со статутом автономии. Конституция 1978 года признает и гарантирует право на автономию национальностей и регионов, входящих в испанскую нацию, и</w:t>
      </w:r>
      <w:r w:rsidR="005E0FF2">
        <w:t> </w:t>
      </w:r>
      <w:r w:rsidRPr="00B112A4">
        <w:rPr>
          <w:lang w:val="es-ES"/>
        </w:rPr>
        <w:t>солидарность между ними. Развитие конституционных положений обеспечило глубокую трансформацию территориального устройства государства посредством создания 17 автономных сообществ и двух автономных городов (Сеуты и Мелильи) и последующего перераспределения политической и административной власти между центральными органами и органами автономных образований. Результатом этого процесса стало то, что Испания является одной из наиболее децентрализованных стран Европы при одновременном укреплении ее единства и солидарности, поощрении гармоничного развития на основе политических, социальных и культурных особенностей, образующих историческую действительность Испании, приближении государственных институтов к гражданам, укреплении демократии, а также при существенном содействии достигнутому Испанией значительному экономическому, социальному и культурному прогрессу. В каждом автономном сообществе действует свой статут автономии, утвержденный органическим законом, который является основной институциональной нормой сообщества и регулирует такие важные аспекты, как организация и функционирование его парламента и правительства, полномочия, принятые на себя данным сообществом, порядок управления, характерная символика и другие особенности, включая язык или гражданское право, а также отношения с государством и другими автономными сообществами. Распределение полномочий между государством и автономными сообществами основано на разграничении между исключительными полномочиями государства и автономных сообществ, совместными полномочиями государства и автономных сообществ и совпадающими полномочиями, которые могут осуществлять как государство, так и автономные сообщества. Исключительные полномочия как государства, так и автономных сообществ означают законодательную и исполнительную правосубъектность, тогда как совместные полномочия могут предполагать иное распределение законодательной и нормативной правоспособности между государством и автономными сообществами, которые в этих случаях обычно располагают исполнительной правосубъектностью. В случае возникновения конфликтов полномочий решения об их урегулировании, как и в других государствах с децентрализованной политической системой, принимаются Конституционным судом. Система управления автономными сообществами носит парламентский характер, при котором основными государственными институтами являются парламент, президент сообщества и автономное правительство. В</w:t>
      </w:r>
      <w:r w:rsidR="005E0FF2">
        <w:t> </w:t>
      </w:r>
      <w:r w:rsidRPr="00B112A4">
        <w:rPr>
          <w:lang w:val="es-ES"/>
        </w:rPr>
        <w:t xml:space="preserve">экономическом и финансовом плане автономные сообщества располагают широкой </w:t>
      </w:r>
      <w:r w:rsidRPr="00B112A4">
        <w:rPr>
          <w:lang w:val="es-ES"/>
        </w:rPr>
        <w:lastRenderedPageBreak/>
        <w:t>автономией в управлении, имея право принимать собственные годовые бюджеты и формировать собственную финансовую базу посредством установления налоговых ставок, надбавок, специальных сборов и ценовой политики.</w:t>
      </w:r>
    </w:p>
    <w:p w14:paraId="6C62D2A0" w14:textId="77777777" w:rsidR="0088700C" w:rsidRPr="00B112A4" w:rsidRDefault="0088700C" w:rsidP="0088700C">
      <w:pPr>
        <w:pStyle w:val="SingleTxtG"/>
        <w:rPr>
          <w:lang w:val="es-ES"/>
        </w:rPr>
      </w:pPr>
      <w:r w:rsidRPr="00B112A4">
        <w:rPr>
          <w:lang w:val="es-ES"/>
        </w:rPr>
        <w:t>87.</w:t>
      </w:r>
      <w:r w:rsidRPr="00B112A4">
        <w:rPr>
          <w:lang w:val="es-ES"/>
        </w:rPr>
        <w:tab/>
        <w:t>Средства, которые автономные сообщества получают в рамках Системы финансирования, включают помимо налоговых средств, складывающихся из ряда налогов, оставляемых им полностью или частично, также перечисления из Гарантийного фонда основных государственных услуг и Фонда обеспечения общих потребностей. Кроме того, в состав этой системы входят Фонды конвергенции автономных сообществ, созданные за счет дополнительных средств, предоставляемых государством для содействия сбалансированному экономическому развитию территорий в интересах равенства и равноправия. Таким образом, различные механизмы финансирования, образующие Модель финансирования, призваны гарантировать межтерриториальную солидарность и равный минимальный уровень предоставления основных государственных услуг на всей территории Испании. Наряду с теми средствами, которые предоставляются автономным сообществам в рамках Системы финансирования, следует учитывать и прочие ресурсы, которыми располагают эти сообщества, в том числе взимаемые ими налоги, перечисления из средств государственного бюджета или из средств Европейского союза. Ныне действующая Система финансирования стала результатом становления Испании как автономного государства, относящегося к числу наиболее децентрализованных стран</w:t>
      </w:r>
      <w:r w:rsidR="005E0FF2">
        <w:t> </w:t>
      </w:r>
      <w:r w:rsidRPr="00B112A4">
        <w:rPr>
          <w:lang w:val="es-ES"/>
        </w:rPr>
        <w:t>– членов ОЭСР и опережающего по уровню децентрализации страны традиционного федерализма.</w:t>
      </w:r>
    </w:p>
    <w:p w14:paraId="263739B0" w14:textId="77777777" w:rsidR="0088700C" w:rsidRPr="00B112A4" w:rsidRDefault="0088700C" w:rsidP="0088700C">
      <w:pPr>
        <w:pStyle w:val="SingleTxtG"/>
        <w:rPr>
          <w:lang w:val="es-ES"/>
        </w:rPr>
      </w:pPr>
      <w:bookmarkStart w:id="0" w:name="DocPart2"/>
      <w:r w:rsidRPr="00B112A4">
        <w:rPr>
          <w:lang w:val="es-ES"/>
        </w:rPr>
        <w:t>88.</w:t>
      </w:r>
      <w:r w:rsidRPr="00B112A4">
        <w:rPr>
          <w:lang w:val="es-ES"/>
        </w:rPr>
        <w:tab/>
        <w:t>Местные образования: Согласно последним официальным данным о населении по состоянию на 1 января 2018 года (Королевский указ № 1458/2018 от 14 декабря 2018</w:t>
      </w:r>
      <w:r w:rsidR="005E0FF2">
        <w:t> </w:t>
      </w:r>
      <w:r w:rsidRPr="00B112A4">
        <w:rPr>
          <w:lang w:val="es-ES"/>
        </w:rPr>
        <w:t>года) в стране имеются 50 провинций и 8 124 муниципальных образования, весьма различающиеся по размеру и численности населения. Так, в 4 991 муниципии (61,44% от их общего количества) насчитывается менее 1 000 жителей, а</w:t>
      </w:r>
      <w:r w:rsidR="005E0FF2">
        <w:t> </w:t>
      </w:r>
      <w:r w:rsidRPr="00B112A4">
        <w:rPr>
          <w:lang w:val="es-ES"/>
        </w:rPr>
        <w:t>в</w:t>
      </w:r>
      <w:r w:rsidR="005E0FF2">
        <w:t> </w:t>
      </w:r>
      <w:r w:rsidRPr="00B112A4">
        <w:rPr>
          <w:lang w:val="es-ES"/>
        </w:rPr>
        <w:t>6</w:t>
      </w:r>
      <w:r w:rsidR="005E0FF2">
        <w:rPr>
          <w:lang w:val="es-ES"/>
        </w:rPr>
        <w:t> </w:t>
      </w:r>
      <w:r w:rsidRPr="00B112A4">
        <w:rPr>
          <w:lang w:val="es-ES"/>
        </w:rPr>
        <w:t>825</w:t>
      </w:r>
      <w:r w:rsidR="005E0FF2">
        <w:t> </w:t>
      </w:r>
      <w:r w:rsidRPr="00B112A4">
        <w:rPr>
          <w:lang w:val="es-ES"/>
        </w:rPr>
        <w:t>муниципиях (84,01% от их общего количества) − менее 5 000 жителей. Лишь в 145 муниципиях (1,78% от их общего количества) численность населения превышает 50</w:t>
      </w:r>
      <w:r w:rsidR="005E0FF2">
        <w:rPr>
          <w:lang w:val="es-ES"/>
        </w:rPr>
        <w:t> </w:t>
      </w:r>
      <w:r w:rsidRPr="00B112A4">
        <w:rPr>
          <w:lang w:val="es-ES"/>
        </w:rPr>
        <w:t>000</w:t>
      </w:r>
      <w:r w:rsidR="005E0FF2">
        <w:t> </w:t>
      </w:r>
      <w:r w:rsidRPr="00B112A4">
        <w:rPr>
          <w:lang w:val="es-ES"/>
        </w:rPr>
        <w:t>человек. С организационной точки зрения руководство и управление муниципиями осуществляются такими органами, как муниципальные советы; в</w:t>
      </w:r>
      <w:r w:rsidR="005E0FF2">
        <w:t> </w:t>
      </w:r>
      <w:r w:rsidRPr="00B112A4">
        <w:rPr>
          <w:lang w:val="es-ES"/>
        </w:rPr>
        <w:t xml:space="preserve">провинциях − провинциальными депутациями и другими представительными органами; а на Канарских и Балеарских островах такими органами являются, соответственно, кабильдо и островные советы. Должностными лицами и органами муниципальных советов являются мэр, под председательством которого работает совет, вице-мэры, правление и пленум в составе всех депутатов совета, избираемых по пропорциональной системе прямым голосованием всех жителей муниципия по открытым спискам (в случае муниципиев с населением до 250 человек) и по закрытым спискам (в случае муниципиев с населением свыше 250 человек). Мэр избирается абсолютным большинством депутатов совета. В случае отсутствия такого большинства мэром объявляется депутат совета, возглавляющий список, который получил больше всего голосов в соответствующем муниципии, а при голосовании в муниципиях по открытому списку должность мэра занимает депутат совета, получивший больше всего голосов избирателей на выборах депутатов совета. Специальная система действует в муниципиях, где применяется режим </w:t>
      </w:r>
      <w:r w:rsidR="00435B5F">
        <w:rPr>
          <w:lang w:val="es-ES"/>
        </w:rPr>
        <w:t>«</w:t>
      </w:r>
      <w:r w:rsidRPr="00B112A4">
        <w:rPr>
          <w:lang w:val="es-ES"/>
        </w:rPr>
        <w:t>открытого</w:t>
      </w:r>
      <w:r w:rsidR="00435B5F">
        <w:rPr>
          <w:lang w:val="es-ES"/>
        </w:rPr>
        <w:t>»</w:t>
      </w:r>
      <w:r w:rsidRPr="00B112A4">
        <w:rPr>
          <w:lang w:val="es-ES"/>
        </w:rPr>
        <w:t xml:space="preserve"> совета, </w:t>
      </w:r>
      <w:r w:rsidR="00B94DA4">
        <w:rPr>
          <w:lang w:val="es-ES"/>
        </w:rPr>
        <w:t>т. е.</w:t>
      </w:r>
      <w:r w:rsidRPr="00B112A4">
        <w:rPr>
          <w:lang w:val="es-ES"/>
        </w:rPr>
        <w:t xml:space="preserve"> в тех, где в силу традиций и добровольно применяется такой единый режим управления и администрации, а также в муниципиях, которые в силу своего географического положения в целях более эффективного удовлетворения муниципальных потребностей или в силу иных причин считают это желательным и по согласованию с автономным сообществом вводят у себя подобный единый режим управления и администрации, при котором жители в своем качестве избирателей непосредственно выбирают мэра по мажоритарной системе, что представляет собой форму подлинной прямой демократии. На муниципальных выборах осуществляется активное и пассивное избирательное право не только испанских избирателей, но и граждан стран Европейского союза, проживающих в Испании, на таких же условиях, что и для испанских граждан, равно как и избирательное право других иностранцев-резидентов в Испании, чьи соответствующие страны по условиям заключенного договора разрешают испанцам голосовать на таких выборах (пункт 2 статьи 13 </w:t>
      </w:r>
      <w:r w:rsidRPr="00B112A4">
        <w:rPr>
          <w:lang w:val="es-ES"/>
        </w:rPr>
        <w:lastRenderedPageBreak/>
        <w:t>Конституции Испании и статьи 176 и 177 Органического закона № 5/1985 от 19 июня 1985 года об общем избирательном режиме). Основной задачей провинциальных депутаций, избираемых депутатами муниципальных советов провинций из своего числа, является оказание помощи муниципиям и сотрудничество с ними, в первую очередь с теми из них, которые располагают меньшими экономическими и управленческими возможностями, а также обеспечение предоставления муниципалитетами минимальных обязательных услуг, установленных законом. Что</w:t>
      </w:r>
      <w:r w:rsidR="005E0FF2">
        <w:t> </w:t>
      </w:r>
      <w:r w:rsidRPr="00B112A4">
        <w:rPr>
          <w:lang w:val="es-ES"/>
        </w:rPr>
        <w:t>касается островных территорий, то органами управления и администрации здесь являются кабильдо на Канарских островах и островные советы на Балеарских островах.</w:t>
      </w:r>
    </w:p>
    <w:p w14:paraId="2FACEEA1" w14:textId="77777777" w:rsidR="0088700C" w:rsidRPr="00B112A4" w:rsidRDefault="0088700C" w:rsidP="001C1E41">
      <w:pPr>
        <w:pStyle w:val="H23G"/>
        <w:rPr>
          <w:lang w:val="es-ES"/>
        </w:rPr>
      </w:pPr>
      <w:r w:rsidRPr="00B112A4">
        <w:rPr>
          <w:lang w:val="es-ES"/>
        </w:rPr>
        <w:tab/>
      </w:r>
      <w:r w:rsidRPr="00B112A4">
        <w:rPr>
          <w:lang w:val="es-ES"/>
        </w:rPr>
        <w:tab/>
        <w:t xml:space="preserve">Система правосудия и данные о преступности </w:t>
      </w:r>
    </w:p>
    <w:p w14:paraId="184B5A3A" w14:textId="77777777" w:rsidR="0088700C" w:rsidRPr="00B112A4" w:rsidRDefault="0088700C" w:rsidP="0088700C">
      <w:pPr>
        <w:pStyle w:val="SingleTxtG"/>
        <w:rPr>
          <w:lang w:val="es-ES"/>
        </w:rPr>
      </w:pPr>
      <w:r w:rsidRPr="00B112A4">
        <w:rPr>
          <w:lang w:val="es-ES"/>
        </w:rPr>
        <w:t>89.</w:t>
      </w:r>
      <w:r w:rsidRPr="00B112A4">
        <w:rPr>
          <w:lang w:val="es-ES"/>
        </w:rPr>
        <w:tab/>
        <w:t>В 2017 году в Центральном реестре заключенных числилось в общей сложности 285 336 совершеннолетних осужденных лиц с учетом окончательных приговоров, вынесенных в указанном году и внесенных в реестр, что на 5,08% больше, чем в предыдущем году. Это обусловлено проведенной в 2015 году реформой Уголовного кодекса, согласно которой некоторые проступки были переквалифицированы в мелкие правонарушения.</w:t>
      </w:r>
    </w:p>
    <w:p w14:paraId="1DD11E57" w14:textId="77777777" w:rsidR="0088700C" w:rsidRPr="00B112A4" w:rsidRDefault="0088700C" w:rsidP="0088700C">
      <w:pPr>
        <w:pStyle w:val="SingleTxtG"/>
        <w:rPr>
          <w:lang w:val="es-ES"/>
        </w:rPr>
      </w:pPr>
      <w:r w:rsidRPr="00B112A4">
        <w:rPr>
          <w:lang w:val="es-ES"/>
        </w:rPr>
        <w:t>90.</w:t>
      </w:r>
      <w:r w:rsidRPr="00B112A4">
        <w:rPr>
          <w:lang w:val="es-ES"/>
        </w:rPr>
        <w:tab/>
        <w:t xml:space="preserve">В числе осужденных лиц доля мужчин </w:t>
      </w:r>
      <w:r w:rsidR="005E0FF2">
        <w:t>–</w:t>
      </w:r>
      <w:r w:rsidRPr="00B112A4">
        <w:rPr>
          <w:lang w:val="es-ES"/>
        </w:rPr>
        <w:t xml:space="preserve"> 79,1%, а женщин – 20,9%. Коэффициент осужденных на 1 000 жителей (в возрасте 18 лет и старше) составил 7,5, что на четыре десятых превышает показатель 2016 года.</w:t>
      </w:r>
    </w:p>
    <w:p w14:paraId="7A85BD14" w14:textId="77777777" w:rsidR="0088700C" w:rsidRPr="00B112A4" w:rsidRDefault="0088700C" w:rsidP="0088700C">
      <w:pPr>
        <w:pStyle w:val="SingleTxtG"/>
        <w:rPr>
          <w:lang w:val="es-ES"/>
        </w:rPr>
      </w:pPr>
      <w:r w:rsidRPr="00B112A4">
        <w:rPr>
          <w:lang w:val="es-ES"/>
        </w:rPr>
        <w:t>91.</w:t>
      </w:r>
      <w:r w:rsidRPr="00B112A4">
        <w:rPr>
          <w:lang w:val="es-ES"/>
        </w:rPr>
        <w:tab/>
        <w:t xml:space="preserve">Анализ распределения осужденных по возрастным группам показывает, что наиболее многочисленной является возрастная группа 18−20 лет; доля этой группы от общего числа мужчин-заключенных </w:t>
      </w:r>
      <w:r w:rsidR="005E0FF2">
        <w:t>–</w:t>
      </w:r>
      <w:r w:rsidRPr="00B112A4">
        <w:rPr>
          <w:lang w:val="es-ES"/>
        </w:rPr>
        <w:t xml:space="preserve"> 28,5% и женщин-заключенных </w:t>
      </w:r>
      <w:r w:rsidR="005E0FF2">
        <w:t>–</w:t>
      </w:r>
      <w:r w:rsidRPr="00B112A4">
        <w:rPr>
          <w:lang w:val="es-ES"/>
        </w:rPr>
        <w:t xml:space="preserve"> 9,6%.</w:t>
      </w:r>
    </w:p>
    <w:p w14:paraId="77B3A16C" w14:textId="77777777" w:rsidR="0088700C" w:rsidRPr="00B112A4" w:rsidRDefault="0088700C" w:rsidP="0088700C">
      <w:pPr>
        <w:pStyle w:val="SingleTxtG"/>
        <w:rPr>
          <w:lang w:val="es-ES"/>
        </w:rPr>
      </w:pPr>
      <w:r w:rsidRPr="00B112A4">
        <w:rPr>
          <w:lang w:val="es-ES"/>
        </w:rPr>
        <w:t>92.</w:t>
      </w:r>
      <w:r w:rsidRPr="00B112A4">
        <w:rPr>
          <w:lang w:val="es-ES"/>
        </w:rPr>
        <w:tab/>
        <w:t>Средний возраст заключенных составлял 36,9 лет (37 лет для мужчин и 36,3 года для женщин).</w:t>
      </w:r>
    </w:p>
    <w:p w14:paraId="4144A17F" w14:textId="77777777" w:rsidR="0088700C" w:rsidRPr="00B112A4" w:rsidRDefault="0088700C" w:rsidP="0088700C">
      <w:pPr>
        <w:pStyle w:val="SingleTxtG"/>
        <w:rPr>
          <w:lang w:val="es-ES"/>
        </w:rPr>
      </w:pPr>
      <w:r w:rsidRPr="00B112A4">
        <w:rPr>
          <w:lang w:val="es-ES"/>
        </w:rPr>
        <w:t>93.</w:t>
      </w:r>
      <w:r w:rsidRPr="00B112A4">
        <w:rPr>
          <w:lang w:val="es-ES"/>
        </w:rPr>
        <w:tab/>
        <w:t>В 2017 году большинство осужденных были гражданами Испании (77,3% от общего числа, тогда как в предыдущем году – 76,8%). Среди осужденных-иностранцев самая большая доля приходится на граждан стран Европейского союза (33% от общего числа).</w:t>
      </w:r>
    </w:p>
    <w:p w14:paraId="00F46952" w14:textId="77777777" w:rsidR="0088700C" w:rsidRPr="00B112A4" w:rsidRDefault="0088700C" w:rsidP="0088700C">
      <w:pPr>
        <w:pStyle w:val="SingleTxtG"/>
        <w:rPr>
          <w:lang w:val="es-ES"/>
        </w:rPr>
      </w:pPr>
      <w:r w:rsidRPr="00B112A4">
        <w:rPr>
          <w:lang w:val="es-ES"/>
        </w:rPr>
        <w:t>94.</w:t>
      </w:r>
      <w:r w:rsidRPr="00B112A4">
        <w:rPr>
          <w:lang w:val="es-ES"/>
        </w:rPr>
        <w:tab/>
        <w:t>Из всех осужденных 77,8% осуждены за одно преступление (79,1% в предыдущем году) и 22,2% − за несколько преступлений (20,09% в 2016 году).</w:t>
      </w:r>
    </w:p>
    <w:p w14:paraId="3B791CA5" w14:textId="77777777" w:rsidR="0088700C" w:rsidRPr="00B112A4" w:rsidRDefault="0088700C" w:rsidP="0088700C">
      <w:pPr>
        <w:pStyle w:val="SingleTxtG"/>
        <w:rPr>
          <w:lang w:val="es-ES"/>
        </w:rPr>
      </w:pPr>
      <w:r w:rsidRPr="00B112A4">
        <w:rPr>
          <w:lang w:val="es-ES"/>
        </w:rPr>
        <w:t>95.</w:t>
      </w:r>
      <w:r w:rsidRPr="00B112A4">
        <w:rPr>
          <w:lang w:val="es-ES"/>
        </w:rPr>
        <w:tab/>
        <w:t>Среди автономных сообществ на первом месте по числу осужденных в 2017</w:t>
      </w:r>
      <w:r w:rsidR="00006180">
        <w:t> </w:t>
      </w:r>
      <w:r w:rsidRPr="00B112A4">
        <w:rPr>
          <w:lang w:val="es-ES"/>
        </w:rPr>
        <w:t>году находилась Андалусия (19,5% от общего числа). За ней следовали Каталония (15,7%) и Мадридское сообщество (13,8%).</w:t>
      </w:r>
    </w:p>
    <w:p w14:paraId="304CC614" w14:textId="77777777" w:rsidR="0088700C" w:rsidRPr="00B112A4" w:rsidRDefault="0088700C" w:rsidP="0088700C">
      <w:pPr>
        <w:pStyle w:val="SingleTxtG"/>
        <w:rPr>
          <w:lang w:val="es-ES"/>
        </w:rPr>
      </w:pPr>
      <w:r w:rsidRPr="00B112A4">
        <w:rPr>
          <w:lang w:val="es-ES"/>
        </w:rPr>
        <w:t>96.</w:t>
      </w:r>
      <w:r w:rsidRPr="00B112A4">
        <w:rPr>
          <w:lang w:val="es-ES"/>
        </w:rPr>
        <w:tab/>
        <w:t>Среди автономных сообществ больше всего иностранцев было осуждено в Каталонии (23,5% от общего числа), в Мадридском сообществе (17,9%) и в Валенсийском сообществе (12,6%).</w:t>
      </w:r>
    </w:p>
    <w:p w14:paraId="0C57ADEF" w14:textId="77777777" w:rsidR="0088700C" w:rsidRPr="00B112A4" w:rsidRDefault="0088700C" w:rsidP="0088700C">
      <w:pPr>
        <w:pStyle w:val="SingleTxtG"/>
        <w:rPr>
          <w:lang w:val="es-ES"/>
        </w:rPr>
      </w:pPr>
      <w:r w:rsidRPr="00B112A4">
        <w:rPr>
          <w:lang w:val="es-ES"/>
        </w:rPr>
        <w:t>97.</w:t>
      </w:r>
      <w:r w:rsidRPr="00B112A4">
        <w:rPr>
          <w:lang w:val="es-ES"/>
        </w:rPr>
        <w:tab/>
        <w:t>Самые высокие значения коэффициента осужденных на 1</w:t>
      </w:r>
      <w:r w:rsidR="00006180">
        <w:t> </w:t>
      </w:r>
      <w:r w:rsidRPr="00B112A4">
        <w:rPr>
          <w:lang w:val="es-ES"/>
        </w:rPr>
        <w:t>000</w:t>
      </w:r>
      <w:r w:rsidR="00006180">
        <w:t> </w:t>
      </w:r>
      <w:r w:rsidRPr="00B112A4">
        <w:rPr>
          <w:lang w:val="es-ES"/>
        </w:rPr>
        <w:t>жителей отмечались в автономных городах Сеута и Мелилья (соответственно 25,6 и 23,8), а</w:t>
      </w:r>
      <w:r w:rsidR="005E0FF2">
        <w:t> </w:t>
      </w:r>
      <w:r w:rsidRPr="00B112A4">
        <w:rPr>
          <w:lang w:val="es-ES"/>
        </w:rPr>
        <w:t xml:space="preserve">самые низкие </w:t>
      </w:r>
      <w:r w:rsidR="00A76DF7">
        <w:rPr>
          <w:lang w:val="es-ES"/>
        </w:rPr>
        <w:t>–</w:t>
      </w:r>
      <w:r w:rsidRPr="00B112A4">
        <w:rPr>
          <w:lang w:val="es-ES"/>
        </w:rPr>
        <w:t xml:space="preserve"> в</w:t>
      </w:r>
      <w:r w:rsidR="00A76DF7">
        <w:t xml:space="preserve"> </w:t>
      </w:r>
      <w:r w:rsidRPr="00B112A4">
        <w:rPr>
          <w:lang w:val="es-ES"/>
        </w:rPr>
        <w:t xml:space="preserve">Кастилии-Ла-Манче (5,5), Кастилии-и-Леоне (5,5) и Арагоне (6,0). </w:t>
      </w:r>
    </w:p>
    <w:p w14:paraId="1AB853F0" w14:textId="77777777" w:rsidR="0088700C" w:rsidRPr="00B112A4" w:rsidRDefault="0088700C" w:rsidP="0088700C">
      <w:pPr>
        <w:pStyle w:val="SingleTxtG"/>
        <w:rPr>
          <w:lang w:val="es-ES"/>
        </w:rPr>
      </w:pPr>
      <w:r w:rsidRPr="00B112A4">
        <w:rPr>
          <w:lang w:val="es-ES"/>
        </w:rPr>
        <w:t>98.</w:t>
      </w:r>
      <w:r w:rsidRPr="00B112A4">
        <w:rPr>
          <w:lang w:val="es-ES"/>
        </w:rPr>
        <w:tab/>
        <w:t>В 2017 году было зарегистрировано в общей сложности 394 301 преступление, что на 8,0% больше, чем в предыдущем году. Показатель числа преступлений на 1</w:t>
      </w:r>
      <w:r w:rsidR="005E0FF2">
        <w:rPr>
          <w:lang w:val="es-ES"/>
        </w:rPr>
        <w:t> </w:t>
      </w:r>
      <w:r w:rsidRPr="00B112A4">
        <w:rPr>
          <w:lang w:val="es-ES"/>
        </w:rPr>
        <w:t>000</w:t>
      </w:r>
      <w:r w:rsidR="005E0FF2">
        <w:t> </w:t>
      </w:r>
      <w:r w:rsidRPr="00B112A4">
        <w:rPr>
          <w:lang w:val="es-ES"/>
        </w:rPr>
        <w:t>жителей составил 10,3% (9,6</w:t>
      </w:r>
      <w:r w:rsidR="00741393">
        <w:t>%</w:t>
      </w:r>
      <w:r w:rsidRPr="00B112A4">
        <w:rPr>
          <w:lang w:val="es-ES"/>
        </w:rPr>
        <w:t xml:space="preserve"> в 2016 году). Это обусловлено проведенной в 2015</w:t>
      </w:r>
      <w:r w:rsidR="005E0FF2">
        <w:t> </w:t>
      </w:r>
      <w:r w:rsidRPr="00B112A4">
        <w:rPr>
          <w:lang w:val="es-ES"/>
        </w:rPr>
        <w:t>году реформой Уголовного кодекса, согласно которой некоторые проступки были упразднены и переквалифицированы в мелкие правонарушения.</w:t>
      </w:r>
    </w:p>
    <w:p w14:paraId="2C78D4D0" w14:textId="77777777" w:rsidR="0088700C" w:rsidRPr="00B112A4" w:rsidRDefault="0088700C" w:rsidP="0088700C">
      <w:pPr>
        <w:pStyle w:val="SingleTxtG"/>
        <w:rPr>
          <w:lang w:val="es-ES"/>
        </w:rPr>
      </w:pPr>
      <w:r w:rsidRPr="00B112A4">
        <w:rPr>
          <w:lang w:val="es-ES"/>
        </w:rPr>
        <w:t>99.</w:t>
      </w:r>
      <w:r w:rsidRPr="00B112A4">
        <w:rPr>
          <w:lang w:val="es-ES"/>
        </w:rPr>
        <w:tab/>
        <w:t>Что касается квалификации преступлений, то чаще всего совершались преступления, связанные с нарушением правил дорожного движения (23,8% от общего числа), причинение телесных повреждений (16,6%) и кражи (16,2%). Однако следует отметить, что число преступлений, связанных с нарушением правил дорожного движения, уменьшилось на 1,9%, по сравнению с показателем 2016 года.</w:t>
      </w:r>
    </w:p>
    <w:p w14:paraId="3288F300" w14:textId="77777777" w:rsidR="0088700C" w:rsidRPr="00B112A4" w:rsidRDefault="0088700C" w:rsidP="0088700C">
      <w:pPr>
        <w:pStyle w:val="SingleTxtG"/>
        <w:rPr>
          <w:lang w:val="es-ES"/>
        </w:rPr>
      </w:pPr>
      <w:r w:rsidRPr="00B112A4">
        <w:rPr>
          <w:lang w:val="es-ES"/>
        </w:rPr>
        <w:t>100.</w:t>
      </w:r>
      <w:r w:rsidRPr="00B112A4">
        <w:rPr>
          <w:lang w:val="es-ES"/>
        </w:rPr>
        <w:tab/>
        <w:t>В среднем на каждого осужденного приходилось 1,4 преступления (против 1,3</w:t>
      </w:r>
      <w:r w:rsidR="005E0FF2">
        <w:t> </w:t>
      </w:r>
      <w:r w:rsidRPr="00B112A4">
        <w:rPr>
          <w:lang w:val="es-ES"/>
        </w:rPr>
        <w:t xml:space="preserve">в 2016 году). В разбивке по полу на мужчин в среднем приходилось больше </w:t>
      </w:r>
      <w:r w:rsidRPr="00B112A4">
        <w:rPr>
          <w:lang w:val="es-ES"/>
        </w:rPr>
        <w:lastRenderedPageBreak/>
        <w:t>преступлений (1,4), чем на женщин (1,3), что аналогично ситуации в предыдущем году (1,4 – на мужчин и 1,3 – на женщин).</w:t>
      </w:r>
    </w:p>
    <w:p w14:paraId="4ADF0CC2" w14:textId="77777777" w:rsidR="0088700C" w:rsidRPr="00B112A4" w:rsidRDefault="0088700C" w:rsidP="0088700C">
      <w:pPr>
        <w:pStyle w:val="SingleTxtG"/>
        <w:rPr>
          <w:lang w:val="es-ES"/>
        </w:rPr>
      </w:pPr>
      <w:r w:rsidRPr="00B112A4">
        <w:rPr>
          <w:lang w:val="es-ES"/>
        </w:rPr>
        <w:t>101.</w:t>
      </w:r>
      <w:r w:rsidRPr="00B112A4">
        <w:rPr>
          <w:lang w:val="es-ES"/>
        </w:rPr>
        <w:tab/>
        <w:t>Из всех совершенных преступлений в разбивке по степени завершенности 89,2% были завершены, а 10,4% − прерваны на этапе покушения.</w:t>
      </w:r>
    </w:p>
    <w:p w14:paraId="69F94C6F" w14:textId="77777777" w:rsidR="0088700C" w:rsidRPr="00B112A4" w:rsidRDefault="0088700C" w:rsidP="0088700C">
      <w:pPr>
        <w:pStyle w:val="SingleTxtG"/>
        <w:rPr>
          <w:lang w:val="es-ES"/>
        </w:rPr>
      </w:pPr>
      <w:r w:rsidRPr="00B112A4">
        <w:rPr>
          <w:lang w:val="es-ES"/>
        </w:rPr>
        <w:t>102.</w:t>
      </w:r>
      <w:r w:rsidRPr="00B112A4">
        <w:rPr>
          <w:lang w:val="es-ES"/>
        </w:rPr>
        <w:tab/>
        <w:t>В 2017 году были вынесены и занесены в Реестр 734 919 окончательных приговоров – на 1,6% больше, чем в предыдущем году, и на 5,7% больше, чем в 2016</w:t>
      </w:r>
      <w:r w:rsidR="005E0FF2">
        <w:t> </w:t>
      </w:r>
      <w:r w:rsidRPr="00B112A4">
        <w:rPr>
          <w:lang w:val="es-ES"/>
        </w:rPr>
        <w:t>году. Это обусловлено проведенной в 2015 году реформой Уголовного кодекса, согласно которой некоторые проступки были упразднены и переквалифицированы в мелкие правонарушения.</w:t>
      </w:r>
    </w:p>
    <w:p w14:paraId="1BF635FD" w14:textId="77777777" w:rsidR="0088700C" w:rsidRPr="00B112A4" w:rsidRDefault="0088700C" w:rsidP="0088700C">
      <w:pPr>
        <w:pStyle w:val="SingleTxtG"/>
        <w:rPr>
          <w:lang w:val="es-ES"/>
        </w:rPr>
      </w:pPr>
      <w:r w:rsidRPr="00B112A4">
        <w:rPr>
          <w:lang w:val="es-ES"/>
        </w:rPr>
        <w:t>103.</w:t>
      </w:r>
      <w:r w:rsidRPr="00B112A4">
        <w:rPr>
          <w:lang w:val="es-ES"/>
        </w:rPr>
        <w:tab/>
        <w:t>46,0% назначенных наказаний (как основных, так и дополнительных) предусматривали лишение иных прав. 33,4% наказаний составляли наложение штрафов, а 20,5% − лишение свободы.</w:t>
      </w:r>
    </w:p>
    <w:p w14:paraId="4F81E175" w14:textId="77777777" w:rsidR="0088700C" w:rsidRPr="00B112A4" w:rsidRDefault="0088700C" w:rsidP="0088700C">
      <w:pPr>
        <w:pStyle w:val="SingleTxtG"/>
        <w:rPr>
          <w:lang w:val="es-ES"/>
        </w:rPr>
      </w:pPr>
      <w:r w:rsidRPr="00B112A4">
        <w:rPr>
          <w:lang w:val="es-ES"/>
        </w:rPr>
        <w:t>104.</w:t>
      </w:r>
      <w:r w:rsidRPr="00B112A4">
        <w:rPr>
          <w:lang w:val="es-ES"/>
        </w:rPr>
        <w:tab/>
        <w:t>Среди наказаний в виде лишения других прав наиболее часто назначались наказания в виде частичного поражения в правах в сфере трудоустройства (15,5% всех наказаний). Среди наказаний в виде лишения свободы чаще всего применялось наказание в виде тюремного заключения (19,8% от общего числа наказаний).</w:t>
      </w:r>
    </w:p>
    <w:p w14:paraId="44B32856" w14:textId="77777777" w:rsidR="0088700C" w:rsidRPr="00B112A4" w:rsidRDefault="0088700C" w:rsidP="0088700C">
      <w:pPr>
        <w:pStyle w:val="SingleTxtG"/>
        <w:rPr>
          <w:lang w:val="es-ES"/>
        </w:rPr>
      </w:pPr>
      <w:r w:rsidRPr="00B112A4">
        <w:rPr>
          <w:lang w:val="es-ES"/>
        </w:rPr>
        <w:t>105.</w:t>
      </w:r>
      <w:r w:rsidRPr="00B112A4">
        <w:rPr>
          <w:lang w:val="es-ES"/>
        </w:rPr>
        <w:tab/>
        <w:t>В разбивке по полу правонарушителей наказания в виде лишения других прав составляют 48,9% всех наказаний в отношении мужчин и 30,3% – в отношении женщин.</w:t>
      </w:r>
    </w:p>
    <w:p w14:paraId="281F3520" w14:textId="77777777" w:rsidR="0088700C" w:rsidRPr="00B112A4" w:rsidRDefault="0088700C" w:rsidP="0088700C">
      <w:pPr>
        <w:pStyle w:val="SingleTxtG"/>
        <w:rPr>
          <w:lang w:val="es-ES"/>
        </w:rPr>
      </w:pPr>
      <w:r w:rsidRPr="00B112A4">
        <w:rPr>
          <w:lang w:val="es-ES"/>
        </w:rPr>
        <w:t>106.</w:t>
      </w:r>
      <w:r w:rsidRPr="00B112A4">
        <w:rPr>
          <w:lang w:val="es-ES"/>
        </w:rPr>
        <w:tab/>
        <w:t>21% всех наказаний в отношении мужчин предусматривали лишение свободы, в том числе 20,3% − тюремное заключение. В отношении женщин 17,7% всех наказаний были связаны с лишением свободы, в том числе 17,0% − в виде тюремного заключения.</w:t>
      </w:r>
    </w:p>
    <w:p w14:paraId="5045C3D9" w14:textId="77777777" w:rsidR="0088700C" w:rsidRPr="00B112A4" w:rsidRDefault="0088700C" w:rsidP="0088700C">
      <w:pPr>
        <w:pStyle w:val="SingleTxtG"/>
        <w:rPr>
          <w:lang w:val="es-ES"/>
        </w:rPr>
      </w:pPr>
      <w:r w:rsidRPr="00B112A4">
        <w:rPr>
          <w:lang w:val="es-ES"/>
        </w:rPr>
        <w:t>107.</w:t>
      </w:r>
      <w:r w:rsidRPr="00B112A4">
        <w:rPr>
          <w:lang w:val="es-ES"/>
        </w:rPr>
        <w:tab/>
        <w:t>Что касается гражданства правонарушителей, то к лишению свободы осужденные-иностранцы приговаривались чаще (21,8% от общего числа), чем граждане Испании (20,1%). В частности, к тюремному заключению были приговорены 21,4% осужденных-иностранцев и 19,3% осужденных-испанцев.</w:t>
      </w:r>
    </w:p>
    <w:p w14:paraId="1F7730A7" w14:textId="77777777" w:rsidR="0088700C" w:rsidRPr="00B112A4" w:rsidRDefault="0088700C" w:rsidP="001C1E41">
      <w:pPr>
        <w:pStyle w:val="H23G"/>
        <w:rPr>
          <w:lang w:val="es-ES"/>
        </w:rPr>
      </w:pPr>
      <w:r w:rsidRPr="00B112A4">
        <w:rPr>
          <w:lang w:val="es-ES"/>
        </w:rPr>
        <w:tab/>
      </w:r>
      <w:r w:rsidRPr="00B112A4">
        <w:rPr>
          <w:lang w:val="es-ES"/>
        </w:rPr>
        <w:tab/>
        <w:t xml:space="preserve">Статистические данные в отношении несовершеннолетних </w:t>
      </w:r>
    </w:p>
    <w:p w14:paraId="3A9241D2" w14:textId="77777777" w:rsidR="0088700C" w:rsidRPr="00B112A4" w:rsidRDefault="0088700C" w:rsidP="0088700C">
      <w:pPr>
        <w:pStyle w:val="SingleTxtG"/>
        <w:rPr>
          <w:lang w:val="es-ES"/>
        </w:rPr>
      </w:pPr>
      <w:r w:rsidRPr="00B112A4">
        <w:rPr>
          <w:lang w:val="es-ES"/>
        </w:rPr>
        <w:t>108.</w:t>
      </w:r>
      <w:r w:rsidRPr="00B112A4">
        <w:rPr>
          <w:lang w:val="es-ES"/>
        </w:rPr>
        <w:tab/>
        <w:t>Согласно данным об окончательных приговорах, внесенным в Реестр приговоров по привлечению к уголовной ответственности несовершеннолетних, в</w:t>
      </w:r>
      <w:r w:rsidR="005E0FF2">
        <w:t> </w:t>
      </w:r>
      <w:r w:rsidRPr="00B112A4">
        <w:rPr>
          <w:lang w:val="es-ES"/>
        </w:rPr>
        <w:t>2017 году были осуждены 13 643 несовершеннолетних (в возрасте от 14 до 17 лет), что на 5,5% больше, чем в предыдущем году.</w:t>
      </w:r>
    </w:p>
    <w:p w14:paraId="17F3F640" w14:textId="77777777" w:rsidR="0088700C" w:rsidRPr="00B112A4" w:rsidRDefault="0088700C" w:rsidP="0088700C">
      <w:pPr>
        <w:pStyle w:val="SingleTxtG"/>
        <w:rPr>
          <w:lang w:val="es-ES"/>
        </w:rPr>
      </w:pPr>
      <w:r w:rsidRPr="00B112A4">
        <w:rPr>
          <w:lang w:val="es-ES"/>
        </w:rPr>
        <w:t>109.</w:t>
      </w:r>
      <w:r w:rsidRPr="00B112A4">
        <w:rPr>
          <w:lang w:val="es-ES"/>
        </w:rPr>
        <w:tab/>
        <w:t>Показатель числа осужденных несовершеннолетних в возрасте 14−17 лет на 1 000 жителей той же возрастной группы составил 7,5, тогда как в предыдущем году он составлял 7,2.</w:t>
      </w:r>
    </w:p>
    <w:p w14:paraId="053AAA61" w14:textId="77777777" w:rsidR="0088700C" w:rsidRPr="00B112A4" w:rsidRDefault="0088700C" w:rsidP="0088700C">
      <w:pPr>
        <w:pStyle w:val="SingleTxtG"/>
        <w:rPr>
          <w:lang w:val="es-ES"/>
        </w:rPr>
      </w:pPr>
      <w:r w:rsidRPr="00B112A4">
        <w:rPr>
          <w:lang w:val="es-ES"/>
        </w:rPr>
        <w:t>110.</w:t>
      </w:r>
      <w:r w:rsidRPr="00B112A4">
        <w:rPr>
          <w:lang w:val="es-ES"/>
        </w:rPr>
        <w:tab/>
        <w:t>79,3% всех осужденных несовершеннолетних составляли лица мужского пола и 20,7% − женского. Число осужденных несовершеннолетних лиц женского пола увеличилось, по сравнению с предыдущим годом, на 9,4%, а мужского пола – на 4,6%. Что касается возраста, то наиболее многочисленную группу составили 17-летние лица (30% от общего числа), а вторую по численности − 16-летние лица (28,7%).</w:t>
      </w:r>
    </w:p>
    <w:p w14:paraId="36A6F666" w14:textId="77777777" w:rsidR="0088700C" w:rsidRPr="00B112A4" w:rsidRDefault="0088700C" w:rsidP="0088700C">
      <w:pPr>
        <w:pStyle w:val="SingleTxtG"/>
        <w:rPr>
          <w:lang w:val="es-ES"/>
        </w:rPr>
      </w:pPr>
      <w:r w:rsidRPr="00B112A4">
        <w:rPr>
          <w:lang w:val="es-ES"/>
        </w:rPr>
        <w:t>111.</w:t>
      </w:r>
      <w:r w:rsidRPr="00B112A4">
        <w:rPr>
          <w:lang w:val="es-ES"/>
        </w:rPr>
        <w:tab/>
        <w:t>Большинство осужденных несовершеннолетних являлись гражданами Испании (80,6%). Доля осужденных несовершеннолетних в расчете на 1 000 жителей в возрасте от 14 до 17 лет среди иностранцев составляла 17,8 и почти в три раза превышала этот показатель среди несовершеннолетних граждан Испании (6,5).</w:t>
      </w:r>
    </w:p>
    <w:p w14:paraId="3E477282" w14:textId="77777777" w:rsidR="0088700C" w:rsidRPr="00B112A4" w:rsidRDefault="0088700C" w:rsidP="0088700C">
      <w:pPr>
        <w:pStyle w:val="SingleTxtG"/>
        <w:rPr>
          <w:lang w:val="es-ES"/>
        </w:rPr>
      </w:pPr>
      <w:r w:rsidRPr="00B112A4">
        <w:rPr>
          <w:lang w:val="es-ES"/>
        </w:rPr>
        <w:t>112.</w:t>
      </w:r>
      <w:r w:rsidRPr="00B112A4">
        <w:rPr>
          <w:lang w:val="es-ES"/>
        </w:rPr>
        <w:tab/>
        <w:t>В 2017 году было зарегистрировано 23 050 уголовных правонарушений, совершенных несовершеннолетними, что на 4,8% меньше, чем в предыдущем году. В</w:t>
      </w:r>
      <w:r w:rsidR="005E0FF2">
        <w:t> </w:t>
      </w:r>
      <w:r w:rsidRPr="00B112A4">
        <w:rPr>
          <w:lang w:val="es-ES"/>
        </w:rPr>
        <w:t>разбивке по квалификации преступлений чаще всего имели место нанесение телесных повреждений (24,6%), ограбления (21,7%) и кражи (12,9%).</w:t>
      </w:r>
    </w:p>
    <w:p w14:paraId="5600BBB1" w14:textId="77777777" w:rsidR="0088700C" w:rsidRPr="00B112A4" w:rsidRDefault="0088700C" w:rsidP="0088700C">
      <w:pPr>
        <w:pStyle w:val="SingleTxtG"/>
        <w:rPr>
          <w:lang w:val="es-ES"/>
        </w:rPr>
      </w:pPr>
      <w:r w:rsidRPr="00B112A4">
        <w:rPr>
          <w:lang w:val="es-ES"/>
        </w:rPr>
        <w:t>113.</w:t>
      </w:r>
      <w:r w:rsidRPr="00B112A4">
        <w:rPr>
          <w:lang w:val="es-ES"/>
        </w:rPr>
        <w:tab/>
        <w:t xml:space="preserve">В 2017 году судьи вынесли решения о применении 22 916 судебных мер, что на 6,5% больше, чем в предыдущем году. Чаще всего применялись такие меры, как освобождение с установлением надзора (42,6% от общего количества), общественно-полезные работы (15,4%) и лишение свободы с отбыванием в учреждении </w:t>
      </w:r>
      <w:r w:rsidRPr="00B112A4">
        <w:rPr>
          <w:lang w:val="es-ES"/>
        </w:rPr>
        <w:lastRenderedPageBreak/>
        <w:t xml:space="preserve">полузакрытого типа (11,6%). Что касается гражданства правонарушителей, то следует отметить, что в относительном выражении наказания в виде лишения свободы с отбыванием в учреждениях закрытого и полузакрытого типа чаще применялись в отношении осужденных несовершеннолетних иностранцев (16,6% и 45,5% от общего числа, соответственно), чем в отношении испанцев (10,3% и 41,7%). Напротив, к социально-воспитательным наказаниям и общественно-полезным работам несовершеннолетние иностранцы приговаривались реже (8,4% и 11,9% от общего числа, соответственно), чем испанцы (12,0% </w:t>
      </w:r>
      <w:r w:rsidR="003234D2">
        <w:t>и</w:t>
      </w:r>
      <w:r w:rsidRPr="00B112A4">
        <w:rPr>
          <w:lang w:val="es-ES"/>
        </w:rPr>
        <w:t xml:space="preserve"> 16,3%).</w:t>
      </w:r>
    </w:p>
    <w:p w14:paraId="752D66AA" w14:textId="77777777" w:rsidR="0088700C" w:rsidRPr="00B112A4" w:rsidRDefault="0088700C" w:rsidP="001C1E41">
      <w:pPr>
        <w:pStyle w:val="HChG"/>
        <w:rPr>
          <w:lang w:val="es-ES"/>
        </w:rPr>
      </w:pPr>
      <w:r w:rsidRPr="00B112A4">
        <w:rPr>
          <w:lang w:val="es-ES"/>
        </w:rPr>
        <w:tab/>
        <w:t>II.</w:t>
      </w:r>
      <w:r w:rsidRPr="00B112A4">
        <w:rPr>
          <w:lang w:val="es-ES"/>
        </w:rPr>
        <w:tab/>
        <w:t>Общие рамки защиты и поощрения прав человека</w:t>
      </w:r>
    </w:p>
    <w:p w14:paraId="69C88124" w14:textId="77777777" w:rsidR="0088700C" w:rsidRPr="00B112A4" w:rsidRDefault="0088700C" w:rsidP="001C1E41">
      <w:pPr>
        <w:pStyle w:val="H1G"/>
        <w:rPr>
          <w:lang w:val="es-ES"/>
        </w:rPr>
      </w:pPr>
      <w:r w:rsidRPr="00B112A4">
        <w:rPr>
          <w:lang w:val="es-ES"/>
        </w:rPr>
        <w:tab/>
        <w:t>A.</w:t>
      </w:r>
      <w:r w:rsidRPr="00B112A4">
        <w:rPr>
          <w:lang w:val="es-ES"/>
        </w:rPr>
        <w:tab/>
        <w:t>Признание международных норм в области прав человека</w:t>
      </w:r>
    </w:p>
    <w:p w14:paraId="4C0F25CF" w14:textId="77777777" w:rsidR="0088700C" w:rsidRPr="00B112A4" w:rsidRDefault="0088700C" w:rsidP="0088700C">
      <w:pPr>
        <w:pStyle w:val="SingleTxtG"/>
        <w:rPr>
          <w:lang w:val="es-ES"/>
        </w:rPr>
      </w:pPr>
      <w:r w:rsidRPr="00B112A4">
        <w:rPr>
          <w:lang w:val="es-ES"/>
        </w:rPr>
        <w:t>114.</w:t>
      </w:r>
      <w:r w:rsidRPr="00B112A4">
        <w:rPr>
          <w:lang w:val="es-ES"/>
        </w:rPr>
        <w:tab/>
        <w:t>Испания является государством-участником основных договоров в области прав человека. Она приняла на себя широкие обязательства в области защиты прав человека и признала компетенцию международных наблюдательных органов. Для</w:t>
      </w:r>
      <w:r w:rsidR="005E0FF2">
        <w:t> </w:t>
      </w:r>
      <w:r w:rsidRPr="00B112A4">
        <w:rPr>
          <w:lang w:val="es-ES"/>
        </w:rPr>
        <w:t xml:space="preserve">Испании особо важное значение имеет Европейский суд по правам человека, который наблюдает за осуществлением Европейской конвенции о защите прав человека и основных свобод. Испания ратифицировала следующие многосторонние договоры в области прав человека: </w:t>
      </w:r>
    </w:p>
    <w:p w14:paraId="7C2A46F8" w14:textId="77777777" w:rsidR="0088700C" w:rsidRPr="00B112A4" w:rsidRDefault="0088700C" w:rsidP="0088700C">
      <w:pPr>
        <w:pStyle w:val="SingleTxtG"/>
        <w:rPr>
          <w:lang w:val="es-ES"/>
        </w:rPr>
      </w:pPr>
      <w:r w:rsidRPr="00B112A4">
        <w:rPr>
          <w:lang w:val="es-ES"/>
        </w:rPr>
        <w:t>115.</w:t>
      </w:r>
      <w:r w:rsidRPr="00B112A4">
        <w:rPr>
          <w:lang w:val="es-ES"/>
        </w:rPr>
        <w:tab/>
        <w:t>В рамках Организации Объединенных Наций:</w:t>
      </w:r>
    </w:p>
    <w:p w14:paraId="7CF190F3" w14:textId="77777777" w:rsidR="0088700C" w:rsidRPr="00B112A4" w:rsidRDefault="0088700C" w:rsidP="001C1E41">
      <w:pPr>
        <w:pStyle w:val="Bullet1G"/>
        <w:rPr>
          <w:lang w:val="es-ES"/>
        </w:rPr>
      </w:pPr>
      <w:r w:rsidRPr="00B112A4">
        <w:rPr>
          <w:lang w:val="es-ES"/>
        </w:rPr>
        <w:t>Конвенция о предупреждении преступления геноцида и наказании за него</w:t>
      </w:r>
      <w:r w:rsidR="005E0FF2">
        <w:t>;</w:t>
      </w:r>
    </w:p>
    <w:p w14:paraId="5A52BA07" w14:textId="77777777" w:rsidR="0088700C" w:rsidRPr="00B112A4" w:rsidRDefault="0088700C" w:rsidP="001C1E41">
      <w:pPr>
        <w:pStyle w:val="Bullet1G"/>
        <w:rPr>
          <w:lang w:val="es-ES"/>
        </w:rPr>
      </w:pPr>
      <w:r w:rsidRPr="00B112A4">
        <w:rPr>
          <w:lang w:val="es-ES"/>
        </w:rPr>
        <w:t>Конвенция о статусе беженцев и Протокол, касающийся статуса беженцев</w:t>
      </w:r>
      <w:r w:rsidR="005E0FF2">
        <w:t>;</w:t>
      </w:r>
    </w:p>
    <w:p w14:paraId="32B79335" w14:textId="77777777" w:rsidR="0088700C" w:rsidRPr="00B112A4" w:rsidRDefault="0088700C" w:rsidP="001C1E41">
      <w:pPr>
        <w:pStyle w:val="Bullet1G"/>
        <w:rPr>
          <w:lang w:val="es-ES"/>
        </w:rPr>
      </w:pPr>
      <w:r w:rsidRPr="00B112A4">
        <w:rPr>
          <w:lang w:val="es-ES"/>
        </w:rPr>
        <w:t>Конвенция о политических правах женщин</w:t>
      </w:r>
      <w:r w:rsidR="005E0FF2">
        <w:t>;</w:t>
      </w:r>
    </w:p>
    <w:p w14:paraId="47972AF9" w14:textId="77777777" w:rsidR="0088700C" w:rsidRPr="00B112A4" w:rsidRDefault="0088700C" w:rsidP="001C1E41">
      <w:pPr>
        <w:pStyle w:val="Bullet1G"/>
        <w:rPr>
          <w:lang w:val="es-ES"/>
        </w:rPr>
      </w:pPr>
      <w:r w:rsidRPr="00B112A4">
        <w:rPr>
          <w:lang w:val="es-ES"/>
        </w:rPr>
        <w:t>Конвенция о статусе апатридов</w:t>
      </w:r>
      <w:r w:rsidR="005E0FF2">
        <w:t>;</w:t>
      </w:r>
    </w:p>
    <w:p w14:paraId="0D5880AE" w14:textId="77777777" w:rsidR="0088700C" w:rsidRPr="00B112A4" w:rsidRDefault="0088700C" w:rsidP="001C1E41">
      <w:pPr>
        <w:pStyle w:val="Bullet1G"/>
        <w:rPr>
          <w:lang w:val="es-ES"/>
        </w:rPr>
      </w:pPr>
      <w:r w:rsidRPr="00B112A4">
        <w:rPr>
          <w:lang w:val="es-ES"/>
        </w:rPr>
        <w:t>Международный пакт о гражданских и политических правах и Факультативные протоколы к нему</w:t>
      </w:r>
      <w:r w:rsidR="005E0FF2">
        <w:t>;</w:t>
      </w:r>
    </w:p>
    <w:p w14:paraId="174D4E1B" w14:textId="77777777" w:rsidR="0088700C" w:rsidRPr="00B112A4" w:rsidRDefault="0088700C" w:rsidP="001C1E41">
      <w:pPr>
        <w:pStyle w:val="Bullet1G"/>
        <w:rPr>
          <w:lang w:val="es-ES"/>
        </w:rPr>
      </w:pPr>
      <w:r w:rsidRPr="00B112A4">
        <w:rPr>
          <w:lang w:val="es-ES"/>
        </w:rPr>
        <w:t>Международный пакт об экономических, социальных и культурных правах и Факультативный протокол к нему</w:t>
      </w:r>
      <w:r w:rsidR="005E0FF2">
        <w:t>;</w:t>
      </w:r>
    </w:p>
    <w:p w14:paraId="0BBA32CF" w14:textId="77777777" w:rsidR="0088700C" w:rsidRPr="00B112A4" w:rsidRDefault="0088700C" w:rsidP="001C1E41">
      <w:pPr>
        <w:pStyle w:val="Bullet1G"/>
        <w:rPr>
          <w:lang w:val="es-ES"/>
        </w:rPr>
      </w:pPr>
      <w:r w:rsidRPr="00B112A4">
        <w:rPr>
          <w:lang w:val="es-ES"/>
        </w:rPr>
        <w:t>Международная конвенция о ликвидации всех форм расовой дискриминации</w:t>
      </w:r>
      <w:r w:rsidR="003234D2">
        <w:t>;</w:t>
      </w:r>
    </w:p>
    <w:p w14:paraId="013BF03E" w14:textId="77777777" w:rsidR="0088700C" w:rsidRPr="00B112A4" w:rsidRDefault="0088700C" w:rsidP="001C1E41">
      <w:pPr>
        <w:pStyle w:val="Bullet1G"/>
        <w:rPr>
          <w:lang w:val="es-ES"/>
        </w:rPr>
      </w:pPr>
      <w:r w:rsidRPr="00B112A4">
        <w:rPr>
          <w:lang w:val="es-ES"/>
        </w:rPr>
        <w:t>Конвенция о ликвидации всех форм дискриминации в отношении женщин и Факультативный протокол к ней</w:t>
      </w:r>
      <w:r w:rsidR="005E0FF2">
        <w:t>;</w:t>
      </w:r>
    </w:p>
    <w:p w14:paraId="737C211C" w14:textId="77777777" w:rsidR="0088700C" w:rsidRPr="00B112A4" w:rsidRDefault="0088700C" w:rsidP="001C1E41">
      <w:pPr>
        <w:pStyle w:val="Bullet1G"/>
        <w:rPr>
          <w:lang w:val="es-ES"/>
        </w:rPr>
      </w:pPr>
      <w:r w:rsidRPr="00B112A4">
        <w:rPr>
          <w:lang w:val="es-ES"/>
        </w:rPr>
        <w:t>Конвенция против пыток и других жестоких, бесчеловечных или унижающих достоинство видов обращения и наказания (Испания сделала предусмотренное статьей 22 этой Конвенции заявление о признании компетенции Комитета против пыток рассматривать индивидуальные сообщения о нарушениях Конвенции) и Факультативный протокол к ней</w:t>
      </w:r>
      <w:r w:rsidR="005E0FF2">
        <w:t>;</w:t>
      </w:r>
    </w:p>
    <w:p w14:paraId="7C0F1DEA" w14:textId="77777777" w:rsidR="0088700C" w:rsidRPr="00B112A4" w:rsidRDefault="0088700C" w:rsidP="001C1E41">
      <w:pPr>
        <w:pStyle w:val="Bullet1G"/>
        <w:rPr>
          <w:lang w:val="es-ES"/>
        </w:rPr>
      </w:pPr>
      <w:r w:rsidRPr="00B112A4">
        <w:rPr>
          <w:lang w:val="es-ES"/>
        </w:rPr>
        <w:t>Конвенция о правах ребенка и три Факультативных протокола к ней (о торговле детьми, детской проституции и детской порнографии, об участии детей в вооруженных конфликтах и о процедуре сообщений)</w:t>
      </w:r>
      <w:r w:rsidR="005E0FF2">
        <w:t>;</w:t>
      </w:r>
    </w:p>
    <w:p w14:paraId="6AFB9137" w14:textId="77777777" w:rsidR="0088700C" w:rsidRPr="00B112A4" w:rsidRDefault="0088700C" w:rsidP="001C1E41">
      <w:pPr>
        <w:pStyle w:val="Bullet1G"/>
        <w:rPr>
          <w:lang w:val="es-ES"/>
        </w:rPr>
      </w:pPr>
      <w:r w:rsidRPr="00B112A4">
        <w:rPr>
          <w:lang w:val="es-ES"/>
        </w:rPr>
        <w:t>Римский статут Международного уголовного суда и Соглашение о привилегиях и иммунитетах Международного уголовного суда</w:t>
      </w:r>
      <w:r w:rsidR="005E0FF2">
        <w:t>;</w:t>
      </w:r>
    </w:p>
    <w:p w14:paraId="4FFEEAE2" w14:textId="77777777" w:rsidR="0088700C" w:rsidRPr="00B112A4" w:rsidRDefault="0088700C" w:rsidP="001C1E41">
      <w:pPr>
        <w:pStyle w:val="Bullet1G"/>
        <w:rPr>
          <w:lang w:val="es-ES"/>
        </w:rPr>
      </w:pPr>
      <w:r w:rsidRPr="00B112A4">
        <w:rPr>
          <w:lang w:val="es-ES"/>
        </w:rPr>
        <w:t>Конвенция против транснациональной организованной преступности и дополняющие ее Протоколы о предупреждении и пресечении торговли людьми, особенно женщинами и детьми, и наказании за нее и против незаконного ввоза мигрантов по суше, морю и воздуху</w:t>
      </w:r>
      <w:r w:rsidR="005E0FF2">
        <w:t>;</w:t>
      </w:r>
    </w:p>
    <w:p w14:paraId="0185BC58" w14:textId="77777777" w:rsidR="0088700C" w:rsidRPr="00B112A4" w:rsidRDefault="0088700C" w:rsidP="001C1E41">
      <w:pPr>
        <w:pStyle w:val="Bullet1G"/>
        <w:rPr>
          <w:lang w:val="es-ES"/>
        </w:rPr>
      </w:pPr>
      <w:r w:rsidRPr="00B112A4">
        <w:rPr>
          <w:lang w:val="es-ES"/>
        </w:rPr>
        <w:t>Международная конвенция для защиты всех лиц от насильственных исчезновений</w:t>
      </w:r>
      <w:r w:rsidR="005E0FF2">
        <w:t>;</w:t>
      </w:r>
    </w:p>
    <w:p w14:paraId="02972017" w14:textId="77777777" w:rsidR="0088700C" w:rsidRPr="00B112A4" w:rsidRDefault="0088700C" w:rsidP="001C1E41">
      <w:pPr>
        <w:pStyle w:val="Bullet1G"/>
        <w:rPr>
          <w:lang w:val="es-ES"/>
        </w:rPr>
      </w:pPr>
      <w:r w:rsidRPr="00B112A4">
        <w:rPr>
          <w:lang w:val="es-ES"/>
        </w:rPr>
        <w:t>Конвенция о правах инвалидов и Факультативный протокол к ней</w:t>
      </w:r>
      <w:r w:rsidR="005E0FF2">
        <w:t>;</w:t>
      </w:r>
    </w:p>
    <w:p w14:paraId="7AB6B498" w14:textId="77777777" w:rsidR="0088700C" w:rsidRPr="00B112A4" w:rsidRDefault="0088700C" w:rsidP="001C1E41">
      <w:pPr>
        <w:pStyle w:val="Bullet1G"/>
        <w:rPr>
          <w:lang w:val="es-ES"/>
        </w:rPr>
      </w:pPr>
      <w:r w:rsidRPr="00B112A4">
        <w:rPr>
          <w:lang w:val="es-ES"/>
        </w:rPr>
        <w:t>Конвенция по кассетным боеприпасам</w:t>
      </w:r>
      <w:r w:rsidR="005E0FF2">
        <w:t>;</w:t>
      </w:r>
    </w:p>
    <w:p w14:paraId="4E3B374B" w14:textId="77777777" w:rsidR="0088700C" w:rsidRPr="00B112A4" w:rsidRDefault="0088700C" w:rsidP="001C1E41">
      <w:pPr>
        <w:pStyle w:val="Bullet1G"/>
        <w:rPr>
          <w:lang w:val="es-ES"/>
        </w:rPr>
      </w:pPr>
      <w:r w:rsidRPr="00B112A4">
        <w:rPr>
          <w:lang w:val="es-ES"/>
        </w:rPr>
        <w:lastRenderedPageBreak/>
        <w:t>Конвенция о контроле над международной торговлей оружием, военным снаряжением и боеприпасами</w:t>
      </w:r>
      <w:r w:rsidR="005E0FF2">
        <w:t>;</w:t>
      </w:r>
    </w:p>
    <w:p w14:paraId="50C52484" w14:textId="77777777" w:rsidR="0088700C" w:rsidRPr="00B112A4" w:rsidRDefault="0088700C" w:rsidP="001C1E41">
      <w:pPr>
        <w:pStyle w:val="Bullet1G"/>
        <w:rPr>
          <w:lang w:val="es-ES"/>
        </w:rPr>
      </w:pPr>
      <w:r w:rsidRPr="00B112A4">
        <w:rPr>
          <w:lang w:val="es-ES"/>
        </w:rPr>
        <w:t>Конвенция о сокращении безгражданства, принятая в Нью-Йорке 30 августа 1961 года.</w:t>
      </w:r>
    </w:p>
    <w:p w14:paraId="3616C7DA" w14:textId="77777777" w:rsidR="0088700C" w:rsidRPr="00B112A4" w:rsidRDefault="0088700C" w:rsidP="0088700C">
      <w:pPr>
        <w:pStyle w:val="SingleTxtG"/>
        <w:rPr>
          <w:lang w:val="es-ES"/>
        </w:rPr>
      </w:pPr>
      <w:r w:rsidRPr="00B112A4">
        <w:rPr>
          <w:lang w:val="es-ES"/>
        </w:rPr>
        <w:t>116.</w:t>
      </w:r>
      <w:r w:rsidRPr="00B112A4">
        <w:rPr>
          <w:lang w:val="es-ES"/>
        </w:rPr>
        <w:tab/>
        <w:t>В рамках Совета Европы:</w:t>
      </w:r>
    </w:p>
    <w:p w14:paraId="22FDBF41" w14:textId="77777777" w:rsidR="0088700C" w:rsidRPr="00B112A4" w:rsidRDefault="0088700C" w:rsidP="001C1E41">
      <w:pPr>
        <w:pStyle w:val="Bullet1G"/>
        <w:rPr>
          <w:lang w:val="es-ES"/>
        </w:rPr>
      </w:pPr>
      <w:r w:rsidRPr="00B112A4">
        <w:rPr>
          <w:lang w:val="es-ES"/>
        </w:rPr>
        <w:t>Европейская конвенция о защите прав человека и основных свобод</w:t>
      </w:r>
      <w:r w:rsidR="005E0FF2">
        <w:t>;</w:t>
      </w:r>
    </w:p>
    <w:p w14:paraId="7B9ED7E8" w14:textId="77777777" w:rsidR="0088700C" w:rsidRPr="00B112A4" w:rsidRDefault="0088700C" w:rsidP="001C1E41">
      <w:pPr>
        <w:pStyle w:val="Bullet1G"/>
        <w:rPr>
          <w:lang w:val="es-ES"/>
        </w:rPr>
      </w:pPr>
      <w:bookmarkStart w:id="1" w:name="Sample_2"/>
      <w:r w:rsidRPr="00B112A4">
        <w:rPr>
          <w:lang w:val="es-ES"/>
        </w:rPr>
        <w:t>Протокол № 4 к Конвенции о защите прав человека и основных свобод об обеспечении некоторых прав и свобод помимо тех, которые уже включены в Конвенцию и Дополнительный протокол к ней (Конвенция № 46 Совета Европы)</w:t>
      </w:r>
      <w:r w:rsidR="005E0FF2">
        <w:t>;</w:t>
      </w:r>
    </w:p>
    <w:p w14:paraId="17CDE16F" w14:textId="77777777" w:rsidR="0088700C" w:rsidRPr="00B112A4" w:rsidRDefault="0088700C" w:rsidP="001C1E41">
      <w:pPr>
        <w:pStyle w:val="Bullet1G"/>
        <w:rPr>
          <w:lang w:val="es-ES"/>
        </w:rPr>
      </w:pPr>
      <w:r w:rsidRPr="00B112A4">
        <w:rPr>
          <w:lang w:val="es-ES"/>
        </w:rPr>
        <w:t>Протокол № 6 к Европейской конвенции о защите прав человека и основных свобод относительно отмены смертной казни в мирное время</w:t>
      </w:r>
      <w:r w:rsidR="005E0FF2">
        <w:t>;</w:t>
      </w:r>
    </w:p>
    <w:p w14:paraId="504E266E" w14:textId="77777777" w:rsidR="0088700C" w:rsidRPr="00B112A4" w:rsidRDefault="0088700C" w:rsidP="001C1E41">
      <w:pPr>
        <w:pStyle w:val="Bullet1G"/>
        <w:rPr>
          <w:lang w:val="es-ES"/>
        </w:rPr>
      </w:pPr>
      <w:r w:rsidRPr="00B112A4">
        <w:rPr>
          <w:lang w:val="es-ES"/>
        </w:rPr>
        <w:t>Протокол № 7 к Конвенции о защите прав человека и основных свобод (Конвенция № 117 Совета Европы)</w:t>
      </w:r>
      <w:r w:rsidR="005E0FF2">
        <w:t>;</w:t>
      </w:r>
    </w:p>
    <w:p w14:paraId="61253242" w14:textId="77777777" w:rsidR="0088700C" w:rsidRPr="00B112A4" w:rsidRDefault="0088700C" w:rsidP="001C1E41">
      <w:pPr>
        <w:pStyle w:val="Bullet1G"/>
        <w:rPr>
          <w:lang w:val="es-ES"/>
        </w:rPr>
      </w:pPr>
      <w:r w:rsidRPr="00B112A4">
        <w:rPr>
          <w:lang w:val="es-ES"/>
        </w:rPr>
        <w:t>Протокол № 12 к Европейской конвенции о защите прав человека и основных свобод, касающийся общего запрещения дискриминации</w:t>
      </w:r>
      <w:r w:rsidR="005E0FF2">
        <w:t>;</w:t>
      </w:r>
    </w:p>
    <w:p w14:paraId="6B06082F" w14:textId="77777777" w:rsidR="0088700C" w:rsidRPr="00B112A4" w:rsidRDefault="0088700C" w:rsidP="001C1E41">
      <w:pPr>
        <w:pStyle w:val="Bullet1G"/>
        <w:rPr>
          <w:lang w:val="es-ES"/>
        </w:rPr>
      </w:pPr>
      <w:r w:rsidRPr="00B112A4">
        <w:rPr>
          <w:lang w:val="es-ES"/>
        </w:rPr>
        <w:t>Протокол № 13 к Европейской конвенции о защите прав человека и основных свобод, касающийся отмены смертной казни в любых обстоятельствах</w:t>
      </w:r>
      <w:r w:rsidR="005E0FF2">
        <w:t>;</w:t>
      </w:r>
    </w:p>
    <w:p w14:paraId="6174D6BA" w14:textId="77777777" w:rsidR="0088700C" w:rsidRPr="00B112A4" w:rsidRDefault="0088700C" w:rsidP="001C1E41">
      <w:pPr>
        <w:pStyle w:val="Bullet1G"/>
        <w:rPr>
          <w:lang w:val="es-ES"/>
        </w:rPr>
      </w:pPr>
      <w:r w:rsidRPr="00B112A4">
        <w:rPr>
          <w:lang w:val="es-ES"/>
        </w:rPr>
        <w:t>Протокол № 14 к Европейской конвенции о защите прав человека и основных свобод, дополняющий контрольную систему Конвенции</w:t>
      </w:r>
      <w:r w:rsidR="005E0FF2">
        <w:t>;</w:t>
      </w:r>
    </w:p>
    <w:p w14:paraId="5A5E8DE3" w14:textId="77777777" w:rsidR="0088700C" w:rsidRPr="00B112A4" w:rsidRDefault="0088700C" w:rsidP="001C1E41">
      <w:pPr>
        <w:pStyle w:val="Bullet1G"/>
        <w:rPr>
          <w:lang w:val="es-ES"/>
        </w:rPr>
      </w:pPr>
      <w:r w:rsidRPr="00B112A4">
        <w:rPr>
          <w:lang w:val="es-ES"/>
        </w:rPr>
        <w:t>Протокол № 15 к Европейской конвенции о защите прав человека и основных свобод</w:t>
      </w:r>
      <w:r w:rsidR="005E0FF2">
        <w:t>;</w:t>
      </w:r>
    </w:p>
    <w:p w14:paraId="78762204" w14:textId="77777777" w:rsidR="0088700C" w:rsidRPr="00B112A4" w:rsidRDefault="0088700C" w:rsidP="001C1E41">
      <w:pPr>
        <w:pStyle w:val="Bullet1G"/>
        <w:rPr>
          <w:lang w:val="es-ES"/>
        </w:rPr>
      </w:pPr>
      <w:r w:rsidRPr="00B112A4">
        <w:rPr>
          <w:lang w:val="es-ES"/>
        </w:rPr>
        <w:t>Конвенция о защите прав человека и человеческого достоинства в связи с применением достижений биологии и медицины: Конвенция о правах человека и биомедицине</w:t>
      </w:r>
      <w:r w:rsidR="005E0FF2">
        <w:t>;</w:t>
      </w:r>
    </w:p>
    <w:p w14:paraId="6703EA83" w14:textId="77777777" w:rsidR="0088700C" w:rsidRPr="00B112A4" w:rsidRDefault="0088700C" w:rsidP="001C1E41">
      <w:pPr>
        <w:pStyle w:val="Bullet1G"/>
        <w:rPr>
          <w:lang w:val="es-ES"/>
        </w:rPr>
      </w:pPr>
      <w:r w:rsidRPr="00B112A4">
        <w:rPr>
          <w:lang w:val="es-ES"/>
        </w:rPr>
        <w:t>Рамочная конвенция о защите национальных меньшинств</w:t>
      </w:r>
      <w:r w:rsidR="005E0FF2">
        <w:t>;</w:t>
      </w:r>
    </w:p>
    <w:p w14:paraId="1C48958F" w14:textId="77777777" w:rsidR="0088700C" w:rsidRPr="00B112A4" w:rsidRDefault="0088700C" w:rsidP="001C1E41">
      <w:pPr>
        <w:pStyle w:val="Bullet1G"/>
        <w:rPr>
          <w:lang w:val="es-ES"/>
        </w:rPr>
      </w:pPr>
      <w:r w:rsidRPr="00B112A4">
        <w:rPr>
          <w:lang w:val="es-ES"/>
        </w:rPr>
        <w:t>Европейская хартия региональных языков или языков меньшинств</w:t>
      </w:r>
      <w:r w:rsidR="005E0FF2">
        <w:t>;</w:t>
      </w:r>
    </w:p>
    <w:p w14:paraId="279E4CFE" w14:textId="77777777" w:rsidR="0088700C" w:rsidRPr="00B112A4" w:rsidRDefault="0088700C" w:rsidP="001C1E41">
      <w:pPr>
        <w:pStyle w:val="Bullet1G"/>
        <w:rPr>
          <w:lang w:val="es-ES"/>
        </w:rPr>
      </w:pPr>
      <w:r w:rsidRPr="00B112A4">
        <w:rPr>
          <w:lang w:val="es-ES"/>
        </w:rPr>
        <w:t>Европейская социальная хартия. В настоящее время Испания находится в процессе ратификации пересмотренной Европейской социальной хартии. 1</w:t>
      </w:r>
      <w:r w:rsidR="005E0FF2">
        <w:t> </w:t>
      </w:r>
      <w:r w:rsidRPr="00B112A4">
        <w:rPr>
          <w:lang w:val="es-ES"/>
        </w:rPr>
        <w:t>февраля 2019 года Совет министров принял постановление, в соответствии с которым он направил пересмотренную Европейскую социальную хартию Генеральным кортесам и санкционировал выражение Испанией согласия на принятие обязательств по ее выполнению</w:t>
      </w:r>
      <w:r w:rsidR="005E0FF2">
        <w:t>;</w:t>
      </w:r>
    </w:p>
    <w:p w14:paraId="7EFC6F08" w14:textId="77777777" w:rsidR="0088700C" w:rsidRPr="00B112A4" w:rsidRDefault="0088700C" w:rsidP="001C1E41">
      <w:pPr>
        <w:pStyle w:val="Bullet1G"/>
        <w:rPr>
          <w:lang w:val="es-ES"/>
        </w:rPr>
      </w:pPr>
      <w:r w:rsidRPr="00B112A4">
        <w:rPr>
          <w:lang w:val="es-ES"/>
        </w:rPr>
        <w:t>Конвенция Совета Европы о борьбе с торговлей людьми</w:t>
      </w:r>
      <w:r w:rsidR="005E0FF2">
        <w:t>;</w:t>
      </w:r>
    </w:p>
    <w:p w14:paraId="353C800A" w14:textId="77777777" w:rsidR="0088700C" w:rsidRPr="00B112A4" w:rsidRDefault="0088700C" w:rsidP="001C1E41">
      <w:pPr>
        <w:pStyle w:val="Bullet1G"/>
        <w:rPr>
          <w:lang w:val="es-ES"/>
        </w:rPr>
      </w:pPr>
      <w:r w:rsidRPr="00B112A4">
        <w:rPr>
          <w:lang w:val="es-ES"/>
        </w:rPr>
        <w:t>Конвенция Совета Европы о защите детей от сексуальной эксплуатации и сексуального насилия</w:t>
      </w:r>
      <w:r w:rsidR="005E0FF2">
        <w:t>;</w:t>
      </w:r>
    </w:p>
    <w:p w14:paraId="6D08DC77" w14:textId="77777777" w:rsidR="0088700C" w:rsidRPr="00B112A4" w:rsidRDefault="0088700C" w:rsidP="001C1E41">
      <w:pPr>
        <w:pStyle w:val="Bullet1G"/>
        <w:rPr>
          <w:lang w:val="es-ES"/>
        </w:rPr>
      </w:pPr>
      <w:r w:rsidRPr="00B112A4">
        <w:rPr>
          <w:lang w:val="es-ES"/>
        </w:rPr>
        <w:t>Конвенция Совета Европы о противодействии торговле людьми</w:t>
      </w:r>
      <w:r w:rsidR="005E0FF2">
        <w:t>;</w:t>
      </w:r>
    </w:p>
    <w:p w14:paraId="07FEC376" w14:textId="77777777" w:rsidR="0088700C" w:rsidRPr="00B112A4" w:rsidRDefault="0088700C" w:rsidP="001C1E41">
      <w:pPr>
        <w:pStyle w:val="Bullet1G"/>
        <w:rPr>
          <w:lang w:val="es-ES"/>
        </w:rPr>
      </w:pPr>
      <w:r w:rsidRPr="00B112A4">
        <w:rPr>
          <w:lang w:val="es-ES"/>
        </w:rPr>
        <w:t>Конвенция Совета Европы о предупреждении насилия в отношении женщин и насилия в семье и борьбе с ним.</w:t>
      </w:r>
    </w:p>
    <w:p w14:paraId="539D2DA7" w14:textId="77777777" w:rsidR="0088700C" w:rsidRPr="00B112A4" w:rsidRDefault="0088700C" w:rsidP="001C1E41">
      <w:pPr>
        <w:pStyle w:val="H1G"/>
        <w:rPr>
          <w:lang w:val="es-ES"/>
        </w:rPr>
      </w:pPr>
      <w:r w:rsidRPr="00B112A4">
        <w:rPr>
          <w:lang w:val="es-ES"/>
        </w:rPr>
        <w:tab/>
        <w:t>B.</w:t>
      </w:r>
      <w:r w:rsidRPr="00B112A4">
        <w:rPr>
          <w:lang w:val="es-ES"/>
        </w:rPr>
        <w:tab/>
        <w:t>Правовая основа защиты прав человека на уровне страны</w:t>
      </w:r>
    </w:p>
    <w:p w14:paraId="4FED4AD1" w14:textId="77777777" w:rsidR="0088700C" w:rsidRPr="00B112A4" w:rsidRDefault="0088700C" w:rsidP="0088700C">
      <w:pPr>
        <w:pStyle w:val="SingleTxtG"/>
        <w:rPr>
          <w:lang w:val="es-ES"/>
        </w:rPr>
      </w:pPr>
      <w:r w:rsidRPr="00B112A4">
        <w:rPr>
          <w:lang w:val="es-ES"/>
        </w:rPr>
        <w:t>117.</w:t>
      </w:r>
      <w:r w:rsidRPr="00B112A4">
        <w:rPr>
          <w:lang w:val="es-ES"/>
        </w:rPr>
        <w:tab/>
        <w:t>В Испании общая основа защиты прав человека закреплена в Конституции 1978</w:t>
      </w:r>
      <w:r w:rsidR="005E0FF2">
        <w:t> </w:t>
      </w:r>
      <w:r w:rsidRPr="00B112A4">
        <w:rPr>
          <w:lang w:val="es-ES"/>
        </w:rPr>
        <w:t>года, прежде всего в части 1 главы II раздела I (</w:t>
      </w:r>
      <w:r w:rsidR="00435B5F">
        <w:rPr>
          <w:lang w:val="es-ES"/>
        </w:rPr>
        <w:t>«</w:t>
      </w:r>
      <w:r w:rsidRPr="00B112A4">
        <w:rPr>
          <w:lang w:val="es-ES"/>
        </w:rPr>
        <w:t>Об основных правах и обязанностях</w:t>
      </w:r>
      <w:r w:rsidR="00435B5F">
        <w:rPr>
          <w:lang w:val="es-ES"/>
        </w:rPr>
        <w:t>»</w:t>
      </w:r>
      <w:r w:rsidRPr="00B112A4">
        <w:rPr>
          <w:lang w:val="es-ES"/>
        </w:rPr>
        <w:t>). Статья 53 Конституции предусматривает систему гарантий этих прав, которая обеспечивается следующим образом:</w:t>
      </w:r>
    </w:p>
    <w:p w14:paraId="5D5C0406" w14:textId="77777777" w:rsidR="0088700C" w:rsidRPr="00B112A4" w:rsidRDefault="0088700C" w:rsidP="001C1E41">
      <w:pPr>
        <w:pStyle w:val="SingleTxtG"/>
        <w:ind w:firstLine="567"/>
        <w:rPr>
          <w:lang w:val="es-ES"/>
        </w:rPr>
      </w:pPr>
      <w:r w:rsidRPr="00B112A4">
        <w:rPr>
          <w:lang w:val="es-ES"/>
        </w:rPr>
        <w:t>a)</w:t>
      </w:r>
      <w:r w:rsidRPr="00B112A4">
        <w:rPr>
          <w:lang w:val="es-ES"/>
        </w:rPr>
        <w:tab/>
        <w:t xml:space="preserve">законодательная гарантия: осуществление этих прав может регламентироваться только законом, </w:t>
      </w:r>
      <w:r w:rsidR="00435B5F">
        <w:rPr>
          <w:lang w:val="es-ES"/>
        </w:rPr>
        <w:t>«</w:t>
      </w:r>
      <w:r w:rsidRPr="00B112A4">
        <w:rPr>
          <w:lang w:val="es-ES"/>
        </w:rPr>
        <w:t>который в любом случае должен уважать их основное содержание</w:t>
      </w:r>
      <w:r w:rsidR="00435B5F">
        <w:rPr>
          <w:lang w:val="es-ES"/>
        </w:rPr>
        <w:t>»</w:t>
      </w:r>
      <w:r w:rsidRPr="00B112A4">
        <w:rPr>
          <w:lang w:val="es-ES"/>
        </w:rPr>
        <w:t xml:space="preserve">. Закон, в котором получают развитие основные права и </w:t>
      </w:r>
      <w:r w:rsidRPr="00B112A4">
        <w:rPr>
          <w:lang w:val="es-ES"/>
        </w:rPr>
        <w:lastRenderedPageBreak/>
        <w:t>гражданские свободы, должен быть органическим законом, для принятия, изменения или отмены которого требуется абсолютное большинство голосов членов Конгресса в последнем голосовании по проекту в целом (пункты 1 и 2 статьи 81). Осуществление этой гарантии контролируется Конституционным судом путем рассмотрения обращений о проверке конституционности законов и нормативных актов, имеющих силу закона (подпункт а) пункта 1 статьи 161). Право подачи таких обращений имеют Председатель правительства, Народный защитник, 50 депутатов, 50 сенаторов, коллегиальные исполнительные органы автономных сообществ и, в случае необходимости, их Ассамблеи (подпункт а) пункта 1 статьи 162). Аналогичным образом, принятие государством на себя обязательств, вытекающих из договоров или соглашений, требует предварительного согласия Генеральных кортесов, если речь идет о договорах или соглашениях, затрагивающих основные права и обязанности, предусмотренные в разделе I (подпункт с) пункта 1 статьи 94) Конституции. Кроме того, в статье 95 Конституции Испании предусматривается для правительства или любой из палат Генеральных кортесов − Конгресса депутатов или Сената</w:t>
      </w:r>
      <w:r w:rsidR="005E0FF2">
        <w:t> </w:t>
      </w:r>
      <w:r w:rsidRPr="00B112A4">
        <w:rPr>
          <w:lang w:val="es-ES"/>
        </w:rPr>
        <w:t>− возможность перед заключением международного договора обращаться в Конституционный суд с запросом о том, не содержатся ли в нем положения, противоречащие Конституции. Этот запрос может повлечь за собой признание международного договора соответствующим Конституции согласно положениям статьи 78 раздела VI Органического закона № 2/1979 (от 2 октября 1979 года) о</w:t>
      </w:r>
      <w:r w:rsidR="005E0FF2">
        <w:t> </w:t>
      </w:r>
      <w:r w:rsidRPr="00B112A4">
        <w:rPr>
          <w:lang w:val="es-ES"/>
        </w:rPr>
        <w:t>Конституционном суде.</w:t>
      </w:r>
    </w:p>
    <w:p w14:paraId="2E133AB0" w14:textId="77777777" w:rsidR="0088700C" w:rsidRPr="00B112A4" w:rsidRDefault="0088700C" w:rsidP="001C1E41">
      <w:pPr>
        <w:pStyle w:val="SingleTxtG"/>
        <w:ind w:firstLine="567"/>
        <w:rPr>
          <w:lang w:val="es-ES"/>
        </w:rPr>
      </w:pPr>
      <w:r w:rsidRPr="00B112A4">
        <w:rPr>
          <w:lang w:val="es-ES"/>
        </w:rPr>
        <w:t>b)</w:t>
      </w:r>
      <w:r w:rsidRPr="00B112A4">
        <w:rPr>
          <w:lang w:val="es-ES"/>
        </w:rPr>
        <w:tab/>
        <w:t>судебная защита согласно обычной процедуре ампаро: любой гражданин может требовать в судах общей юрисдикции защиты свобод и прав, признаваемых статьей 14 и частью 1 главы II Конституции.</w:t>
      </w:r>
    </w:p>
    <w:p w14:paraId="32BF49FB" w14:textId="77777777" w:rsidR="0088700C" w:rsidRPr="00B112A4" w:rsidRDefault="0088700C" w:rsidP="0088700C">
      <w:pPr>
        <w:pStyle w:val="SingleTxtG"/>
        <w:rPr>
          <w:lang w:val="es-ES"/>
        </w:rPr>
      </w:pPr>
      <w:r w:rsidRPr="00B112A4">
        <w:rPr>
          <w:lang w:val="es-ES"/>
        </w:rPr>
        <w:t>118.</w:t>
      </w:r>
      <w:r w:rsidRPr="00B112A4">
        <w:rPr>
          <w:lang w:val="es-ES"/>
        </w:rPr>
        <w:tab/>
        <w:t>Первоначально процедура такой защиты была определена Законом № 62/1978 от 26 декабря1</w:t>
      </w:r>
      <w:r w:rsidR="009924DC">
        <w:t xml:space="preserve"> </w:t>
      </w:r>
      <w:r w:rsidRPr="00B112A4">
        <w:rPr>
          <w:lang w:val="es-ES"/>
        </w:rPr>
        <w:t>978 года о судебной защите основных прав личности. Однако Закон</w:t>
      </w:r>
      <w:r w:rsidR="005E0FF2">
        <w:t> </w:t>
      </w:r>
      <w:r w:rsidRPr="00B112A4">
        <w:rPr>
          <w:lang w:val="es-ES"/>
        </w:rPr>
        <w:t>№</w:t>
      </w:r>
      <w:r w:rsidR="005E0FF2">
        <w:t> </w:t>
      </w:r>
      <w:r w:rsidRPr="00B112A4">
        <w:rPr>
          <w:lang w:val="es-ES"/>
        </w:rPr>
        <w:t>62/1978 был принят до конституции, и поэтому даже с учетом того, что Органический закон о Конституционном суде в части 2 своего второго переходного положения оставлял его в силе до тех пор, пока не будут развиты положения пункта 2 статьи 53 Конституции, испанские процессуальные законы предусмотрели специальные процедуры для защиты основных прав в каждой сфере судебной юрисдикции (в гражданской, уголовной, административной и трудовой сфере), что предполагало прекращение действия упомянутого закона путем внесения поправок в действующие законы, как в случае Закона об уголовном судопроизводстве, либо путем принятия новых законов, как в случае Закона № 36/2011 от 10 октября 2011 года о регулировании юрисдикции по социальным спорам, Закона № 29/1998 от 13 июля 1998</w:t>
      </w:r>
      <w:r w:rsidR="005E0FF2">
        <w:t> </w:t>
      </w:r>
      <w:r w:rsidRPr="00B112A4">
        <w:rPr>
          <w:lang w:val="es-ES"/>
        </w:rPr>
        <w:t>года о регулировании юрисдикции по административным спорам или Закона № 1/2000 от 7 января 2000 года о гражданском судопроизводстве.</w:t>
      </w:r>
    </w:p>
    <w:p w14:paraId="6F85E611" w14:textId="77777777" w:rsidR="0088700C" w:rsidRPr="00B112A4" w:rsidRDefault="0088700C" w:rsidP="0088700C">
      <w:pPr>
        <w:pStyle w:val="SingleTxtG"/>
        <w:rPr>
          <w:lang w:val="es-ES"/>
        </w:rPr>
      </w:pPr>
      <w:r w:rsidRPr="00B112A4">
        <w:rPr>
          <w:lang w:val="es-ES"/>
        </w:rPr>
        <w:t>119.</w:t>
      </w:r>
      <w:r w:rsidRPr="00B112A4">
        <w:rPr>
          <w:lang w:val="es-ES"/>
        </w:rPr>
        <w:tab/>
        <w:t>Кроме того, пункт 1 статьи 7 Органического закона о судебной власти № 6/1985 от 1 июля 1985 года устанавливает, что все права и свободы в целом, признанные в главе II раздела I Конституции, имеют обязательную силу для всех судей и судов и гарантируются путем их действенной судебной защиты. В этом отношении пункт</w:t>
      </w:r>
      <w:r w:rsidR="005E0FF2">
        <w:t> </w:t>
      </w:r>
      <w:r w:rsidRPr="00B112A4">
        <w:rPr>
          <w:lang w:val="es-ES"/>
        </w:rPr>
        <w:t xml:space="preserve">4 статьи 5 упомянутого закона предусматривает, что </w:t>
      </w:r>
      <w:r w:rsidR="00435B5F">
        <w:rPr>
          <w:lang w:val="es-ES"/>
        </w:rPr>
        <w:t>«</w:t>
      </w:r>
      <w:r w:rsidRPr="00B112A4">
        <w:rPr>
          <w:lang w:val="es-ES"/>
        </w:rPr>
        <w:t>во всех случаях, когда в соответствии с законом предусмотрено обжалование в кассационном порядке, этого достаточно для обоснования нарушения конституционной нормы</w:t>
      </w:r>
      <w:r w:rsidR="00435B5F">
        <w:rPr>
          <w:lang w:val="es-ES"/>
        </w:rPr>
        <w:t>»</w:t>
      </w:r>
      <w:r w:rsidRPr="00B112A4">
        <w:rPr>
          <w:lang w:val="es-ES"/>
        </w:rPr>
        <w:t>.</w:t>
      </w:r>
    </w:p>
    <w:bookmarkEnd w:id="1"/>
    <w:p w14:paraId="7ED809BE" w14:textId="77777777" w:rsidR="0088700C" w:rsidRPr="00B112A4" w:rsidRDefault="0088700C" w:rsidP="0088700C">
      <w:pPr>
        <w:pStyle w:val="SingleTxtG"/>
        <w:rPr>
          <w:lang w:val="es-ES"/>
        </w:rPr>
      </w:pPr>
      <w:r w:rsidRPr="00B112A4">
        <w:rPr>
          <w:lang w:val="es-ES"/>
        </w:rPr>
        <w:t>120.</w:t>
      </w:r>
      <w:r w:rsidRPr="00B112A4">
        <w:rPr>
          <w:lang w:val="es-ES"/>
        </w:rPr>
        <w:tab/>
        <w:t>Исчерпав судебные средства защиты, граждане могут обращаться в Конституционный суд с ходатайством об обжаловании по процедуре ампаро (пункт 2 статьи 53 Конституции). Обжалование в Конституционном суде по процедуре ампаро регулируется подпунктом b) пункта 1 статьи 161 и подпунктом b) пункта 1 статьи 162 Конституции, а также статьями 41−58 Органического закона о Конституционном суде, который в пункте 1 статьи 41 устанавливает, что права и свободы, признанные в статьях 14−29, подлежат конституционной защите по процедуре ампаро в случаях и в порядке, установленных законом, без ущерба для их общей защиты, возлагаемой на суды. Эта защита применяется также к предусмотренному в статье 30 Конституции отказу от несения военной службы по убеждениям или по другим причинам. Для</w:t>
      </w:r>
      <w:r w:rsidR="005E0FF2">
        <w:t> </w:t>
      </w:r>
      <w:r w:rsidRPr="00B112A4">
        <w:rPr>
          <w:lang w:val="es-ES"/>
        </w:rPr>
        <w:t xml:space="preserve">обращения в Конституционный суд с ходатайством по процедуре ампаро необходимо предварительно исчерпать судебные средства защиты (согласно </w:t>
      </w:r>
      <w:r w:rsidRPr="00B112A4">
        <w:rPr>
          <w:lang w:val="es-ES"/>
        </w:rPr>
        <w:lastRenderedPageBreak/>
        <w:t>постановлениям Конституционного суда, в частности, постановлений № 73/1982, 29/1983 и 30/1984). В связи с этим следует упомянуть о поправке, внесенной Органическим законом № 6/2007 от 24 мая 2007 года в статью 241 Органического закона № 6/1985 от 1 июля 1985 года о судебной власти, относительно требования о том, что в случаях предполагаемых нарушений основных прав, упомянутых в пункте</w:t>
      </w:r>
      <w:r w:rsidR="005E0FF2">
        <w:t> </w:t>
      </w:r>
      <w:r w:rsidRPr="00B112A4">
        <w:rPr>
          <w:lang w:val="es-ES"/>
        </w:rPr>
        <w:t>2 статьи 53 Конституции, необходимо, прежде всего, требовать в обычных судах отмены неправомерных актов и обращаться за конституционной защитой по процедуре ампаро лишь в том случае, если ранее было невозможно добиться вынесения постановления, прекращающего это нарушение.</w:t>
      </w:r>
    </w:p>
    <w:p w14:paraId="40FAA9B2" w14:textId="77777777" w:rsidR="0088700C" w:rsidRPr="00B112A4" w:rsidRDefault="0088700C" w:rsidP="0088700C">
      <w:pPr>
        <w:pStyle w:val="SingleTxtG"/>
        <w:rPr>
          <w:lang w:val="es-ES"/>
        </w:rPr>
      </w:pPr>
      <w:r w:rsidRPr="00B112A4">
        <w:rPr>
          <w:lang w:val="es-ES"/>
        </w:rPr>
        <w:t>121.</w:t>
      </w:r>
      <w:r w:rsidRPr="00B112A4">
        <w:rPr>
          <w:lang w:val="es-ES"/>
        </w:rPr>
        <w:tab/>
        <w:t xml:space="preserve">В отношении правомочности подавать заявление о конституционной защите по процедуре ампаро следует отметить, что на это имеет право лицо, непосредственно затрагиваемое соответствующим положением или административным актом и являвшееся стороной судебного разбирательства, а также Народный защитник и Прокуратура, при этом сторона, заявляющая ходатайство, обязательно должна быть стороной разбирательства по процедуре ампаро (подпункты а) и b) пункта 1 статьи 46 и пункт 2 статьи 47 Органического закона о Конституционном суде). В статье 54 Конституции статус Народного защитника определяется как </w:t>
      </w:r>
      <w:r w:rsidR="00435B5F">
        <w:rPr>
          <w:lang w:val="es-ES"/>
        </w:rPr>
        <w:t>«</w:t>
      </w:r>
      <w:r w:rsidRPr="00B112A4">
        <w:rPr>
          <w:lang w:val="es-ES"/>
        </w:rPr>
        <w:t>высший уполномоченный Генеральных кортесов</w:t>
      </w:r>
      <w:r w:rsidR="00435B5F">
        <w:rPr>
          <w:lang w:val="es-ES"/>
        </w:rPr>
        <w:t>»</w:t>
      </w:r>
      <w:r w:rsidRPr="00B112A4">
        <w:rPr>
          <w:lang w:val="es-ES"/>
        </w:rPr>
        <w:t>, назначаемый для защиты прав, предусмотренных в разделе I Конституции, который в этих целях правомочен осуществлять надзор за деятельностью государственных органов власти и информировать Генеральные кортесы</w:t>
      </w:r>
      <w:r w:rsidR="00435B5F">
        <w:rPr>
          <w:lang w:val="es-ES"/>
        </w:rPr>
        <w:t>»</w:t>
      </w:r>
      <w:r w:rsidRPr="00B112A4">
        <w:rPr>
          <w:lang w:val="es-ES"/>
        </w:rPr>
        <w:t>. Наряду с этой функцией по контролю за деятельностью государственных органов власти Народный защитник в качестве защитника индивидуальных прав правомочен подавать жалобу по процедуре ампаро для защиты индивидуальных прав физических и юридических лиц (статья 162 Конституции и статья 46 Органического закона о Конституционном суде). К его функциям также относится координация деятельности аналогичных институтов, параллельно существующих в автономных сообществах (</w:t>
      </w:r>
      <w:r w:rsidR="00435B5F">
        <w:rPr>
          <w:lang w:val="es-ES"/>
        </w:rPr>
        <w:t>«</w:t>
      </w:r>
      <w:r w:rsidRPr="00B112A4">
        <w:rPr>
          <w:lang w:val="es-ES"/>
        </w:rPr>
        <w:t>синдикс дес греужес</w:t>
      </w:r>
      <w:r w:rsidR="00435B5F">
        <w:rPr>
          <w:lang w:val="es-ES"/>
        </w:rPr>
        <w:t>»</w:t>
      </w:r>
      <w:r w:rsidRPr="00B112A4">
        <w:rPr>
          <w:lang w:val="es-ES"/>
        </w:rPr>
        <w:t xml:space="preserve"> в Каталонии, Валенсийском сообществе и на Балеарских островах, </w:t>
      </w:r>
      <w:r w:rsidR="00435B5F">
        <w:rPr>
          <w:lang w:val="es-ES"/>
        </w:rPr>
        <w:t>«</w:t>
      </w:r>
      <w:r w:rsidRPr="00B112A4">
        <w:rPr>
          <w:lang w:val="es-ES"/>
        </w:rPr>
        <w:t>народный защитник</w:t>
      </w:r>
      <w:r w:rsidR="00435B5F">
        <w:rPr>
          <w:lang w:val="es-ES"/>
        </w:rPr>
        <w:t>»</w:t>
      </w:r>
      <w:r w:rsidRPr="00B112A4">
        <w:rPr>
          <w:lang w:val="es-ES"/>
        </w:rPr>
        <w:t xml:space="preserve"> в Андалусии, Кастилии-Ла-Манче и Наварре, </w:t>
      </w:r>
      <w:r w:rsidR="00435B5F">
        <w:rPr>
          <w:lang w:val="es-ES"/>
        </w:rPr>
        <w:t>«</w:t>
      </w:r>
      <w:r w:rsidRPr="00B112A4">
        <w:rPr>
          <w:lang w:val="es-ES"/>
        </w:rPr>
        <w:t>арартеко</w:t>
      </w:r>
      <w:r w:rsidR="00435B5F">
        <w:rPr>
          <w:lang w:val="es-ES"/>
        </w:rPr>
        <w:t>»</w:t>
      </w:r>
      <w:r w:rsidRPr="00B112A4">
        <w:rPr>
          <w:lang w:val="es-ES"/>
        </w:rPr>
        <w:t xml:space="preserve"> в Стране Басков, </w:t>
      </w:r>
      <w:r w:rsidR="00435B5F">
        <w:rPr>
          <w:lang w:val="es-ES"/>
        </w:rPr>
        <w:t>«</w:t>
      </w:r>
      <w:r w:rsidRPr="00B112A4">
        <w:rPr>
          <w:lang w:val="es-ES"/>
        </w:rPr>
        <w:t>баледор до побо</w:t>
      </w:r>
      <w:r w:rsidR="00435B5F">
        <w:rPr>
          <w:lang w:val="es-ES"/>
        </w:rPr>
        <w:t>»</w:t>
      </w:r>
      <w:r w:rsidRPr="00B112A4">
        <w:rPr>
          <w:lang w:val="es-ES"/>
        </w:rPr>
        <w:t xml:space="preserve"> в Галисии, </w:t>
      </w:r>
      <w:r w:rsidR="00435B5F">
        <w:rPr>
          <w:lang w:val="es-ES"/>
        </w:rPr>
        <w:t>«</w:t>
      </w:r>
      <w:r w:rsidRPr="00B112A4">
        <w:rPr>
          <w:lang w:val="es-ES"/>
        </w:rPr>
        <w:t>дипутадо дель комун</w:t>
      </w:r>
      <w:r w:rsidR="00435B5F">
        <w:rPr>
          <w:lang w:val="es-ES"/>
        </w:rPr>
        <w:t>»</w:t>
      </w:r>
      <w:r w:rsidRPr="00B112A4">
        <w:rPr>
          <w:lang w:val="es-ES"/>
        </w:rPr>
        <w:t xml:space="preserve"> на Канарских островах, </w:t>
      </w:r>
      <w:r w:rsidR="00435B5F">
        <w:rPr>
          <w:lang w:val="es-ES"/>
        </w:rPr>
        <w:t>«</w:t>
      </w:r>
      <w:r w:rsidRPr="00B112A4">
        <w:rPr>
          <w:lang w:val="es-ES"/>
        </w:rPr>
        <w:t>хустисия майор</w:t>
      </w:r>
      <w:r w:rsidR="00435B5F">
        <w:rPr>
          <w:lang w:val="es-ES"/>
        </w:rPr>
        <w:t>»</w:t>
      </w:r>
      <w:r w:rsidRPr="00B112A4">
        <w:rPr>
          <w:lang w:val="es-ES"/>
        </w:rPr>
        <w:t xml:space="preserve"> в Арагоне, </w:t>
      </w:r>
      <w:r w:rsidR="00435B5F">
        <w:rPr>
          <w:lang w:val="es-ES"/>
        </w:rPr>
        <w:t>«</w:t>
      </w:r>
      <w:r w:rsidRPr="00B112A4">
        <w:rPr>
          <w:lang w:val="es-ES"/>
        </w:rPr>
        <w:t>прокурадор дель комун</w:t>
      </w:r>
      <w:r w:rsidR="00435B5F">
        <w:rPr>
          <w:lang w:val="es-ES"/>
        </w:rPr>
        <w:t>»</w:t>
      </w:r>
      <w:r w:rsidRPr="00B112A4">
        <w:rPr>
          <w:lang w:val="es-ES"/>
        </w:rPr>
        <w:t xml:space="preserve"> в Кастилии-и-Леоне). Этот институт продемонстрировал высокую эффективность в защите прав человека, о чем свидетельствует большое число рассматриваемых им жалоб.</w:t>
      </w:r>
    </w:p>
    <w:p w14:paraId="6B4CEC40" w14:textId="77777777" w:rsidR="0088700C" w:rsidRPr="00B112A4" w:rsidRDefault="0088700C" w:rsidP="0088700C">
      <w:pPr>
        <w:pStyle w:val="SingleTxtG"/>
        <w:rPr>
          <w:lang w:val="es-ES"/>
        </w:rPr>
      </w:pPr>
      <w:r w:rsidRPr="00B112A4">
        <w:rPr>
          <w:lang w:val="es-ES"/>
        </w:rPr>
        <w:t>122.</w:t>
      </w:r>
      <w:r w:rsidRPr="00B112A4">
        <w:rPr>
          <w:lang w:val="es-ES"/>
        </w:rPr>
        <w:tab/>
        <w:t xml:space="preserve">Увеличение числа жалоб по процедуре ампаро, многие из которых оказались необоснованными, угрожало парализовать или, по меньшей мере, замедлить работу Конституционного суда. В целях ускорения данной процедуры в соответствии с Органическим законом № 6/2007 от 24 мая 2007 года была введена система, в рамках которой заявитель должен обозначить и подтвердить, что содержание его ходатайства обосновано вынесенным Судом решением по существу дела в силу его особой конституционной значимости, с учетом его важности для толкования, выполнения или общей эффективности Конституции. Принципиально новым элементом или </w:t>
      </w:r>
      <w:r w:rsidR="00435B5F">
        <w:rPr>
          <w:lang w:val="es-ES"/>
        </w:rPr>
        <w:t>«</w:t>
      </w:r>
      <w:r w:rsidRPr="00B112A4">
        <w:rPr>
          <w:lang w:val="es-ES"/>
        </w:rPr>
        <w:t>наиболее отличительной характеристикой</w:t>
      </w:r>
      <w:r w:rsidR="00435B5F">
        <w:rPr>
          <w:lang w:val="es-ES"/>
        </w:rPr>
        <w:t>»</w:t>
      </w:r>
      <w:r w:rsidRPr="00B112A4">
        <w:rPr>
          <w:lang w:val="es-ES"/>
        </w:rPr>
        <w:t xml:space="preserve"> (Решение Конституционного суда № 188/2008 от 21</w:t>
      </w:r>
      <w:r w:rsidR="005E0FF2">
        <w:t> </w:t>
      </w:r>
      <w:r w:rsidRPr="00B112A4">
        <w:rPr>
          <w:lang w:val="es-ES"/>
        </w:rPr>
        <w:t xml:space="preserve">июля 2008 года, Правовое основание 3) этого закона о процедуре ампаро, является субстантивное требование относительно обоснования </w:t>
      </w:r>
      <w:r w:rsidR="00435B5F">
        <w:rPr>
          <w:lang w:val="es-ES"/>
        </w:rPr>
        <w:t>«</w:t>
      </w:r>
      <w:r w:rsidRPr="00B112A4">
        <w:rPr>
          <w:lang w:val="es-ES"/>
        </w:rPr>
        <w:t>особой конституционной значимости</w:t>
      </w:r>
      <w:r w:rsidR="00435B5F">
        <w:rPr>
          <w:lang w:val="es-ES"/>
        </w:rPr>
        <w:t>»</w:t>
      </w:r>
      <w:r w:rsidRPr="00B112A4">
        <w:rPr>
          <w:lang w:val="es-ES"/>
        </w:rPr>
        <w:t>, установленное в подпункте b) пункта 1 статьи 50 Органического закона о Конституционном суде, для принятия жалобы к рассмотрению. Таким образом, для принятия к рассмотрению жалобы по процедуре ампаро Конституционным судом недостаточно лишь факта ущемления основного права или публичной свободы лица, подающего жалобу о применении процедуры ампаро (пункт 2 статьи 53 и подпунт b) пункта 1 статьи 161 Конституции, статья 41 Органического закона о Конституционном суде), в настоящее время помимо этого должна быть обоснована особая конституционная значимость такой жалобы (подпункт b) пункта 1 статьи 50).</w:t>
      </w:r>
    </w:p>
    <w:p w14:paraId="0110443F" w14:textId="77777777" w:rsidR="0088700C" w:rsidRPr="00B112A4" w:rsidRDefault="0088700C" w:rsidP="0088700C">
      <w:pPr>
        <w:pStyle w:val="SingleTxtG"/>
        <w:rPr>
          <w:lang w:val="es-ES"/>
        </w:rPr>
      </w:pPr>
      <w:r w:rsidRPr="00B112A4">
        <w:rPr>
          <w:lang w:val="es-ES"/>
        </w:rPr>
        <w:t>123.</w:t>
      </w:r>
      <w:r w:rsidRPr="00B112A4">
        <w:rPr>
          <w:lang w:val="es-ES"/>
        </w:rPr>
        <w:tab/>
        <w:t xml:space="preserve">Одновременно с этим следует подчеркнуть расширение сферы применения процедуры признания производства недействительным, установленное Первым заключительным положением Закона № 6/2007 о реформе Органического закона о Конституционном суде, в соответствии с которой упомянутый процессуальный инструмент может служить средством правовой защиты в случае нарушения всех прав, предусмотренных в пункте 2 статьи 53 Конституции Испании. Эти реформы </w:t>
      </w:r>
      <w:r w:rsidRPr="00B112A4">
        <w:rPr>
          <w:lang w:val="es-ES"/>
        </w:rPr>
        <w:lastRenderedPageBreak/>
        <w:t>дополняют друг друга, с тем чтобы ограничение средства правовой защиты ампаро компенсировалось расширением сферы охвата процедуры признания производства недействительным. За последние годы число дел, по которым были вынесены решения, снизилось с 10 410 в 2008 году до 6 186 в 2017 году.</w:t>
      </w:r>
    </w:p>
    <w:p w14:paraId="6816D510" w14:textId="77777777" w:rsidR="0088700C" w:rsidRPr="00B112A4" w:rsidRDefault="0088700C" w:rsidP="0088700C">
      <w:pPr>
        <w:pStyle w:val="SingleTxtG"/>
        <w:rPr>
          <w:lang w:val="es-ES"/>
        </w:rPr>
      </w:pPr>
      <w:r w:rsidRPr="00B112A4">
        <w:rPr>
          <w:lang w:val="es-ES"/>
        </w:rPr>
        <w:t>124.</w:t>
      </w:r>
      <w:r w:rsidRPr="00B112A4">
        <w:rPr>
          <w:lang w:val="es-ES"/>
        </w:rPr>
        <w:tab/>
        <w:t xml:space="preserve">В испанской правовой системе Прокуратура выступает гарантом законности согласно определению, содержащемуся в статье 124 Конституции Испании и гласящему, что прокуратура </w:t>
      </w:r>
      <w:r w:rsidR="00435B5F">
        <w:rPr>
          <w:lang w:val="es-ES"/>
        </w:rPr>
        <w:t>«</w:t>
      </w:r>
      <w:r w:rsidRPr="00B112A4">
        <w:rPr>
          <w:lang w:val="es-ES"/>
        </w:rPr>
        <w:t>имеет своей задачей способствовать отправлению правосудия в целях защиты законности, прав граждан и охраняемых законом общественных интересов в силу своих обязанностей или по ходатайству заинтересованных лиц, а также осуществлять надзор за соблюдением независимости судов и защитой в них общественных интересов</w:t>
      </w:r>
      <w:r w:rsidR="00435B5F">
        <w:rPr>
          <w:lang w:val="es-ES"/>
        </w:rPr>
        <w:t>»</w:t>
      </w:r>
      <w:r w:rsidRPr="00B112A4">
        <w:rPr>
          <w:lang w:val="es-ES"/>
        </w:rPr>
        <w:t>. Прокуратура осуществляет свои функции через свои собственные органы в соответствии с принципами единства действий и иерархической соподчиненности и во всех случаях на основе законности и беспристрастности. Полномочия Прокуратуры подробно изложены в Органическом статуте Прокуратуры (утвержденном Законом № 50/1981 от 30 декабря 1981 года, последние существенные поправки в который были внесены Законом № 24/2007 от 9</w:t>
      </w:r>
      <w:r w:rsidR="005E0FF2">
        <w:t> </w:t>
      </w:r>
      <w:r w:rsidRPr="00B112A4">
        <w:rPr>
          <w:lang w:val="es-ES"/>
        </w:rPr>
        <w:t>октября 2007 года), статья 3 которого предписывает:</w:t>
      </w:r>
    </w:p>
    <w:p w14:paraId="4EF8BF26" w14:textId="77777777" w:rsidR="0088700C" w:rsidRPr="00B112A4" w:rsidRDefault="005E0FF2" w:rsidP="001C1E41">
      <w:pPr>
        <w:pStyle w:val="Bullet1G"/>
        <w:rPr>
          <w:lang w:val="es-ES"/>
        </w:rPr>
      </w:pPr>
      <w:r>
        <w:t>п</w:t>
      </w:r>
      <w:r w:rsidR="0088700C" w:rsidRPr="00B112A4">
        <w:rPr>
          <w:lang w:val="es-ES"/>
        </w:rPr>
        <w:t>ункт 3: следить за соблюдением принципов деятельности конституционных институтов и основных прав и публичных свобод, предпринимая любые действия, которые требуются для их защиты</w:t>
      </w:r>
      <w:r>
        <w:t>;</w:t>
      </w:r>
    </w:p>
    <w:p w14:paraId="37C9EF2B" w14:textId="77777777" w:rsidR="0088700C" w:rsidRPr="00B112A4" w:rsidRDefault="005E0FF2" w:rsidP="001C1E41">
      <w:pPr>
        <w:pStyle w:val="Bullet1G"/>
        <w:rPr>
          <w:lang w:val="es-ES"/>
        </w:rPr>
      </w:pPr>
      <w:r>
        <w:t>п</w:t>
      </w:r>
      <w:r w:rsidR="0088700C" w:rsidRPr="00B112A4">
        <w:rPr>
          <w:lang w:val="es-ES"/>
        </w:rPr>
        <w:t>ункт 11: принимать участие в судебных разбирательствах по процедуре ампаро, а также по вопросам неконституционности в тех случаях и в том порядке, как это предусмотрено Органическим законом о Конституционном суде</w:t>
      </w:r>
      <w:r>
        <w:t>;</w:t>
      </w:r>
    </w:p>
    <w:p w14:paraId="58E920B5" w14:textId="77777777" w:rsidR="0088700C" w:rsidRPr="00B112A4" w:rsidRDefault="005E0FF2" w:rsidP="001C1E41">
      <w:pPr>
        <w:pStyle w:val="Bullet1G"/>
        <w:rPr>
          <w:lang w:val="es-ES"/>
        </w:rPr>
      </w:pPr>
      <w:r>
        <w:t>п</w:t>
      </w:r>
      <w:r w:rsidR="0088700C" w:rsidRPr="00B112A4">
        <w:rPr>
          <w:lang w:val="es-ES"/>
        </w:rPr>
        <w:t>ункт 12: принимать участие в рассмотрении ходатайств о конституционной защите по процедуре ампаро, а также участвовать в разбирательствах, проводимых Конституционным судом для защиты законности в той форме, которую устанавливают законы (эта функция осуществляется в соответствии со статьей 46 Органического закона № 2/1979 от 3 октября 1979 года о Конституционном суде и совместно с лицами, правомочными возбуждать ходатайство о конституционной защите по процедуре ампаро в случаях, специально обозначенных в статьях 42−45 указанного Органического закона).</w:t>
      </w:r>
    </w:p>
    <w:p w14:paraId="0298A2AA" w14:textId="77777777" w:rsidR="0088700C" w:rsidRPr="00B112A4" w:rsidRDefault="0088700C" w:rsidP="0088700C">
      <w:pPr>
        <w:pStyle w:val="SingleTxtG"/>
        <w:rPr>
          <w:lang w:val="es-ES"/>
        </w:rPr>
      </w:pPr>
      <w:r w:rsidRPr="00B112A4">
        <w:rPr>
          <w:lang w:val="es-ES"/>
        </w:rPr>
        <w:t>125.</w:t>
      </w:r>
      <w:r w:rsidRPr="00B112A4">
        <w:rPr>
          <w:lang w:val="es-ES"/>
        </w:rPr>
        <w:tab/>
        <w:t>На основании Регламента Конгресса депутатов от 10 февраля 1982 года (статьи</w:t>
      </w:r>
      <w:r w:rsidR="005E0FF2">
        <w:t> </w:t>
      </w:r>
      <w:r w:rsidRPr="00B112A4">
        <w:rPr>
          <w:lang w:val="es-ES"/>
        </w:rPr>
        <w:t>40−53) устанавливаются полномочия Постоянной конституционной комиссии и Постоянной комиссии по петициям, которой поручено рассмотрение индивидуальных и коллективных петиций, направляемых в Конгресс, и которая может препровождать эти петиции: a) Народному защитнику; b) комиссии Конгресса, рассматривающей вопрос, о котором идет речь; и c) Сенату, правительству, судам, Прокуратуре или соответствующему органу государственной власти. Регламент Сената от 26 мая 1982 года также предусматривает учреждение комиссий, на которые возлагаются задачи по поощрению и защите прав человека статьи 49−68).</w:t>
      </w:r>
    </w:p>
    <w:p w14:paraId="34A4FE3E" w14:textId="77777777" w:rsidR="0088700C" w:rsidRPr="00B112A4" w:rsidRDefault="0088700C" w:rsidP="0088700C">
      <w:pPr>
        <w:pStyle w:val="SingleTxtG"/>
        <w:rPr>
          <w:lang w:val="es-ES"/>
        </w:rPr>
      </w:pPr>
      <w:r w:rsidRPr="00B112A4">
        <w:rPr>
          <w:lang w:val="es-ES"/>
        </w:rPr>
        <w:t>126.</w:t>
      </w:r>
      <w:r w:rsidRPr="00B112A4">
        <w:rPr>
          <w:lang w:val="es-ES"/>
        </w:rPr>
        <w:tab/>
        <w:t>Соблюдение прав человека в Испании обеспечивается также пунктом 2 статьи</w:t>
      </w:r>
      <w:r w:rsidR="009924DC">
        <w:t> </w:t>
      </w:r>
      <w:r w:rsidRPr="00B112A4">
        <w:rPr>
          <w:lang w:val="es-ES"/>
        </w:rPr>
        <w:t xml:space="preserve">10 Конституции, в соответствии с которым </w:t>
      </w:r>
      <w:r w:rsidR="00435B5F">
        <w:rPr>
          <w:lang w:val="es-ES"/>
        </w:rPr>
        <w:t>«</w:t>
      </w:r>
      <w:r w:rsidRPr="00B112A4">
        <w:rPr>
          <w:lang w:val="es-ES"/>
        </w:rPr>
        <w:t>нормы об основных правах и свободах, признаваемые Конституцией, должны рассматриваться в соответствии со Всеобщей декларацией прав человека, международными договорами и соглашениями по этим вопросам, ратифицированным Испанией</w:t>
      </w:r>
      <w:r w:rsidR="00435B5F">
        <w:rPr>
          <w:lang w:val="es-ES"/>
        </w:rPr>
        <w:t>»</w:t>
      </w:r>
      <w:r w:rsidRPr="00B112A4">
        <w:rPr>
          <w:lang w:val="es-ES"/>
        </w:rPr>
        <w:t xml:space="preserve">. Указанная система защиты гражданских и политических прав дополняется международной гарантией, вступающей в силу после ратификации Испанией международных договоров по защите этих прав и протоколов к соответствующим договорам. </w:t>
      </w:r>
    </w:p>
    <w:p w14:paraId="38BA69FE" w14:textId="77777777" w:rsidR="0088700C" w:rsidRPr="00B112A4" w:rsidRDefault="0088700C" w:rsidP="0088700C">
      <w:pPr>
        <w:pStyle w:val="SingleTxtG"/>
        <w:rPr>
          <w:lang w:val="es-ES"/>
        </w:rPr>
      </w:pPr>
      <w:r w:rsidRPr="00B112A4">
        <w:rPr>
          <w:lang w:val="es-ES"/>
        </w:rPr>
        <w:t>127.</w:t>
      </w:r>
      <w:r w:rsidRPr="00B112A4">
        <w:rPr>
          <w:lang w:val="es-ES"/>
        </w:rPr>
        <w:tab/>
        <w:t>Что касается экономических, социальных и культурных прав, и в частности права на здоровье, то в Конституции Испании 1978 года закреплено право всех граждан на эффективную охрану здоровья и справедливую, эффективную и высококачественную медицинскую помощь. Эти положения, содержащиеся в статьях</w:t>
      </w:r>
      <w:r w:rsidR="005E0FF2">
        <w:t> </w:t>
      </w:r>
      <w:r w:rsidRPr="00B112A4">
        <w:rPr>
          <w:lang w:val="es-ES"/>
        </w:rPr>
        <w:t xml:space="preserve">41, 43, 49 и 51 Конституции, представляют собой крупное достижение в социальной сфере, поскольку они признают, что по своей природе право на медицинское обслуживание является публичным, объективным и личным правом, не </w:t>
      </w:r>
      <w:r w:rsidRPr="00B112A4">
        <w:rPr>
          <w:lang w:val="es-ES"/>
        </w:rPr>
        <w:lastRenderedPageBreak/>
        <w:t>предусматривающим внесения взносов, и гарантируют как одинаковое содержание права для каждого гражданина без какой-либо дискриминации, так и равный доступ к фактическим услугам. Действия, позволяющие эффективно реализовать право на охрану здоровья, объединены в свод норм, имеющих статус закона, в том числе: Общий закон о здравоохранении (1986 год), Закон о согласованности и качестве Национальной системы здравоохранения (2003 год). Закон о гарантиях и рациональном использовании лекарственных средств (2006 год), Общий закон об общественном здравоохранении (2011 год) и Королевский указ о всеобщем доступе к Национальной системе здравоохранения (2018 год), который гарантирует охрану здоровья и медицинскую помощь как первостепенное право человека. В этом смысле Общий закон о здравоохранении (1986 год) предусматривает конституционный мандат, в соответствии с которым общей координацией в области здравоохранения занимается государство: оно должно определять способы осуществления обмена информацией, обеспечения технической согласованности и проведения совместных действий, с тем чтобы отдельные действия интегрировались в глобальную Национальную систему здравоохранения. В соответствии с этим законом была создана охватывающая все население и финансируемая за счет общего государственного бюджета Национальная система здравоохранения, которая объединяет медицинские учреждения, действующие на уровне государства и на уровне автономных сообществ. Цель этого закона состояла в регулировании всех видов деятельности, направленной на осуществление конституционного права на охрану здоровья. Наконец, Королевский указ о всеобщем доступе к Национальной системе здравоохранения (2018 год) гарантирует охрану здоровья и медицинскую помощь как первостепенное право человека. Согласно этому закону, обладателями этого права являются лица, проживающие на территории Испании; он позволяет иностранцам, не имеющим регистрации или вида на жительство в Испании, пользоваться правом на охрану здоровья и медицинское обслуживание на тех же условиях, что и лица, являющиеся гражданами страны.</w:t>
      </w:r>
    </w:p>
    <w:p w14:paraId="6280FB1B" w14:textId="77777777" w:rsidR="0088700C" w:rsidRPr="00B112A4" w:rsidRDefault="0088700C" w:rsidP="0088700C">
      <w:pPr>
        <w:pStyle w:val="SingleTxtG"/>
        <w:rPr>
          <w:lang w:val="es-ES"/>
        </w:rPr>
      </w:pPr>
      <w:r w:rsidRPr="00B112A4">
        <w:rPr>
          <w:lang w:val="es-ES"/>
        </w:rPr>
        <w:t>128.</w:t>
      </w:r>
      <w:r w:rsidRPr="00B112A4">
        <w:rPr>
          <w:lang w:val="es-ES"/>
        </w:rPr>
        <w:tab/>
        <w:t xml:space="preserve">Конституция Испании 1978 года также устанавливает право всех граждан на достойные и достаточные жилищные условия и определяет, что органы государственной власти должны создавать условия и принимать нормативные документы, необходимые для осуществления этого права. Однако необходимо отметить, что в соответствии с подпунктом 3 пункта 1 статьи 148 Конституции Испании автономные сообщества взяли на себя исключительные полномочия в вопросах </w:t>
      </w:r>
      <w:r w:rsidR="00435B5F">
        <w:rPr>
          <w:lang w:val="es-ES"/>
        </w:rPr>
        <w:t>«</w:t>
      </w:r>
      <w:r w:rsidRPr="00B112A4">
        <w:rPr>
          <w:lang w:val="es-ES"/>
        </w:rPr>
        <w:t>благоустройства территории, городского планирования и жилья</w:t>
      </w:r>
      <w:r w:rsidR="00435B5F">
        <w:rPr>
          <w:lang w:val="es-ES"/>
        </w:rPr>
        <w:t>»</w:t>
      </w:r>
      <w:r w:rsidRPr="00B112A4">
        <w:rPr>
          <w:lang w:val="es-ES"/>
        </w:rPr>
        <w:t xml:space="preserve">. В связи с этим автономные сообщества разработали собственные автономные законы в указанных областях. В некоторых крайних случаях государство может регулировать </w:t>
      </w:r>
      <w:r w:rsidR="00435B5F">
        <w:rPr>
          <w:lang w:val="es-ES"/>
        </w:rPr>
        <w:t>«</w:t>
      </w:r>
      <w:r w:rsidRPr="00B112A4">
        <w:rPr>
          <w:lang w:val="es-ES"/>
        </w:rPr>
        <w:t>основы и координацию общего планирования экономической деятельности</w:t>
      </w:r>
      <w:r w:rsidR="00435B5F">
        <w:rPr>
          <w:lang w:val="es-ES"/>
        </w:rPr>
        <w:t>»</w:t>
      </w:r>
      <w:r w:rsidRPr="00B112A4">
        <w:rPr>
          <w:lang w:val="es-ES"/>
        </w:rPr>
        <w:t xml:space="preserve"> (подпункт 13 пункта 1 статьи 149) и должно предоставлять администрациям автономных сообществ возможности для развития. Вместе с тем полное регулирование всех других аспектов осуществляется исключительно автономными сообществами, причем государство не имеет никаких полномочий заниматься регулированием в этих областях. Таким образом, с момента вступления в силу этих конституционных норм и вплоть до самых последних лет инструментами, при помощи которых государство напрямую влияло на проведение жилищной политики, были фискальные стимулы и государственные жилищные планы.</w:t>
      </w:r>
    </w:p>
    <w:p w14:paraId="092E1FBE" w14:textId="77777777" w:rsidR="0088700C" w:rsidRPr="00B112A4" w:rsidRDefault="0088700C" w:rsidP="0088700C">
      <w:pPr>
        <w:pStyle w:val="SingleTxtG"/>
        <w:rPr>
          <w:lang w:val="es-ES"/>
        </w:rPr>
      </w:pPr>
      <w:r w:rsidRPr="00B112A4">
        <w:rPr>
          <w:lang w:val="es-ES"/>
        </w:rPr>
        <w:t>129.</w:t>
      </w:r>
      <w:r w:rsidRPr="00B112A4">
        <w:rPr>
          <w:lang w:val="es-ES"/>
        </w:rPr>
        <w:tab/>
        <w:t>В системе государственного управления Испании основным органом, занимающимся вопросами внешней политики в сфере поощрения и защиты прав человека, является Управление по правам человека (УПЧ) Департамента по сотрудничеству с Организацией Объединенных Наций и правам человека Министерства иностранных дел, Европейского союза и сотрудничества Испании. Этот орган был создан в 1983 году и выполняет следующие функции:</w:t>
      </w:r>
    </w:p>
    <w:p w14:paraId="498462D6" w14:textId="77777777" w:rsidR="0088700C" w:rsidRPr="00B112A4" w:rsidRDefault="005E0FF2" w:rsidP="001C1E41">
      <w:pPr>
        <w:pStyle w:val="Bullet1G"/>
        <w:rPr>
          <w:lang w:val="es-ES"/>
        </w:rPr>
      </w:pPr>
      <w:r>
        <w:t>к</w:t>
      </w:r>
      <w:r w:rsidR="0088700C" w:rsidRPr="00B112A4">
        <w:rPr>
          <w:lang w:val="es-ES"/>
        </w:rPr>
        <w:t>онсультирование по вопросам, касающимся прав человека</w:t>
      </w:r>
      <w:r>
        <w:t>;</w:t>
      </w:r>
    </w:p>
    <w:p w14:paraId="76D08906" w14:textId="77777777" w:rsidR="0088700C" w:rsidRPr="00B112A4" w:rsidRDefault="005E0FF2" w:rsidP="001C1E41">
      <w:pPr>
        <w:pStyle w:val="Bullet1G"/>
        <w:rPr>
          <w:lang w:val="es-ES"/>
        </w:rPr>
      </w:pPr>
      <w:r>
        <w:t>п</w:t>
      </w:r>
      <w:r w:rsidR="0088700C" w:rsidRPr="00B112A4">
        <w:rPr>
          <w:lang w:val="es-ES"/>
        </w:rPr>
        <w:t>одготовка докладов, касающихся соблюдения прав человека на международном уровне</w:t>
      </w:r>
      <w:r>
        <w:t>;</w:t>
      </w:r>
    </w:p>
    <w:p w14:paraId="3925B0DA" w14:textId="77777777" w:rsidR="0088700C" w:rsidRPr="00B112A4" w:rsidRDefault="005E0FF2" w:rsidP="001C1E41">
      <w:pPr>
        <w:pStyle w:val="Bullet1G"/>
        <w:rPr>
          <w:lang w:val="es-ES"/>
        </w:rPr>
      </w:pPr>
      <w:r>
        <w:lastRenderedPageBreak/>
        <w:t>у</w:t>
      </w:r>
      <w:r w:rsidR="0088700C" w:rsidRPr="00B112A4">
        <w:rPr>
          <w:lang w:val="es-ES"/>
        </w:rPr>
        <w:t>силение координации между различными руководящими органами Министерства иностранных дел, Европейского союза и сотрудничества, занимающимися вопросами прав человека</w:t>
      </w:r>
      <w:r>
        <w:t>;</w:t>
      </w:r>
    </w:p>
    <w:p w14:paraId="75FE76D4" w14:textId="77777777" w:rsidR="0088700C" w:rsidRPr="00B112A4" w:rsidRDefault="005E0FF2" w:rsidP="001C1E41">
      <w:pPr>
        <w:pStyle w:val="Bullet1G"/>
        <w:rPr>
          <w:lang w:val="es-ES"/>
        </w:rPr>
      </w:pPr>
      <w:r>
        <w:t>о</w:t>
      </w:r>
      <w:r w:rsidR="0088700C" w:rsidRPr="00B112A4">
        <w:rPr>
          <w:lang w:val="es-ES"/>
        </w:rPr>
        <w:t>беспечение участия представителей Испании в работе международных совещаний и конференций по правам человека</w:t>
      </w:r>
      <w:r>
        <w:t>;</w:t>
      </w:r>
    </w:p>
    <w:p w14:paraId="3E21A8D7" w14:textId="77777777" w:rsidR="0088700C" w:rsidRPr="00B112A4" w:rsidRDefault="005E0FF2" w:rsidP="001C1E41">
      <w:pPr>
        <w:pStyle w:val="Bullet1G"/>
        <w:rPr>
          <w:lang w:val="es-ES"/>
        </w:rPr>
      </w:pPr>
      <w:r>
        <w:t>п</w:t>
      </w:r>
      <w:r w:rsidR="0088700C" w:rsidRPr="00B112A4">
        <w:rPr>
          <w:lang w:val="es-ES"/>
        </w:rPr>
        <w:t>оддержание отношений с аналогичными правительственными учреждениями и неправительственными организациями, занимающимися вопросами прав человека</w:t>
      </w:r>
      <w:r>
        <w:t>;</w:t>
      </w:r>
    </w:p>
    <w:p w14:paraId="2C570378" w14:textId="77777777" w:rsidR="0088700C" w:rsidRPr="00B112A4" w:rsidRDefault="005E0FF2" w:rsidP="001C1E41">
      <w:pPr>
        <w:pStyle w:val="Bullet1G"/>
        <w:rPr>
          <w:lang w:val="es-ES"/>
        </w:rPr>
      </w:pPr>
      <w:r>
        <w:t>к</w:t>
      </w:r>
      <w:r w:rsidR="0088700C" w:rsidRPr="00B112A4">
        <w:rPr>
          <w:lang w:val="es-ES"/>
        </w:rPr>
        <w:t>онтроль за осуществлением подписанных Испанией международных договоров и соглашений по правам человека</w:t>
      </w:r>
      <w:r>
        <w:t>;</w:t>
      </w:r>
    </w:p>
    <w:p w14:paraId="212CD163" w14:textId="77777777" w:rsidR="0088700C" w:rsidRPr="00B112A4" w:rsidRDefault="005E0FF2" w:rsidP="001C1E41">
      <w:pPr>
        <w:pStyle w:val="Bullet1G"/>
        <w:rPr>
          <w:lang w:val="es-ES"/>
        </w:rPr>
      </w:pPr>
      <w:r>
        <w:t>с</w:t>
      </w:r>
      <w:r w:rsidR="0088700C" w:rsidRPr="00B112A4">
        <w:rPr>
          <w:lang w:val="es-ES"/>
        </w:rPr>
        <w:t>одействие в проведении исследований и мероприятий в конкретной сфере компетенции УПЧ.</w:t>
      </w:r>
    </w:p>
    <w:p w14:paraId="4F697EAF" w14:textId="77777777" w:rsidR="0088700C" w:rsidRPr="00B112A4" w:rsidRDefault="0088700C" w:rsidP="0088700C">
      <w:pPr>
        <w:pStyle w:val="SingleTxtG"/>
        <w:rPr>
          <w:lang w:val="es-ES"/>
        </w:rPr>
      </w:pPr>
      <w:r w:rsidRPr="00B112A4">
        <w:rPr>
          <w:lang w:val="es-ES"/>
        </w:rPr>
        <w:t>130.</w:t>
      </w:r>
      <w:r w:rsidRPr="00B112A4">
        <w:rPr>
          <w:lang w:val="es-ES"/>
        </w:rPr>
        <w:tab/>
        <w:t>С августа 2018 года Главное управление по вопросам международного правового сотрудничества, взаимоотношений с конфессиями и правам человека Министерства юстиции наделено следующими полномочиями:</w:t>
      </w:r>
    </w:p>
    <w:p w14:paraId="1D2DD080" w14:textId="77777777" w:rsidR="0088700C" w:rsidRPr="00B112A4" w:rsidRDefault="005E0FF2" w:rsidP="001C1E41">
      <w:pPr>
        <w:pStyle w:val="Bullet1G"/>
        <w:rPr>
          <w:lang w:val="es-ES"/>
        </w:rPr>
      </w:pPr>
      <w:r>
        <w:t>к</w:t>
      </w:r>
      <w:r w:rsidR="0088700C" w:rsidRPr="00B112A4">
        <w:rPr>
          <w:lang w:val="es-ES"/>
        </w:rPr>
        <w:t>оординация полномочий департамента в области поощрения и защиты прав человека через правовую систему Испании, укрепление нормотворческих компетенций Министерства юстиции и оценка воздействия выдвигаемых инициатив на права человека</w:t>
      </w:r>
      <w:r>
        <w:t>;</w:t>
      </w:r>
    </w:p>
    <w:p w14:paraId="01A47893" w14:textId="77777777" w:rsidR="0088700C" w:rsidRPr="00B112A4" w:rsidRDefault="005E0FF2" w:rsidP="001C1E41">
      <w:pPr>
        <w:pStyle w:val="Bullet1G"/>
        <w:rPr>
          <w:lang w:val="es-ES"/>
        </w:rPr>
      </w:pPr>
      <w:r>
        <w:t>в</w:t>
      </w:r>
      <w:r w:rsidR="0088700C" w:rsidRPr="00B112A4">
        <w:rPr>
          <w:lang w:val="es-ES"/>
        </w:rPr>
        <w:t>ыработка нормативных мер или административных процедур, позволяющих решать проблемы, неоднократно обозначенные в заключениях, адресованных Испании договорными органами по правам человека, компетенция которых по рассмотрению индивидуальных сообщений была признана Испанией.</w:t>
      </w:r>
    </w:p>
    <w:p w14:paraId="1DB24A1D" w14:textId="77777777" w:rsidR="0088700C" w:rsidRPr="00B112A4" w:rsidRDefault="0088700C" w:rsidP="001C1E41">
      <w:pPr>
        <w:pStyle w:val="H1G"/>
        <w:rPr>
          <w:lang w:val="es-ES"/>
        </w:rPr>
      </w:pPr>
      <w:r w:rsidRPr="00B112A4">
        <w:rPr>
          <w:lang w:val="es-ES"/>
        </w:rPr>
        <w:tab/>
        <w:t>C.</w:t>
      </w:r>
      <w:r w:rsidRPr="00B112A4">
        <w:rPr>
          <w:lang w:val="es-ES"/>
        </w:rPr>
        <w:tab/>
        <w:t>Рамки поощрения прав человека на национальном уровне</w:t>
      </w:r>
    </w:p>
    <w:p w14:paraId="5BD2028B" w14:textId="77777777" w:rsidR="0088700C" w:rsidRPr="00B112A4" w:rsidRDefault="0088700C" w:rsidP="0088700C">
      <w:pPr>
        <w:pStyle w:val="SingleTxtG"/>
        <w:rPr>
          <w:lang w:val="es-ES"/>
        </w:rPr>
      </w:pPr>
      <w:r w:rsidRPr="00B112A4">
        <w:rPr>
          <w:lang w:val="es-ES"/>
        </w:rPr>
        <w:t>131.</w:t>
      </w:r>
      <w:r w:rsidRPr="00B112A4">
        <w:rPr>
          <w:lang w:val="es-ES"/>
        </w:rPr>
        <w:tab/>
        <w:t xml:space="preserve">Управление по правам человека (УПЧ) Департамента по сотрудничеству с Организацией Объединенных Наций и правам человека совместно с Дипломатической школой Министерства иностранных дел, Европейского союза и сотрудничества Испании ежегодно организует семинар по правам человека. Последний, двенадцатый семинар проводился с 26 по 30 ноября 2018 года и был посвящен вопросам правозащитной деятельности. </w:t>
      </w:r>
    </w:p>
    <w:p w14:paraId="22B862D4" w14:textId="77777777" w:rsidR="0088700C" w:rsidRPr="00B112A4" w:rsidRDefault="0088700C" w:rsidP="0088700C">
      <w:pPr>
        <w:pStyle w:val="SingleTxtG"/>
        <w:rPr>
          <w:lang w:val="es-ES"/>
        </w:rPr>
      </w:pPr>
      <w:r w:rsidRPr="00B112A4">
        <w:rPr>
          <w:lang w:val="es-ES"/>
        </w:rPr>
        <w:t>132.</w:t>
      </w:r>
      <w:r w:rsidRPr="00B112A4">
        <w:rPr>
          <w:lang w:val="es-ES"/>
        </w:rPr>
        <w:tab/>
        <w:t>С 2004 года Испания поощряет участие гражданского общества в планировании, поощрении и распространении информации о внешней политике посредством выделения государственных субсидий. Государственные субсидии и дотации являются одним из важнейших инструментов для ведения деятельности, имеющей отношение к развитию внешней политики Испании в области прав человека в рамках компетенции Министерства иностранных дел, Европейского союза и сотрудничества. Годовой бюджет для указанных целей составляет порядка 180</w:t>
      </w:r>
      <w:r w:rsidR="005E0FF2">
        <w:t> </w:t>
      </w:r>
      <w:r w:rsidRPr="00B112A4">
        <w:rPr>
          <w:lang w:val="es-ES"/>
        </w:rPr>
        <w:t>000</w:t>
      </w:r>
      <w:r w:rsidR="005E0FF2">
        <w:t> </w:t>
      </w:r>
      <w:r w:rsidRPr="00B112A4">
        <w:rPr>
          <w:lang w:val="es-ES"/>
        </w:rPr>
        <w:t>евро, что позволяет ежегодно субсидировать 20</w:t>
      </w:r>
      <w:r w:rsidR="00D03F1C">
        <w:t>–</w:t>
      </w:r>
      <w:r w:rsidRPr="00B112A4">
        <w:rPr>
          <w:lang w:val="es-ES"/>
        </w:rPr>
        <w:t>30 проектов по распространению информации о правах человека.</w:t>
      </w:r>
    </w:p>
    <w:p w14:paraId="16B43663" w14:textId="77777777" w:rsidR="0088700C" w:rsidRPr="00B112A4" w:rsidRDefault="0088700C" w:rsidP="0088700C">
      <w:pPr>
        <w:pStyle w:val="SingleTxtG"/>
        <w:rPr>
          <w:lang w:val="es-ES"/>
        </w:rPr>
      </w:pPr>
      <w:r w:rsidRPr="00B112A4">
        <w:rPr>
          <w:lang w:val="es-ES"/>
        </w:rPr>
        <w:t>133.</w:t>
      </w:r>
      <w:r w:rsidRPr="00B112A4">
        <w:rPr>
          <w:lang w:val="es-ES"/>
        </w:rPr>
        <w:tab/>
        <w:t>3 июля 2018 года на заседании Комиссии по конституционным вопросам Конгресса заместитель Председателя правительства объявил о подготовке правительством второго плана по правам человека. Ожидается, что этот план будет включать пункты, касающиеся национального координационного органа (</w:t>
      </w:r>
      <w:r w:rsidR="005E0FF2">
        <w:t>«</w:t>
      </w:r>
      <w:r w:rsidRPr="00B112A4">
        <w:rPr>
          <w:lang w:val="es-ES"/>
        </w:rPr>
        <w:t>standard national coordinating body</w:t>
      </w:r>
      <w:r w:rsidR="005E0FF2">
        <w:t>»</w:t>
      </w:r>
      <w:r w:rsidRPr="00B112A4">
        <w:rPr>
          <w:lang w:val="es-ES"/>
        </w:rPr>
        <w:t>), а также показатели в области прав человека.</w:t>
      </w:r>
    </w:p>
    <w:p w14:paraId="1A971F80" w14:textId="77777777" w:rsidR="0088700C" w:rsidRPr="00B112A4" w:rsidRDefault="0088700C" w:rsidP="0088700C">
      <w:pPr>
        <w:pStyle w:val="SingleTxtG"/>
        <w:rPr>
          <w:lang w:val="es-ES"/>
        </w:rPr>
      </w:pPr>
      <w:r w:rsidRPr="00B112A4">
        <w:rPr>
          <w:lang w:val="es-ES"/>
        </w:rPr>
        <w:t>134.</w:t>
      </w:r>
      <w:r w:rsidRPr="00B112A4">
        <w:rPr>
          <w:lang w:val="es-ES"/>
        </w:rPr>
        <w:tab/>
        <w:t xml:space="preserve">За последние пять лет были приняты ряд секторальных планов, а в разработке и реализации ряда других секторальных планов удалось продвинуться вперед. Среди этих планов можно отметить, например, Национальный стратегический план действий по делам детей и подростков, Национальный план действий по социальной интеграции, Стратегический план по обеспечению равенства возможностей, Национальную стратегию по социальной интеграции цыганского населения, Испанскую стратегию действий по вопросам инвалидности, Комплексный план по </w:t>
      </w:r>
      <w:r w:rsidRPr="00B112A4">
        <w:rPr>
          <w:lang w:val="es-ES"/>
        </w:rPr>
        <w:lastRenderedPageBreak/>
        <w:t xml:space="preserve">борьбе с торговлей женщинами и девочками в целях сексуальной эксплуатации, Национальный план действий по вопросам защиты женщин, укрепления мира и безопасности, Национальный план действий по защите предпринимательской деятельности в аспекте прав человека, Национальный план действий по жилищным вопросам, Стратегический план Инспекции по труду и социальной защите и Генеральный план Испании по вопросам сотрудничества. Помимо реализации этих планов будут проводиться конкретные мероприятия, и будет уделяться приоритетное внимание таким группам, как семьи, молодежь и пожилые люди, и в особенности лицам, живущим в условиях нищеты и социальной изоляции. </w:t>
      </w:r>
    </w:p>
    <w:p w14:paraId="32A0396F" w14:textId="77777777" w:rsidR="0088700C" w:rsidRPr="00B112A4" w:rsidRDefault="0088700C" w:rsidP="0088700C">
      <w:pPr>
        <w:pStyle w:val="SingleTxtG"/>
        <w:rPr>
          <w:lang w:val="es-ES"/>
        </w:rPr>
      </w:pPr>
      <w:r w:rsidRPr="00B112A4">
        <w:rPr>
          <w:lang w:val="es-ES"/>
        </w:rPr>
        <w:t>135.</w:t>
      </w:r>
      <w:r w:rsidRPr="00B112A4">
        <w:rPr>
          <w:lang w:val="es-ES"/>
        </w:rPr>
        <w:tab/>
        <w:t>Истек срок действия второго Национального стратегического плана действий по делам детей и подростков (НСПДП) на 2013</w:t>
      </w:r>
      <w:r w:rsidR="005E0FF2">
        <w:t>–</w:t>
      </w:r>
      <w:r w:rsidRPr="00B112A4">
        <w:rPr>
          <w:lang w:val="es-ES"/>
        </w:rPr>
        <w:t>2016 годы. Была проведена его оценка, и в настоящее разрабатывается третий Национальный стратегический план действий по делам детей и подростков.</w:t>
      </w:r>
    </w:p>
    <w:p w14:paraId="47C81930" w14:textId="77777777" w:rsidR="0088700C" w:rsidRPr="00B112A4" w:rsidRDefault="0088700C" w:rsidP="0088700C">
      <w:pPr>
        <w:pStyle w:val="SingleTxtG"/>
        <w:rPr>
          <w:lang w:val="es-ES"/>
        </w:rPr>
      </w:pPr>
      <w:r w:rsidRPr="00B112A4">
        <w:rPr>
          <w:lang w:val="es-ES"/>
        </w:rPr>
        <w:t>136.</w:t>
      </w:r>
      <w:r w:rsidRPr="00B112A4">
        <w:rPr>
          <w:lang w:val="es-ES"/>
        </w:rPr>
        <w:tab/>
        <w:t>Истек срок действия Национального плана действий по социальной интеграции (НПДСИ) на 2013</w:t>
      </w:r>
      <w:r w:rsidR="00DF0196">
        <w:t>–</w:t>
      </w:r>
      <w:r w:rsidRPr="00B112A4">
        <w:rPr>
          <w:lang w:val="es-ES"/>
        </w:rPr>
        <w:t>2016 годы, и уже опубликован доклад о последующей деятельности и оценке этого плана, с которым можно ознакомиться на веб-сайте Государственного секретариата по социальным услугам.</w:t>
      </w:r>
    </w:p>
    <w:p w14:paraId="627B1350" w14:textId="77777777" w:rsidR="0088700C" w:rsidRPr="00B112A4" w:rsidRDefault="0088700C" w:rsidP="0088700C">
      <w:pPr>
        <w:pStyle w:val="SingleTxtG"/>
        <w:rPr>
          <w:lang w:val="es-ES"/>
        </w:rPr>
      </w:pPr>
      <w:r w:rsidRPr="00B112A4">
        <w:rPr>
          <w:lang w:val="es-ES"/>
        </w:rPr>
        <w:t>137.</w:t>
      </w:r>
      <w:r w:rsidRPr="00B112A4">
        <w:rPr>
          <w:lang w:val="es-ES"/>
        </w:rPr>
        <w:tab/>
        <w:t>Была проведена оценка Стратегического плана по обеспечению равенства возможностей (СПОРВ) на 2014</w:t>
      </w:r>
      <w:r w:rsidR="00DF0196">
        <w:t>–</w:t>
      </w:r>
      <w:r w:rsidRPr="00B112A4">
        <w:rPr>
          <w:lang w:val="es-ES"/>
        </w:rPr>
        <w:t>2016 годы, и он был представлен для консультаций Совету по вопросам участия женщин. В настоящее время осуществляется разработка следующего СПОРВ.</w:t>
      </w:r>
    </w:p>
    <w:p w14:paraId="26A0CBD7" w14:textId="77777777" w:rsidR="0088700C" w:rsidRPr="00B112A4" w:rsidRDefault="0088700C" w:rsidP="0088700C">
      <w:pPr>
        <w:pStyle w:val="SingleTxtG"/>
        <w:rPr>
          <w:lang w:val="es-ES"/>
        </w:rPr>
      </w:pPr>
      <w:r w:rsidRPr="00B112A4">
        <w:rPr>
          <w:lang w:val="es-ES"/>
        </w:rPr>
        <w:t>138.</w:t>
      </w:r>
      <w:r w:rsidRPr="00B112A4">
        <w:rPr>
          <w:lang w:val="es-ES"/>
        </w:rPr>
        <w:tab/>
        <w:t>12 сентября 2014 года был утвержден План действий по реализации Испанской стратегии по вопросам инвалидности на 2014–2020 годы, ставший механизмом развития Испанской стратегии по вопросам инвалидности. Доклад о реализации первого этапа указанного плана (с 2014 по 2016 год) был представлен на рассмотрение Национальному совету по делам инвалидов и утвержден Советом.</w:t>
      </w:r>
    </w:p>
    <w:p w14:paraId="01B8C08A" w14:textId="77777777" w:rsidR="0088700C" w:rsidRPr="00B112A4" w:rsidRDefault="0088700C" w:rsidP="0088700C">
      <w:pPr>
        <w:pStyle w:val="SingleTxtG"/>
        <w:rPr>
          <w:lang w:val="es-ES"/>
        </w:rPr>
      </w:pPr>
      <w:r w:rsidRPr="00B112A4">
        <w:rPr>
          <w:lang w:val="es-ES"/>
        </w:rPr>
        <w:t>139.</w:t>
      </w:r>
      <w:r w:rsidRPr="00B112A4">
        <w:rPr>
          <w:lang w:val="es-ES"/>
        </w:rPr>
        <w:tab/>
        <w:t xml:space="preserve">18 сентября 2015 года Совет министров утвердил Комплексный план по борьбе с торговлей женщинами и девочками в целях сексуальной эксплуатации на </w:t>
      </w:r>
      <w:r w:rsidR="005E0FF2">
        <w:rPr>
          <w:lang w:val="es-ES"/>
        </w:rPr>
        <w:br/>
      </w:r>
      <w:r w:rsidRPr="00B112A4">
        <w:rPr>
          <w:lang w:val="es-ES"/>
        </w:rPr>
        <w:t>2015–2018 годы. Этот план был представлен на рассмотрение Социальному форуму против торговли людьми для целей сексуальной эксплуатации на его заседании 7 мая 2015 года.</w:t>
      </w:r>
    </w:p>
    <w:p w14:paraId="27BF21E9" w14:textId="77777777" w:rsidR="0088700C" w:rsidRPr="00B112A4" w:rsidRDefault="0088700C" w:rsidP="0088700C">
      <w:pPr>
        <w:pStyle w:val="SingleTxtG"/>
        <w:rPr>
          <w:lang w:val="es-ES"/>
        </w:rPr>
      </w:pPr>
      <w:r w:rsidRPr="00B112A4">
        <w:rPr>
          <w:lang w:val="es-ES"/>
        </w:rPr>
        <w:t>140.</w:t>
      </w:r>
      <w:r w:rsidRPr="00B112A4">
        <w:rPr>
          <w:lang w:val="es-ES"/>
        </w:rPr>
        <w:tab/>
        <w:t xml:space="preserve">Второй Национальный план действий по вопросам, касающимся защиты женщин, укрепления мира и безопасности, рассчитанный на шесть лет, был утвержден Советом министров 28 июля 2017 года; в плане предусматривается подготовка докладов о последующей деятельности, которые подлежат представлению в парламент страны каждые два года. </w:t>
      </w:r>
    </w:p>
    <w:p w14:paraId="6A84AED4" w14:textId="77777777" w:rsidR="0088700C" w:rsidRPr="00B112A4" w:rsidRDefault="0088700C" w:rsidP="0088700C">
      <w:pPr>
        <w:pStyle w:val="SingleTxtG"/>
        <w:rPr>
          <w:lang w:val="es-ES"/>
        </w:rPr>
      </w:pPr>
      <w:r w:rsidRPr="00B112A4">
        <w:rPr>
          <w:lang w:val="es-ES"/>
        </w:rPr>
        <w:t>141.</w:t>
      </w:r>
      <w:r w:rsidRPr="00B112A4">
        <w:rPr>
          <w:lang w:val="es-ES"/>
        </w:rPr>
        <w:tab/>
        <w:t xml:space="preserve">28 июля 2017 года Совет министров утвердил Национальный план действий по защите предпринимательской деятельности в аспекте прав человека. Цель этого плана заключается в претворении в жизнь </w:t>
      </w:r>
      <w:r w:rsidR="00435B5F">
        <w:rPr>
          <w:lang w:val="es-ES"/>
        </w:rPr>
        <w:t>«</w:t>
      </w:r>
      <w:r w:rsidRPr="00B112A4">
        <w:rPr>
          <w:lang w:val="es-ES"/>
        </w:rPr>
        <w:t>Руководящих принципов предпринимательской деятельности в аспекте прав человека</w:t>
      </w:r>
      <w:r w:rsidR="00435B5F">
        <w:rPr>
          <w:lang w:val="es-ES"/>
        </w:rPr>
        <w:t>»</w:t>
      </w:r>
      <w:r w:rsidRPr="00B112A4">
        <w:rPr>
          <w:lang w:val="es-ES"/>
        </w:rPr>
        <w:t>, которые Совет по правам человека утвердил в резолюции, принятой консенсусом в июне 2014 года (резолюция № 17/4 Совета по правам человека).</w:t>
      </w:r>
    </w:p>
    <w:p w14:paraId="7F33DAEC" w14:textId="77777777" w:rsidR="0088700C" w:rsidRPr="00B112A4" w:rsidRDefault="0088700C" w:rsidP="0088700C">
      <w:pPr>
        <w:pStyle w:val="SingleTxtG"/>
        <w:rPr>
          <w:lang w:val="es-ES"/>
        </w:rPr>
      </w:pPr>
      <w:r w:rsidRPr="00B112A4">
        <w:rPr>
          <w:lang w:val="es-ES"/>
        </w:rPr>
        <w:t>142.</w:t>
      </w:r>
      <w:r w:rsidRPr="00B112A4">
        <w:rPr>
          <w:lang w:val="es-ES"/>
        </w:rPr>
        <w:tab/>
        <w:t>Государственный жилищный план на 2018–2021 годы, утвержденный Королевским указом № 106/2018 от 9 марта 20</w:t>
      </w:r>
      <w:r w:rsidR="00302FA0">
        <w:t>1</w:t>
      </w:r>
      <w:r w:rsidRPr="00B112A4">
        <w:rPr>
          <w:lang w:val="es-ES"/>
        </w:rPr>
        <w:t xml:space="preserve">8 года, состоит из </w:t>
      </w:r>
      <w:r w:rsidR="00302FA0">
        <w:t>девяти</w:t>
      </w:r>
      <w:r w:rsidRPr="00B112A4">
        <w:rPr>
          <w:lang w:val="es-ES"/>
        </w:rPr>
        <w:t xml:space="preserve"> программ, которые включают в себя меры по оказанию помощи в восстановлении зданий. Для</w:t>
      </w:r>
      <w:r w:rsidR="005E0FF2">
        <w:t> </w:t>
      </w:r>
      <w:r w:rsidRPr="00B112A4">
        <w:rPr>
          <w:lang w:val="es-ES"/>
        </w:rPr>
        <w:t>выполнения этого плана Министерство имеет соглашения со всеми автономными сообществами, потому что этот вопрос относится именно к их компетенции. Кроме того, автономные сообщества принимают участие в софинансировании субсидий, подлежащих выплате в рамках Государственного жилищного плана.</w:t>
      </w:r>
    </w:p>
    <w:p w14:paraId="03627CC2" w14:textId="77777777" w:rsidR="0088700C" w:rsidRPr="00B112A4" w:rsidRDefault="0088700C" w:rsidP="0088700C">
      <w:pPr>
        <w:pStyle w:val="SingleTxtG"/>
        <w:rPr>
          <w:lang w:val="es-ES"/>
        </w:rPr>
      </w:pPr>
      <w:r w:rsidRPr="00B112A4">
        <w:rPr>
          <w:lang w:val="es-ES"/>
        </w:rPr>
        <w:t>143.</w:t>
      </w:r>
      <w:r w:rsidRPr="00B112A4">
        <w:rPr>
          <w:lang w:val="es-ES"/>
        </w:rPr>
        <w:tab/>
        <w:t>В апреле 2018 года был утвержден Стратегический план действий Инспекции по труду и социальной защите на 2018–2020 годы.</w:t>
      </w:r>
    </w:p>
    <w:p w14:paraId="7458DD0A" w14:textId="77777777" w:rsidR="0088700C" w:rsidRPr="00B112A4" w:rsidRDefault="0088700C" w:rsidP="0088700C">
      <w:pPr>
        <w:pStyle w:val="SingleTxtG"/>
        <w:rPr>
          <w:lang w:val="es-ES"/>
        </w:rPr>
      </w:pPr>
      <w:r w:rsidRPr="00B112A4">
        <w:rPr>
          <w:lang w:val="es-ES"/>
        </w:rPr>
        <w:t>144.</w:t>
      </w:r>
      <w:r w:rsidRPr="00B112A4">
        <w:rPr>
          <w:lang w:val="es-ES"/>
        </w:rPr>
        <w:tab/>
        <w:t xml:space="preserve">В июне 2018 года был опубликован Доклад о последующей деятельности в отношении Оперативного плана на 2014–2016 годы Национальной стратегии социальной интеграции цыганского населения на 2012–2020 годы. В связи с этим был </w:t>
      </w:r>
      <w:r w:rsidRPr="00B112A4">
        <w:rPr>
          <w:lang w:val="es-ES"/>
        </w:rPr>
        <w:lastRenderedPageBreak/>
        <w:t>утвержден новый Оперативный план Национальной стратегии на 2018–2020 годы, согласованный с различными министерскими департаментами государственной администрации, автономными сообществами и социальными органами Государственного совета цыганского народа.</w:t>
      </w:r>
    </w:p>
    <w:p w14:paraId="1024BC2D" w14:textId="77777777" w:rsidR="0088700C" w:rsidRPr="00B112A4" w:rsidRDefault="0088700C" w:rsidP="0088700C">
      <w:pPr>
        <w:pStyle w:val="SingleTxtG"/>
        <w:rPr>
          <w:lang w:val="es-ES"/>
        </w:rPr>
      </w:pPr>
      <w:r w:rsidRPr="00B112A4">
        <w:rPr>
          <w:lang w:val="es-ES"/>
        </w:rPr>
        <w:t>145.</w:t>
      </w:r>
      <w:r w:rsidRPr="00B112A4">
        <w:rPr>
          <w:lang w:val="es-ES"/>
        </w:rPr>
        <w:tab/>
        <w:t>В июне 2018 года Совет министров утвердил План действий по осуществлению Повестки дня в области устойчивого развития на период до 2030 года: на пути к стратегии устойчивого развития Испании. Следует также отметить пятый Генеральный план Испании по вопросам сотрудничества на 2018–2021 годы, составленный с учетом принятой Организацией Объединенных Наций Повестки дня в области устойчивого развития на период до 2030 года.</w:t>
      </w:r>
    </w:p>
    <w:p w14:paraId="6C53C16B" w14:textId="77777777" w:rsidR="0088700C" w:rsidRPr="00B112A4" w:rsidRDefault="0088700C" w:rsidP="0088700C">
      <w:pPr>
        <w:pStyle w:val="SingleTxtG"/>
        <w:rPr>
          <w:lang w:val="es-ES"/>
        </w:rPr>
      </w:pPr>
      <w:r w:rsidRPr="00B112A4">
        <w:rPr>
          <w:lang w:val="es-ES"/>
        </w:rPr>
        <w:t>146.</w:t>
      </w:r>
      <w:r w:rsidRPr="00B112A4">
        <w:rPr>
          <w:lang w:val="es-ES"/>
        </w:rPr>
        <w:tab/>
        <w:t>В июне 2018 года был создан Верховный комиссариат по борьбе с детской бедностью (ВКДБ), задачей которого является сделать борьбу с социальным отчуждением детей одним из приоритетов политической деятельности. Инвестиции в социальный сектор должны направляться не только в порядке соблюдения международных соглашений, касающихся прав детей, которые подписала Испания, но и в целях содействия обеспечению равенства жизненных возможностей, укрепления социального единства, улучшения условий сосуществования и создания основ для повышения конкурентоспособности испанской экономики. По сути, роль ВКДБ заключается в стимулировании инициатив, направленных на борьбу с обстоятельствами, которые способствуют возникновению детской бедности, а также с ее последствиями, если она уже имеет место. На основе анализа бедности, ее происхождения, механизмов распространения, влияния и последствий предлагаются инициативы, которые повысят осведомленность всего испанского общества об этой серьезной проблеме. Наряду с этим разрабатываются программы действий, направленных на мобилизацию всех органов государственной власти, а также различных субъектов гражданского общества, и объединение их усилий для борьбы с этим социальным бедствием.</w:t>
      </w:r>
    </w:p>
    <w:p w14:paraId="6430131D" w14:textId="77777777" w:rsidR="0088700C" w:rsidRPr="00B112A4" w:rsidRDefault="0088700C" w:rsidP="0088700C">
      <w:pPr>
        <w:pStyle w:val="SingleTxtG"/>
        <w:rPr>
          <w:lang w:val="es-ES"/>
        </w:rPr>
      </w:pPr>
      <w:r w:rsidRPr="00B112A4">
        <w:rPr>
          <w:lang w:val="es-ES"/>
        </w:rPr>
        <w:t>147.</w:t>
      </w:r>
      <w:r w:rsidRPr="00B112A4">
        <w:rPr>
          <w:lang w:val="es-ES"/>
        </w:rPr>
        <w:tab/>
        <w:t>Учреждена должность Верховного комиссара по вопросам реализации Повестки дня на период до 2030 года, отвечающего за координацию действий по достижению Целей в области устойчивого развития (ЦУР) Организации Объединенных Наций. Ему поручено осуществлять мониторинг действий компетентных органов государственной администрации по достижению указанных Целей, содействовать разработке и подготовке национальных планов и стратегий, необходимых для их реализации, а также проводить оценку, проверять и распространять информацию о степени прогресса в достижении поставленных целей.</w:t>
      </w:r>
    </w:p>
    <w:p w14:paraId="235A3972" w14:textId="77777777" w:rsidR="0088700C" w:rsidRPr="00B112A4" w:rsidRDefault="0088700C" w:rsidP="0088700C">
      <w:pPr>
        <w:pStyle w:val="SingleTxtG"/>
        <w:rPr>
          <w:lang w:val="es-ES"/>
        </w:rPr>
      </w:pPr>
      <w:r w:rsidRPr="00B112A4">
        <w:rPr>
          <w:lang w:val="es-ES"/>
        </w:rPr>
        <w:t>148.</w:t>
      </w:r>
      <w:r w:rsidRPr="00B112A4">
        <w:rPr>
          <w:lang w:val="es-ES"/>
        </w:rPr>
        <w:tab/>
        <w:t xml:space="preserve">В настоящее время завершается подготовка Национальной стратегии по предупреждению нищеты и социальной изоляции и борьбе с ними на 2019–2023 годы; ожидается, что она будет утверждена в течение первого полугодия текущего года. Реализация указанной стратегии явится вкладом в достижение целей Европейской стратегии </w:t>
      </w:r>
      <w:r w:rsidR="00435B5F">
        <w:rPr>
          <w:lang w:val="es-ES"/>
        </w:rPr>
        <w:t>«</w:t>
      </w:r>
      <w:r w:rsidRPr="00B112A4">
        <w:rPr>
          <w:lang w:val="es-ES"/>
        </w:rPr>
        <w:t>Европа 2020</w:t>
      </w:r>
      <w:r w:rsidR="00435B5F">
        <w:rPr>
          <w:lang w:val="es-ES"/>
        </w:rPr>
        <w:t>»</w:t>
      </w:r>
      <w:r w:rsidRPr="00B112A4">
        <w:rPr>
          <w:lang w:val="es-ES"/>
        </w:rPr>
        <w:t xml:space="preserve">; эта Национальная стратегия соответствует принципам Европейской позиции по социальным правам, согласуется с Целями в области устойчивого развития Организации Объединенных Наций и ее Повесткой дня в области устойчивого развития на период до 2030 года, и способствует реализации Плана действий упомянутой Повестки дня, прежде всего по достижению ее цели 1, являясь одним из политических рычагов для реализации целей  приоритетной области </w:t>
      </w:r>
      <w:r w:rsidR="00435B5F">
        <w:rPr>
          <w:lang w:val="es-ES"/>
        </w:rPr>
        <w:t>«</w:t>
      </w:r>
      <w:r w:rsidRPr="00B112A4">
        <w:rPr>
          <w:lang w:val="es-ES"/>
        </w:rPr>
        <w:t>Предупреждение нищеты, неравенства и социальной изоляции и борьба с ними</w:t>
      </w:r>
      <w:r w:rsidR="00435B5F">
        <w:rPr>
          <w:lang w:val="es-ES"/>
        </w:rPr>
        <w:t>»</w:t>
      </w:r>
      <w:r w:rsidRPr="00B112A4">
        <w:rPr>
          <w:lang w:val="es-ES"/>
        </w:rPr>
        <w:t>.</w:t>
      </w:r>
    </w:p>
    <w:p w14:paraId="575A9232" w14:textId="77777777" w:rsidR="0088700C" w:rsidRPr="00B112A4" w:rsidRDefault="0088700C" w:rsidP="001C1E41">
      <w:pPr>
        <w:pStyle w:val="H1G"/>
        <w:rPr>
          <w:lang w:val="es-ES"/>
        </w:rPr>
      </w:pPr>
      <w:r w:rsidRPr="00B112A4">
        <w:rPr>
          <w:lang w:val="es-ES"/>
        </w:rPr>
        <w:tab/>
        <w:t>D.</w:t>
      </w:r>
      <w:r w:rsidRPr="00B112A4">
        <w:rPr>
          <w:lang w:val="es-ES"/>
        </w:rPr>
        <w:tab/>
        <w:t>Процесс подготовки докладов</w:t>
      </w:r>
    </w:p>
    <w:p w14:paraId="48A76274" w14:textId="77777777" w:rsidR="0088700C" w:rsidRPr="00B112A4" w:rsidRDefault="0088700C" w:rsidP="0088700C">
      <w:pPr>
        <w:pStyle w:val="SingleTxtG"/>
        <w:rPr>
          <w:lang w:val="es-ES"/>
        </w:rPr>
      </w:pPr>
      <w:r w:rsidRPr="00B112A4">
        <w:rPr>
          <w:lang w:val="es-ES"/>
        </w:rPr>
        <w:t>149.</w:t>
      </w:r>
      <w:r w:rsidRPr="00B112A4">
        <w:rPr>
          <w:lang w:val="es-ES"/>
        </w:rPr>
        <w:tab/>
        <w:t>Подготовка докладов осуществляется в соответствии с общими руководящими принципами, касающимися формы и содержания докладов, которые подлежат представлению государствами-участниками согласно руководящим указаниям Организации Объединенных Наций.</w:t>
      </w:r>
    </w:p>
    <w:p w14:paraId="5878D142" w14:textId="77777777" w:rsidR="0088700C" w:rsidRPr="00B112A4" w:rsidRDefault="0088700C" w:rsidP="0088700C">
      <w:pPr>
        <w:pStyle w:val="SingleTxtG"/>
        <w:rPr>
          <w:lang w:val="es-ES"/>
        </w:rPr>
      </w:pPr>
      <w:r w:rsidRPr="00B112A4">
        <w:rPr>
          <w:lang w:val="es-ES"/>
        </w:rPr>
        <w:t>150.</w:t>
      </w:r>
      <w:r w:rsidRPr="00B112A4">
        <w:rPr>
          <w:lang w:val="es-ES"/>
        </w:rPr>
        <w:tab/>
        <w:t xml:space="preserve">При подготовке докладов требуются значительные коллективные усилия со стороны различных государственных учреждений, частных структур и общественных групп. В подготовке настоящего доклада приняли участие многие министерства: </w:t>
      </w:r>
      <w:r w:rsidRPr="00B112A4">
        <w:rPr>
          <w:lang w:val="es-ES"/>
        </w:rPr>
        <w:lastRenderedPageBreak/>
        <w:t>Министерство по делам правительства, отношений с Кортесами и вопросам равенства, Министерство юстиции, Министерство внутренних дел, Министерство развития, Министерство образования и профессиональной подготовки, Министерство труда, миграции и социального обеспечения, Министерство экологических преобразований, Министерство культуры и спорта, Министерство экономики и предпринимательства, Министерство здравоохранения, потребления и социального обеспечения и Министерство науки, инноваций и университетов, а также Национальный институт статистики и Верховный комиссар по борьбе с детской бедностью; координацию этой работы осуществляло Управление по правам человека Министерства иностранных дел, Европейского Союза и сотрудничества, которому, в числе прочего, поручено контролировать осуществление подписанных Испанией международных договоров и соглашений в области прав человека.</w:t>
      </w:r>
    </w:p>
    <w:p w14:paraId="2E00B801" w14:textId="77777777" w:rsidR="0088700C" w:rsidRPr="00B112A4" w:rsidRDefault="0088700C" w:rsidP="0088700C">
      <w:pPr>
        <w:pStyle w:val="SingleTxtG"/>
        <w:rPr>
          <w:lang w:val="es-ES"/>
        </w:rPr>
      </w:pPr>
      <w:r w:rsidRPr="00B112A4">
        <w:rPr>
          <w:lang w:val="es-ES"/>
        </w:rPr>
        <w:t>151.</w:t>
      </w:r>
      <w:r w:rsidRPr="00B112A4">
        <w:rPr>
          <w:lang w:val="es-ES"/>
        </w:rPr>
        <w:tab/>
        <w:t>Испания своевременно выполняет свои обязательства по представлению периодических докладов различным договорным органам. За последние пять лет Испания представила свои периодические доклады Комитету по ликвидации расовой дискриминации (2014 год), Комитету по правам ребенка (2016 год), Комитету по экономическим, социальным и культурным правам (2017 год) и Комитету по правам инвалидов (2018 год). В течение 2019 года Испания представит периодические доклады Комитету по ликвидации дискриминации в отношении женщин, Комитету против пыток и Комитету против насильственных исчезновений, и доклад страны будет рассмотрен в Комитете по правам инвалидов.</w:t>
      </w:r>
    </w:p>
    <w:p w14:paraId="6C9FCED5" w14:textId="77777777" w:rsidR="0088700C" w:rsidRPr="00B112A4" w:rsidRDefault="0088700C" w:rsidP="0088700C">
      <w:pPr>
        <w:pStyle w:val="SingleTxtG"/>
        <w:rPr>
          <w:lang w:val="es-ES"/>
        </w:rPr>
      </w:pPr>
      <w:r w:rsidRPr="00B112A4">
        <w:rPr>
          <w:lang w:val="es-ES"/>
        </w:rPr>
        <w:t>152.</w:t>
      </w:r>
      <w:r w:rsidRPr="00B112A4">
        <w:rPr>
          <w:lang w:val="es-ES"/>
        </w:rPr>
        <w:tab/>
        <w:t xml:space="preserve">Следует также отметить, что 21 января 2015 года во время </w:t>
      </w:r>
      <w:r w:rsidR="00AC6164">
        <w:t>двадцать девятой</w:t>
      </w:r>
      <w:r w:rsidRPr="00B112A4">
        <w:rPr>
          <w:lang w:val="es-ES"/>
        </w:rPr>
        <w:t xml:space="preserve"> сессии Совета по правам человека Испания прошла второй цикл Универсального периодического обзора (УПО). Из 189 полученных рекомендаций Испания согласилась в общей сложности со 169 рекомендациями (с </w:t>
      </w:r>
      <w:r w:rsidR="00AC6164">
        <w:t>5</w:t>
      </w:r>
      <w:r w:rsidRPr="00B112A4">
        <w:rPr>
          <w:lang w:val="es-ES"/>
        </w:rPr>
        <w:t xml:space="preserve"> из них частично) и</w:t>
      </w:r>
      <w:r w:rsidR="00AC6164">
        <w:t> </w:t>
      </w:r>
      <w:r w:rsidRPr="00B112A4">
        <w:rPr>
          <w:lang w:val="es-ES"/>
        </w:rPr>
        <w:t>приняла к сведению 25</w:t>
      </w:r>
      <w:r w:rsidR="005E0FF2">
        <w:t> </w:t>
      </w:r>
      <w:r w:rsidRPr="00B112A4">
        <w:rPr>
          <w:lang w:val="es-ES"/>
        </w:rPr>
        <w:t>рекомендаций (5 из них частично). В ходе обзора Испания объявила о своем обязательстве информировать Рабочую группу о достигнутом прогрессе в своем среднесрочном докладе. В этом промежуточном докладе, представленном в Управление Верховного комиссара Организации Объединенных Наций по правам человека в декабре 2018 года, были обновлены первоначальные сведения, представленные Испанией в 2015 году, представлена информация о ходе осуществления каждой из полученных рекомендаций за период с января 2015 по июнь 2018 года, а также о мерах, которые планировалось принять в ближайшее время. Основные положения этого документа были направлены как организациям гражданского общества, так и Управлению Народного защитника. Кроме того, в</w:t>
      </w:r>
      <w:r w:rsidR="005E0FF2">
        <w:t> </w:t>
      </w:r>
      <w:r w:rsidRPr="00B112A4">
        <w:rPr>
          <w:lang w:val="es-ES"/>
        </w:rPr>
        <w:t xml:space="preserve">соответствии с положениями резолюции 35/29 Совета по правам человека и последующего доклада Управления Верховного комиссара Организации Объединенных Наций по правам человека, касающимся повышения роли парламентов в деле поощрения и защиты прав человека на национальном уровне, Испания содействовала участию Парламента страны в презентации этого доклада, приложив к нему информацию, представленную Конгрессом депутатов и Сенатом. </w:t>
      </w:r>
    </w:p>
    <w:p w14:paraId="49CEC4BA" w14:textId="77777777" w:rsidR="0088700C" w:rsidRPr="00B112A4" w:rsidRDefault="0088700C" w:rsidP="001C1E41">
      <w:pPr>
        <w:pStyle w:val="H1G"/>
        <w:rPr>
          <w:lang w:val="es-ES"/>
        </w:rPr>
      </w:pPr>
      <w:r w:rsidRPr="00B112A4">
        <w:rPr>
          <w:lang w:val="es-ES"/>
        </w:rPr>
        <w:tab/>
        <w:t>E.</w:t>
      </w:r>
      <w:r w:rsidRPr="00B112A4">
        <w:rPr>
          <w:lang w:val="es-ES"/>
        </w:rPr>
        <w:tab/>
        <w:t>Другая информация, касающаяся прав человека</w:t>
      </w:r>
    </w:p>
    <w:p w14:paraId="1C5DFD72" w14:textId="77777777" w:rsidR="0088700C" w:rsidRPr="00B112A4" w:rsidRDefault="0088700C" w:rsidP="0088700C">
      <w:pPr>
        <w:pStyle w:val="SingleTxtG"/>
        <w:rPr>
          <w:lang w:val="es-ES"/>
        </w:rPr>
      </w:pPr>
      <w:r w:rsidRPr="00B112A4">
        <w:rPr>
          <w:lang w:val="es-ES"/>
        </w:rPr>
        <w:t>153.</w:t>
      </w:r>
      <w:r w:rsidRPr="00B112A4">
        <w:rPr>
          <w:lang w:val="es-ES"/>
        </w:rPr>
        <w:tab/>
        <w:t>Испания твердо привержена делу поощрения и защиты прав человека. Она</w:t>
      </w:r>
      <w:r w:rsidR="005E0FF2">
        <w:t> </w:t>
      </w:r>
      <w:r w:rsidRPr="00B112A4">
        <w:rPr>
          <w:lang w:val="es-ES"/>
        </w:rPr>
        <w:t>является государством-участником восьми основополагающих международных договоров и десяти факультативных протоколов. Испания признала компетенцию договорных органов принимать и рассматривать индивидуальные сообщения, касающиеся всех договоров по правам человека, участником которых она является. Испания направила открытое и постоянно действующее приглашение мандатариям всех специальных процедур Совета по правам человека. Испания пунктуально реагирует на сообщения, направляемые специальными докладчиками, и следит за ходом выполнения рекомендаций, представляемых по итогам их визитов.</w:t>
      </w:r>
    </w:p>
    <w:p w14:paraId="5CD0CB24" w14:textId="77777777" w:rsidR="0088700C" w:rsidRPr="00B112A4" w:rsidRDefault="0088700C" w:rsidP="0088700C">
      <w:pPr>
        <w:pStyle w:val="SingleTxtG"/>
        <w:rPr>
          <w:lang w:val="es-ES"/>
        </w:rPr>
      </w:pPr>
      <w:r w:rsidRPr="00B112A4">
        <w:rPr>
          <w:lang w:val="es-ES"/>
        </w:rPr>
        <w:t>154.</w:t>
      </w:r>
      <w:r w:rsidRPr="00B112A4">
        <w:rPr>
          <w:lang w:val="es-ES"/>
        </w:rPr>
        <w:tab/>
        <w:t>1 января 2018 года начался второй срок полномочий Испании в качестве члена Совета по правам человека (2018</w:t>
      </w:r>
      <w:r w:rsidR="005E0FF2">
        <w:t>–</w:t>
      </w:r>
      <w:r w:rsidRPr="00B112A4">
        <w:rPr>
          <w:lang w:val="es-ES"/>
        </w:rPr>
        <w:t xml:space="preserve">2020 годы). Среди тематических приоритетов Испании в Совете по правам человека следует отметить, прежде всего, защиту человеческого достоинства и равных прав человека для всех, принципиальную </w:t>
      </w:r>
      <w:r w:rsidRPr="00B112A4">
        <w:rPr>
          <w:lang w:val="es-ES"/>
        </w:rPr>
        <w:lastRenderedPageBreak/>
        <w:t>позицию против смертной казни и в защиту людей от любой дискриминации (в том числе путем борьбы против расизма, ксенофобии и других связанных с ними форм нетерпимости), за гендерное равенство, недискриминацию по признаку сексуальной ориентации или гендерной идентичности и за обеспечение прав инвалидов. Во</w:t>
      </w:r>
      <w:r w:rsidR="005E0FF2">
        <w:rPr>
          <w:lang w:val="es-ES"/>
        </w:rPr>
        <w:noBreakHyphen/>
      </w:r>
      <w:r w:rsidRPr="00B112A4">
        <w:rPr>
          <w:lang w:val="es-ES"/>
        </w:rPr>
        <w:t>вторых, Испания считает, что свободное и динамичное гражданское общество является важнейшим элементом функционирующей демократии, и подчеркивает важную роль правозащитников. В-третьих, в тематике устойчивого развития Испания намерена продолжать работу по поощрению экономических, социальных и культурных прав (в частности, прав человека на питьевую воду и санитарию, являющихся компонентами права на достаточный уровень жизни, в поощрении которого Испания является одним из лидеров на международном уровне) и прав человека и корпораций.</w:t>
      </w:r>
    </w:p>
    <w:p w14:paraId="510DFDEB" w14:textId="77777777" w:rsidR="0088700C" w:rsidRPr="00B112A4" w:rsidRDefault="0088700C" w:rsidP="0088700C">
      <w:pPr>
        <w:pStyle w:val="SingleTxtG"/>
        <w:rPr>
          <w:lang w:val="es-ES"/>
        </w:rPr>
      </w:pPr>
      <w:r w:rsidRPr="00B112A4">
        <w:rPr>
          <w:lang w:val="es-ES"/>
        </w:rPr>
        <w:t>155.</w:t>
      </w:r>
      <w:r w:rsidRPr="00B112A4">
        <w:rPr>
          <w:lang w:val="es-ES"/>
        </w:rPr>
        <w:tab/>
        <w:t>Испания играет активную роль в признании науки как права человека. В</w:t>
      </w:r>
      <w:r w:rsidR="005E0FF2">
        <w:t> </w:t>
      </w:r>
      <w:r w:rsidRPr="00B112A4">
        <w:rPr>
          <w:lang w:val="es-ES"/>
        </w:rPr>
        <w:t xml:space="preserve">частности, в настоящее время Комитет по экономическим, социальным и культурным правам разрабатывает Замечание общего порядка по вопросу о праве человека на науку под руководством двух содокладчиков, одним из которых является испанский профессор Микель Манчисидор. По предложению Испании право на науку было также включено в заключительную декларацию Иберо-американской встречи на высшем уровне глав государств и правительств, состоявшейся в ноябре 2018 года в Гватемале, что обеспечило значительную региональную поддержку этому процессу. </w:t>
      </w:r>
    </w:p>
    <w:p w14:paraId="20D2F20C" w14:textId="77777777" w:rsidR="0088700C" w:rsidRPr="00B112A4" w:rsidRDefault="0088700C" w:rsidP="0088700C">
      <w:pPr>
        <w:pStyle w:val="SingleTxtG"/>
        <w:rPr>
          <w:lang w:val="es-ES"/>
        </w:rPr>
      </w:pPr>
      <w:r w:rsidRPr="00B112A4">
        <w:rPr>
          <w:lang w:val="es-ES"/>
        </w:rPr>
        <w:t>156.</w:t>
      </w:r>
      <w:r w:rsidRPr="00B112A4">
        <w:rPr>
          <w:lang w:val="es-ES"/>
        </w:rPr>
        <w:tab/>
        <w:t>Из шести тематических приоритетов внешней политики Испании в области прав человека ниже освещаются борьба против смертной казни, права человека на питьевую воду и санитарию, сексуальные права, права инвалидов, предпринимательство и права человека и правозащитники. Приоритеты, касающиеся недискриминации по признаку пола и недискриминации по признаку сексуальной ориентации, излагаются в разделе о недискриминации.</w:t>
      </w:r>
    </w:p>
    <w:p w14:paraId="579C6962" w14:textId="77777777" w:rsidR="0088700C" w:rsidRPr="00B112A4" w:rsidRDefault="0088700C" w:rsidP="001C1E41">
      <w:pPr>
        <w:pStyle w:val="H23G"/>
        <w:rPr>
          <w:lang w:val="es-ES"/>
        </w:rPr>
      </w:pPr>
      <w:r w:rsidRPr="00B112A4">
        <w:rPr>
          <w:lang w:val="es-ES"/>
        </w:rPr>
        <w:tab/>
      </w:r>
      <w:r w:rsidRPr="00B112A4">
        <w:rPr>
          <w:lang w:val="es-ES"/>
        </w:rPr>
        <w:tab/>
        <w:t>Борьба против смертной казни</w:t>
      </w:r>
    </w:p>
    <w:p w14:paraId="2683C931" w14:textId="77777777" w:rsidR="0088700C" w:rsidRPr="00B112A4" w:rsidRDefault="0088700C" w:rsidP="0088700C">
      <w:pPr>
        <w:pStyle w:val="SingleTxtG"/>
        <w:rPr>
          <w:lang w:val="es-ES"/>
        </w:rPr>
      </w:pPr>
      <w:r w:rsidRPr="00B112A4">
        <w:rPr>
          <w:lang w:val="es-ES"/>
        </w:rPr>
        <w:t>157.</w:t>
      </w:r>
      <w:r w:rsidRPr="00B112A4">
        <w:rPr>
          <w:lang w:val="es-ES"/>
        </w:rPr>
        <w:tab/>
        <w:t>Борьба против смертной казни как приоритетная задача внешней политики Испании в области прав человека ведется по следующим направлениям: поддержка резолюции о повсеместном введении моратория на смертную казнь, которую каждые два года принимает Генеральная Ассамблея Организации Объединенных Наций; содействие обсуждению вопроса о смертной казни в Совете по правам человека; а</w:t>
      </w:r>
      <w:r w:rsidR="005E0FF2">
        <w:t> </w:t>
      </w:r>
      <w:r w:rsidRPr="00B112A4">
        <w:rPr>
          <w:lang w:val="es-ES"/>
        </w:rPr>
        <w:t>также оказание поддержки Международной комиссии против смертной казни</w:t>
      </w:r>
      <w:r w:rsidR="005E0FF2">
        <w:t> </w:t>
      </w:r>
      <w:r w:rsidRPr="00B112A4">
        <w:rPr>
          <w:lang w:val="es-ES"/>
        </w:rPr>
        <w:t>– международной структуре, которая была создана по инициативе Испании и в состав которой вошли пользующиеся высоким авторитетом независимые деятели. В июне 2016 года штаб-квартиру этого органа перенесли в Мадрид. Значимость Международной комиссии состоит в том, что в рамках этого органа можно на международном уровне вести диалог о необходимости отказа от смертной казни. Испания оказывает этой комиссии экономическую и политическую поддержку по линии своей Группы содействия. Целью политики Испании, проводимой совместно с Европейским союзом, является консолидация идеи отмены смертной казни в регионах, где казни больше не проводятся – в Европе, за исключением Беларуси, или где сокращается число соответствующих случаев – в странах Африки, расположенных к югу от Сахары. Кроме того, по линии посольств и консульств Испании осуществляется сопровождение инициатив некоторых государств, направленных на сокращение числа казней, и предлагается использовать их в других странах, так как предполагается, что меры по ограничению или отмене смертной казни являются очень похожими во всех регионах и политических системах. В этом контексте в 2018 году Испания в рамках двусторонних контактов поделилась со странами, выступающими за сохранение смертной казни, информацией о том, каким образом Конституционный суд Гватемалы, применяя принцип законности, отменил смертный приговор за многочисленные преступления.</w:t>
      </w:r>
    </w:p>
    <w:p w14:paraId="28CA288E" w14:textId="77777777" w:rsidR="0088700C" w:rsidRPr="00B112A4" w:rsidRDefault="0088700C" w:rsidP="001C1E41">
      <w:pPr>
        <w:pStyle w:val="H23G"/>
        <w:rPr>
          <w:lang w:val="es-ES"/>
        </w:rPr>
      </w:pPr>
      <w:r w:rsidRPr="00B112A4">
        <w:rPr>
          <w:lang w:val="es-ES"/>
        </w:rPr>
        <w:tab/>
      </w:r>
      <w:r w:rsidRPr="00B112A4">
        <w:rPr>
          <w:lang w:val="es-ES"/>
        </w:rPr>
        <w:tab/>
        <w:t>Право на питьевую воду и санитарные услуги как право человека</w:t>
      </w:r>
    </w:p>
    <w:p w14:paraId="6E829B90" w14:textId="77777777" w:rsidR="0088700C" w:rsidRPr="00B112A4" w:rsidRDefault="0088700C" w:rsidP="0088700C">
      <w:pPr>
        <w:pStyle w:val="SingleTxtG"/>
        <w:rPr>
          <w:lang w:val="es-ES"/>
        </w:rPr>
      </w:pPr>
      <w:r w:rsidRPr="00B112A4">
        <w:rPr>
          <w:lang w:val="es-ES"/>
        </w:rPr>
        <w:t>158.</w:t>
      </w:r>
      <w:r w:rsidRPr="00B112A4">
        <w:rPr>
          <w:lang w:val="es-ES"/>
        </w:rPr>
        <w:tab/>
        <w:t xml:space="preserve">Признание права на безопасную питьевую воду и санитарные услуги является одним из приоритетов внешней политики Испании в области прав человека. </w:t>
      </w:r>
      <w:r w:rsidRPr="00B112A4">
        <w:rPr>
          <w:lang w:val="es-ES"/>
        </w:rPr>
        <w:lastRenderedPageBreak/>
        <w:t>Эта</w:t>
      </w:r>
      <w:r w:rsidR="005E0FF2">
        <w:t> </w:t>
      </w:r>
      <w:r w:rsidRPr="00B112A4">
        <w:rPr>
          <w:lang w:val="es-ES"/>
        </w:rPr>
        <w:t>международная инициатива, с которой в 2006 году выступили Германия и Испания, привела к принятию в течение нескольких лет подряд Советом по правам человека и Генеральной Ассамблеей Организации Объединенных Наций ряда резолюций об этом праве человека. Последняя резолюция, принятая Советом по правам человека в сентябре 2018 года, закрепила признание этого права. В этой связи следует отметить два важных элемента в признании права человека на питьевую воду и санитарию. Во-первых, признание в соответствии с резолюцией 70/169 Генеральной Ассамблеи прав на безопасную питьевую воду и санитарию в качестве двух отдельных, хотя и взаимосвязанныхправ человека. Во-вторых, установление аспектов указанных двух прав человека, касающихся их наличия, физической доступности, качества и приемлемости. Испания поддерживает мандат различных специальных докладчиков Организации Объединенных Наций в отношении этих прав человека и будет продолжать поддерживать его в будущем.</w:t>
      </w:r>
    </w:p>
    <w:p w14:paraId="2396C432" w14:textId="77777777" w:rsidR="0088700C" w:rsidRPr="00B112A4" w:rsidRDefault="0088700C" w:rsidP="001C1E41">
      <w:pPr>
        <w:pStyle w:val="H23G"/>
        <w:rPr>
          <w:lang w:val="es-ES"/>
        </w:rPr>
      </w:pPr>
      <w:r w:rsidRPr="00B112A4">
        <w:rPr>
          <w:lang w:val="es-ES"/>
        </w:rPr>
        <w:tab/>
      </w:r>
      <w:r w:rsidRPr="00B112A4">
        <w:rPr>
          <w:lang w:val="es-ES"/>
        </w:rPr>
        <w:tab/>
        <w:t>Права лиц с инвалидностью</w:t>
      </w:r>
    </w:p>
    <w:p w14:paraId="69F186C2" w14:textId="77777777" w:rsidR="0088700C" w:rsidRPr="00B112A4" w:rsidRDefault="0088700C" w:rsidP="0088700C">
      <w:pPr>
        <w:pStyle w:val="SingleTxtG"/>
        <w:rPr>
          <w:lang w:val="es-ES"/>
        </w:rPr>
      </w:pPr>
      <w:r w:rsidRPr="00B112A4">
        <w:rPr>
          <w:lang w:val="es-ES"/>
        </w:rPr>
        <w:t>159.</w:t>
      </w:r>
      <w:r w:rsidRPr="00B112A4">
        <w:rPr>
          <w:lang w:val="es-ES"/>
        </w:rPr>
        <w:tab/>
        <w:t xml:space="preserve">В отношении прав инвалидов Испания считает особенно важным содействие в осуществлении Международной конвенции о правах инвалидов (далее </w:t>
      </w:r>
      <w:r w:rsidR="00435B5F">
        <w:rPr>
          <w:lang w:val="es-ES"/>
        </w:rPr>
        <w:t>«</w:t>
      </w:r>
      <w:r w:rsidRPr="00B112A4">
        <w:rPr>
          <w:lang w:val="es-ES"/>
        </w:rPr>
        <w:t>МКИ</w:t>
      </w:r>
      <w:r w:rsidR="00435B5F">
        <w:rPr>
          <w:lang w:val="es-ES"/>
        </w:rPr>
        <w:t>»</w:t>
      </w:r>
      <w:r w:rsidRPr="00B112A4">
        <w:rPr>
          <w:lang w:val="es-ES"/>
        </w:rPr>
        <w:t>) и</w:t>
      </w:r>
      <w:r w:rsidR="005E0FF2">
        <w:t> </w:t>
      </w:r>
      <w:r w:rsidRPr="00B112A4">
        <w:rPr>
          <w:lang w:val="es-ES"/>
        </w:rPr>
        <w:t>Факультативного протокола к ней, поскольку эти документы придерживаются подхода, предполагающего признание прав инвалидов – лиц, которые в прошлом воспринимались лишь в качестве объекта политики в медико-санитарной сфере.</w:t>
      </w:r>
    </w:p>
    <w:p w14:paraId="71CB9D16" w14:textId="77777777" w:rsidR="0088700C" w:rsidRPr="00B112A4" w:rsidRDefault="0088700C" w:rsidP="0088700C">
      <w:pPr>
        <w:pStyle w:val="SingleTxtG"/>
        <w:rPr>
          <w:lang w:val="es-ES"/>
        </w:rPr>
      </w:pPr>
      <w:r w:rsidRPr="00B112A4">
        <w:rPr>
          <w:lang w:val="es-ES"/>
        </w:rPr>
        <w:t>160.</w:t>
      </w:r>
      <w:r w:rsidRPr="00B112A4">
        <w:rPr>
          <w:lang w:val="es-ES"/>
        </w:rPr>
        <w:tab/>
        <w:t>Одним из прав инвалидов, в отношении которых в Испании проводилась интенсивная работа после ратификации МКИ и в особенности с 2011 года, являлось избирательное право, поскольку в стране было почти 100 000 инвалидов, которые не могли им пользоваться. Был принят Органический закон 2/2018 от 19 июня 2018 года о внесении изменений в Органический закон 5/1985 от 19 июня 1985 года об общем избирательном режиме, гарантирующем избирательное право всех инвалидов. Этот закон был опубликован в Официальном государственном вестнике 6 декабря 2018</w:t>
      </w:r>
      <w:r w:rsidR="005E0FF2">
        <w:t> </w:t>
      </w:r>
      <w:r w:rsidRPr="00B112A4">
        <w:rPr>
          <w:lang w:val="es-ES"/>
        </w:rPr>
        <w:t xml:space="preserve">года, в 40-летие Конституции Испании. Кроме того, следуя рекомендациям Комитета по правам инвалидов, была активизирована работа по адаптации законодательства Испании к положениям статьи 12 Конвенции. В результате этой работы Министерство юстиции подготовило предварительный проект закона о реформе гражданского и гражданско-процессуального законодательства по вопросам инвалидности, в котором приоритетное значение отводится соблюдению принципов самоуправления и автономии инвалидов при осуществлении ими своей правовой дееспособности, а также при изъявлении ими своей воли, пожеланий и предпочтений. Судебное вмешательство сохраняется, но не в целях изменения правоспособности инвалида, а для того, чтобы установить </w:t>
      </w:r>
      <w:r w:rsidR="00435B5F">
        <w:rPr>
          <w:lang w:val="es-ES"/>
        </w:rPr>
        <w:t>«</w:t>
      </w:r>
      <w:r w:rsidRPr="00B112A4">
        <w:rPr>
          <w:lang w:val="es-ES"/>
        </w:rPr>
        <w:t>соответствующий режим правовой опеки и конкретные меры поддержки для помощи инвалиду в осуществлении его правоспособности и дееспособности</w:t>
      </w:r>
      <w:r w:rsidR="00435B5F">
        <w:rPr>
          <w:lang w:val="es-ES"/>
        </w:rPr>
        <w:t>»</w:t>
      </w:r>
      <w:r w:rsidRPr="00B112A4">
        <w:rPr>
          <w:lang w:val="es-ES"/>
        </w:rPr>
        <w:t>.</w:t>
      </w:r>
    </w:p>
    <w:p w14:paraId="2B564250" w14:textId="77777777" w:rsidR="0088700C" w:rsidRPr="00B112A4" w:rsidRDefault="0088700C" w:rsidP="001C1E41">
      <w:pPr>
        <w:pStyle w:val="H23G"/>
        <w:rPr>
          <w:lang w:val="es-ES"/>
        </w:rPr>
      </w:pPr>
      <w:r w:rsidRPr="00B112A4">
        <w:rPr>
          <w:lang w:val="es-ES"/>
        </w:rPr>
        <w:tab/>
      </w:r>
      <w:r w:rsidRPr="00B112A4">
        <w:rPr>
          <w:lang w:val="es-ES"/>
        </w:rPr>
        <w:tab/>
        <w:t>Предпринимательская деятельность и права человека</w:t>
      </w:r>
    </w:p>
    <w:p w14:paraId="273AD181" w14:textId="77777777" w:rsidR="0088700C" w:rsidRPr="00B112A4" w:rsidRDefault="0088700C" w:rsidP="0088700C">
      <w:pPr>
        <w:pStyle w:val="SingleTxtG"/>
        <w:rPr>
          <w:lang w:val="es-ES"/>
        </w:rPr>
      </w:pPr>
      <w:r w:rsidRPr="00B112A4">
        <w:rPr>
          <w:lang w:val="es-ES"/>
        </w:rPr>
        <w:t>161.</w:t>
      </w:r>
      <w:r w:rsidRPr="00B112A4">
        <w:rPr>
          <w:lang w:val="es-ES"/>
        </w:rPr>
        <w:tab/>
        <w:t>С 2016 года Испания в рамках Европейского союза конструктивно участвует в сессиях Межправительственной рабочей группы, созданной в соответствии с резолюцией 26/9 Совета по правам человека. Без ущерба оговоркам, высказанным по некоторым основным вопросам (в частности, касающимся ограничения сферы применения будущего документа), Министерство иностранных дел, Европейского союза и сотрудничества поддерживает контакты по этому вопросу с представителями гражданского общества, которые участвуют в сессиях Межправительственной рабочей группы, напрямую или через постоянное представительство Испании в Женеве.</w:t>
      </w:r>
    </w:p>
    <w:p w14:paraId="1683FE8F" w14:textId="77777777" w:rsidR="0088700C" w:rsidRPr="00B112A4" w:rsidRDefault="0088700C" w:rsidP="0088700C">
      <w:pPr>
        <w:pStyle w:val="SingleTxtG"/>
        <w:rPr>
          <w:lang w:val="es-ES"/>
        </w:rPr>
      </w:pPr>
      <w:r w:rsidRPr="00B112A4">
        <w:rPr>
          <w:lang w:val="es-ES"/>
        </w:rPr>
        <w:t>162.</w:t>
      </w:r>
      <w:r w:rsidRPr="00B112A4">
        <w:rPr>
          <w:lang w:val="es-ES"/>
        </w:rPr>
        <w:tab/>
        <w:t xml:space="preserve">28 июля 2017 года Совет министров утвердил Национальный план действий в области предпринимательской деятельности и прав человека с целью претворения в жизнь Руководящих принципов предпринимательской деятельности в аспекте прав человека Организации Объединенных Наций, одобренных Советом по правам человека в соответствии с резолюцией, принятой консенсусом в июне 2014 года (резолюция 17/4 Совета по правам человека). В соответствии с упомянутым планом, рассчитанным на три года, в феврале 2018 года был создана Комиссия по вопросам </w:t>
      </w:r>
      <w:r w:rsidRPr="00B112A4">
        <w:rPr>
          <w:lang w:val="es-ES"/>
        </w:rPr>
        <w:lastRenderedPageBreak/>
        <w:t>последующей деятельности, в состав которой входят представители различных министерских департаментов. В 2018 году было проведено два заседания Комиссии по вопросам последующей деятельности. На первом заседании в феврале 2018 года было положено начало функционированию Комиссии и определены представители различных департаментов. В ходе второго заседания, которое состоялось в ноябре 2018 года, были утверждены правила функционирования Комиссии и составлен план ее работы, в котором особое внимание уделялось подготовке контрольной карточки реализации каждой из мер, намеченных в Национальном плане действий. В декабре 2018 года состоялась встреча Комиссии по вопросам последующей деятельности с представителями гражданского общества, целью которой было установить первый контакт с представителями организаций гражданского общества в широком смысле этого понятия (представители предприятий, НПО, профсоюзов, научного сообщества и</w:t>
      </w:r>
      <w:r w:rsidR="005E0FF2">
        <w:t> </w:t>
      </w:r>
      <w:r w:rsidRPr="00B112A4">
        <w:rPr>
          <w:lang w:val="es-ES"/>
        </w:rPr>
        <w:t>т.</w:t>
      </w:r>
      <w:r w:rsidR="005E0FF2">
        <w:t> </w:t>
      </w:r>
      <w:r w:rsidRPr="00B112A4">
        <w:rPr>
          <w:lang w:val="es-ES"/>
        </w:rPr>
        <w:t>д.) и обсудить возможные пути сотрудничества между органами власти, компаниями и гражданским обществом в целях реализации Национального плана действий.</w:t>
      </w:r>
    </w:p>
    <w:p w14:paraId="60C96C5E" w14:textId="77777777" w:rsidR="0088700C" w:rsidRPr="00B112A4" w:rsidRDefault="0088700C" w:rsidP="000749C6">
      <w:pPr>
        <w:pStyle w:val="H23G"/>
        <w:rPr>
          <w:lang w:val="es-ES"/>
        </w:rPr>
      </w:pPr>
      <w:r w:rsidRPr="00B112A4">
        <w:rPr>
          <w:lang w:val="es-ES"/>
        </w:rPr>
        <w:tab/>
      </w:r>
      <w:r w:rsidRPr="00B112A4">
        <w:rPr>
          <w:lang w:val="es-ES"/>
        </w:rPr>
        <w:tab/>
        <w:t>Правозащитники</w:t>
      </w:r>
    </w:p>
    <w:bookmarkEnd w:id="0"/>
    <w:p w14:paraId="2A4F49BC" w14:textId="77777777" w:rsidR="0088700C" w:rsidRPr="00B112A4" w:rsidRDefault="0088700C" w:rsidP="0088700C">
      <w:pPr>
        <w:pStyle w:val="SingleTxtG"/>
        <w:rPr>
          <w:lang w:val="es-ES"/>
        </w:rPr>
      </w:pPr>
      <w:r w:rsidRPr="00B112A4">
        <w:rPr>
          <w:lang w:val="es-ES"/>
        </w:rPr>
        <w:t>163.</w:t>
      </w:r>
      <w:r w:rsidRPr="00B112A4">
        <w:rPr>
          <w:lang w:val="es-ES"/>
        </w:rPr>
        <w:tab/>
        <w:t>Испания, будучи членом ЕС, содействует осуществлению принятых в 2004 году и пересмотренных в 2008 году Руководящих принципов ЕС в отношении правозащитников. В период своего председательства в ЕС Испания сделала многое для реализации этих Руководящих принципов, став инициатором проведения ежегодной встречи правозащитников и дипломатических работников, разработки и пересмотра местных стратегий поощрения и защиты деятельности правозащитников и назначения координаторов ЕС по защите правозащитников в третьих странах.</w:t>
      </w:r>
    </w:p>
    <w:p w14:paraId="3ECC873D" w14:textId="77777777" w:rsidR="0088700C" w:rsidRPr="00B112A4" w:rsidRDefault="0088700C" w:rsidP="0088700C">
      <w:pPr>
        <w:pStyle w:val="SingleTxtG"/>
        <w:rPr>
          <w:lang w:val="es-ES"/>
        </w:rPr>
      </w:pPr>
      <w:r w:rsidRPr="00B112A4">
        <w:rPr>
          <w:lang w:val="es-ES"/>
        </w:rPr>
        <w:t>164.</w:t>
      </w:r>
      <w:r w:rsidRPr="00B112A4">
        <w:rPr>
          <w:lang w:val="es-ES"/>
        </w:rPr>
        <w:tab/>
        <w:t>Испания решительно выступала за разработку опубликованных в 2014 году Руководящих принципов ОБСЕ по обеспечению защиты правозащитников. Министерство иностранных дел, Европейского союза и сотрудничества поддерживает тесный контакт с организациями гражданского общества, занимающимися вопросами прав человека. В 1995 году оно приступило к осуществлению программы предоставления временного убежища правозащитникам, подвергающимся риску, – эта программа отмечена в качестве передовой практики на международном уровне. В</w:t>
      </w:r>
      <w:r w:rsidR="005E0FF2">
        <w:t> </w:t>
      </w:r>
      <w:r w:rsidRPr="00B112A4">
        <w:rPr>
          <w:lang w:val="es-ES"/>
        </w:rPr>
        <w:t>период с 1995 по 2018 год услуги данной Программы были предоставлены более 300</w:t>
      </w:r>
      <w:r w:rsidR="005E0FF2">
        <w:t> </w:t>
      </w:r>
      <w:r w:rsidRPr="00B112A4">
        <w:rPr>
          <w:lang w:val="es-ES"/>
        </w:rPr>
        <w:t xml:space="preserve">правозащитникам, и налажено сотрудничество в этой области с другими программами по предоставлению временного убежища правозащитникам, которым угрожает опасность, – с Астурийской программой помощи жертвам нарушений прав человека в Колумбии, Баскской программой временной защиты правозащитников, Программой временной защиты находящихся под угрозой правозащитников испанского отделения организации </w:t>
      </w:r>
      <w:r w:rsidR="00435B5F">
        <w:rPr>
          <w:lang w:val="es-ES"/>
        </w:rPr>
        <w:t>«</w:t>
      </w:r>
      <w:r w:rsidRPr="00B112A4">
        <w:rPr>
          <w:lang w:val="es-ES"/>
        </w:rPr>
        <w:t>Международная амнистия</w:t>
      </w:r>
      <w:r w:rsidR="00435B5F">
        <w:rPr>
          <w:lang w:val="es-ES"/>
        </w:rPr>
        <w:t>»</w:t>
      </w:r>
      <w:r w:rsidRPr="00B112A4">
        <w:rPr>
          <w:lang w:val="es-ES"/>
        </w:rPr>
        <w:t xml:space="preserve">, Каталонской программой защиты правозащитников и Программой мэрии Барселоны по предоставлению временного убежища правозащитникам программы </w:t>
      </w:r>
      <w:r w:rsidR="00435B5F">
        <w:rPr>
          <w:lang w:val="es-ES"/>
        </w:rPr>
        <w:t>«</w:t>
      </w:r>
      <w:r w:rsidRPr="00B112A4">
        <w:rPr>
          <w:lang w:val="es-ES"/>
        </w:rPr>
        <w:t>Барселона защищает журналистов из Мексики</w:t>
      </w:r>
      <w:r w:rsidR="00435B5F">
        <w:rPr>
          <w:lang w:val="es-ES"/>
        </w:rPr>
        <w:t>»</w:t>
      </w:r>
      <w:r w:rsidRPr="00B112A4">
        <w:rPr>
          <w:lang w:val="es-ES"/>
        </w:rPr>
        <w:t>.</w:t>
      </w:r>
    </w:p>
    <w:p w14:paraId="476D161D" w14:textId="77777777" w:rsidR="0088700C" w:rsidRPr="00B112A4" w:rsidRDefault="0088700C" w:rsidP="000749C6">
      <w:pPr>
        <w:pStyle w:val="HChG"/>
        <w:rPr>
          <w:lang w:val="es-ES"/>
        </w:rPr>
      </w:pPr>
      <w:bookmarkStart w:id="2" w:name="Sample_3"/>
      <w:r w:rsidRPr="00B112A4">
        <w:rPr>
          <w:lang w:val="es-ES"/>
        </w:rPr>
        <w:tab/>
        <w:t>III.</w:t>
      </w:r>
      <w:r w:rsidRPr="00B112A4">
        <w:rPr>
          <w:lang w:val="es-ES"/>
        </w:rPr>
        <w:tab/>
        <w:t>Информация, касающаяся равенства и</w:t>
      </w:r>
      <w:r w:rsidR="000749C6">
        <w:rPr>
          <w:lang w:val="es-ES"/>
        </w:rPr>
        <w:t> </w:t>
      </w:r>
      <w:r w:rsidRPr="00B112A4">
        <w:rPr>
          <w:lang w:val="es-ES"/>
        </w:rPr>
        <w:t>недискриминации</w:t>
      </w:r>
    </w:p>
    <w:p w14:paraId="3EF6200A" w14:textId="77777777" w:rsidR="0088700C" w:rsidRPr="00B112A4" w:rsidRDefault="0088700C" w:rsidP="0088700C">
      <w:pPr>
        <w:pStyle w:val="SingleTxtG"/>
        <w:rPr>
          <w:lang w:val="es-ES"/>
        </w:rPr>
      </w:pPr>
      <w:r w:rsidRPr="00B112A4">
        <w:rPr>
          <w:lang w:val="es-ES"/>
        </w:rPr>
        <w:t>165.</w:t>
      </w:r>
      <w:r w:rsidRPr="00B112A4">
        <w:rPr>
          <w:lang w:val="es-ES"/>
        </w:rPr>
        <w:tab/>
        <w:t xml:space="preserve">Общая конституционная основа Испании в полной мере включает принцип равного обращения и недискриминации. Конституция Испании устанавливает, что все испанцы равны перед законом, без какой-либо дискриминации по мотивам пола, религии или расы, и провозглашает равенство как одну из высших ценностей правопорядка, обеспечение которого возложено на государственные власти (часть 1 статьи 1 и конкретно </w:t>
      </w:r>
      <w:r w:rsidR="005E0FF2">
        <w:t>–</w:t>
      </w:r>
      <w:r w:rsidRPr="00B112A4">
        <w:rPr>
          <w:lang w:val="es-ES"/>
        </w:rPr>
        <w:t xml:space="preserve"> статья 14). Кроме того, в части 2 статьи 9 предусмотрена обязанность органов государственной власти устранять препятствия и обеспечивать условия, при которых равенство становится реальным и действительным. </w:t>
      </w:r>
    </w:p>
    <w:p w14:paraId="033800BE" w14:textId="77777777" w:rsidR="0088700C" w:rsidRPr="00B112A4" w:rsidRDefault="0088700C" w:rsidP="0088700C">
      <w:pPr>
        <w:pStyle w:val="SingleTxtG"/>
        <w:rPr>
          <w:lang w:val="es-ES"/>
        </w:rPr>
      </w:pPr>
      <w:r w:rsidRPr="00B112A4">
        <w:rPr>
          <w:lang w:val="es-ES"/>
        </w:rPr>
        <w:t>166.</w:t>
      </w:r>
      <w:r w:rsidRPr="00B112A4">
        <w:rPr>
          <w:lang w:val="es-ES"/>
        </w:rPr>
        <w:tab/>
        <w:t xml:space="preserve">К числу основных органов, содействующих осуществлению комплексной государственной политики в этой области, относятся Государственный секретариат по вопросам равенства Министерства по делам правительства, отношениям с Кортесами и вопросам равенства, Государственный секретариат по вопросам социальных услуг и </w:t>
      </w:r>
      <w:r w:rsidRPr="00B112A4">
        <w:rPr>
          <w:lang w:val="es-ES"/>
        </w:rPr>
        <w:lastRenderedPageBreak/>
        <w:t>равенства Министерства здравоохранения, по делалм потребителей и социального обеспечения, Испанский наблюдательный совет по борьбе против расизма и ксенофобии Государственного секретариата миграции Министерства труда, миграции и социального обеспечения и Национальное управление по борьбе с преступлениями на почве ненависти, подчиняющееся Службе координации и исследований Государственного секретариата безопасности Министерства внутренних дел. В сфере трудовых отношений контроль за соблюдением принципа равенства и недискриминации в рамках своих полномочий осуществляет Инспекция по труду и социальной защите.</w:t>
      </w:r>
    </w:p>
    <w:p w14:paraId="16813C16" w14:textId="77777777" w:rsidR="0088700C" w:rsidRPr="00B112A4" w:rsidRDefault="0088700C" w:rsidP="0088700C">
      <w:pPr>
        <w:pStyle w:val="SingleTxtG"/>
        <w:rPr>
          <w:lang w:val="es-ES"/>
        </w:rPr>
      </w:pPr>
      <w:r w:rsidRPr="00B112A4">
        <w:rPr>
          <w:lang w:val="es-ES"/>
        </w:rPr>
        <w:t>167.</w:t>
      </w:r>
      <w:r w:rsidRPr="00B112A4">
        <w:rPr>
          <w:lang w:val="es-ES"/>
        </w:rPr>
        <w:tab/>
        <w:t>Главное управление по вопросам равного обращения и многообразия Секретариата по вопросам равенства Министерства по делам правительства, отношений с Кортесами и вопросам равенства отвечает, в частности, за координацию политики центральных органов государственной власти по вопросам равенства, предотвращения и ликвидации всех видов дискриминации по признакам пола, расового или этнического происхождения, религии или идеологии, сексуальной ориентации или идентичности, возраста, инвалидности или по каким-либо иным личным или социальным признакам и обстоятельствам, а также занимается разработкой политики сотрудничества с органами власти автономных сообществ и с местными органами самоуправления. Кроме того, оно отвечает за подготовку докладов и исследований, анализ, оценку и распространение статистических данных по этому вопросу, за разработку инициатив и мероприятий по повышению общественной осведомленности и за содействие осуществлению мер, направленных на оказание помощи жертвам дискриминации и на их защиту, за выработку инструментов сотрудничества при разработке содержания планов обучения представителей органов власти, занимающихся вопросами обеспечения равного обращения и недискриминации, за поощрение равенства и недопущение дискриминации по мотивам сексуальной ориентации и гендерной идентичности в сфере образования – без ущерба для компетенции Министерства образования и профессиональной подготовки, за обеспечение анализа законодательства в отношении недискриминации лиц ЛГБТИ, надзор за соблюдением законодательства о защите занятости и недопушении дискриминации по признаку сексуальной ориентации и гендерной идентичности – без ущерба для компетенции Министерства труда, миграции и социального обеспечения, занимается сбором и анализом (в</w:t>
      </w:r>
      <w:r w:rsidR="005E0FF2">
        <w:t> </w:t>
      </w:r>
      <w:r w:rsidRPr="00B112A4">
        <w:rPr>
          <w:lang w:val="es-ES"/>
        </w:rPr>
        <w:t xml:space="preserve">сотрудничестве с подразделениями министерств, компетентными в данной области) статистических данных о преступлениях на почве ненависти, совершенных против ЛГБТИ и изучает случаи жестокого обращения в отношении представителей ЛГБТИ. Секретариат по вопросам равенства также проводит информационные кампании по борьбе с дискриминацией по признаку сексуальной ориентации и гендерной идентичности и отвечает за координацию государственной политики по соответствующим вопросам в рамках Европейского союза и в международных организациях, компетентных в вопросах многообразия. </w:t>
      </w:r>
    </w:p>
    <w:p w14:paraId="76EAE145" w14:textId="77777777" w:rsidR="0088700C" w:rsidRPr="00B112A4" w:rsidRDefault="0088700C" w:rsidP="000749C6">
      <w:pPr>
        <w:pStyle w:val="H1G"/>
        <w:rPr>
          <w:lang w:val="es-ES"/>
        </w:rPr>
      </w:pPr>
      <w:r w:rsidRPr="00B112A4">
        <w:rPr>
          <w:lang w:val="es-ES"/>
        </w:rPr>
        <w:tab/>
        <w:t>A.</w:t>
      </w:r>
      <w:r w:rsidRPr="00B112A4">
        <w:rPr>
          <w:lang w:val="es-ES"/>
        </w:rPr>
        <w:tab/>
        <w:t>Борьба против расизма и ксенофобии</w:t>
      </w:r>
    </w:p>
    <w:p w14:paraId="2BD11DA3" w14:textId="77777777" w:rsidR="0088700C" w:rsidRPr="00B112A4" w:rsidRDefault="0088700C" w:rsidP="0088700C">
      <w:pPr>
        <w:pStyle w:val="SingleTxtG"/>
        <w:rPr>
          <w:lang w:val="es-ES"/>
        </w:rPr>
      </w:pPr>
      <w:r w:rsidRPr="00B112A4">
        <w:rPr>
          <w:lang w:val="es-ES"/>
        </w:rPr>
        <w:t>168.</w:t>
      </w:r>
      <w:r w:rsidRPr="00B112A4">
        <w:rPr>
          <w:lang w:val="es-ES"/>
        </w:rPr>
        <w:tab/>
        <w:t xml:space="preserve">Органический закон № 1/2015 от 30 марта 2015 года, который усилил законодательство о предупреждении преступлений на почве ненависти или по мотивам расизма, антисемитизма или иными мотивам, связанным с идеологией, религией или убеждениями, семейным положением, принадлежностью к той или иной этнической группе, расе, нации, национальным происхождением, полом, с сексуальной ориентацией или идентичностью, в силу пола, заболевания или инвалидности, внес в действующее законодательство новые элементы. В соответствии с новыми нормами ужесточается наказание за наиболее тяжкие деяния, и прямо предусматривается наказание за совершение таких преступлений с использованием Интернета или других социальных сетей. Кроме того, в Законе № 4/2015 от 27 апреля 2015 года о правах потерпевших от преступлений установлен перечень процессуальных и внепроцессуальных прав, а также меры защиты, ориентированные на потерпевших от любых преступлений. Закон представляет собой механизм защиты прав человека до, в процессе и после судебного разбирательства. Наконец, ведется </w:t>
      </w:r>
      <w:r w:rsidRPr="00B112A4">
        <w:rPr>
          <w:lang w:val="es-ES"/>
        </w:rPr>
        <w:lastRenderedPageBreak/>
        <w:t>работа над проектом всеобъемлющего закона о защите детей, согласно которому, среди прочего, в Уголовный кодекс в качестве отягчающего обстоятельства общего характера вводится апорофобия (отвержение бедных по причинам социальной изоляции), а также общая норма о мотивах дискриминации, совместимая с принципом законности и запрета аналогии in malam partem, свойственным уголовному праву.</w:t>
      </w:r>
    </w:p>
    <w:p w14:paraId="106ABC93" w14:textId="77777777" w:rsidR="0088700C" w:rsidRPr="00B112A4" w:rsidRDefault="0088700C" w:rsidP="0088700C">
      <w:pPr>
        <w:pStyle w:val="SingleTxtG"/>
        <w:rPr>
          <w:lang w:val="es-ES"/>
        </w:rPr>
      </w:pPr>
      <w:r w:rsidRPr="00B112A4">
        <w:rPr>
          <w:lang w:val="es-ES"/>
        </w:rPr>
        <w:t>169.</w:t>
      </w:r>
      <w:r w:rsidRPr="00B112A4">
        <w:rPr>
          <w:lang w:val="es-ES"/>
        </w:rPr>
        <w:tab/>
        <w:t>В соответствии с положениями пункта 3 статьи 6 Королевского указа</w:t>
      </w:r>
      <w:r w:rsidR="004C702A">
        <w:t> </w:t>
      </w:r>
      <w:r w:rsidRPr="00B112A4">
        <w:rPr>
          <w:lang w:val="es-ES"/>
        </w:rPr>
        <w:t>№</w:t>
      </w:r>
      <w:r w:rsidR="004C702A">
        <w:t> </w:t>
      </w:r>
      <w:r w:rsidRPr="00B112A4">
        <w:rPr>
          <w:lang w:val="es-ES"/>
        </w:rPr>
        <w:t>816/2018 при Генеральном управлении по вопросам равного обращения и многообразия функционирует Совет по ликвидации расовой и этнической дискриминации. Этот Совет создан и регулируется пунктом 2 статьи 22 Закона</w:t>
      </w:r>
      <w:r w:rsidR="004C702A">
        <w:t> </w:t>
      </w:r>
      <w:r w:rsidRPr="00B112A4">
        <w:rPr>
          <w:lang w:val="es-ES"/>
        </w:rPr>
        <w:t>№</w:t>
      </w:r>
      <w:r w:rsidR="004C702A">
        <w:t> </w:t>
      </w:r>
      <w:r w:rsidRPr="00B112A4">
        <w:rPr>
          <w:lang w:val="es-ES"/>
        </w:rPr>
        <w:t xml:space="preserve">62/2003 об административных и социальных налоговых мерах и королевским дкретом № 1262/2007 от 21 сентября 2007 года, с поправками в королевском декрете № 1044/2009 от 29 июня 2009 года, и представляет собой коллегиальный орган Администрации, находящийся в подчинении Государственного секретариата по вопросам равенства, но не относящийся к его иерархической структуре. Его главная задача </w:t>
      </w:r>
      <w:r w:rsidR="00E57D9F">
        <w:t>–</w:t>
      </w:r>
      <w:r w:rsidRPr="00B112A4">
        <w:rPr>
          <w:lang w:val="es-ES"/>
        </w:rPr>
        <w:t xml:space="preserve"> поощрение принципа равного обращения и недискриминации людей по признаку их расовой или этнической принадлежности в сфере образования, здравоохранения, социальных услуг, жилья и, в целом, равного и недискриминационного предложения и доступа к любым товарам и услугам, а также равного и недискриминационного отношения в сфере занятости. Для осуществления этой задачи, а также других возложенных на него функций Совет наделен функциональной независимостью, в частности, в вопросах оказания помощи жертвам дискриминации, в проведении исследований, подготовке докладов и в выработке рекомендаций. </w:t>
      </w:r>
    </w:p>
    <w:bookmarkEnd w:id="2"/>
    <w:p w14:paraId="69D11C61" w14:textId="77777777" w:rsidR="0088700C" w:rsidRPr="00B112A4" w:rsidRDefault="0088700C" w:rsidP="0088700C">
      <w:pPr>
        <w:pStyle w:val="SingleTxtG"/>
        <w:rPr>
          <w:lang w:val="es-ES"/>
        </w:rPr>
      </w:pPr>
      <w:r w:rsidRPr="00B112A4">
        <w:rPr>
          <w:lang w:val="es-ES"/>
        </w:rPr>
        <w:t>170.</w:t>
      </w:r>
      <w:r w:rsidRPr="00B112A4">
        <w:rPr>
          <w:lang w:val="es-ES"/>
        </w:rPr>
        <w:tab/>
        <w:t>Испанский Наблюдательный совет по борьбе против расизма и ксенофобии (НСБРК) функционирует в структуре Главного управления гуманитарной интеграции Министерства труда, миграции и социального обеспечения. В соответствии с положениями Королевского указа № 903/2018 от 20 июля 2018 года, его задачей являются: сбор и анализ информации о расизме и ксенофобии в целях получения представления о ситуации в этой сфере и ее возможном развитии; содействие соблюдению принципа равного обращения и недопущения дискриминации и борьба с расизмом и ксенофобией; а также сотрудничество и координация действий с различными международными и национальными государственными и частными структурами, занимающимися проблемами предупреждения расизма и ксенофобии и борьбы с этими явлениями. Наблюдательный совет работает по следующим направлениям:</w:t>
      </w:r>
    </w:p>
    <w:p w14:paraId="163AB24C" w14:textId="77777777" w:rsidR="0088700C" w:rsidRPr="00B112A4" w:rsidRDefault="0088700C" w:rsidP="000749C6">
      <w:pPr>
        <w:pStyle w:val="SingleTxtG"/>
        <w:ind w:firstLine="567"/>
        <w:rPr>
          <w:lang w:val="es-ES"/>
        </w:rPr>
      </w:pPr>
      <w:r w:rsidRPr="00B112A4">
        <w:rPr>
          <w:lang w:val="es-ES"/>
        </w:rPr>
        <w:t>a)</w:t>
      </w:r>
      <w:r w:rsidRPr="00B112A4">
        <w:rPr>
          <w:lang w:val="es-ES"/>
        </w:rPr>
        <w:tab/>
        <w:t>координация разработки Комплексной стратегии борьбы против расизма, расовой дискриминации, ксенофобии и связанной с ними нетерпимости. Эта</w:t>
      </w:r>
      <w:r w:rsidR="004C702A">
        <w:t> </w:t>
      </w:r>
      <w:r w:rsidRPr="00B112A4">
        <w:rPr>
          <w:lang w:val="es-ES"/>
        </w:rPr>
        <w:t>Стратегия, утвержденная постановлением Совета министров от 4 ноября 2011</w:t>
      </w:r>
      <w:r w:rsidR="004C702A">
        <w:t> </w:t>
      </w:r>
      <w:r w:rsidRPr="00B112A4">
        <w:rPr>
          <w:lang w:val="es-ES"/>
        </w:rPr>
        <w:t>года, была разработана на основе консультаций с гражданским обществом и с рядом представляющих министерские департаменты и внешних экспертов. На основе проведенного анализа были намечены 41 цель и 129 конкретных мер в различных областях. Текст Стратегии на испанском и английском языках размещен в Интернете;</w:t>
      </w:r>
    </w:p>
    <w:p w14:paraId="64D6C727" w14:textId="77777777" w:rsidR="0088700C" w:rsidRPr="00B112A4" w:rsidRDefault="0088700C" w:rsidP="000749C6">
      <w:pPr>
        <w:pStyle w:val="SingleTxtG"/>
        <w:ind w:firstLine="567"/>
        <w:rPr>
          <w:lang w:val="es-ES"/>
        </w:rPr>
      </w:pPr>
      <w:r w:rsidRPr="00B112A4">
        <w:rPr>
          <w:lang w:val="es-ES"/>
        </w:rPr>
        <w:t>b)</w:t>
      </w:r>
      <w:r w:rsidRPr="00B112A4">
        <w:rPr>
          <w:lang w:val="es-ES"/>
        </w:rPr>
        <w:tab/>
        <w:t>сбор информации о проектах, опросах, ресурсах, докладах и исследованиях, содействие в подготовке и проведении которых оказывали Генеральный секретариат по вопросам иммиграции и эмиграции и другие министерские департаменты, организации и учреждения, в целях использования соответствующих материалов в качестве платформы для  информирования, анализа и стимулирования деятельности по борьбе с расизмом, расовой дискриминацией, ксенофобией и другими формами нетерпимости, а также для реагирования на инциденты и преступления на почве ненависти. Эта работа осуществляется на основе сотрудничества с органами государственного управления и гражданским обществом на национальном уровне, в рамках Европейского союза и на международном уровне. На веб-сайте Наблюдательного совета (</w:t>
      </w:r>
      <w:hyperlink r:id="rId11" w:history="1">
        <w:r w:rsidR="004C702A" w:rsidRPr="001E0C9D">
          <w:rPr>
            <w:rStyle w:val="af2"/>
            <w:lang w:val="es-ES"/>
          </w:rPr>
          <w:t>http://www.mitramiss.gob.es/oberaxe/</w:t>
        </w:r>
        <w:r w:rsidR="004C702A" w:rsidRPr="001E0C9D">
          <w:rPr>
            <w:rStyle w:val="af2"/>
          </w:rPr>
          <w:t xml:space="preserve"> </w:t>
        </w:r>
        <w:r w:rsidR="004C702A" w:rsidRPr="001E0C9D">
          <w:rPr>
            <w:rStyle w:val="af2"/>
            <w:lang w:val="es-ES"/>
          </w:rPr>
          <w:t>es/index.htm</w:t>
        </w:r>
      </w:hyperlink>
      <w:r w:rsidRPr="00B112A4">
        <w:rPr>
          <w:lang w:val="es-ES"/>
        </w:rPr>
        <w:t>), который постоянно обновляется, опубликованы национальные и международные нормативные акты, а также соответствующие нормативные акты Европейского союза, ООН, ЮНЕСКО, МОТ, Совета Европы (ЕКРН) и ОБСЕ;</w:t>
      </w:r>
    </w:p>
    <w:p w14:paraId="1EA31031" w14:textId="77777777" w:rsidR="0088700C" w:rsidRPr="00B112A4" w:rsidRDefault="0088700C" w:rsidP="000749C6">
      <w:pPr>
        <w:pStyle w:val="SingleTxtG"/>
        <w:ind w:firstLine="567"/>
        <w:rPr>
          <w:lang w:val="es-ES"/>
        </w:rPr>
      </w:pPr>
      <w:r w:rsidRPr="00B112A4">
        <w:rPr>
          <w:lang w:val="es-ES"/>
        </w:rPr>
        <w:lastRenderedPageBreak/>
        <w:t>c)</w:t>
      </w:r>
      <w:r w:rsidRPr="00B112A4">
        <w:rPr>
          <w:lang w:val="es-ES"/>
        </w:rPr>
        <w:tab/>
        <w:t>оказание поддержки  подписанию в сентябре 2015 года Генеральным секретариатом по вопросам иммиграции и эмиграции по линии испанского Наблюдательного совета по борьбе против расизма и ксенофобии Рамочного соглашения о сотрудничестве и взаимодействии между Министерством труда и социального обеспечения и Генеральным советом судебной власти, Генеральной прокуратурой, Министерством юстиции, Министерством внутренних дел, Министерством здравоохранения, социального обеспечения и равенства и Центром судебных исследований. В 2018 году срок действия указанного Рамочного соглашения был продлен и к нему присоединились Министерство образования и профессиональной подготовки и Министерство культуры и спорта. Основной целью Рамочного соглашения является борьба с расизмом и ксенофобией, ЛГБТИ-фобией и другими формами нетерпимости, обеспечение сотрудничества в разработке и реализации активной политики и мер по предупреждению и выявлению расизма, ксенофобии и других форм нетерпимости, а также борьба с вызывающими их причинами и предотвращение последствий в рамках Комплексной стратегии борьбы против расизма, расовой дискриминации, ксенофобии и других форм нетерпимости;</w:t>
      </w:r>
    </w:p>
    <w:p w14:paraId="70B0E64A" w14:textId="77777777" w:rsidR="0088700C" w:rsidRPr="00B112A4" w:rsidRDefault="0088700C" w:rsidP="000749C6">
      <w:pPr>
        <w:pStyle w:val="SingleTxtG"/>
        <w:ind w:firstLine="567"/>
        <w:rPr>
          <w:lang w:val="es-ES"/>
        </w:rPr>
      </w:pPr>
      <w:r w:rsidRPr="00B112A4">
        <w:rPr>
          <w:lang w:val="es-ES"/>
        </w:rPr>
        <w:t>d)</w:t>
      </w:r>
      <w:r w:rsidRPr="00B112A4">
        <w:rPr>
          <w:lang w:val="es-ES"/>
        </w:rPr>
        <w:tab/>
        <w:t xml:space="preserve">разработка проектов по созданию механизмов, позволяющих эффективно бороться с расизмом и ксенофобией. Осуществлен ряд мероприятий и проектов в разных областях, в числе которых следует отметить проекты в сфере занятости и предпринимательства – </w:t>
      </w:r>
      <w:r w:rsidR="00435B5F">
        <w:rPr>
          <w:lang w:val="es-ES"/>
        </w:rPr>
        <w:t>«</w:t>
      </w:r>
      <w:r w:rsidRPr="00B112A4">
        <w:rPr>
          <w:lang w:val="es-ES"/>
        </w:rPr>
        <w:t>Управление многообразием</w:t>
      </w:r>
      <w:r w:rsidR="00435B5F">
        <w:rPr>
          <w:lang w:val="es-ES"/>
        </w:rPr>
        <w:t>»</w:t>
      </w:r>
      <w:r w:rsidRPr="00B112A4">
        <w:rPr>
          <w:lang w:val="es-ES"/>
        </w:rPr>
        <w:t xml:space="preserve"> (ХЕСДИ-2011) и </w:t>
      </w:r>
      <w:r w:rsidR="00435B5F">
        <w:rPr>
          <w:lang w:val="es-ES"/>
        </w:rPr>
        <w:t>«</w:t>
      </w:r>
      <w:r w:rsidRPr="00B112A4">
        <w:rPr>
          <w:lang w:val="es-ES"/>
        </w:rPr>
        <w:t>Управление многообразием на малых и средних предприятиях</w:t>
      </w:r>
      <w:r w:rsidR="00435B5F">
        <w:rPr>
          <w:lang w:val="es-ES"/>
        </w:rPr>
        <w:t>»</w:t>
      </w:r>
      <w:r w:rsidRPr="00B112A4">
        <w:rPr>
          <w:lang w:val="es-ES"/>
        </w:rPr>
        <w:t xml:space="preserve"> (ХЕСДИМЕП).</w:t>
      </w:r>
    </w:p>
    <w:p w14:paraId="4D7F9174" w14:textId="77777777" w:rsidR="0088700C" w:rsidRPr="00B112A4" w:rsidRDefault="0088700C" w:rsidP="0088700C">
      <w:pPr>
        <w:pStyle w:val="SingleTxtG"/>
        <w:rPr>
          <w:lang w:val="es-ES"/>
        </w:rPr>
      </w:pPr>
      <w:r w:rsidRPr="00B112A4">
        <w:rPr>
          <w:lang w:val="es-ES"/>
        </w:rPr>
        <w:t>171.</w:t>
      </w:r>
      <w:r w:rsidRPr="00B112A4">
        <w:rPr>
          <w:lang w:val="es-ES"/>
        </w:rPr>
        <w:tab/>
        <w:t>В 2018 году в рамках Управления по координации и исследованиям Государственного секретариата по вопросам безопасности в составе Министерства внутренних дел было создано Национальное управление по борьбе с преступлениями на почве ненависти. Сотрудники этого Управления принимают активное участие в конференциях, проводимых в различных форматах в целях повышения информированности общества в целом и сил и органов государственной безопасности в частности, по вопросам предупреждения, процедуры подачи жалоб и повышения осведомленности по вопросам обращения с жертвами преступлений, совершаемых на почве ненависти, обусловленной расизмом, ксенофобией или любым другим видом нетерпимости. Аналогичным образом, указанное Национальное управление с того же самого года содействует включению вопроса о преступлениях на почве ненависти в различные учебные программы в академиях и школах подготовки или повышения квалификации сотрудников сил и органов государственной безопасности. Так, в</w:t>
      </w:r>
      <w:r w:rsidR="004C702A">
        <w:t> </w:t>
      </w:r>
      <w:r w:rsidRPr="00B112A4">
        <w:rPr>
          <w:lang w:val="es-ES"/>
        </w:rPr>
        <w:t>2019</w:t>
      </w:r>
      <w:r w:rsidR="004C702A">
        <w:t> </w:t>
      </w:r>
      <w:r w:rsidRPr="00B112A4">
        <w:rPr>
          <w:lang w:val="es-ES"/>
        </w:rPr>
        <w:t xml:space="preserve">году был утвержден </w:t>
      </w:r>
      <w:r w:rsidR="00435B5F">
        <w:rPr>
          <w:lang w:val="es-ES"/>
        </w:rPr>
        <w:t>«</w:t>
      </w:r>
      <w:r w:rsidRPr="00B112A4">
        <w:rPr>
          <w:lang w:val="es-ES"/>
        </w:rPr>
        <w:t>План действий по борьбе с преступлениями на почве ненависти</w:t>
      </w:r>
      <w:r w:rsidR="00435B5F">
        <w:rPr>
          <w:lang w:val="es-ES"/>
        </w:rPr>
        <w:t>»</w:t>
      </w:r>
      <w:r w:rsidRPr="00B112A4">
        <w:rPr>
          <w:lang w:val="es-ES"/>
        </w:rPr>
        <w:t>, целью которого является придание нового импульса борьбе с дискриминацией и неравенством по мотивам расы, национального или этнического происхождения, языка, религии, пола, возраста, инвалидности интеллектуального или физического характера, сексуальной ориентации или иных аналогичных факторов.</w:t>
      </w:r>
    </w:p>
    <w:p w14:paraId="31FBF0A0" w14:textId="77777777" w:rsidR="0088700C" w:rsidRPr="00B112A4" w:rsidRDefault="0088700C" w:rsidP="0088700C">
      <w:pPr>
        <w:pStyle w:val="SingleTxtG"/>
        <w:rPr>
          <w:lang w:val="es-ES"/>
        </w:rPr>
      </w:pPr>
      <w:r w:rsidRPr="00B112A4">
        <w:rPr>
          <w:lang w:val="es-ES"/>
        </w:rPr>
        <w:t>172.</w:t>
      </w:r>
      <w:r w:rsidRPr="00B112A4">
        <w:rPr>
          <w:lang w:val="es-ES"/>
        </w:rPr>
        <w:tab/>
        <w:t xml:space="preserve">Силы и органы государственной безопасности в целом проводят мероприятия по осуществлению планов, разрабатываемых Государственным секретариатом по вопросам безопасности, в том числе Директивного плана по сосуществованию и улучшению безопасности в образовательных центрах и вокруг них, Плана повышения общей безопасности, Плана противодействия организованным молодежным группировкам, склонным к совершению насильственных действий, и Плана обеспечения безопасного туризма. Кроме того, среди других мер следует отметить принятие Стратегического плана действий Национального корпуса полиции на </w:t>
      </w:r>
      <w:r w:rsidR="004C702A">
        <w:rPr>
          <w:lang w:val="es-ES"/>
        </w:rPr>
        <w:br/>
      </w:r>
      <w:r w:rsidRPr="00B112A4">
        <w:rPr>
          <w:lang w:val="es-ES"/>
        </w:rPr>
        <w:t xml:space="preserve">2017–2021 годы, в котором, в разделе об уязвимых группах населения, намечено проведение комплексных мероприятий по обеспечению действенной защиты потерпевших и повышению эффективности расследования преступлений, совершаемых против безопасности несовершеннолетних, прежде всего в школах и социальных сетях, а также по предупреждению насилия в отношении несовершеннолетних, подвергающихся риску социальной изоляции, и насилия в отношении инвалидов. Речь идет о системе раннего предупреждения, позволяющей устанавливать подобные проявления дискриминации с целью ее предупреждения или, в случае необходимости, принятия адекватных мер реагирования. Такая профилактическая работа ведется в социальных сетях, виртуальных сообществах и на форумах и имеет целью выявление преступлений, ситуаций риска или возможных </w:t>
      </w:r>
      <w:r w:rsidRPr="00B112A4">
        <w:rPr>
          <w:lang w:val="es-ES"/>
        </w:rPr>
        <w:lastRenderedPageBreak/>
        <w:t>угроз. Для недопущения дискриминации в отношении религиозных меньшинств и лиц, подвергающихся риску социальной изоляции, предусматривается создание междисциплинарных групп с участием специалистов в разных областях, которые будут действовать на основе единой комплексной модели оказания помощи.</w:t>
      </w:r>
    </w:p>
    <w:p w14:paraId="294AE9AA" w14:textId="77777777" w:rsidR="0088700C" w:rsidRPr="00B112A4" w:rsidRDefault="0088700C" w:rsidP="0088700C">
      <w:pPr>
        <w:pStyle w:val="SingleTxtG"/>
        <w:rPr>
          <w:lang w:val="es-ES"/>
        </w:rPr>
      </w:pPr>
      <w:r w:rsidRPr="00B112A4">
        <w:rPr>
          <w:lang w:val="es-ES"/>
        </w:rPr>
        <w:t>173.</w:t>
      </w:r>
      <w:r w:rsidRPr="00B112A4">
        <w:rPr>
          <w:lang w:val="es-ES"/>
        </w:rPr>
        <w:tab/>
        <w:t xml:space="preserve">В отношении цыганского населения следует отметить, что наряду с механизмами, приведенными в разделе </w:t>
      </w:r>
      <w:r w:rsidR="00435B5F">
        <w:rPr>
          <w:lang w:val="es-ES"/>
        </w:rPr>
        <w:t>«</w:t>
      </w:r>
      <w:r w:rsidRPr="00B112A4">
        <w:rPr>
          <w:lang w:val="es-ES"/>
        </w:rPr>
        <w:t>Правовые рамки поощрения прав человека на национальном уровне</w:t>
      </w:r>
      <w:r w:rsidR="00435B5F">
        <w:rPr>
          <w:lang w:val="es-ES"/>
        </w:rPr>
        <w:t>»</w:t>
      </w:r>
      <w:r w:rsidRPr="00B112A4">
        <w:rPr>
          <w:lang w:val="es-ES"/>
        </w:rPr>
        <w:t xml:space="preserve"> (Национальная стратегия социальной интеграции цыганского населения на 2012–2020 годы, промежуточный доклад о выполнении этой стратегии, Оперативный план на 2014–2016 годы и Оперативный план на 2018–2020 годы), одним из основных инструментов является </w:t>
      </w:r>
      <w:r w:rsidR="00435B5F">
        <w:rPr>
          <w:lang w:val="es-ES"/>
        </w:rPr>
        <w:t>«</w:t>
      </w:r>
      <w:r w:rsidRPr="00B112A4">
        <w:rPr>
          <w:lang w:val="es-ES"/>
        </w:rPr>
        <w:t>Программа развития цыганской общины</w:t>
      </w:r>
      <w:r w:rsidR="00435B5F">
        <w:rPr>
          <w:lang w:val="es-ES"/>
        </w:rPr>
        <w:t>»</w:t>
      </w:r>
      <w:r w:rsidRPr="00B112A4">
        <w:rPr>
          <w:lang w:val="es-ES"/>
        </w:rPr>
        <w:t xml:space="preserve">. Целью этой программы является оказание содействия доступу этой группы населения, на равных условиях с остальными жителями страны, к общим государственным системам образования, здравоохранения, обеспечения жильем, занятости и </w:t>
      </w:r>
      <w:r w:rsidR="00B94DA4">
        <w:rPr>
          <w:lang w:val="es-ES"/>
        </w:rPr>
        <w:t>т. д.</w:t>
      </w:r>
      <w:r w:rsidRPr="00B112A4">
        <w:rPr>
          <w:lang w:val="es-ES"/>
        </w:rPr>
        <w:t xml:space="preserve"> Эта программа реализуется благодаря финансовому и техническому сотрудничеству между Министерством здравоохранения, потребления и социального обеспечения и автономными сообществами, городами Сеута и Мелилья и местными корпорациями. По последним данным финансовой оценки Плана развития цыганской общины, в</w:t>
      </w:r>
      <w:r w:rsidR="004C702A">
        <w:t> </w:t>
      </w:r>
      <w:r w:rsidRPr="00B112A4">
        <w:rPr>
          <w:lang w:val="es-ES"/>
        </w:rPr>
        <w:t>2016</w:t>
      </w:r>
      <w:r w:rsidR="004C702A">
        <w:t> </w:t>
      </w:r>
      <w:r w:rsidRPr="00B112A4">
        <w:rPr>
          <w:lang w:val="es-ES"/>
        </w:rPr>
        <w:t>году на основе софинансирования органов трех уровней государственного управления в 15 автономных сообществах осуществлялись 69 проектов, а общая сумма средств, выделенных на реализацию таких проектов за 2013</w:t>
      </w:r>
      <w:r w:rsidR="004C702A">
        <w:t>–</w:t>
      </w:r>
      <w:r w:rsidRPr="00B112A4">
        <w:rPr>
          <w:lang w:val="es-ES"/>
        </w:rPr>
        <w:t>2016 годы составила 7</w:t>
      </w:r>
      <w:r w:rsidR="004C702A">
        <w:t> </w:t>
      </w:r>
      <w:r w:rsidRPr="00B112A4">
        <w:rPr>
          <w:lang w:val="es-ES"/>
        </w:rPr>
        <w:t>711</w:t>
      </w:r>
      <w:r w:rsidR="004C702A">
        <w:t> </w:t>
      </w:r>
      <w:r w:rsidRPr="00B112A4">
        <w:rPr>
          <w:lang w:val="es-ES"/>
        </w:rPr>
        <w:t>179 евро. Кроме того, за счет привлечения Министерством здравоохранения, потребления и социального обеспечения дотаций в размере 0,7% от суммы налога на доходы физических лиц, несмотря на сокращение доли государственного участия до 20% (в соответствии с решением Конституционного суда от 19 января), было направлено более 3 млн евро на финансирование в интересах цыганской общины конкретных программ в области равенства и недискриминации, социальной интеграции, образования, занятости, гендерной проблематики и здравоохранения.</w:t>
      </w:r>
    </w:p>
    <w:p w14:paraId="39F2F9CC" w14:textId="77777777" w:rsidR="0088700C" w:rsidRPr="00B112A4" w:rsidRDefault="0088700C" w:rsidP="0088700C">
      <w:pPr>
        <w:pStyle w:val="SingleTxtG"/>
        <w:rPr>
          <w:lang w:val="es-ES"/>
        </w:rPr>
      </w:pPr>
      <w:r w:rsidRPr="00B112A4">
        <w:rPr>
          <w:lang w:val="es-ES"/>
        </w:rPr>
        <w:t>174.</w:t>
      </w:r>
      <w:r w:rsidRPr="00B112A4">
        <w:rPr>
          <w:lang w:val="es-ES"/>
        </w:rPr>
        <w:tab/>
        <w:t>В 2005 году был учрежден действующий на общенациональном уровне Государственный совет цыганского народа (Королевский указ № 891/2005 от 22 июля 2005 года о создании Государственного совета цыганского народа и регулировании его деятельности), официально сформированный 20 июня 2006 года. Цель этого совета</w:t>
      </w:r>
      <w:r w:rsidR="004C702A">
        <w:t> –</w:t>
      </w:r>
      <w:r w:rsidRPr="00B112A4">
        <w:rPr>
          <w:lang w:val="es-ES"/>
        </w:rPr>
        <w:t xml:space="preserve"> создание условий, необходимых для привлечения цыганского населения к активному участию в жизни общества. В настоящее время этот орган работает при Главном управлении по вопросам семьи и детей Министерства здравоохранения, потребления и социального обеспечения. В апреле 2018 года Совет министров принял постановление о праздновании Дня цыганского народа и признании его символов (флага и гимна), что стало ответом на исторические претензии цыганских общественных организаций. Также каждый год в июле отмечается День памяти жертв геноцида цыган со стороны нацистов, и соответствующим лицам оказывается финансовая поддержка.  В настоящее время работает Государственный совет цыганского народа третьего созыва; его членский состав был обновлен путем выборов, состоявшихся на пленарном заседании Совета в сентябре 2017 года. На том же заседании прошли выборы второго заместителя председателя Совета на следующий срок, причем впервые была избрана женщина. Следует отметить, что в период </w:t>
      </w:r>
      <w:r w:rsidR="00AF15B1">
        <w:rPr>
          <w:lang w:val="es-ES"/>
        </w:rPr>
        <w:br/>
      </w:r>
      <w:r w:rsidRPr="00B112A4">
        <w:rPr>
          <w:lang w:val="es-ES"/>
        </w:rPr>
        <w:t>2016</w:t>
      </w:r>
      <w:r w:rsidR="00AF15B1">
        <w:t>–</w:t>
      </w:r>
      <w:r w:rsidRPr="00B112A4">
        <w:rPr>
          <w:lang w:val="es-ES"/>
        </w:rPr>
        <w:t>2018 годов между Государственным советом цыганского народа и Секретариатом цыганской общины осуществлялась координация деятельности на национальном уровне, реализуемая посредством очного и виртуального участия в совместных образовательных и профессиональных мероприятиях, организуемых для обмена знаниями и информацией, а также для подготовки докладов и публикаций. В</w:t>
      </w:r>
      <w:r w:rsidR="00AF15B1">
        <w:t> </w:t>
      </w:r>
      <w:r w:rsidRPr="00B112A4">
        <w:rPr>
          <w:lang w:val="es-ES"/>
        </w:rPr>
        <w:t xml:space="preserve">сфере культуры следует отметить создание при Министерстве образования и профессиональной подготовки Фонда </w:t>
      </w:r>
      <w:r w:rsidR="00435B5F">
        <w:rPr>
          <w:lang w:val="es-ES"/>
        </w:rPr>
        <w:t>«</w:t>
      </w:r>
      <w:r w:rsidRPr="00B112A4">
        <w:rPr>
          <w:lang w:val="es-ES"/>
        </w:rPr>
        <w:t>Институт цыганской культуры</w:t>
      </w:r>
      <w:r w:rsidR="00435B5F">
        <w:rPr>
          <w:lang w:val="es-ES"/>
        </w:rPr>
        <w:t>»</w:t>
      </w:r>
      <w:r w:rsidRPr="00B112A4">
        <w:rPr>
          <w:lang w:val="es-ES"/>
        </w:rPr>
        <w:t xml:space="preserve">. </w:t>
      </w:r>
    </w:p>
    <w:p w14:paraId="3965D52F" w14:textId="77777777" w:rsidR="0088700C" w:rsidRPr="00B112A4" w:rsidRDefault="0088700C" w:rsidP="0088700C">
      <w:pPr>
        <w:pStyle w:val="SingleTxtG"/>
        <w:rPr>
          <w:lang w:val="es-ES"/>
        </w:rPr>
      </w:pPr>
      <w:r w:rsidRPr="00B112A4">
        <w:rPr>
          <w:lang w:val="es-ES"/>
        </w:rPr>
        <w:t>175.</w:t>
      </w:r>
      <w:r w:rsidRPr="00B112A4">
        <w:rPr>
          <w:lang w:val="es-ES"/>
        </w:rPr>
        <w:tab/>
        <w:t xml:space="preserve">Что касается международного сотрудничества, то следует отметить деятельность по линии </w:t>
      </w:r>
      <w:r w:rsidR="00435B5F">
        <w:rPr>
          <w:lang w:val="es-ES"/>
        </w:rPr>
        <w:t>«</w:t>
      </w:r>
      <w:r w:rsidRPr="00B112A4">
        <w:rPr>
          <w:lang w:val="es-ES"/>
        </w:rPr>
        <w:t>Альянса цивилизаций</w:t>
      </w:r>
      <w:r w:rsidR="00435B5F">
        <w:rPr>
          <w:lang w:val="es-ES"/>
        </w:rPr>
        <w:t>»</w:t>
      </w:r>
      <w:r w:rsidRPr="00B112A4">
        <w:rPr>
          <w:lang w:val="es-ES"/>
        </w:rPr>
        <w:t xml:space="preserve"> – важного инструмента, который Испания и другие страны, присоединившиеся к этой инициативе, применяют в борьбе против расизма и ксенофобии, прежде всего в следующих четырех областях: инспекционный контроль, образование, положение молодежи и средства массовой информации. Фактически главной целью </w:t>
      </w:r>
      <w:r w:rsidR="00435B5F">
        <w:rPr>
          <w:lang w:val="es-ES"/>
        </w:rPr>
        <w:t>«</w:t>
      </w:r>
      <w:r w:rsidRPr="00B112A4">
        <w:rPr>
          <w:lang w:val="es-ES"/>
        </w:rPr>
        <w:t>Альянса цивилизаций</w:t>
      </w:r>
      <w:r w:rsidR="00435B5F">
        <w:rPr>
          <w:lang w:val="es-ES"/>
        </w:rPr>
        <w:t>»</w:t>
      </w:r>
      <w:r w:rsidRPr="00B112A4">
        <w:rPr>
          <w:lang w:val="es-ES"/>
        </w:rPr>
        <w:t xml:space="preserve"> является именно укрепление взаимопонимания и сотрудничества между странами и народами, </w:t>
      </w:r>
      <w:r w:rsidRPr="00B112A4">
        <w:rPr>
          <w:lang w:val="es-ES"/>
        </w:rPr>
        <w:lastRenderedPageBreak/>
        <w:t xml:space="preserve">представляющими различные культуры и цивилизации (причем не только между мусульманскими и западными странами), и тем самым содействие в сдерживании сил, выступающих за противостояние и экстремизм. На разных континентах и в разных регионах было проведено шесть форумов, в развитие которых во всем мире были реализованы конкретные проекты в области образования, улучшения положения молодежи, миграции и средств массовой информации. Финансовый вклад Испании в деятельность </w:t>
      </w:r>
      <w:r w:rsidR="00435B5F">
        <w:rPr>
          <w:lang w:val="es-ES"/>
        </w:rPr>
        <w:t>«</w:t>
      </w:r>
      <w:r w:rsidRPr="00B112A4">
        <w:rPr>
          <w:lang w:val="es-ES"/>
        </w:rPr>
        <w:t>Альянса цивилизаций</w:t>
      </w:r>
      <w:r w:rsidR="00435B5F">
        <w:rPr>
          <w:lang w:val="es-ES"/>
        </w:rPr>
        <w:t>»</w:t>
      </w:r>
      <w:r w:rsidRPr="00B112A4">
        <w:rPr>
          <w:lang w:val="es-ES"/>
        </w:rPr>
        <w:t xml:space="preserve"> за период с 2005 по 2017 год составил 6</w:t>
      </w:r>
      <w:r w:rsidR="004C702A">
        <w:t> </w:t>
      </w:r>
      <w:r w:rsidRPr="00B112A4">
        <w:rPr>
          <w:lang w:val="es-ES"/>
        </w:rPr>
        <w:t>150</w:t>
      </w:r>
      <w:r w:rsidR="004C702A">
        <w:t> </w:t>
      </w:r>
      <w:r w:rsidRPr="00B112A4">
        <w:rPr>
          <w:lang w:val="es-ES"/>
        </w:rPr>
        <w:t>000</w:t>
      </w:r>
      <w:r w:rsidR="004C702A">
        <w:t> </w:t>
      </w:r>
      <w:r w:rsidRPr="00B112A4">
        <w:rPr>
          <w:lang w:val="es-ES"/>
        </w:rPr>
        <w:t xml:space="preserve">евро, что составляет 17,69% общего объема средств, поступивших в Фонд </w:t>
      </w:r>
      <w:r w:rsidR="00435B5F">
        <w:rPr>
          <w:lang w:val="es-ES"/>
        </w:rPr>
        <w:t>«</w:t>
      </w:r>
      <w:r w:rsidRPr="00B112A4">
        <w:rPr>
          <w:lang w:val="es-ES"/>
        </w:rPr>
        <w:t>Альянса цивилизаций</w:t>
      </w:r>
      <w:r w:rsidR="00435B5F">
        <w:rPr>
          <w:lang w:val="es-ES"/>
        </w:rPr>
        <w:t>»</w:t>
      </w:r>
      <w:r w:rsidRPr="00B112A4">
        <w:rPr>
          <w:lang w:val="es-ES"/>
        </w:rPr>
        <w:t xml:space="preserve"> до настоящего времени. В 2015 и 2016 годах Испания выделяла на эту деятельность по 250 000 евро в год, в 2017 году – 200 000 евро, и на 2018 год было заявлено о взносе в размере 200 000 евро, который к настоящему времени не выплачен. Средства взносов Испании использовались для финансирования ряда проектов, таких как Фонд солидарности молодежи, глобальный конкурс </w:t>
      </w:r>
      <w:r w:rsidR="00435B5F">
        <w:rPr>
          <w:lang w:val="es-ES"/>
        </w:rPr>
        <w:t>«</w:t>
      </w:r>
      <w:r w:rsidRPr="00B112A4">
        <w:rPr>
          <w:lang w:val="es-ES"/>
        </w:rPr>
        <w:t>PЕАСЕарр</w:t>
      </w:r>
      <w:r w:rsidR="00435B5F">
        <w:rPr>
          <w:lang w:val="es-ES"/>
        </w:rPr>
        <w:t>»</w:t>
      </w:r>
      <w:r w:rsidRPr="00B112A4">
        <w:rPr>
          <w:lang w:val="es-ES"/>
        </w:rPr>
        <w:t xml:space="preserve"> и программы подготовки учителей в Марокко и Египте.</w:t>
      </w:r>
    </w:p>
    <w:p w14:paraId="12B05042" w14:textId="77777777" w:rsidR="0088700C" w:rsidRPr="00B112A4" w:rsidRDefault="0088700C" w:rsidP="000749C6">
      <w:pPr>
        <w:pStyle w:val="H1G"/>
        <w:rPr>
          <w:lang w:val="es-ES"/>
        </w:rPr>
      </w:pPr>
      <w:r w:rsidRPr="00B112A4">
        <w:rPr>
          <w:lang w:val="es-ES"/>
        </w:rPr>
        <w:tab/>
        <w:t>B.</w:t>
      </w:r>
      <w:r w:rsidRPr="00B112A4">
        <w:rPr>
          <w:lang w:val="es-ES"/>
        </w:rPr>
        <w:tab/>
        <w:t>Равенство между мужчинами и женщинами</w:t>
      </w:r>
    </w:p>
    <w:p w14:paraId="1103A1D6" w14:textId="77777777" w:rsidR="0088700C" w:rsidRPr="00B112A4" w:rsidRDefault="0088700C" w:rsidP="000749C6">
      <w:pPr>
        <w:pStyle w:val="H23G"/>
        <w:rPr>
          <w:lang w:val="es-ES"/>
        </w:rPr>
      </w:pPr>
      <w:r w:rsidRPr="00B112A4">
        <w:rPr>
          <w:lang w:val="es-ES"/>
        </w:rPr>
        <w:tab/>
      </w:r>
      <w:r w:rsidRPr="00B112A4">
        <w:rPr>
          <w:lang w:val="es-ES"/>
        </w:rPr>
        <w:tab/>
        <w:t>Недопущение дискриминации по признаку пола</w:t>
      </w:r>
    </w:p>
    <w:p w14:paraId="53644883" w14:textId="77777777" w:rsidR="0088700C" w:rsidRPr="00B112A4" w:rsidRDefault="0088700C" w:rsidP="0088700C">
      <w:pPr>
        <w:pStyle w:val="SingleTxtG"/>
        <w:rPr>
          <w:lang w:val="es-ES"/>
        </w:rPr>
      </w:pPr>
      <w:r w:rsidRPr="00B112A4">
        <w:rPr>
          <w:lang w:val="es-ES"/>
        </w:rPr>
        <w:t>176.</w:t>
      </w:r>
      <w:r w:rsidRPr="00B112A4">
        <w:rPr>
          <w:lang w:val="es-ES"/>
        </w:rPr>
        <w:tab/>
        <w:t>Государственный секретариат по вопросам равенства, который с июня 2018</w:t>
      </w:r>
      <w:r w:rsidR="004C702A">
        <w:t> </w:t>
      </w:r>
      <w:r w:rsidRPr="00B112A4">
        <w:rPr>
          <w:lang w:val="es-ES"/>
        </w:rPr>
        <w:t>года функционирует в Министерстве по делам правительства, отношений с Кортесами и вопросам равенства, отвечает за предложение и разработку политики правительства по вопросам равенства, предотвращения и ликвидации всех видов дискриминация людей по признаку пола, расового или этнического происхождения, религии или идеологии, сексуальной ориентации или гендерной идентичности, возраста, инвалидности или любых других признаков или личных или социальных обстоятельств, а также за искоренение различных форм насилия в отношении женщин.</w:t>
      </w:r>
    </w:p>
    <w:p w14:paraId="493EA527" w14:textId="77777777" w:rsidR="0088700C" w:rsidRPr="00B112A4" w:rsidRDefault="0088700C" w:rsidP="0088700C">
      <w:pPr>
        <w:pStyle w:val="SingleTxtG"/>
        <w:rPr>
          <w:lang w:val="es-ES"/>
        </w:rPr>
      </w:pPr>
      <w:r w:rsidRPr="00B112A4">
        <w:rPr>
          <w:lang w:val="es-ES"/>
        </w:rPr>
        <w:t>177.</w:t>
      </w:r>
      <w:r w:rsidRPr="00B112A4">
        <w:rPr>
          <w:lang w:val="es-ES"/>
        </w:rPr>
        <w:tab/>
        <w:t>Кроме того, к ведению указанного Государственного секретариата относится Институт по обеспечению равных возможностей для женщин – учреждение, которое занимается вопросами равноправия и главная цель которого заключается в поощрении и создании условий, обеспечивающих возможности для реализации социального равенства между женщинами и мужчинами и для широкого участия женщин в политической, культурной, экономической и социальной жизни. Кроме того, в</w:t>
      </w:r>
      <w:r w:rsidR="004C702A">
        <w:t> </w:t>
      </w:r>
      <w:r w:rsidRPr="00B112A4">
        <w:rPr>
          <w:lang w:val="es-ES"/>
        </w:rPr>
        <w:t>соответствии с положениями Директив № 2006/54/СЕ (пересмотренный вариант) и</w:t>
      </w:r>
      <w:r w:rsidR="004C702A">
        <w:t> </w:t>
      </w:r>
      <w:r w:rsidRPr="00B112A4">
        <w:rPr>
          <w:lang w:val="es-ES"/>
        </w:rPr>
        <w:t>2004/113/СЕ, в компетенцию этого органа входит рассмотрение жалоб по поводу дискриминации и оказание помощи жертвам дискриминации, проведение исследований по вопросам дискриминации и публикация докладов и подготовка рекомендаций по любому вопросу, касающемуся дискриминации.</w:t>
      </w:r>
    </w:p>
    <w:p w14:paraId="0352A1AA" w14:textId="77777777" w:rsidR="0088700C" w:rsidRPr="00B112A4" w:rsidRDefault="0088700C" w:rsidP="0088700C">
      <w:pPr>
        <w:pStyle w:val="SingleTxtG"/>
        <w:rPr>
          <w:lang w:val="es-ES"/>
        </w:rPr>
      </w:pPr>
      <w:r w:rsidRPr="00B112A4">
        <w:rPr>
          <w:lang w:val="es-ES"/>
        </w:rPr>
        <w:t>178.</w:t>
      </w:r>
      <w:r w:rsidRPr="00B112A4">
        <w:rPr>
          <w:lang w:val="es-ES"/>
        </w:rPr>
        <w:tab/>
        <w:t xml:space="preserve">В отношении политики по обеспечению равенства между женщинами и мужчинами следует отметить прежде всего два органических закона: </w:t>
      </w:r>
    </w:p>
    <w:p w14:paraId="141097BB" w14:textId="77777777" w:rsidR="0088700C" w:rsidRPr="00B112A4" w:rsidRDefault="0088700C" w:rsidP="000749C6">
      <w:pPr>
        <w:pStyle w:val="Bullet1G"/>
        <w:rPr>
          <w:lang w:val="es-ES"/>
        </w:rPr>
      </w:pPr>
      <w:r w:rsidRPr="00B112A4">
        <w:rPr>
          <w:lang w:val="es-ES"/>
        </w:rPr>
        <w:t>Органический закон № 1/2004 от 28 декабря 2004 года о мерах комплексной защиты от гендерного насилия</w:t>
      </w:r>
      <w:r w:rsidR="00857CFE">
        <w:t>;</w:t>
      </w:r>
    </w:p>
    <w:p w14:paraId="5B99916A" w14:textId="77777777" w:rsidR="0088700C" w:rsidRPr="00B112A4" w:rsidRDefault="0088700C" w:rsidP="000749C6">
      <w:pPr>
        <w:pStyle w:val="Bullet1G"/>
        <w:rPr>
          <w:lang w:val="es-ES"/>
        </w:rPr>
      </w:pPr>
      <w:r w:rsidRPr="00B112A4">
        <w:rPr>
          <w:lang w:val="es-ES"/>
        </w:rPr>
        <w:t>Органический закон № 3/2007 от 22 марта 2007 года об обеспечении эффективного равенства женщин и мужчин (далее – ОЗЭР).</w:t>
      </w:r>
    </w:p>
    <w:p w14:paraId="2D6C6DFE" w14:textId="77777777" w:rsidR="0088700C" w:rsidRPr="00B112A4" w:rsidRDefault="0088700C" w:rsidP="0088700C">
      <w:pPr>
        <w:pStyle w:val="SingleTxtG"/>
        <w:rPr>
          <w:lang w:val="es-ES"/>
        </w:rPr>
      </w:pPr>
      <w:r w:rsidRPr="00B112A4">
        <w:rPr>
          <w:lang w:val="es-ES"/>
        </w:rPr>
        <w:t>179.</w:t>
      </w:r>
      <w:r w:rsidRPr="00B112A4">
        <w:rPr>
          <w:lang w:val="es-ES"/>
        </w:rPr>
        <w:tab/>
        <w:t xml:space="preserve">Принятие ОЗЭР означало закрепление принципа равенства обращения и возможностей в качестве ключевого принципа, пронизывающего всю деятельность государственных органов. О многогранном характере этого принципа свидетельствует внесение поправок в 27 законов, регламентирующих самые разные сферы (порядок проведения выборов, деятельность судебной системы, занятость, положение трудящихся, социальное обеспечение, здравоохранение, образование, предоставление убежища, вооруженные силы, силы и службы государственной безопасности и </w:t>
      </w:r>
      <w:r w:rsidR="00B94DA4">
        <w:rPr>
          <w:lang w:val="es-ES"/>
        </w:rPr>
        <w:t>т. д.</w:t>
      </w:r>
      <w:r w:rsidRPr="00B112A4">
        <w:rPr>
          <w:lang w:val="es-ES"/>
        </w:rPr>
        <w:t>).</w:t>
      </w:r>
    </w:p>
    <w:p w14:paraId="33C484FD" w14:textId="77777777" w:rsidR="0088700C" w:rsidRPr="00B112A4" w:rsidRDefault="0088700C" w:rsidP="0088700C">
      <w:pPr>
        <w:pStyle w:val="SingleTxtG"/>
        <w:rPr>
          <w:lang w:val="es-ES"/>
        </w:rPr>
      </w:pPr>
      <w:r w:rsidRPr="00B112A4">
        <w:rPr>
          <w:lang w:val="es-ES"/>
        </w:rPr>
        <w:t>180.</w:t>
      </w:r>
      <w:r w:rsidRPr="00B112A4">
        <w:rPr>
          <w:lang w:val="es-ES"/>
        </w:rPr>
        <w:tab/>
        <w:t>В соответствии с ОЗЭР был учрежден Совет по участию женщин</w:t>
      </w:r>
      <w:r w:rsidR="004C702A">
        <w:t> </w:t>
      </w:r>
      <w:r w:rsidRPr="00B112A4">
        <w:rPr>
          <w:lang w:val="es-ES"/>
        </w:rPr>
        <w:t xml:space="preserve">– коллегиальный орган, осуществляющий консультирование и выносящий рекомендации; основная цель Совета – содействовать участию женщин в эффективной реализации принципа равного обращения и равных возможностей между женщинами и мужчинами, а также борьбе с дискриминацией по признаку пола. В состав Совета </w:t>
      </w:r>
      <w:r w:rsidRPr="00B112A4">
        <w:rPr>
          <w:lang w:val="es-ES"/>
        </w:rPr>
        <w:lastRenderedPageBreak/>
        <w:t>входят представители ряда органов государственного управления, ассоциаций и организаций женщин, действующих на государственном уровне, и социальные партнеры.</w:t>
      </w:r>
    </w:p>
    <w:p w14:paraId="152E9DFA" w14:textId="77777777" w:rsidR="0088700C" w:rsidRPr="00B112A4" w:rsidRDefault="0088700C" w:rsidP="0088700C">
      <w:pPr>
        <w:pStyle w:val="SingleTxtG"/>
        <w:rPr>
          <w:lang w:val="es-ES"/>
        </w:rPr>
      </w:pPr>
      <w:r w:rsidRPr="00B112A4">
        <w:rPr>
          <w:lang w:val="es-ES"/>
        </w:rPr>
        <w:t>181.</w:t>
      </w:r>
      <w:r w:rsidRPr="00B112A4">
        <w:rPr>
          <w:lang w:val="es-ES"/>
        </w:rPr>
        <w:tab/>
        <w:t>В этом законе ставится задача обеспечить сбалансированную представленность женщин и мужчин во всех областях принятия решений, так чтобы доля представителей каждого из полов не составляла более 60% или менее 40%. Устанавливается, что это соотношение обязательно к соблюдению в избирательных списках, что учтено в поправках к Органическому закон о порядке проведения выборов.</w:t>
      </w:r>
    </w:p>
    <w:p w14:paraId="386F3EE9" w14:textId="77777777" w:rsidR="0088700C" w:rsidRPr="00B112A4" w:rsidRDefault="0088700C" w:rsidP="0088700C">
      <w:pPr>
        <w:pStyle w:val="SingleTxtG"/>
        <w:rPr>
          <w:lang w:val="es-ES"/>
        </w:rPr>
      </w:pPr>
      <w:r w:rsidRPr="00B112A4">
        <w:rPr>
          <w:lang w:val="es-ES"/>
        </w:rPr>
        <w:t>182.</w:t>
      </w:r>
      <w:r w:rsidRPr="00B112A4">
        <w:rPr>
          <w:lang w:val="es-ES"/>
        </w:rPr>
        <w:tab/>
        <w:t xml:space="preserve">ОЗЭР содержит адресованные правительству предписания в обязательном порядке прилагать к планам особой экономической, социальной, культурной и художественной значимости, представляемым на утверждение Совета министров, доклад о гендерных последствиях реализации соответствующих планов. Кроме того, в десятом пункте </w:t>
      </w:r>
      <w:r w:rsidR="00435B5F">
        <w:rPr>
          <w:lang w:val="es-ES"/>
        </w:rPr>
        <w:t>«</w:t>
      </w:r>
      <w:r w:rsidRPr="00B112A4">
        <w:rPr>
          <w:lang w:val="es-ES"/>
        </w:rPr>
        <w:t>переходного предписания</w:t>
      </w:r>
      <w:r w:rsidR="00435B5F">
        <w:rPr>
          <w:lang w:val="es-ES"/>
        </w:rPr>
        <w:t>»</w:t>
      </w:r>
      <w:r w:rsidRPr="00B112A4">
        <w:rPr>
          <w:lang w:val="es-ES"/>
        </w:rPr>
        <w:t xml:space="preserve"> ОЗЭР содержится указание правительству разработать регламент реализации Закона № 30/2003 от 13 октября 2003</w:t>
      </w:r>
      <w:r w:rsidR="004C702A">
        <w:t> </w:t>
      </w:r>
      <w:r w:rsidRPr="00B112A4">
        <w:rPr>
          <w:lang w:val="es-ES"/>
        </w:rPr>
        <w:t>года о мерах по включению в нормативные положения оценки эффективности соблюдения принципа равноправия женщин и мужчин. Королевским указом</w:t>
      </w:r>
      <w:r w:rsidR="004C702A">
        <w:t> </w:t>
      </w:r>
      <w:r w:rsidRPr="00B112A4">
        <w:rPr>
          <w:lang w:val="es-ES"/>
        </w:rPr>
        <w:t>№</w:t>
      </w:r>
      <w:r w:rsidR="004C702A">
        <w:t> </w:t>
      </w:r>
      <w:r w:rsidRPr="00B112A4">
        <w:rPr>
          <w:lang w:val="es-ES"/>
        </w:rPr>
        <w:t>931/2017 от 27 октября 2017 года регулируется представление отчетности об анализе воздействия принципа равноправия женщин и мужчин на нормативные акты и предусматриваются обязательные требования по подготовке отчетов о воздействии принципа равноправия на проекты планов, имеющих особо важное значение, и на конкурсы на замещение вакантных должностей в структуре государственной службы. Кроме того, предусмотрена подготовка ежегодной отчетности о финансово-бюджетных последствиях учета принципа равноправия.</w:t>
      </w:r>
    </w:p>
    <w:p w14:paraId="1ECD483D" w14:textId="77777777" w:rsidR="0088700C" w:rsidRPr="00B112A4" w:rsidRDefault="0088700C" w:rsidP="0088700C">
      <w:pPr>
        <w:pStyle w:val="SingleTxtG"/>
        <w:rPr>
          <w:lang w:val="es-ES"/>
        </w:rPr>
      </w:pPr>
      <w:r w:rsidRPr="00B112A4">
        <w:rPr>
          <w:lang w:val="es-ES"/>
        </w:rPr>
        <w:t>183.</w:t>
      </w:r>
      <w:r w:rsidRPr="00B112A4">
        <w:rPr>
          <w:lang w:val="es-ES"/>
        </w:rPr>
        <w:tab/>
        <w:t xml:space="preserve">Что касается механизмов обеспечения гендерного равенства, то в 2014 году был принят Стратегический план по обеспечению равных возможностей на </w:t>
      </w:r>
      <w:r w:rsidR="004C702A">
        <w:rPr>
          <w:lang w:val="es-ES"/>
        </w:rPr>
        <w:br/>
      </w:r>
      <w:r w:rsidRPr="00B112A4">
        <w:rPr>
          <w:lang w:val="es-ES"/>
        </w:rPr>
        <w:t xml:space="preserve">2014–2016 годы (ПОРВ), включающий меры по достижению цели равенства между женщинами и мужчинами и ликвидации дискриминация по признаку пола. В рамках последующей деятельности был подготовлен промежуточный отчет о выполнении указанного плана и его итоговая оценка. Этот Стратегический план был составлен на основе Плана действий по обеспечению равных возможностей для женщин и мужчин в информационном обществе на 2014–2017 годы и Плана по улучшению положения женщин в сельских районах на 2015–2018 годы, в котором рассматриваются основные сферы деятельности женщин, проживающих в сельской местности. В настоящее время осуществляется разработка нового стратегического плана по обеспечению равных возможностей для женщин и мужчин на предстоящий период. Новый ПОРВ станет среднесрочным инструментом выполнения задач Повестки дня в области устойчивого развития на период до 2030 года в отношении гендерного равенства и расширения прав и возможностей женщин и девочек. </w:t>
      </w:r>
    </w:p>
    <w:p w14:paraId="44590C99" w14:textId="77777777" w:rsidR="0088700C" w:rsidRPr="00B112A4" w:rsidRDefault="0088700C" w:rsidP="0088700C">
      <w:pPr>
        <w:pStyle w:val="SingleTxtG"/>
        <w:rPr>
          <w:lang w:val="es-ES"/>
        </w:rPr>
      </w:pPr>
      <w:r w:rsidRPr="00B112A4">
        <w:rPr>
          <w:lang w:val="es-ES"/>
        </w:rPr>
        <w:t>184.</w:t>
      </w:r>
      <w:r w:rsidRPr="00B112A4">
        <w:rPr>
          <w:lang w:val="es-ES"/>
        </w:rPr>
        <w:tab/>
        <w:t>Следует отметить роль Инспекции по труду и социальному обеспечению в этом вопросе: она осуществляет работу по контролю за соблюдением социальных норм и санкционированию дискриминации, выявленной в рамках своей компетенции. С</w:t>
      </w:r>
      <w:r w:rsidR="004C702A">
        <w:t> </w:t>
      </w:r>
      <w:r w:rsidRPr="00B112A4">
        <w:rPr>
          <w:lang w:val="es-ES"/>
        </w:rPr>
        <w:t>принятием Генерального плана о достойных условиях труда деятельность Инспекции по труду в этой области была усилена за счет создания Отдела по борьбе против дискриминации, в состав которого входят лица, имеющие специальную подготовку в этой сфере. Также произошла активизация деятельности по обеспечению равенства и защиты основных прав, причем приоритетными направлениями стали гендерное равенство, защита прав работников-иммигрантов, инвалидов и работников из числа представителей сообщества ЛГБТИ.</w:t>
      </w:r>
    </w:p>
    <w:p w14:paraId="27452B84" w14:textId="77777777" w:rsidR="0088700C" w:rsidRPr="00B112A4" w:rsidRDefault="0088700C" w:rsidP="0088700C">
      <w:pPr>
        <w:pStyle w:val="SingleTxtG"/>
        <w:rPr>
          <w:lang w:val="es-ES"/>
        </w:rPr>
      </w:pPr>
      <w:r w:rsidRPr="00B112A4">
        <w:rPr>
          <w:lang w:val="es-ES"/>
        </w:rPr>
        <w:t>185.</w:t>
      </w:r>
      <w:r w:rsidRPr="00B112A4">
        <w:rPr>
          <w:lang w:val="es-ES"/>
        </w:rPr>
        <w:tab/>
        <w:t xml:space="preserve">Для устранения неравенства между женщинами и мужчинами, все еще существующего на рынке труда, Институт по делам женщин и обеспечению равных возможностей проводит мероприятия по поощрению доступа женщин к занятости и повышению их профессиональной квалификации в различных областях. Осуществляются программы, направленные на повышение предпринимательской активности женщин, причем особое внимание уделяется новым развивающимся и инновационным секторам, в которых женщины представлены недостаточно. Кроме того, разрабатываются программы социально-трудовой и экономической интеграции женщин, в первую очередь в интересах групп женщин, которые находятся в наиболее </w:t>
      </w:r>
      <w:r w:rsidRPr="00B112A4">
        <w:rPr>
          <w:lang w:val="es-ES"/>
        </w:rPr>
        <w:lastRenderedPageBreak/>
        <w:t>затруднительном положении и подвергаются риску социальной изоляции. Также разрабатываются меры по предупреждению и ликвидации гендерного разрыва в оплате труда.</w:t>
      </w:r>
    </w:p>
    <w:p w14:paraId="23A329F1" w14:textId="77777777" w:rsidR="0088700C" w:rsidRPr="00B112A4" w:rsidRDefault="0088700C" w:rsidP="0088700C">
      <w:pPr>
        <w:pStyle w:val="SingleTxtG"/>
        <w:rPr>
          <w:lang w:val="es-ES"/>
        </w:rPr>
      </w:pPr>
      <w:r w:rsidRPr="00B112A4">
        <w:rPr>
          <w:lang w:val="es-ES"/>
        </w:rPr>
        <w:t>186.</w:t>
      </w:r>
      <w:r w:rsidRPr="00B112A4">
        <w:rPr>
          <w:lang w:val="es-ES"/>
        </w:rPr>
        <w:tab/>
        <w:t xml:space="preserve">В сфере бизнеса следует отметить помощь и техническую поддержку Института по делам женщин и обеспечению равных возможностей в подготовке и добровольном внедрении планов по обеспечению равенства на предприятиях и в учреждениях с числом занятых от 30 до 250 человек, а также общественное признание компаний, наиболее преуспевших в применении политики равного обращения и равных возможностей в отношении своих работников, посредством выдачи им почетного знака </w:t>
      </w:r>
      <w:r w:rsidR="00435B5F">
        <w:rPr>
          <w:lang w:val="es-ES"/>
        </w:rPr>
        <w:t>«</w:t>
      </w:r>
      <w:r w:rsidRPr="00B112A4">
        <w:rPr>
          <w:lang w:val="es-ES"/>
        </w:rPr>
        <w:t>Предприятие равных возможностей</w:t>
      </w:r>
      <w:r w:rsidR="00435B5F">
        <w:rPr>
          <w:lang w:val="es-ES"/>
        </w:rPr>
        <w:t>»</w:t>
      </w:r>
      <w:r w:rsidRPr="00B112A4">
        <w:rPr>
          <w:lang w:val="es-ES"/>
        </w:rPr>
        <w:t>. Кроме того, разрабатываются различные программы, направленные на поощрение и расширение возможностей доступа женщин к руководящим должностям.</w:t>
      </w:r>
    </w:p>
    <w:p w14:paraId="458CC4DD" w14:textId="77777777" w:rsidR="0088700C" w:rsidRPr="00B112A4" w:rsidRDefault="0088700C" w:rsidP="0088700C">
      <w:pPr>
        <w:pStyle w:val="SingleTxtG"/>
        <w:rPr>
          <w:lang w:val="es-ES"/>
        </w:rPr>
      </w:pPr>
      <w:r w:rsidRPr="00B112A4">
        <w:rPr>
          <w:lang w:val="es-ES"/>
        </w:rPr>
        <w:t>187.</w:t>
      </w:r>
      <w:r w:rsidRPr="00B112A4">
        <w:rPr>
          <w:lang w:val="es-ES"/>
        </w:rPr>
        <w:tab/>
        <w:t xml:space="preserve">Что касается совмещения личной, семейной и трудовой жизни, то одной из наиболее важных мер, принятых Испанией, является увеличение продолжительности отпуска по уходу за ребенком. 1 января 2017 года вступило в силу распоряжение об увеличение продолжительности отпуска по уходу за ребенком с двух до четырех непрерывных недель в случае рождения, усыновления, опеки в целях усыновления или попечительства над несколькими детьми, причем продолжительность такого отпуска увеличивается на два дня на каждого ребенка, начиная со второго. С 5 июля 2018 года отцу или второму родителю предоставляется право на еще одну неделю отпуска по уходу за ребенком (в общей сложности он составляет теперь </w:t>
      </w:r>
      <w:r w:rsidR="004C702A">
        <w:t>пять</w:t>
      </w:r>
      <w:r w:rsidRPr="00B112A4">
        <w:rPr>
          <w:lang w:val="es-ES"/>
        </w:rPr>
        <w:t xml:space="preserve"> недель); пятая неделя этого отпуска может быть использована в течение </w:t>
      </w:r>
      <w:r w:rsidR="004C702A">
        <w:t>девять</w:t>
      </w:r>
      <w:r w:rsidRPr="00B112A4">
        <w:rPr>
          <w:lang w:val="es-ES"/>
        </w:rPr>
        <w:t xml:space="preserve"> месяцев после рождения или усыновления ребенка. Эта мера по обеспечению равенства женщин и мужчин на государственной службе дополняет ряд других мер, принятых в 2018 году, таких как соглашение о мобильности или предоставление 5% рабочих часов, которые могут быть суммированы и использованы для целей укрепления семьи и ухода за членами семьи, находящимися на иждивении.</w:t>
      </w:r>
    </w:p>
    <w:p w14:paraId="4469229C" w14:textId="77777777" w:rsidR="0088700C" w:rsidRPr="00B112A4" w:rsidRDefault="0088700C" w:rsidP="0088700C">
      <w:pPr>
        <w:pStyle w:val="SingleTxtG"/>
        <w:rPr>
          <w:lang w:val="es-ES"/>
        </w:rPr>
      </w:pPr>
      <w:r w:rsidRPr="00B112A4">
        <w:rPr>
          <w:lang w:val="es-ES"/>
        </w:rPr>
        <w:t>188.</w:t>
      </w:r>
      <w:r w:rsidRPr="00B112A4">
        <w:rPr>
          <w:lang w:val="es-ES"/>
        </w:rPr>
        <w:tab/>
        <w:t>В области здравоохранения в настоящее время на министерском уровне разрабатываются предложения относительно актуализации Королевского указа, в котором устанавливается набор базовых услуг Национальной системы здравоохранения и процедура его обновления (2006 год), с тем чтобы включить в указанный набор услугу по искусственному оплодотворению для одиноких женщин и для женщин-лесбиянок в целях ликвидации дискриминации по признаку сексуальной ориентации.</w:t>
      </w:r>
    </w:p>
    <w:p w14:paraId="106189B9" w14:textId="77777777" w:rsidR="0088700C" w:rsidRPr="00B112A4" w:rsidRDefault="0088700C" w:rsidP="0088700C">
      <w:pPr>
        <w:pStyle w:val="SingleTxtG"/>
        <w:rPr>
          <w:lang w:val="es-ES"/>
        </w:rPr>
      </w:pPr>
      <w:r w:rsidRPr="00B112A4">
        <w:rPr>
          <w:lang w:val="es-ES"/>
        </w:rPr>
        <w:t>189.</w:t>
      </w:r>
      <w:r w:rsidRPr="00B112A4">
        <w:rPr>
          <w:lang w:val="es-ES"/>
        </w:rPr>
        <w:tab/>
        <w:t xml:space="preserve">Что касается участия женщин в процессах принятия решений в политической и публичной сферах, то, согласно проведенному Советом Европы аналитическому исследованию </w:t>
      </w:r>
      <w:r w:rsidR="00435B5F">
        <w:rPr>
          <w:lang w:val="es-ES"/>
        </w:rPr>
        <w:t>«</w:t>
      </w:r>
      <w:r w:rsidRPr="00B112A4">
        <w:rPr>
          <w:lang w:val="es-ES"/>
        </w:rPr>
        <w:t>Прогресс в обеспечении сбалансированного участия женщин и мужчин в принятии решений в политической и общественной деятельности</w:t>
      </w:r>
      <w:r w:rsidR="004C702A">
        <w:t> –</w:t>
      </w:r>
      <w:r w:rsidRPr="00B112A4">
        <w:rPr>
          <w:lang w:val="es-ES"/>
        </w:rPr>
        <w:t xml:space="preserve"> 2017</w:t>
      </w:r>
      <w:r w:rsidR="004C702A">
        <w:t> </w:t>
      </w:r>
      <w:r w:rsidRPr="00B112A4">
        <w:rPr>
          <w:lang w:val="es-ES"/>
        </w:rPr>
        <w:t>год</w:t>
      </w:r>
      <w:r w:rsidR="00435B5F">
        <w:rPr>
          <w:lang w:val="es-ES"/>
        </w:rPr>
        <w:t>»</w:t>
      </w:r>
      <w:r w:rsidRPr="00B112A4">
        <w:rPr>
          <w:lang w:val="es-ES"/>
        </w:rPr>
        <w:t>, Испания является одной из немногих стран, которым удалось добиться сбалансированного представительства женщин и мужчин в органах законодательной власти (Конгресс, Сенат, ассамблеи автономных сообществ) и в других органах, таких как Генеральный совет судебной власти. Что касается правительства, то с июня 2018</w:t>
      </w:r>
      <w:r w:rsidR="004C702A">
        <w:t> </w:t>
      </w:r>
      <w:r w:rsidRPr="00B112A4">
        <w:rPr>
          <w:lang w:val="es-ES"/>
        </w:rPr>
        <w:t>года впервые в истории Испании в его состав входит больше женщин (11), чем мужчин (7, включая Председателя правительства); женщины занимают такие ключевые должности, как министр экономики и бизнеса, министр финансов, министр промышленности, торговли и туризма, министр обороны, министр труда, миграции и социального обеспечения и министр территориальной политики и государственной службы.</w:t>
      </w:r>
    </w:p>
    <w:p w14:paraId="08ED49E3" w14:textId="77777777" w:rsidR="0088700C" w:rsidRPr="00B112A4" w:rsidRDefault="0088700C" w:rsidP="000749C6">
      <w:pPr>
        <w:pStyle w:val="H23G"/>
        <w:rPr>
          <w:lang w:val="es-ES"/>
        </w:rPr>
      </w:pPr>
      <w:r w:rsidRPr="00B112A4">
        <w:rPr>
          <w:lang w:val="es-ES"/>
        </w:rPr>
        <w:tab/>
      </w:r>
      <w:r w:rsidRPr="00B112A4">
        <w:rPr>
          <w:lang w:val="es-ES"/>
        </w:rPr>
        <w:tab/>
        <w:t>Гендерное насилие</w:t>
      </w:r>
    </w:p>
    <w:p w14:paraId="12384E7A" w14:textId="77777777" w:rsidR="0088700C" w:rsidRPr="00B112A4" w:rsidRDefault="0088700C" w:rsidP="0088700C">
      <w:pPr>
        <w:pStyle w:val="SingleTxtG"/>
        <w:rPr>
          <w:lang w:val="es-ES"/>
        </w:rPr>
      </w:pPr>
      <w:r w:rsidRPr="00B112A4">
        <w:rPr>
          <w:lang w:val="es-ES"/>
        </w:rPr>
        <w:t>190.</w:t>
      </w:r>
      <w:r w:rsidRPr="00B112A4">
        <w:rPr>
          <w:lang w:val="es-ES"/>
        </w:rPr>
        <w:tab/>
        <w:t xml:space="preserve">Вот уже более двух десятилетий Испания твердо привержена делу ликвидации всех форм насилия в отношении женщин. Органический закон № 1/2004 от 28 декабря 2004 года о мерах по комплексной защите от гендерного насилия призван искоренить одну из наиболее распространенных форм насилия, а именно насилие в отношении женщин со стороны их нынешних или бывших супругов или партнеров. Согласно указанному закону, актами гендерного насилия являются любые акты физического или психологического насилия, включая посягательства на сексуальную свободу, угрозы, </w:t>
      </w:r>
      <w:r w:rsidRPr="00B112A4">
        <w:rPr>
          <w:lang w:val="es-ES"/>
        </w:rPr>
        <w:lastRenderedPageBreak/>
        <w:t>принуждение или произвольное лишение свободы, совершаемые мужчинами в отношении своих нынешних или бывших супруг или в отношении женщин, с которыми их связывают или связывали аналогичные романтические отношения, даже в отсутствие совместного проживания. После внесения поправок в статью</w:t>
      </w:r>
      <w:r w:rsidR="004C702A">
        <w:t> </w:t>
      </w:r>
      <w:r w:rsidRPr="00B112A4">
        <w:rPr>
          <w:lang w:val="es-ES"/>
        </w:rPr>
        <w:t>1</w:t>
      </w:r>
      <w:r w:rsidR="004C702A">
        <w:t> </w:t>
      </w:r>
      <w:r w:rsidRPr="00B112A4">
        <w:rPr>
          <w:lang w:val="es-ES"/>
        </w:rPr>
        <w:t>Органического закона № 1/2004 в соответствии с Органическим законом</w:t>
      </w:r>
      <w:r w:rsidR="007479F9">
        <w:t> </w:t>
      </w:r>
      <w:r w:rsidRPr="00B112A4">
        <w:rPr>
          <w:lang w:val="es-ES"/>
        </w:rPr>
        <w:t>№</w:t>
      </w:r>
      <w:r w:rsidR="007479F9">
        <w:t> </w:t>
      </w:r>
      <w:r w:rsidRPr="00B112A4">
        <w:rPr>
          <w:lang w:val="es-ES"/>
        </w:rPr>
        <w:t>8/2015 от 22 июля 2015 года о внесении изменений в систему защиты детей и подростков, жертвами гендерного насилия помимо женщин считаются также их несовершеннолетние дети, а также несовершеннолетние дети, находящиеся под их опекой или попечительством. Закон предусматривает всеобъемлющее и координированное реагирование со стороны всех государственных органов и устанавливает меры по комплексной защите жертв с целью предупреждения, пресечения и искоренения такого насилия и предоставление помощи потерпевшим, независимо от их происхождения, вероисповедания или какого-либо иного условия или обстоятельства личного или социального характера. Государственное управление по борьбе с насилием в отношении женщин является правительственным органом, несущим ответственность за предупреждение и искоренение насилия в отношении женщин. Управление собирает и распространяет данные о масштабах насилия и дает оценку результативности принимаемых мер. Эти сведения распространяются через Статистический портал</w:t>
      </w:r>
      <w:r w:rsidRPr="004C702A">
        <w:rPr>
          <w:sz w:val="18"/>
          <w:szCs w:val="18"/>
          <w:vertAlign w:val="superscript"/>
          <w:lang w:val="es-ES"/>
        </w:rPr>
        <w:footnoteReference w:id="6"/>
      </w:r>
      <w:r w:rsidRPr="00B112A4">
        <w:rPr>
          <w:lang w:val="es-ES"/>
        </w:rPr>
        <w:t xml:space="preserve"> указанного Управления, а также по линии различных публикаций, в том числе ежемесячных выпусков статистических бюллетеней и ежегодных докладов Государственного наблюдательного совета по борьбе с насилием в отношении женщин. В автономных сообществах также действуют принятые на их уровне законы и/или конкретные планы и программы по борьбе с этим видом насилия.</w:t>
      </w:r>
    </w:p>
    <w:p w14:paraId="15275CF7" w14:textId="77777777" w:rsidR="0088700C" w:rsidRPr="00B112A4" w:rsidRDefault="0088700C" w:rsidP="0088700C">
      <w:pPr>
        <w:pStyle w:val="SingleTxtG"/>
        <w:rPr>
          <w:lang w:val="es-ES"/>
        </w:rPr>
      </w:pPr>
      <w:r w:rsidRPr="00B112A4">
        <w:rPr>
          <w:lang w:val="es-ES"/>
        </w:rPr>
        <w:t>191.</w:t>
      </w:r>
      <w:r w:rsidRPr="00B112A4">
        <w:rPr>
          <w:lang w:val="es-ES"/>
        </w:rPr>
        <w:tab/>
        <w:t>В 2014 году Испания ратифицировала Конвенцию Совета Европы о предотвращении и пресечении насилия в отношении женщин и бытового насилия (Стамбульская конвенция), которая представляет собой первый юридически обязывающий документ в этой области на европейском уровне, а также международный договор с широкой сферой применения, существующий для борьбы с этим серьезным нарушением прав человека. В его статьях помимо ряда определений и концепций рассматриваются также такие вопросы, как предотвращение насилия, повышение осведомленности, защита и оказание поддержки жертвам насилия, сбор данных, проведение расследования, процедурные вопросы и вопросы процессуального характера, а также вопросы, касающиеся миграции и предоставления убежища. В Конвенции также содержится глава, посвященная материальному праву, в которой, среди прочего, установлено, что Стороны будут принимать законодательные или иные меры, необходимые для борьбы с преступлениями, рассматриваемыми в Конвенции. В целях выполнения обязательств, вытекающих из рассматриваемой Конвенции, были проведены некоторые нормативно-правовые реформы, в том числе были приняты Органический закон № 1/2015 от 30 марта 2015</w:t>
      </w:r>
      <w:r w:rsidR="004F2765">
        <w:t> </w:t>
      </w:r>
      <w:r w:rsidRPr="00B112A4">
        <w:rPr>
          <w:lang w:val="es-ES"/>
        </w:rPr>
        <w:t>года о внесении поправок в Органический закон № 10/1995 года от 23 ноября 1995 года об Уголовном кодексе, и Органический закон 1/2014 от 13 марта 2014 года о внесении поправок в Органический закон № 6/1985 от 1 июля 1985 года о судебной власти и общей системе правосудия.</w:t>
      </w:r>
    </w:p>
    <w:p w14:paraId="22261D84" w14:textId="77777777" w:rsidR="0088700C" w:rsidRPr="00B112A4" w:rsidRDefault="0088700C" w:rsidP="0088700C">
      <w:pPr>
        <w:pStyle w:val="SingleTxtG"/>
        <w:rPr>
          <w:lang w:val="es-ES"/>
        </w:rPr>
      </w:pPr>
      <w:r w:rsidRPr="00B112A4">
        <w:rPr>
          <w:lang w:val="es-ES"/>
        </w:rPr>
        <w:t>192.</w:t>
      </w:r>
      <w:r w:rsidRPr="00B112A4">
        <w:rPr>
          <w:lang w:val="es-ES"/>
        </w:rPr>
        <w:tab/>
        <w:t>Органический закон № 1/2015 от 30 марта 2015 года о внесении поправок в Органический закон № 10/1995 от 23 ноября 1995 года об Уголовном кодексе предусматривает ужесточение уголовной ответственности за преступления, связанные с гендерным насилием. Так, он предусматривает ответственность за домогательства, жертвой которого является супруг или лицо, состоящее в романтических отношениях с автором преступления или его/ее родственником по нисходящей или восходящей линии, а также за отправление СМС-сообщений сексуального содержания. Закон также предусматривает ужесточение применимых мер наказания и более четкое регулирование мер, принимаемых в случаях посягательств и преступлений против половой свободы. С другой стороны, внесение поправок в Органический закон</w:t>
      </w:r>
      <w:r w:rsidR="004F2765">
        <w:t> </w:t>
      </w:r>
      <w:r w:rsidRPr="00B112A4">
        <w:rPr>
          <w:lang w:val="es-ES"/>
        </w:rPr>
        <w:t>№</w:t>
      </w:r>
      <w:r w:rsidR="004F2765">
        <w:t> </w:t>
      </w:r>
      <w:r w:rsidRPr="00B112A4">
        <w:rPr>
          <w:lang w:val="es-ES"/>
        </w:rPr>
        <w:t xml:space="preserve">6/1985 от 1 июля 1985 о судебной власти в соответствии с Органическим законом № 7/2015 от 21 июля 2015 года расширяет полномочия судов по борьбе с </w:t>
      </w:r>
      <w:r w:rsidRPr="00B112A4">
        <w:rPr>
          <w:lang w:val="es-ES"/>
        </w:rPr>
        <w:lastRenderedPageBreak/>
        <w:t>насилием в отношении женщин; теперь суды полномочны рассматривать дела о преступлениях, связанных с нарушениями неприкосновенности частной жизни, права на формирование собственного образа и достоинства женщин, а также нарушений, подпадающих под положения статьи 468 Уголовного кодекса. В соответствии с этим законом в судебную статистику вводится гендерный параметр и предусматривается обязанность сотрудников судебных органов и судебно-медицинских экспертов проходить обучение по вопросам гендерного насилия. В гражданском законодательстве Закон № 15/2015 от 2 июля 2015 года о добровольной юрисдикции вносит изменения в Гражданский кодекс и запрещает вступление в брак лицам, осужденным за причастность к умышленным действиям, которые привели к смерти супруга или лица, с которым они состояли в романтических отношениях, аналогичных супружеским. Он также относит осужденных за другие преступления, связанные с бытовым и гендерным насилием, к числу тех, кто не может получить наследство по причине недостойного поведения. В августе 2018 года Совет министров по предложению министра юстиции утвердил создание консультативного совета с целью пересмотра проекта реформы Закона об уголовном судопроизводстве с учетом гендерной проблематики. Наконец, в настоящее время на рассмотрении Генеральных кортесов находится проект закона о неотложных мерах по разработке Государственного пакта о борьбе против гендерного насилия (в соответствии с Королевским указом № 9/2018 от 3 августа 2018 года).</w:t>
      </w:r>
    </w:p>
    <w:p w14:paraId="2B4703C2" w14:textId="77777777" w:rsidR="0088700C" w:rsidRPr="00B112A4" w:rsidRDefault="0088700C" w:rsidP="0088700C">
      <w:pPr>
        <w:pStyle w:val="SingleTxtG"/>
        <w:rPr>
          <w:lang w:val="es-ES"/>
        </w:rPr>
      </w:pPr>
      <w:r w:rsidRPr="00B112A4">
        <w:rPr>
          <w:lang w:val="es-ES"/>
        </w:rPr>
        <w:t>193.</w:t>
      </w:r>
      <w:r w:rsidRPr="00B112A4">
        <w:rPr>
          <w:lang w:val="es-ES"/>
        </w:rPr>
        <w:tab/>
        <w:t>В сентябре 2017 года без единого голоса против был принят первый Государственный пакт о борьбе против гендерного насилия</w:t>
      </w:r>
      <w:r w:rsidRPr="007B1E9F">
        <w:rPr>
          <w:sz w:val="18"/>
          <w:szCs w:val="18"/>
          <w:vertAlign w:val="superscript"/>
          <w:lang w:val="es-ES"/>
        </w:rPr>
        <w:footnoteReference w:id="7"/>
      </w:r>
      <w:r w:rsidRPr="00B112A4">
        <w:rPr>
          <w:lang w:val="es-ES"/>
        </w:rPr>
        <w:t>. В состав Пакта включены доклады подкомиссии Конгресса и комиссии Сената, предусматривающие соответственно 214 и 267 мер, направленных на ликвидацию насилия в отношении женщин. В декабре 2017 года к Пакту присоединились правительство страны, автономные сообщества, Испанская федерация муниципалитетов и провинций (ФЕМП) и Государственный наблюдательный совет по вопросам насилия в отношении женщин, что свидетельствует о достижении тройного консенсуса – политического, территориального и социального характера. Этот Пакт является одним из самых важных государственных актов, принятых в истории демократической Испании. В нем обозначен план действий на следующие пять лет (2018–2022 годы), для реализации которого потребуются дополнительные расходы в объеме 1</w:t>
      </w:r>
      <w:r w:rsidR="007B1E9F">
        <w:t> </w:t>
      </w:r>
      <w:r w:rsidRPr="00B112A4">
        <w:rPr>
          <w:lang w:val="es-ES"/>
        </w:rPr>
        <w:t xml:space="preserve">000 </w:t>
      </w:r>
      <w:r w:rsidR="007B1E9F">
        <w:t>млн</w:t>
      </w:r>
      <w:r w:rsidRPr="00B112A4">
        <w:rPr>
          <w:lang w:val="es-ES"/>
        </w:rPr>
        <w:t xml:space="preserve"> евро.</w:t>
      </w:r>
    </w:p>
    <w:p w14:paraId="5E67E2CC" w14:textId="77777777" w:rsidR="0088700C" w:rsidRPr="00B112A4" w:rsidRDefault="0088700C" w:rsidP="0088700C">
      <w:pPr>
        <w:pStyle w:val="SingleTxtG"/>
        <w:rPr>
          <w:lang w:val="es-ES"/>
        </w:rPr>
      </w:pPr>
      <w:r w:rsidRPr="00B112A4">
        <w:rPr>
          <w:lang w:val="es-ES"/>
        </w:rPr>
        <w:t>194.</w:t>
      </w:r>
      <w:r w:rsidRPr="00B112A4">
        <w:rPr>
          <w:lang w:val="es-ES"/>
        </w:rPr>
        <w:tab/>
        <w:t xml:space="preserve">В июле 2013 года была принята Национальная стратегия по искоренению насилия в отношении женщин (2013–2016 годы), которая является основным документом, определяющим действия органов государственной власти по искоренению этой формы насилия. Стратегия представляет собой единый документ, объединяющий в согласованной, скоординированной и систематизированной форме 284 меры, в осуществлении которых должны участвовать все административные и другие органы государственной власти и на реализацию которых, по оценкам, потребуется 1 558 611 634 евро. В настоящее время проходит процесс актуализации указанной стратегии в целях выработки новой национальной стратегия на </w:t>
      </w:r>
      <w:r w:rsidR="004F2765">
        <w:rPr>
          <w:lang w:val="es-ES"/>
        </w:rPr>
        <w:br/>
      </w:r>
      <w:r w:rsidRPr="00B112A4">
        <w:rPr>
          <w:lang w:val="es-ES"/>
        </w:rPr>
        <w:t>2018–2020 годы.</w:t>
      </w:r>
    </w:p>
    <w:p w14:paraId="52748439" w14:textId="77777777" w:rsidR="0088700C" w:rsidRPr="00B112A4" w:rsidRDefault="0088700C" w:rsidP="0088700C">
      <w:pPr>
        <w:pStyle w:val="SingleTxtG"/>
        <w:rPr>
          <w:lang w:val="es-ES"/>
        </w:rPr>
      </w:pPr>
      <w:r w:rsidRPr="00B112A4">
        <w:rPr>
          <w:lang w:val="es-ES"/>
        </w:rPr>
        <w:t>195.</w:t>
      </w:r>
      <w:r w:rsidRPr="00B112A4">
        <w:rPr>
          <w:lang w:val="es-ES"/>
        </w:rPr>
        <w:tab/>
        <w:t>В этом контексте следует отметить внедрение Министерством внутренних дел Комплексной системы мониторинга случаев гендерного насилия, к которой постепенно присоединяются различные учреждения, ведущие борьбу против гендерного насилия в Испании (полицейские подразделения, судебные органы, прокуратура, администрации пенитенциарных учреждений, социальные службы и учреждения по вопросам равенства). Применение соответствующего компьютерного приложения позволяет собирать информацию и оперативные ресурсы, необходимые для оказания помощи жертвам. Задачей Системы является объединение ресурсов, оценка рисков и осуществление эффективного мониторинга мер защиты, с</w:t>
      </w:r>
      <w:r w:rsidR="004F2765">
        <w:t> </w:t>
      </w:r>
      <w:r w:rsidRPr="00B112A4">
        <w:rPr>
          <w:lang w:val="es-ES"/>
        </w:rPr>
        <w:t xml:space="preserve">возможностью включения сведений о женщинах, получивших угрозы, и проведения постоянной оценки рисков, что позволяет принимать надлежащие меры в каждом конкретном случае. По состоянию на 31 декабря 2018 года в указанной Системе было зарегистрировано 523 199 случаев гендерного насилия в отношении женщин, в том </w:t>
      </w:r>
      <w:r w:rsidRPr="00B112A4">
        <w:rPr>
          <w:lang w:val="es-ES"/>
        </w:rPr>
        <w:lastRenderedPageBreak/>
        <w:t xml:space="preserve">числе 58 498 случаев в </w:t>
      </w:r>
      <w:r w:rsidR="00435B5F">
        <w:rPr>
          <w:lang w:val="es-ES"/>
        </w:rPr>
        <w:t>«</w:t>
      </w:r>
      <w:r w:rsidRPr="00B112A4">
        <w:rPr>
          <w:lang w:val="es-ES"/>
        </w:rPr>
        <w:t>активной фазе</w:t>
      </w:r>
      <w:r w:rsidR="00435B5F">
        <w:rPr>
          <w:lang w:val="es-ES"/>
        </w:rPr>
        <w:t>»</w:t>
      </w:r>
      <w:r w:rsidRPr="00B112A4">
        <w:rPr>
          <w:lang w:val="es-ES"/>
        </w:rPr>
        <w:t xml:space="preserve"> – правоохранительные органы осуществляли их мониторинг и/или предоставляли полицейскую защиту. Кроме того, существует </w:t>
      </w:r>
      <w:r w:rsidR="00435B5F">
        <w:rPr>
          <w:lang w:val="es-ES"/>
        </w:rPr>
        <w:t>«</w:t>
      </w:r>
      <w:r w:rsidRPr="00B112A4">
        <w:rPr>
          <w:lang w:val="es-ES"/>
        </w:rPr>
        <w:t>Система мониторинга при помощи телематических средств исполнения мер и судебных предписаний по делам в области гендерного насилия</w:t>
      </w:r>
      <w:r w:rsidR="00435B5F">
        <w:rPr>
          <w:lang w:val="es-ES"/>
        </w:rPr>
        <w:t>»</w:t>
      </w:r>
      <w:r w:rsidRPr="00B112A4">
        <w:rPr>
          <w:lang w:val="es-ES"/>
        </w:rPr>
        <w:t xml:space="preserve">. Также рассматривается возможность выдачи в исключительных обстоятельствах иностранным женщинам, ставшим жертвами гендерного насилия, временного вида на жительство с правом на работу в Испании. </w:t>
      </w:r>
    </w:p>
    <w:p w14:paraId="5B016FEC" w14:textId="77777777" w:rsidR="0088700C" w:rsidRPr="00B112A4" w:rsidRDefault="0088700C" w:rsidP="000749C6">
      <w:pPr>
        <w:pStyle w:val="H23G"/>
        <w:rPr>
          <w:lang w:val="es-ES"/>
        </w:rPr>
      </w:pPr>
      <w:r w:rsidRPr="00B112A4">
        <w:rPr>
          <w:lang w:val="es-ES"/>
        </w:rPr>
        <w:tab/>
      </w:r>
      <w:r w:rsidRPr="00B112A4">
        <w:rPr>
          <w:lang w:val="es-ES"/>
        </w:rPr>
        <w:tab/>
        <w:t>Торговля женщинами и девочками</w:t>
      </w:r>
    </w:p>
    <w:p w14:paraId="612F9C2E" w14:textId="77777777" w:rsidR="0088700C" w:rsidRPr="00B112A4" w:rsidRDefault="0088700C" w:rsidP="0088700C">
      <w:pPr>
        <w:pStyle w:val="SingleTxtG"/>
        <w:rPr>
          <w:lang w:val="es-ES"/>
        </w:rPr>
      </w:pPr>
      <w:r w:rsidRPr="00B112A4">
        <w:rPr>
          <w:lang w:val="es-ES"/>
        </w:rPr>
        <w:t>196.</w:t>
      </w:r>
      <w:r w:rsidRPr="00B112A4">
        <w:rPr>
          <w:lang w:val="es-ES"/>
        </w:rPr>
        <w:tab/>
        <w:t xml:space="preserve">Торговля людьми представляет собой крайне тяжкое преступление, посягающее на права человека; в настоящее время это преступление приобретает угрожающие масштабы, поскольку с ним связаны возможности получения огромных прибылей. Это одна из наиболее вопиющих и жестоких форм превращения человека в товар. В этом контексте следует отметить, в частности, внесение поправок в Уголовный кодекс (Органический закон № 1/2015 от 30 марта 2015 года). В новой редакции статьи 177-бис основное внимание уделяется криминализации торговли людьми с комплексной точки зрения: в ней в широком смысле рассматриваются понятие жертвы, тех форм эксплуатации, которым она может подвергаться, и средства осуществления такой эксплуатации. В этой статье в прямой форме указываются цели торговли людьми: принуждение к труду или оказанию услуг, рабству или видам деятельности, сходным с рабством, крепостничеством или попрошайничеством; сексуальная эксплуатация, в том числе в сфере порнографии; эксплуатация для осуществления преступной деятельности; изъятие органов жертвы; и принудительное заключение браков. Также следует подчеркнуть положение об освобождении жертвы от уголовной ответственности за преступления, которые она могла совершить в результате эксплуатации, которой она подвергалась, с учетом серьезности соответствующих деяний. </w:t>
      </w:r>
    </w:p>
    <w:p w14:paraId="7A877CAE" w14:textId="77777777" w:rsidR="0088700C" w:rsidRPr="00B112A4" w:rsidRDefault="0088700C" w:rsidP="0088700C">
      <w:pPr>
        <w:pStyle w:val="SingleTxtG"/>
        <w:rPr>
          <w:lang w:val="es-ES"/>
        </w:rPr>
      </w:pPr>
      <w:r w:rsidRPr="00B112A4">
        <w:rPr>
          <w:lang w:val="es-ES"/>
        </w:rPr>
        <w:t>197.</w:t>
      </w:r>
      <w:r w:rsidRPr="00B112A4">
        <w:rPr>
          <w:lang w:val="es-ES"/>
        </w:rPr>
        <w:tab/>
        <w:t>Кроме того, реформа Закона об иностранцах (Органический закон 2/2009 и Органический закон 10/2011 от 17 июля 2011 года) предусматривает специальный статус для иностранцев, находящихся в стране нелегально и являющихся жертвами торговли людьми. Об этой реформе говорится в статьях 140–146 Регламента Органического закона № 4/2000, утвержденного Королевским указом № 557/2011 от 20</w:t>
      </w:r>
      <w:r w:rsidR="004F2765">
        <w:t> </w:t>
      </w:r>
      <w:r w:rsidRPr="00B112A4">
        <w:rPr>
          <w:lang w:val="es-ES"/>
        </w:rPr>
        <w:t>апреля 2011 года, в котором отмечается положение, содержащееся в статье 140</w:t>
      </w:r>
      <w:r w:rsidR="004F2765">
        <w:t> </w:t>
      </w:r>
      <w:r w:rsidRPr="00B112A4">
        <w:rPr>
          <w:lang w:val="es-ES"/>
        </w:rPr>
        <w:t xml:space="preserve">вышеупомянутого регламента, о разработке Рамочного протокола защиты жертв торговли людьми, который был утвержден 28 октября 2011 года на основании соглашения, подписанного Министерством здравоохранения, социальной политики и равенства, Министерством внутренних дел, Министерством юстиции, Министерством труда и иммиграции, а также Генеральной прокуратурой и Генеральным советом судебной власти. В указанном Протоколе изложены шаги для обнаружения, идентификации, оказания помощи и защиты жертв торговли людьми, а также механизмы координации взаимодействия учреждений, участвующих в этих процессах: в нем определены инструменты  регулирования взаимоотношений между административными органами, в компетенцию которых входит этот вопрос, такие как коммуникация и сотрудничество с организациями и учреждениями, имеющими подтвержденный опыт оказания помощи жертвам торговли людьми, с целью обеспечения комплексного подхода к реализации различных этапов – от обнаружения жертвы до ее включение в общество или высылки. </w:t>
      </w:r>
    </w:p>
    <w:p w14:paraId="3AC71599" w14:textId="77777777" w:rsidR="0088700C" w:rsidRPr="00B112A4" w:rsidRDefault="0088700C" w:rsidP="0088700C">
      <w:pPr>
        <w:pStyle w:val="SingleTxtG"/>
        <w:rPr>
          <w:lang w:val="es-ES"/>
        </w:rPr>
      </w:pPr>
      <w:r w:rsidRPr="00B112A4">
        <w:rPr>
          <w:lang w:val="es-ES"/>
        </w:rPr>
        <w:t>198.</w:t>
      </w:r>
      <w:r w:rsidRPr="00B112A4">
        <w:rPr>
          <w:lang w:val="es-ES"/>
        </w:rPr>
        <w:tab/>
        <w:t>Кроме того, в государственной политике по противодействию торговле людьми следует отметить усиление борьбы с одной из форм такой торговли посредством реализации Комплексного плана по борьбе с торговлей людьми в целях сексуальной эксплуатации на 2009–2012 годы. По завершении оценки реализации указанного плана был принят Комплексный план по борьбе с торговлей женщинами и девочками в целях сексуальной эксплуатации на 2015–2018 годы</w:t>
      </w:r>
      <w:r w:rsidRPr="004F2765">
        <w:rPr>
          <w:sz w:val="18"/>
          <w:szCs w:val="18"/>
          <w:vertAlign w:val="superscript"/>
          <w:lang w:val="es-ES"/>
        </w:rPr>
        <w:footnoteReference w:id="8"/>
      </w:r>
      <w:r w:rsidRPr="00B112A4">
        <w:rPr>
          <w:lang w:val="es-ES"/>
        </w:rPr>
        <w:t xml:space="preserve">, в котором учитываются рекомендации, сделанные на основе оценок и докладов, подготовленных национальными и </w:t>
      </w:r>
      <w:r w:rsidRPr="00B112A4">
        <w:rPr>
          <w:lang w:val="es-ES"/>
        </w:rPr>
        <w:lastRenderedPageBreak/>
        <w:t>международными организациями. Наряду с этим следует также отметить включение в 2017 году Приложения о торговле людьми в целях сексуальной эксплуатации в Общий протокол работы медицинских служб Национальной системы здравоохранения в случаях гендерного насилия.</w:t>
      </w:r>
    </w:p>
    <w:p w14:paraId="02946820" w14:textId="77777777" w:rsidR="0088700C" w:rsidRPr="00B112A4" w:rsidRDefault="0088700C" w:rsidP="0088700C">
      <w:pPr>
        <w:pStyle w:val="SingleTxtG"/>
        <w:rPr>
          <w:lang w:val="es-ES"/>
        </w:rPr>
      </w:pPr>
      <w:r w:rsidRPr="00B112A4">
        <w:rPr>
          <w:lang w:val="es-ES"/>
        </w:rPr>
        <w:t>199.</w:t>
      </w:r>
      <w:r w:rsidRPr="00B112A4">
        <w:rPr>
          <w:lang w:val="es-ES"/>
        </w:rPr>
        <w:tab/>
        <w:t>Функционирует Комиссия по осуществлению последующей деятельности по выполнению Рамочного протокола защиты жертв торговли людьми. Со своей стороны, Социальный форум против торговли людьми способствует сотрудничеству между НПО и различными ведомствами. В 2014 году был создан институт Национального докладчика по вопросу о торговле людьми, в функции которого входят координация действий, информирование, мониторинг и контроль за последующими действиями Испании в этой области.</w:t>
      </w:r>
    </w:p>
    <w:p w14:paraId="126B496D" w14:textId="77777777" w:rsidR="0088700C" w:rsidRPr="00B112A4" w:rsidRDefault="0088700C" w:rsidP="0088700C">
      <w:pPr>
        <w:pStyle w:val="SingleTxtG"/>
        <w:rPr>
          <w:lang w:val="es-ES"/>
        </w:rPr>
      </w:pPr>
      <w:r w:rsidRPr="00B112A4">
        <w:rPr>
          <w:lang w:val="es-ES"/>
        </w:rPr>
        <w:t>200.</w:t>
      </w:r>
      <w:r w:rsidRPr="00B112A4">
        <w:rPr>
          <w:lang w:val="es-ES"/>
        </w:rPr>
        <w:tab/>
        <w:t>Что касается деятельности органов полиции, то следует отметить, что у органов государственной безопасности имеются конкретные планы полицейских мероприятий по борьбе с торговлей людьми во всех ее формах. К числу целей этих планов относятся:</w:t>
      </w:r>
    </w:p>
    <w:p w14:paraId="38EC9E1C" w14:textId="77777777" w:rsidR="0088700C" w:rsidRPr="00B112A4" w:rsidRDefault="000A7D5B" w:rsidP="000749C6">
      <w:pPr>
        <w:pStyle w:val="Bullet1G"/>
        <w:rPr>
          <w:lang w:val="es-ES"/>
        </w:rPr>
      </w:pPr>
      <w:r>
        <w:t>у</w:t>
      </w:r>
      <w:r w:rsidR="0088700C" w:rsidRPr="00B112A4">
        <w:rPr>
          <w:lang w:val="es-ES"/>
        </w:rPr>
        <w:t>силение мер по предотвращению преступлений, с уделением особого внимания сокращению спроса. Повышение эффективности выявления, защиты и оказания помощи жертвам. Более активное преследование торговцев людьми и преступных группировок, занимающихся этой деятельностью</w:t>
      </w:r>
      <w:r>
        <w:t>;</w:t>
      </w:r>
    </w:p>
    <w:p w14:paraId="687A7BE6" w14:textId="77777777" w:rsidR="0088700C" w:rsidRPr="00B112A4" w:rsidRDefault="000A7D5B" w:rsidP="000749C6">
      <w:pPr>
        <w:pStyle w:val="Bullet1G"/>
        <w:rPr>
          <w:lang w:val="es-ES"/>
        </w:rPr>
      </w:pPr>
      <w:r>
        <w:t>у</w:t>
      </w:r>
      <w:r w:rsidR="0088700C" w:rsidRPr="00B112A4">
        <w:rPr>
          <w:lang w:val="es-ES"/>
        </w:rPr>
        <w:t>крепление сотрудничества и взаимодействия между всеми соответствующими учреждениями на национальном и международном уровнях.</w:t>
      </w:r>
    </w:p>
    <w:p w14:paraId="3DF01DB1" w14:textId="77777777" w:rsidR="0088700C" w:rsidRPr="00B112A4" w:rsidRDefault="0088700C" w:rsidP="0088700C">
      <w:pPr>
        <w:pStyle w:val="SingleTxtG"/>
        <w:rPr>
          <w:lang w:val="es-ES"/>
        </w:rPr>
      </w:pPr>
      <w:r w:rsidRPr="00B112A4">
        <w:rPr>
          <w:lang w:val="es-ES"/>
        </w:rPr>
        <w:t>201.</w:t>
      </w:r>
      <w:r w:rsidRPr="00B112A4">
        <w:rPr>
          <w:lang w:val="es-ES"/>
        </w:rPr>
        <w:tab/>
        <w:t>В 2016 году Государственный секретариат по вопросам безопасности утвердил Инструкцию № 6/2016 в целях укрепления сотрудничества с неправительственными организациями и представителями гражданского общества в борьбе с торговлей людьми. Для этого Министерство внутренних дел распорядилось, чтобы Национальная полиция и Гражданская гвардия учредили должность Социального партнера по вопросу о торговле людьми, с тем чтобы не только получить новый инструмент для предотвращения этого вида преступления и борьбы с ним, но и содействовать координации действий сил и органов государственной безопасности с различными социальными органами и учреждениями в сфере обнаружения, выявления и оказания помощи жертвам.</w:t>
      </w:r>
    </w:p>
    <w:p w14:paraId="3FAFE1CC" w14:textId="77777777" w:rsidR="0088700C" w:rsidRPr="00B112A4" w:rsidRDefault="0088700C" w:rsidP="0088700C">
      <w:pPr>
        <w:pStyle w:val="SingleTxtG"/>
        <w:rPr>
          <w:lang w:val="es-ES"/>
        </w:rPr>
      </w:pPr>
      <w:r w:rsidRPr="00B112A4">
        <w:rPr>
          <w:lang w:val="es-ES"/>
        </w:rPr>
        <w:t>202.</w:t>
      </w:r>
      <w:r w:rsidRPr="00B112A4">
        <w:rPr>
          <w:lang w:val="es-ES"/>
        </w:rPr>
        <w:tab/>
        <w:t>Правительство занимается разработкой национального плана действий против обязательных работ и других видов принудительного труда. Этот план будет включать междисциплинарные меры по борьбе с торговлей людьми в целях принуждения к труду, сфокусированные на анализе этого явления, меры по предотвращению, повышению осведомленности и обучению в этой сфере, меры по обнаружению, расследованию и судебному преследованию нарушителей и защите и поддержке жертв, а также меры по международной координации и сотрудничеству.  В реализации этого национального плана будут участвовать Министерство труда, миграции и социального обеспечения, Министерство внутренних дел, Министерство иностранных дел, Европейского союза и сотрудничества, Министерство по делам правительства, взаимоотношениям с Кортесами и равноправию, Министерство юстиции, Министерство образования и профессиональной подготовки, а также Прокуратура. Кроме того, будет создан соответствующий координационный и контрольный механизм.</w:t>
      </w:r>
    </w:p>
    <w:p w14:paraId="5976286C" w14:textId="77777777" w:rsidR="0088700C" w:rsidRPr="00B112A4" w:rsidRDefault="0088700C" w:rsidP="0088700C">
      <w:pPr>
        <w:pStyle w:val="SingleTxtG"/>
        <w:rPr>
          <w:lang w:val="es-ES"/>
        </w:rPr>
      </w:pPr>
      <w:r w:rsidRPr="00B112A4">
        <w:rPr>
          <w:lang w:val="es-ES"/>
        </w:rPr>
        <w:t>203.</w:t>
      </w:r>
      <w:r w:rsidRPr="00B112A4">
        <w:rPr>
          <w:lang w:val="es-ES"/>
        </w:rPr>
        <w:tab/>
        <w:t>Что касается внешней политики, то Испания способствовала принятию важных резолюций по этому вопросу в рамках Организации Объединенных Наций, в том числе принятой единогласно резолюции 2331 (2016) Совета Безопасности ООН по вопросу о торговле людьми в условиях вооруженного конфликта. Наконец, важно упомянуть о сотрудничестве с Группой экспертов Совета Европы по борьбе с то</w:t>
      </w:r>
      <w:bookmarkStart w:id="3" w:name="_GoBack"/>
      <w:bookmarkEnd w:id="3"/>
      <w:r w:rsidRPr="00B112A4">
        <w:rPr>
          <w:lang w:val="es-ES"/>
        </w:rPr>
        <w:t>рговлей людьми (ГРЕТА), которая в 2017 году посетила Испанию.</w:t>
      </w:r>
    </w:p>
    <w:p w14:paraId="24F9A4DB" w14:textId="77777777" w:rsidR="0088700C" w:rsidRPr="00B112A4" w:rsidRDefault="0088700C" w:rsidP="000749C6">
      <w:pPr>
        <w:pStyle w:val="H23G"/>
        <w:rPr>
          <w:lang w:val="es-ES"/>
        </w:rPr>
      </w:pPr>
      <w:r w:rsidRPr="00B112A4">
        <w:rPr>
          <w:lang w:val="es-ES"/>
        </w:rPr>
        <w:tab/>
      </w:r>
      <w:r w:rsidRPr="00B112A4">
        <w:rPr>
          <w:lang w:val="es-ES"/>
        </w:rPr>
        <w:tab/>
        <w:t xml:space="preserve">Повестка дня по теме </w:t>
      </w:r>
      <w:r w:rsidR="00435B5F">
        <w:t>«</w:t>
      </w:r>
      <w:r w:rsidRPr="00B112A4">
        <w:rPr>
          <w:lang w:val="es-ES"/>
        </w:rPr>
        <w:t>Женщины, мир и безопасность</w:t>
      </w:r>
      <w:r w:rsidR="00435B5F">
        <w:t>»</w:t>
      </w:r>
    </w:p>
    <w:p w14:paraId="1836356F" w14:textId="77777777" w:rsidR="0088700C" w:rsidRPr="00B112A4" w:rsidRDefault="0088700C" w:rsidP="0088700C">
      <w:pPr>
        <w:pStyle w:val="SingleTxtG"/>
        <w:rPr>
          <w:lang w:val="es-ES"/>
        </w:rPr>
      </w:pPr>
      <w:r w:rsidRPr="00B112A4">
        <w:rPr>
          <w:lang w:val="es-ES"/>
        </w:rPr>
        <w:t>204.</w:t>
      </w:r>
      <w:r w:rsidRPr="00B112A4">
        <w:rPr>
          <w:lang w:val="es-ES"/>
        </w:rPr>
        <w:tab/>
        <w:t xml:space="preserve">В этой области следует подчеркнуть Национальный план действий правительства Испании по выполнению резолюции 1325 Совета Безопасности ООН, </w:t>
      </w:r>
      <w:r w:rsidRPr="00B112A4">
        <w:rPr>
          <w:lang w:val="es-ES"/>
        </w:rPr>
        <w:lastRenderedPageBreak/>
        <w:t>касающейся женщин, укрепления мира и безопасности, который представляет собой политическую основу для учета гендерных факторов в деятельности по предотвращению, регулированию и разрешению вооруженных конфликтов. Национальный план действий правительства Испании по выполнению резолюции</w:t>
      </w:r>
      <w:r w:rsidR="000A7D5B">
        <w:t> </w:t>
      </w:r>
      <w:r w:rsidRPr="00B112A4">
        <w:rPr>
          <w:lang w:val="es-ES"/>
        </w:rPr>
        <w:t>1325 ориентирован на достижение следующих шести целей:</w:t>
      </w:r>
    </w:p>
    <w:p w14:paraId="72ACAEED" w14:textId="77777777" w:rsidR="0088700C" w:rsidRPr="00B112A4" w:rsidRDefault="000A7D5B" w:rsidP="000749C6">
      <w:pPr>
        <w:pStyle w:val="Bullet1G"/>
        <w:rPr>
          <w:lang w:val="es-ES"/>
        </w:rPr>
      </w:pPr>
      <w:r>
        <w:t>р</w:t>
      </w:r>
      <w:r w:rsidR="0088700C" w:rsidRPr="00B112A4">
        <w:rPr>
          <w:lang w:val="es-ES"/>
        </w:rPr>
        <w:t>асширение представленности женщин в составе миротворческих миссий: в этой связи следует отметить работу Наблюдательного совета за деятельностью сил и органов государственной безопасности и Наблюдательного военного совета по вопросам равноправия</w:t>
      </w:r>
      <w:r>
        <w:t>;</w:t>
      </w:r>
    </w:p>
    <w:p w14:paraId="65BF9E80" w14:textId="77777777" w:rsidR="0088700C" w:rsidRPr="00B112A4" w:rsidRDefault="000A7D5B" w:rsidP="000749C6">
      <w:pPr>
        <w:pStyle w:val="Bullet1G"/>
        <w:rPr>
          <w:lang w:val="es-ES"/>
        </w:rPr>
      </w:pPr>
      <w:r>
        <w:t>у</w:t>
      </w:r>
      <w:r w:rsidR="0088700C" w:rsidRPr="00B112A4">
        <w:rPr>
          <w:lang w:val="es-ES"/>
        </w:rPr>
        <w:t>чет гендерных аспектов на всех этапах миротворческих миссий</w:t>
      </w:r>
      <w:r>
        <w:t>;</w:t>
      </w:r>
    </w:p>
    <w:p w14:paraId="03307DA1" w14:textId="77777777" w:rsidR="0088700C" w:rsidRPr="00B112A4" w:rsidRDefault="000A7D5B" w:rsidP="000749C6">
      <w:pPr>
        <w:pStyle w:val="Bullet1G"/>
        <w:rPr>
          <w:lang w:val="es-ES"/>
        </w:rPr>
      </w:pPr>
      <w:r>
        <w:t>с</w:t>
      </w:r>
      <w:r w:rsidR="0088700C" w:rsidRPr="00B112A4">
        <w:rPr>
          <w:lang w:val="es-ES"/>
        </w:rPr>
        <w:t>пециальная подготовка по гендерным вопросам для сотрудников миссий: в программы подготовки были включены аспекты, связанные с борьбой с торговлей людьми и с контрабандным провозом людей</w:t>
      </w:r>
      <w:r>
        <w:t>;</w:t>
      </w:r>
    </w:p>
    <w:p w14:paraId="765036E4" w14:textId="77777777" w:rsidR="0088700C" w:rsidRPr="00B112A4" w:rsidRDefault="000A7D5B" w:rsidP="000749C6">
      <w:pPr>
        <w:pStyle w:val="Bullet1G"/>
        <w:rPr>
          <w:lang w:val="es-ES"/>
        </w:rPr>
      </w:pPr>
      <w:r>
        <w:t>с</w:t>
      </w:r>
      <w:r w:rsidR="0088700C" w:rsidRPr="00B112A4">
        <w:rPr>
          <w:lang w:val="es-ES"/>
        </w:rPr>
        <w:t>облюдение прав человека женщин и девочек в условиях вооруженных конфликтов</w:t>
      </w:r>
      <w:r>
        <w:t>;</w:t>
      </w:r>
    </w:p>
    <w:p w14:paraId="7E56CBE0" w14:textId="77777777" w:rsidR="0088700C" w:rsidRPr="00B112A4" w:rsidRDefault="000A7D5B" w:rsidP="000749C6">
      <w:pPr>
        <w:pStyle w:val="Bullet1G"/>
        <w:rPr>
          <w:lang w:val="es-ES"/>
        </w:rPr>
      </w:pPr>
      <w:r>
        <w:t>о</w:t>
      </w:r>
      <w:r w:rsidR="0088700C" w:rsidRPr="00B112A4">
        <w:rPr>
          <w:lang w:val="es-ES"/>
        </w:rPr>
        <w:t>беспечение принципа равенства в процессах разоружения, демобилизации и реинтеграции</w:t>
      </w:r>
      <w:r>
        <w:t>;</w:t>
      </w:r>
    </w:p>
    <w:p w14:paraId="62D85BAA" w14:textId="77777777" w:rsidR="0088700C" w:rsidRPr="00B112A4" w:rsidRDefault="000A7D5B" w:rsidP="000749C6">
      <w:pPr>
        <w:pStyle w:val="Bullet1G"/>
        <w:rPr>
          <w:lang w:val="es-ES"/>
        </w:rPr>
      </w:pPr>
      <w:r>
        <w:t>с</w:t>
      </w:r>
      <w:r w:rsidR="0088700C" w:rsidRPr="00B112A4">
        <w:rPr>
          <w:lang w:val="es-ES"/>
        </w:rPr>
        <w:t>одействие участию гражданского общества в деятельности в данной сфере.</w:t>
      </w:r>
    </w:p>
    <w:p w14:paraId="21417C60" w14:textId="77777777" w:rsidR="0088700C" w:rsidRPr="00B112A4" w:rsidRDefault="0088700C" w:rsidP="0088700C">
      <w:pPr>
        <w:pStyle w:val="SingleTxtG"/>
        <w:rPr>
          <w:lang w:val="es-ES"/>
        </w:rPr>
      </w:pPr>
      <w:r w:rsidRPr="00B112A4">
        <w:rPr>
          <w:lang w:val="es-ES"/>
        </w:rPr>
        <w:t>205.</w:t>
      </w:r>
      <w:r w:rsidRPr="00B112A4">
        <w:rPr>
          <w:lang w:val="es-ES"/>
        </w:rPr>
        <w:tab/>
        <w:t>Обновление Национального плана действий стало одним из обязательств, которые Испания взяла на себя в октябре 2015 года. Работа по подготовке второго Национального плана действий началась с создания Неофициальной межведомственной группы по этому вопросу и каналов связи, через которые гражданское общество может участвовать в процессе разработки Плана. Проводились совещания, открытые для всех заинтересованных организаций гражданского общества, а также рабочие встречи с представителями указанных организаций, избранными самими организациями, что позволяло им оперативно участвовать в соответствующей работе. Второй Национальный план действий по вопросу о женщинах, укреплении мира и безопасности был утвержден Советом министров 28</w:t>
      </w:r>
      <w:r w:rsidR="000A7D5B">
        <w:t> </w:t>
      </w:r>
      <w:r w:rsidRPr="00B112A4">
        <w:rPr>
          <w:lang w:val="es-ES"/>
        </w:rPr>
        <w:t xml:space="preserve">июля 2017 года. План рассчитан на шесть лет и предусматривает подготовку докладов о последующей деятельности, которые подлежат представлению парламенту каждые два года. </w:t>
      </w:r>
    </w:p>
    <w:p w14:paraId="684D2CC3" w14:textId="77777777" w:rsidR="0088700C" w:rsidRPr="00B112A4" w:rsidRDefault="0088700C" w:rsidP="0088700C">
      <w:pPr>
        <w:pStyle w:val="SingleTxtG"/>
        <w:rPr>
          <w:lang w:val="es-ES"/>
        </w:rPr>
      </w:pPr>
      <w:r w:rsidRPr="00B112A4">
        <w:rPr>
          <w:lang w:val="es-ES"/>
        </w:rPr>
        <w:t>206.</w:t>
      </w:r>
      <w:r w:rsidRPr="00B112A4">
        <w:rPr>
          <w:lang w:val="es-ES"/>
        </w:rPr>
        <w:tab/>
        <w:t>В этой области следует также отметить участие в 2015 году, во время председательства Испании в Совете Безопасности, в продвижении совместно с Великобританией резолюции 2242 (2015), участие в создании Неофициальной группы экспертов Совета Безопасности по вопросу о женщинах, укреплении мира и безопасности (ЖМБ), предусмотренной в резолюции 2242, и совместное председательство Испании и Великобритании в этой группе в течение 2016 года, оказание содействия созданию Сети координационных центров деятельности по тематике ЖМБ в сентябре 2016 года, председателем которой Испания была в 2017</w:t>
      </w:r>
      <w:r w:rsidR="000A7D5B">
        <w:t> </w:t>
      </w:r>
      <w:r w:rsidRPr="00B112A4">
        <w:rPr>
          <w:lang w:val="es-ES"/>
        </w:rPr>
        <w:t>году, организация в рамках испано-голландской инициативы учебного Курса о комплексном подходе к гендерной проблематике в операционной деятельности, в</w:t>
      </w:r>
      <w:r w:rsidR="000A7D5B">
        <w:t> </w:t>
      </w:r>
      <w:r w:rsidRPr="00B112A4">
        <w:rPr>
          <w:lang w:val="es-ES"/>
        </w:rPr>
        <w:t>настоящее время проводимого четыре раза в год (два раза поочередно в</w:t>
      </w:r>
      <w:r w:rsidR="000A7D5B">
        <w:t> </w:t>
      </w:r>
      <w:r w:rsidRPr="00B112A4">
        <w:rPr>
          <w:lang w:val="es-ES"/>
        </w:rPr>
        <w:t xml:space="preserve">Амстердаме/Гааге и Мадриде и два раза в Найроби </w:t>
      </w:r>
      <w:r w:rsidR="000A7D5B">
        <w:t>–</w:t>
      </w:r>
      <w:r w:rsidRPr="00B112A4">
        <w:rPr>
          <w:lang w:val="es-ES"/>
        </w:rPr>
        <w:t xml:space="preserve"> при поддержке командования США в Африке АФРИКОМ), и участие представителя Испании в качестве Представителя ЕС по гендерным аспектам обучения в руководстве программой подготовки военнослужащих по гендерным вопросам. </w:t>
      </w:r>
    </w:p>
    <w:p w14:paraId="73BB3663" w14:textId="77777777" w:rsidR="0088700C" w:rsidRPr="00B112A4" w:rsidRDefault="0088700C" w:rsidP="0088700C">
      <w:pPr>
        <w:pStyle w:val="SingleTxtG"/>
        <w:rPr>
          <w:lang w:val="es-ES"/>
        </w:rPr>
      </w:pPr>
      <w:r w:rsidRPr="00B112A4">
        <w:rPr>
          <w:lang w:val="es-ES"/>
        </w:rPr>
        <w:t>207.</w:t>
      </w:r>
      <w:r w:rsidRPr="00B112A4">
        <w:rPr>
          <w:lang w:val="es-ES"/>
        </w:rPr>
        <w:tab/>
        <w:t>Увеличилось присутствие женщин в Вооруженных силах и органах государственной безопасности. Доля женщин среди служащих Гражданской гвардии увеличилась с 6,86% по состоянию на 1 января 2017 года до 7,29% на 1 января 2019</w:t>
      </w:r>
      <w:r w:rsidR="000A7D5B">
        <w:t> </w:t>
      </w:r>
      <w:r w:rsidRPr="00B112A4">
        <w:rPr>
          <w:lang w:val="es-ES"/>
        </w:rPr>
        <w:t xml:space="preserve">года. Что касается Национальной полиции, то там доля женщин составляет 14,29%. Женщины назначаются на должности высшего уровня </w:t>
      </w:r>
      <w:r w:rsidR="000A7D5B">
        <w:t>–</w:t>
      </w:r>
      <w:r w:rsidRPr="00B112A4">
        <w:rPr>
          <w:lang w:val="es-ES"/>
        </w:rPr>
        <w:t xml:space="preserve"> главного комиссара (члена Управляющего совета) в Национальном полицейском корпусе. В настоящее время две женщины в чине главного комиссара являются членами Управляющего совета Национальной полиции и занимают две из наиболее ответственных должностей, а именно: заместителя генерального директора по управлению людскими </w:t>
      </w:r>
      <w:r w:rsidRPr="00B112A4">
        <w:rPr>
          <w:lang w:val="es-ES"/>
        </w:rPr>
        <w:lastRenderedPageBreak/>
        <w:t>ресурсами и профессиональной подготовке и заместителя генерального директора штаба. В рядах Гражданской гвардии есть женщина в звании подполковника. За</w:t>
      </w:r>
      <w:r w:rsidR="000A7D5B">
        <w:t> </w:t>
      </w:r>
      <w:r w:rsidRPr="00B112A4">
        <w:rPr>
          <w:lang w:val="es-ES"/>
        </w:rPr>
        <w:t>период с 2000 года представленность женщин в Вооруженных силах практически удвоилось: с 6,6% до 12,5% по состоянию на июль 2014 года. Кроме того, в настоящее время 192 военнослужащих-женщин находятся в составе зарубежных миссий за рубежом, что составляет 8,22% от общего числа испанских военнослужащих, принимающих участие в миссиях такого типа.</w:t>
      </w:r>
    </w:p>
    <w:p w14:paraId="70227656" w14:textId="77777777" w:rsidR="0088700C" w:rsidRPr="00B112A4" w:rsidRDefault="0088700C" w:rsidP="000749C6">
      <w:pPr>
        <w:pStyle w:val="H1G"/>
        <w:rPr>
          <w:lang w:val="es-ES"/>
        </w:rPr>
      </w:pPr>
      <w:r w:rsidRPr="00B112A4">
        <w:rPr>
          <w:lang w:val="es-ES"/>
        </w:rPr>
        <w:tab/>
        <w:t>C.</w:t>
      </w:r>
      <w:r w:rsidRPr="00B112A4">
        <w:rPr>
          <w:lang w:val="es-ES"/>
        </w:rPr>
        <w:tab/>
        <w:t>Недопущение дискриминации по признаку сексуальной ориентации</w:t>
      </w:r>
    </w:p>
    <w:p w14:paraId="7522C38A" w14:textId="77777777" w:rsidR="0088700C" w:rsidRPr="00B112A4" w:rsidRDefault="0088700C" w:rsidP="0088700C">
      <w:pPr>
        <w:pStyle w:val="SingleTxtG"/>
        <w:rPr>
          <w:lang w:val="es-ES"/>
        </w:rPr>
      </w:pPr>
      <w:r w:rsidRPr="00B112A4">
        <w:rPr>
          <w:lang w:val="es-ES"/>
        </w:rPr>
        <w:t>208.</w:t>
      </w:r>
      <w:r w:rsidRPr="00B112A4">
        <w:rPr>
          <w:lang w:val="es-ES"/>
        </w:rPr>
        <w:tab/>
        <w:t>В соответствии с положениями статьи 6 Королевского указа № 816/2018 от</w:t>
      </w:r>
      <w:r w:rsidR="000A7D5B">
        <w:t> </w:t>
      </w:r>
      <w:r w:rsidRPr="00B112A4">
        <w:rPr>
          <w:lang w:val="es-ES"/>
        </w:rPr>
        <w:t>6</w:t>
      </w:r>
      <w:r w:rsidR="000A7D5B">
        <w:t> </w:t>
      </w:r>
      <w:r w:rsidRPr="00B112A4">
        <w:rPr>
          <w:lang w:val="es-ES"/>
        </w:rPr>
        <w:t xml:space="preserve">июля 2018 года Главное управление по вопросам равного обращения и многообразия, входящее в состав Секретариата по вопросам равноправия Министерства по делам правительства, отношений с Кортесами и вопросам равенства, обладает конкретными компетенциями в отношении положения представителей сообщества ЛГБТИ. В частности, оно полномочно:  обеспечивать равенство и недискриминацию по признаку сексуальной ориентации и гендерной идентичности в сфере образования, без ущерба для компетенции Министерства образования и профессиональной подготовки; проводить анализ законодательной базы в отношении недискриминации представителей ЛГБТИ; осуществлять контроль за соблюдением законодательной базы для защиты в сфере занятости и недискриминации по признаку сексуальной ориентации и гендерной идентичности, без ущерба для компетенции Министерства труда, миграции и социального обеспечения; обеспечивать сбор данных и статистический анализ преступлений на почве ненависти, совершенных в отношении представителей ЛГБТИ, в сотрудничестве с департаментами министерств, обладающими компетенцией в данном вопросе; рассматривать случаи жестокого обращения в отношениях с представителями ЛГБТИ, и оказывать содействие проведению информационных кампаний по борьбе с дискриминацией по признаку сексуальной ориентации и гендерной идентичности. В порядке реализации своих компетенций и с учетом того, что двумя из наиболее приоритетных направлений деятельности по борьбе с ЛГБТИ-фобией являются образование и занятость, Главное управление по вопросам равного обращения и многообразия занимается разработкой двух конкретных проектов: проекта </w:t>
      </w:r>
      <w:r w:rsidR="00435B5F">
        <w:rPr>
          <w:lang w:val="es-ES"/>
        </w:rPr>
        <w:t>«</w:t>
      </w:r>
      <w:r w:rsidRPr="00B112A4">
        <w:rPr>
          <w:lang w:val="es-ES"/>
        </w:rPr>
        <w:t>Принять многообразие: ответственность в сфере образования. Учебные мероприятия, направленные на борьбу с издевательствами в школах на почве гомофобии и трансфобии</w:t>
      </w:r>
      <w:r w:rsidR="00435B5F">
        <w:rPr>
          <w:lang w:val="es-ES"/>
        </w:rPr>
        <w:t>»</w:t>
      </w:r>
      <w:r w:rsidRPr="00B112A4">
        <w:rPr>
          <w:lang w:val="es-ES"/>
        </w:rPr>
        <w:t xml:space="preserve"> и проекта </w:t>
      </w:r>
      <w:r w:rsidR="00435B5F">
        <w:rPr>
          <w:lang w:val="es-ES"/>
        </w:rPr>
        <w:t>«</w:t>
      </w:r>
      <w:r w:rsidRPr="00B112A4">
        <w:rPr>
          <w:lang w:val="es-ES"/>
        </w:rPr>
        <w:t>Добиться прогресса в управлении ЛГБТ-многообразием в государственном и частном секторах</w:t>
      </w:r>
      <w:r w:rsidR="00435B5F">
        <w:rPr>
          <w:lang w:val="es-ES"/>
        </w:rPr>
        <w:t>»</w:t>
      </w:r>
      <w:r w:rsidR="000A7D5B">
        <w:t>.</w:t>
      </w:r>
      <w:r w:rsidRPr="00B112A4">
        <w:rPr>
          <w:lang w:val="es-ES"/>
        </w:rPr>
        <w:t xml:space="preserve"> Эти</w:t>
      </w:r>
      <w:r w:rsidR="000A7D5B">
        <w:t> </w:t>
      </w:r>
      <w:r w:rsidRPr="00B112A4">
        <w:rPr>
          <w:lang w:val="es-ES"/>
        </w:rPr>
        <w:t xml:space="preserve">проекты осуществляются в сотрудничестве с правительством Португалии и Мадридским университетом Комплутенсе. В реализации проектов участвуют в общей сложности 17 предприятий и 8 университетов Испании и Португалии. В рамках работы по данному направлению была выпущена публикация </w:t>
      </w:r>
      <w:r w:rsidR="00435B5F">
        <w:rPr>
          <w:lang w:val="es-ES"/>
        </w:rPr>
        <w:t>«</w:t>
      </w:r>
      <w:r w:rsidRPr="00B112A4">
        <w:rPr>
          <w:lang w:val="es-ES"/>
        </w:rPr>
        <w:t>Представители ЛГБТ в сфере занятости в Испании: создание инклюзивной рабочей среды для всех граждан, независимо от сексуальной ориентации, гендерной идентичности и самовыражения</w:t>
      </w:r>
      <w:r w:rsidR="00435B5F">
        <w:rPr>
          <w:lang w:val="es-ES"/>
        </w:rPr>
        <w:t>»</w:t>
      </w:r>
      <w:r w:rsidRPr="00B112A4">
        <w:rPr>
          <w:lang w:val="es-ES"/>
        </w:rPr>
        <w:t>.</w:t>
      </w:r>
    </w:p>
    <w:p w14:paraId="51B4808A" w14:textId="77777777" w:rsidR="0088700C" w:rsidRPr="00B112A4" w:rsidRDefault="0088700C" w:rsidP="0088700C">
      <w:pPr>
        <w:pStyle w:val="SingleTxtG"/>
        <w:rPr>
          <w:lang w:val="es-ES"/>
        </w:rPr>
      </w:pPr>
      <w:r w:rsidRPr="00B112A4">
        <w:rPr>
          <w:lang w:val="es-ES"/>
        </w:rPr>
        <w:t>209.</w:t>
      </w:r>
      <w:r w:rsidRPr="00B112A4">
        <w:rPr>
          <w:lang w:val="es-ES"/>
        </w:rPr>
        <w:tab/>
        <w:t>Кроме того, Государственный секретариат по вопросам равенства участвует в Соглашении об институциональном сотрудничестве в борьбе против расизма, ксенофобии, нетерпимости в отношении представителей сообщества ЛГБТИ и других форм нетерпимости, подписанном Генеральным советом судебной власти, Генеральной прокуратурой, Министерством юстиции, Министерством внутренних дел, Министерством образования и профессиональной подготовки, Министерством труда, миграции и социального обеспечения, Министерством по делам правительства, отношений с Кортесами и вопросам равенства, Министерством культуры и спорта и Центром правовых исследований.</w:t>
      </w:r>
    </w:p>
    <w:p w14:paraId="14B40E45" w14:textId="77777777" w:rsidR="0088700C" w:rsidRPr="00B112A4" w:rsidRDefault="0088700C" w:rsidP="0088700C">
      <w:pPr>
        <w:pStyle w:val="SingleTxtG"/>
        <w:rPr>
          <w:lang w:val="es-ES"/>
        </w:rPr>
      </w:pPr>
      <w:r w:rsidRPr="00B112A4">
        <w:rPr>
          <w:lang w:val="es-ES"/>
        </w:rPr>
        <w:t>210.</w:t>
      </w:r>
      <w:r w:rsidRPr="00B112A4">
        <w:rPr>
          <w:lang w:val="es-ES"/>
        </w:rPr>
        <w:tab/>
        <w:t>Следует отметить, что 23 октября 2018 года Министерство юстиции утвердило инструкцию, направленную на облегчение работы отделов записи актов гражданского состояния по смене имени для несовершеннолетних или взрослых лиц путем присвоение имени, которое соответствует полу, отличному от того, который был записан при регистрации рождения.</w:t>
      </w:r>
    </w:p>
    <w:p w14:paraId="5A942244" w14:textId="77777777" w:rsidR="0088700C" w:rsidRPr="00B112A4" w:rsidRDefault="0088700C" w:rsidP="0088700C">
      <w:pPr>
        <w:pStyle w:val="SingleTxtG"/>
        <w:rPr>
          <w:lang w:val="es-ES"/>
        </w:rPr>
      </w:pPr>
      <w:r w:rsidRPr="00B112A4">
        <w:rPr>
          <w:lang w:val="es-ES"/>
        </w:rPr>
        <w:lastRenderedPageBreak/>
        <w:t>211.</w:t>
      </w:r>
      <w:r w:rsidRPr="00B112A4">
        <w:rPr>
          <w:lang w:val="es-ES"/>
        </w:rPr>
        <w:tab/>
        <w:t>В настоящее время в Конгрессе депутатов обсуждается несколько инициатив, которые направлены на укрепление правовых рамок равного обращения и недискриминации: Комплексного закона о равном обращении, Закона о борьбе с дискриминацией по признаку сексуальной ориентации, идентичности или выражения гендерных и сексуальных характеристик, а также социального равенства лесбиянок, геев, бисексуалов, транссексуалов, трансгендеров и интерсексуалов и законопроекта о внесении поправок в Закон 3/2007 относительно внесения в регистрационные записи исправлений, касающихся половой принадлежности, с тем чтобы, в частности, облегчить процедуру изменения имени и регистрационной записи пола транссексуалов.</w:t>
      </w:r>
    </w:p>
    <w:p w14:paraId="7FF36331" w14:textId="77777777" w:rsidR="0088700C" w:rsidRPr="00B112A4" w:rsidRDefault="0088700C" w:rsidP="0088700C">
      <w:pPr>
        <w:pStyle w:val="SingleTxtG"/>
        <w:rPr>
          <w:lang w:val="es-ES"/>
        </w:rPr>
      </w:pPr>
      <w:r w:rsidRPr="00B112A4">
        <w:rPr>
          <w:lang w:val="es-ES"/>
        </w:rPr>
        <w:t>212.</w:t>
      </w:r>
      <w:r w:rsidRPr="00B112A4">
        <w:rPr>
          <w:lang w:val="es-ES"/>
        </w:rPr>
        <w:tab/>
        <w:t xml:space="preserve">В рамках своей внешней политики в области прав человека Испания принимает многочисленные и разнообразные меры по защите прав представителей сообщества ЛГБТИ как на двустороннем уровне совместно с третьими странами, так и на различных многосторонних форумах. Одним из таких форумов является Совет по правам человека. Испания принимает активное участие в работе механизма универсального периодического обзора Совета по правам человека, задавая вопросы и участвуя в выработке рекомендаций, адресованных тем странам, в которых выявляют нарушения прав человека представителей ЛГБТИ. В 2016 году Испания стала одним из авторов резолюции, в соответствии с которой Совет по правам человека учредил мандат Независимого эксперта ООН по вопросу о защите от насилия и дискриминации по признаку сексуальной ориентации и гендерной идентичности. Испания активно поддерживала и поддерживает в настоящее время работу двух соответствующих независимых экспертов, участвует в интерактивных диалогах, проводимых в рамках сессий Совета по правам человека, и отвечает на направляемые правительству Испании запросы о предоставлении информации, касающейся положения представителей ЛГБТИ. Кроме того, Испания является членом-основателем </w:t>
      </w:r>
      <w:r w:rsidR="00435B5F">
        <w:rPr>
          <w:lang w:val="es-ES"/>
        </w:rPr>
        <w:t>«</w:t>
      </w:r>
      <w:r w:rsidRPr="00B112A4">
        <w:rPr>
          <w:lang w:val="es-ES"/>
        </w:rPr>
        <w:t>Коалиции за равные права</w:t>
      </w:r>
      <w:r w:rsidR="00435B5F">
        <w:rPr>
          <w:lang w:val="es-ES"/>
        </w:rPr>
        <w:t>»</w:t>
      </w:r>
      <w:r w:rsidRPr="00B112A4">
        <w:rPr>
          <w:lang w:val="es-ES"/>
        </w:rPr>
        <w:t xml:space="preserve"> (межправительственной структуры для содействию многостороннему сотрудничеству и обмену информацией и передовым опытом в области защиты и поощрения прав представителей сообщества ЛГБТИ), а в 2017 году страна вошла в состав </w:t>
      </w:r>
      <w:r w:rsidR="00435B5F">
        <w:rPr>
          <w:lang w:val="es-ES"/>
        </w:rPr>
        <w:t>«</w:t>
      </w:r>
      <w:r w:rsidRPr="00B112A4">
        <w:rPr>
          <w:lang w:val="es-ES"/>
        </w:rPr>
        <w:t>Основной группы по ЛГБТИ</w:t>
      </w:r>
      <w:r w:rsidR="00435B5F">
        <w:rPr>
          <w:lang w:val="es-ES"/>
        </w:rPr>
        <w:t>»</w:t>
      </w:r>
      <w:r w:rsidRPr="00B112A4">
        <w:rPr>
          <w:lang w:val="es-ES"/>
        </w:rPr>
        <w:t xml:space="preserve"> Организации Объединенных Наций</w:t>
      </w:r>
      <w:r w:rsidR="000A7D5B">
        <w:t> </w:t>
      </w:r>
      <w:r w:rsidRPr="00B112A4">
        <w:rPr>
          <w:lang w:val="es-ES"/>
        </w:rPr>
        <w:t>–</w:t>
      </w:r>
      <w:r w:rsidR="000A7D5B">
        <w:t> </w:t>
      </w:r>
      <w:r w:rsidRPr="00B112A4">
        <w:rPr>
          <w:lang w:val="es-ES"/>
        </w:rPr>
        <w:t>неофициальной и неоднородной по своему составу сети стран, международных организаций, НПО и организаций гражданского общества, созданной для привлечения внимания к требованиям и претензиям сообщества ЛГБТИ и оказания ему поддержки в рамках Организации Объединенных Наций.</w:t>
      </w:r>
    </w:p>
    <w:p w14:paraId="37313C7F" w14:textId="77777777" w:rsidR="0088700C" w:rsidRDefault="0088700C">
      <w:pPr>
        <w:suppressAutoHyphens w:val="0"/>
        <w:spacing w:line="240" w:lineRule="auto"/>
        <w:rPr>
          <w:rFonts w:eastAsia="Times New Roman" w:cs="Times New Roman"/>
          <w:szCs w:val="20"/>
          <w:lang w:val="es-ES"/>
        </w:rPr>
      </w:pPr>
      <w:r>
        <w:rPr>
          <w:lang w:val="es-ES"/>
        </w:rPr>
        <w:br w:type="page"/>
      </w:r>
    </w:p>
    <w:p w14:paraId="76EAAAFA" w14:textId="77777777" w:rsidR="0088700C" w:rsidRPr="00B112A4" w:rsidRDefault="0088700C" w:rsidP="000749C6">
      <w:pPr>
        <w:pStyle w:val="HChG"/>
        <w:rPr>
          <w:lang w:val="es-ES"/>
        </w:rPr>
      </w:pPr>
      <w:r w:rsidRPr="00B112A4">
        <w:rPr>
          <w:lang w:val="es-ES"/>
        </w:rPr>
        <w:lastRenderedPageBreak/>
        <w:t>Anexos</w:t>
      </w:r>
    </w:p>
    <w:p w14:paraId="23AE26AB" w14:textId="77777777" w:rsidR="0088700C" w:rsidRPr="00B112A4" w:rsidRDefault="0088700C" w:rsidP="000749C6">
      <w:pPr>
        <w:pStyle w:val="SingleTxtG"/>
        <w:jc w:val="right"/>
        <w:rPr>
          <w:lang w:val="es-ES"/>
        </w:rPr>
      </w:pPr>
      <w:r w:rsidRPr="00B112A4">
        <w:rPr>
          <w:lang w:val="es-ES"/>
        </w:rPr>
        <w:tab/>
        <w:t>[</w:t>
      </w:r>
      <w:proofErr w:type="gramStart"/>
      <w:r w:rsidRPr="00B112A4">
        <w:rPr>
          <w:lang w:val="es-ES"/>
        </w:rPr>
        <w:t>Español</w:t>
      </w:r>
      <w:proofErr w:type="gramEnd"/>
      <w:r w:rsidRPr="00B112A4">
        <w:rPr>
          <w:lang w:val="es-ES"/>
        </w:rPr>
        <w:t xml:space="preserve"> únicamente]</w:t>
      </w:r>
    </w:p>
    <w:p w14:paraId="6B0E2CAF" w14:textId="77777777" w:rsidR="0088700C" w:rsidRPr="00B112A4" w:rsidRDefault="0088700C" w:rsidP="000749C6">
      <w:pPr>
        <w:pStyle w:val="HChG"/>
        <w:rPr>
          <w:lang w:val="es-ES"/>
        </w:rPr>
      </w:pPr>
      <w:r w:rsidRPr="00B112A4">
        <w:rPr>
          <w:lang w:val="es-ES"/>
        </w:rPr>
        <w:t>Anexo I</w:t>
      </w:r>
    </w:p>
    <w:p w14:paraId="19D5291E" w14:textId="77777777" w:rsidR="0088700C" w:rsidRPr="00B112A4" w:rsidRDefault="0088700C" w:rsidP="000749C6">
      <w:pPr>
        <w:pStyle w:val="HChG"/>
        <w:rPr>
          <w:lang w:val="es-ES"/>
        </w:rPr>
      </w:pPr>
      <w:r w:rsidRPr="00B112A4">
        <w:rPr>
          <w:lang w:val="es-ES"/>
        </w:rPr>
        <w:tab/>
      </w:r>
      <w:r w:rsidRPr="00B112A4">
        <w:rPr>
          <w:lang w:val="es-ES"/>
        </w:rPr>
        <w:tab/>
        <w:t>Partidos y coaliciones con representación en las Cortes Generales (XI Legislatura)</w:t>
      </w:r>
    </w:p>
    <w:p w14:paraId="21971AF9" w14:textId="77777777" w:rsidR="0088700C" w:rsidRPr="00B112A4" w:rsidRDefault="0088700C" w:rsidP="000749C6">
      <w:pPr>
        <w:pStyle w:val="H1G"/>
        <w:rPr>
          <w:lang w:val="es-ES"/>
        </w:rPr>
      </w:pPr>
      <w:r w:rsidRPr="00B112A4">
        <w:rPr>
          <w:lang w:val="es-ES"/>
        </w:rPr>
        <w:tab/>
      </w:r>
      <w:r w:rsidRPr="00B112A4">
        <w:rPr>
          <w:lang w:val="es-ES"/>
        </w:rPr>
        <w:tab/>
        <w:t xml:space="preserve">Congreso de los Diputados </w:t>
      </w:r>
    </w:p>
    <w:p w14:paraId="3CF28957" w14:textId="77777777" w:rsidR="0088700C" w:rsidRPr="00B112A4" w:rsidRDefault="0088700C" w:rsidP="000749C6">
      <w:pPr>
        <w:pStyle w:val="Bullet1G"/>
        <w:rPr>
          <w:lang w:val="es-ES"/>
        </w:rPr>
      </w:pPr>
      <w:r w:rsidRPr="00B112A4">
        <w:rPr>
          <w:lang w:val="es-ES"/>
        </w:rPr>
        <w:t xml:space="preserve">Partido Popular: 137 diputados </w:t>
      </w:r>
    </w:p>
    <w:p w14:paraId="3F8BA200" w14:textId="77777777" w:rsidR="0088700C" w:rsidRPr="00B112A4" w:rsidRDefault="0088700C" w:rsidP="000749C6">
      <w:pPr>
        <w:pStyle w:val="Bullet1G"/>
        <w:rPr>
          <w:lang w:val="es-ES"/>
        </w:rPr>
      </w:pPr>
      <w:r w:rsidRPr="00B112A4">
        <w:rPr>
          <w:lang w:val="es-ES"/>
        </w:rPr>
        <w:t>Partido Socialista Obrero Español: 85 diputados</w:t>
      </w:r>
    </w:p>
    <w:p w14:paraId="6AD2BA35" w14:textId="77777777" w:rsidR="0088700C" w:rsidRPr="00B112A4" w:rsidRDefault="0088700C" w:rsidP="000749C6">
      <w:pPr>
        <w:pStyle w:val="Bullet1G"/>
        <w:rPr>
          <w:lang w:val="es-ES"/>
        </w:rPr>
      </w:pPr>
      <w:r w:rsidRPr="00B112A4">
        <w:rPr>
          <w:lang w:val="es-ES"/>
        </w:rPr>
        <w:t>Unidos Podemos: 45 diputados</w:t>
      </w:r>
    </w:p>
    <w:p w14:paraId="313E65C9" w14:textId="77777777" w:rsidR="0088700C" w:rsidRPr="00B112A4" w:rsidRDefault="0088700C" w:rsidP="000749C6">
      <w:pPr>
        <w:pStyle w:val="Bullet1G"/>
        <w:rPr>
          <w:lang w:val="es-ES"/>
        </w:rPr>
      </w:pPr>
      <w:r w:rsidRPr="00B112A4">
        <w:rPr>
          <w:lang w:val="es-ES"/>
        </w:rPr>
        <w:t>Ciudadanos-Partido de la Ciudadanía: 32 diputados</w:t>
      </w:r>
    </w:p>
    <w:p w14:paraId="41D3A477" w14:textId="77777777" w:rsidR="0088700C" w:rsidRPr="00B112A4" w:rsidRDefault="0088700C" w:rsidP="000749C6">
      <w:pPr>
        <w:pStyle w:val="Bullet1G"/>
        <w:rPr>
          <w:lang w:val="es-ES"/>
        </w:rPr>
      </w:pPr>
      <w:r w:rsidRPr="00B112A4">
        <w:rPr>
          <w:lang w:val="es-ES"/>
        </w:rPr>
        <w:t>En Comú Podem-Guanyem el Canvi: 12 diputados</w:t>
      </w:r>
    </w:p>
    <w:p w14:paraId="6F5937E7" w14:textId="77777777" w:rsidR="0088700C" w:rsidRPr="00B112A4" w:rsidRDefault="0088700C" w:rsidP="000749C6">
      <w:pPr>
        <w:pStyle w:val="Bullet1G"/>
        <w:rPr>
          <w:lang w:val="es-ES"/>
        </w:rPr>
      </w:pPr>
      <w:r w:rsidRPr="00B112A4">
        <w:rPr>
          <w:lang w:val="es-ES"/>
        </w:rPr>
        <w:t>Compromís-Podemos-Eupv: a la valenciana: 9 diputados</w:t>
      </w:r>
    </w:p>
    <w:p w14:paraId="4CC28E7B" w14:textId="77777777" w:rsidR="0088700C" w:rsidRPr="00B112A4" w:rsidRDefault="0088700C" w:rsidP="000749C6">
      <w:pPr>
        <w:pStyle w:val="Bullet1G"/>
        <w:rPr>
          <w:lang w:val="es-ES"/>
        </w:rPr>
      </w:pPr>
      <w:r w:rsidRPr="00B112A4">
        <w:rPr>
          <w:lang w:val="es-ES"/>
        </w:rPr>
        <w:t>Esquerra Republicana/Catalunya Sí: 9 diputados</w:t>
      </w:r>
    </w:p>
    <w:p w14:paraId="5EE0DE5F" w14:textId="77777777" w:rsidR="0088700C" w:rsidRPr="00B112A4" w:rsidRDefault="0088700C" w:rsidP="000749C6">
      <w:pPr>
        <w:pStyle w:val="Bullet1G"/>
        <w:rPr>
          <w:lang w:val="es-ES"/>
        </w:rPr>
      </w:pPr>
      <w:r w:rsidRPr="00B112A4">
        <w:rPr>
          <w:lang w:val="es-ES"/>
        </w:rPr>
        <w:t>Convergència Democràtica de Catalunya: 8 diputados</w:t>
      </w:r>
    </w:p>
    <w:p w14:paraId="73BFCC9B" w14:textId="77777777" w:rsidR="0088700C" w:rsidRPr="00B112A4" w:rsidRDefault="0088700C" w:rsidP="000749C6">
      <w:pPr>
        <w:pStyle w:val="Bullet1G"/>
        <w:rPr>
          <w:lang w:val="es-ES"/>
        </w:rPr>
      </w:pPr>
      <w:r w:rsidRPr="00B112A4">
        <w:rPr>
          <w:lang w:val="es-ES"/>
        </w:rPr>
        <w:t>En Marea: 5 diputados</w:t>
      </w:r>
    </w:p>
    <w:p w14:paraId="20195E4E" w14:textId="77777777" w:rsidR="0088700C" w:rsidRPr="00B112A4" w:rsidRDefault="0088700C" w:rsidP="000749C6">
      <w:pPr>
        <w:pStyle w:val="Bullet1G"/>
        <w:rPr>
          <w:lang w:val="es-ES"/>
        </w:rPr>
      </w:pPr>
      <w:r w:rsidRPr="00B112A4">
        <w:rPr>
          <w:lang w:val="es-ES"/>
        </w:rPr>
        <w:t>Euzko Alderdi Jeltzalea-Partido Nacionalista Vasco: 5 diputados</w:t>
      </w:r>
    </w:p>
    <w:p w14:paraId="0843A3E4" w14:textId="77777777" w:rsidR="0088700C" w:rsidRPr="00B112A4" w:rsidRDefault="0088700C" w:rsidP="000749C6">
      <w:pPr>
        <w:pStyle w:val="Bullet1G"/>
        <w:rPr>
          <w:lang w:val="es-ES"/>
        </w:rPr>
      </w:pPr>
      <w:r w:rsidRPr="00B112A4">
        <w:rPr>
          <w:lang w:val="es-ES"/>
        </w:rPr>
        <w:t>Euskal Herria Bildu: 2 diputados</w:t>
      </w:r>
    </w:p>
    <w:p w14:paraId="25F3153B" w14:textId="77777777" w:rsidR="0088700C" w:rsidRPr="00B112A4" w:rsidRDefault="0088700C" w:rsidP="000749C6">
      <w:pPr>
        <w:pStyle w:val="Bullet1G"/>
        <w:rPr>
          <w:lang w:val="es-ES"/>
        </w:rPr>
      </w:pPr>
      <w:r w:rsidRPr="00B112A4">
        <w:rPr>
          <w:lang w:val="es-ES"/>
        </w:rPr>
        <w:t>Coalición Canaria-Partido Nacionalista Canario: 1 diputados</w:t>
      </w:r>
    </w:p>
    <w:p w14:paraId="79824322" w14:textId="77777777" w:rsidR="0088700C" w:rsidRPr="00B112A4" w:rsidRDefault="0088700C" w:rsidP="000749C6">
      <w:pPr>
        <w:pStyle w:val="H1G"/>
        <w:rPr>
          <w:lang w:val="es-ES"/>
        </w:rPr>
      </w:pPr>
      <w:r w:rsidRPr="00B112A4">
        <w:rPr>
          <w:lang w:val="es-ES"/>
        </w:rPr>
        <w:tab/>
      </w:r>
      <w:r w:rsidRPr="00B112A4">
        <w:rPr>
          <w:lang w:val="es-ES"/>
        </w:rPr>
        <w:tab/>
        <w:t>Senado</w:t>
      </w:r>
    </w:p>
    <w:p w14:paraId="1556733A" w14:textId="77777777" w:rsidR="0088700C" w:rsidRPr="00B112A4" w:rsidRDefault="0088700C" w:rsidP="000749C6">
      <w:pPr>
        <w:pStyle w:val="Bullet1G"/>
        <w:rPr>
          <w:lang w:val="es-ES"/>
        </w:rPr>
      </w:pPr>
      <w:r w:rsidRPr="00B112A4">
        <w:rPr>
          <w:lang w:val="es-ES"/>
        </w:rPr>
        <w:t>Partido Popular: 130 senadores</w:t>
      </w:r>
    </w:p>
    <w:p w14:paraId="308F45EC" w14:textId="77777777" w:rsidR="0088700C" w:rsidRPr="00B112A4" w:rsidRDefault="0088700C" w:rsidP="000749C6">
      <w:pPr>
        <w:pStyle w:val="Bullet1G"/>
        <w:rPr>
          <w:lang w:val="es-ES"/>
        </w:rPr>
      </w:pPr>
      <w:r w:rsidRPr="00B112A4">
        <w:rPr>
          <w:lang w:val="es-ES"/>
        </w:rPr>
        <w:t>Partido Socialista Obrero Español: 43 senadores</w:t>
      </w:r>
    </w:p>
    <w:p w14:paraId="037A3E03" w14:textId="77777777" w:rsidR="0088700C" w:rsidRPr="00B112A4" w:rsidRDefault="0088700C" w:rsidP="000749C6">
      <w:pPr>
        <w:pStyle w:val="Bullet1G"/>
        <w:rPr>
          <w:lang w:val="es-ES"/>
        </w:rPr>
      </w:pPr>
      <w:r w:rsidRPr="00B112A4">
        <w:rPr>
          <w:lang w:val="es-ES"/>
        </w:rPr>
        <w:t>Esquerra Republicana/Catalunya Sí: 10 senadores</w:t>
      </w:r>
    </w:p>
    <w:p w14:paraId="03A9B350" w14:textId="77777777" w:rsidR="0088700C" w:rsidRPr="00B112A4" w:rsidRDefault="0088700C" w:rsidP="000749C6">
      <w:pPr>
        <w:pStyle w:val="Bullet1G"/>
        <w:rPr>
          <w:lang w:val="es-ES"/>
        </w:rPr>
      </w:pPr>
      <w:r w:rsidRPr="00B112A4">
        <w:rPr>
          <w:lang w:val="es-ES"/>
        </w:rPr>
        <w:t>Unidos Podemos: 8 senadores</w:t>
      </w:r>
    </w:p>
    <w:p w14:paraId="2050BCB6" w14:textId="77777777" w:rsidR="0088700C" w:rsidRPr="00B112A4" w:rsidRDefault="0088700C" w:rsidP="000749C6">
      <w:pPr>
        <w:pStyle w:val="Bullet1G"/>
        <w:rPr>
          <w:lang w:val="es-ES"/>
        </w:rPr>
      </w:pPr>
      <w:r w:rsidRPr="00B112A4">
        <w:rPr>
          <w:lang w:val="es-ES"/>
        </w:rPr>
        <w:t>Euzko Alderdi Jeltzalea-Partido Nacionalista Vasco: 5 senadores</w:t>
      </w:r>
    </w:p>
    <w:p w14:paraId="546451E1" w14:textId="77777777" w:rsidR="0088700C" w:rsidRPr="00B112A4" w:rsidRDefault="0088700C" w:rsidP="000749C6">
      <w:pPr>
        <w:pStyle w:val="Bullet1G"/>
        <w:rPr>
          <w:lang w:val="es-ES"/>
        </w:rPr>
      </w:pPr>
      <w:r w:rsidRPr="00B112A4">
        <w:rPr>
          <w:lang w:val="es-ES"/>
        </w:rPr>
        <w:t>En Comú Podem-Guanyem el Canvi: 4 senadores</w:t>
      </w:r>
    </w:p>
    <w:p w14:paraId="27A614AF" w14:textId="77777777" w:rsidR="0088700C" w:rsidRPr="00B112A4" w:rsidRDefault="0088700C" w:rsidP="000749C6">
      <w:pPr>
        <w:pStyle w:val="Bullet1G"/>
        <w:rPr>
          <w:lang w:val="es-ES"/>
        </w:rPr>
      </w:pPr>
      <w:r w:rsidRPr="00B112A4">
        <w:rPr>
          <w:lang w:val="es-ES"/>
        </w:rPr>
        <w:t>Compromís-Podemos-EUPV: a la valenciana: 3 senadores</w:t>
      </w:r>
    </w:p>
    <w:p w14:paraId="29743F4A" w14:textId="77777777" w:rsidR="0088700C" w:rsidRPr="00B112A4" w:rsidRDefault="0088700C" w:rsidP="000749C6">
      <w:pPr>
        <w:pStyle w:val="Bullet1G"/>
        <w:rPr>
          <w:lang w:val="es-ES"/>
        </w:rPr>
      </w:pPr>
      <w:r w:rsidRPr="00B112A4">
        <w:rPr>
          <w:lang w:val="es-ES"/>
        </w:rPr>
        <w:t>Convergència Democràtica de Catalunya: 2 senadores</w:t>
      </w:r>
    </w:p>
    <w:p w14:paraId="6BACB8D2" w14:textId="77777777" w:rsidR="0088700C" w:rsidRPr="00B112A4" w:rsidRDefault="0088700C" w:rsidP="000749C6">
      <w:pPr>
        <w:pStyle w:val="Bullet1G"/>
        <w:rPr>
          <w:lang w:val="es-ES"/>
        </w:rPr>
      </w:pPr>
      <w:r w:rsidRPr="00B112A4">
        <w:rPr>
          <w:lang w:val="es-ES"/>
        </w:rPr>
        <w:t>En Marea: 1 senador</w:t>
      </w:r>
    </w:p>
    <w:p w14:paraId="5C3B404E" w14:textId="77777777" w:rsidR="0088700C" w:rsidRPr="00B112A4" w:rsidRDefault="0088700C" w:rsidP="000749C6">
      <w:pPr>
        <w:pStyle w:val="Bullet1G"/>
        <w:rPr>
          <w:lang w:val="es-ES"/>
        </w:rPr>
      </w:pPr>
      <w:r w:rsidRPr="00B112A4">
        <w:rPr>
          <w:lang w:val="es-ES"/>
        </w:rPr>
        <w:t>Coalición Canaria-Partido Nacionalista Canario: 1 senador</w:t>
      </w:r>
    </w:p>
    <w:p w14:paraId="681EDF74" w14:textId="77777777" w:rsidR="0088700C" w:rsidRPr="00B112A4" w:rsidRDefault="0088700C" w:rsidP="000749C6">
      <w:pPr>
        <w:pStyle w:val="Bullet1G"/>
        <w:rPr>
          <w:lang w:val="es-ES"/>
        </w:rPr>
      </w:pPr>
      <w:r w:rsidRPr="00B112A4">
        <w:rPr>
          <w:lang w:val="es-ES"/>
        </w:rPr>
        <w:t>Agrupación Socialista Gomera: 1 senador</w:t>
      </w:r>
    </w:p>
    <w:p w14:paraId="036F4D4C" w14:textId="77777777" w:rsidR="0088700C" w:rsidRDefault="0088700C">
      <w:pPr>
        <w:suppressAutoHyphens w:val="0"/>
        <w:spacing w:line="240" w:lineRule="auto"/>
        <w:rPr>
          <w:rFonts w:eastAsia="Times New Roman" w:cs="Times New Roman"/>
          <w:szCs w:val="20"/>
          <w:lang w:val="es-ES"/>
        </w:rPr>
      </w:pPr>
      <w:r>
        <w:rPr>
          <w:lang w:val="es-ES"/>
        </w:rPr>
        <w:br w:type="page"/>
      </w:r>
    </w:p>
    <w:p w14:paraId="5FF4FC27" w14:textId="77777777" w:rsidR="0088700C" w:rsidRPr="00B112A4" w:rsidRDefault="0088700C" w:rsidP="000749C6">
      <w:pPr>
        <w:pStyle w:val="HChG"/>
        <w:rPr>
          <w:lang w:val="es-ES"/>
        </w:rPr>
      </w:pPr>
      <w:r w:rsidRPr="00B112A4">
        <w:rPr>
          <w:lang w:val="es-ES"/>
        </w:rPr>
        <w:lastRenderedPageBreak/>
        <w:tab/>
        <w:t>Anexo II</w:t>
      </w:r>
    </w:p>
    <w:p w14:paraId="547A5010" w14:textId="77777777" w:rsidR="0088700C" w:rsidRPr="00B112A4" w:rsidRDefault="0088700C" w:rsidP="000749C6">
      <w:pPr>
        <w:pStyle w:val="HChG"/>
        <w:rPr>
          <w:lang w:val="es-ES"/>
        </w:rPr>
      </w:pPr>
      <w:r w:rsidRPr="00B112A4">
        <w:rPr>
          <w:lang w:val="es-ES"/>
        </w:rPr>
        <w:tab/>
      </w:r>
      <w:r w:rsidRPr="00B112A4">
        <w:rPr>
          <w:lang w:val="es-ES"/>
        </w:rPr>
        <w:tab/>
        <w:t xml:space="preserve">Presencia de organizaciones no gubernamentales </w:t>
      </w:r>
      <w:r w:rsidRPr="00B112A4">
        <w:rPr>
          <w:lang w:val="es-ES"/>
        </w:rPr>
        <w:br/>
        <w:t>en España</w:t>
      </w:r>
    </w:p>
    <w:p w14:paraId="735E653A" w14:textId="77777777" w:rsidR="0088700C" w:rsidRPr="00B112A4" w:rsidRDefault="0088700C" w:rsidP="0088700C">
      <w:pPr>
        <w:pStyle w:val="SingleTxtG"/>
        <w:rPr>
          <w:lang w:val="es-ES"/>
        </w:rPr>
      </w:pPr>
      <w:r w:rsidRPr="00B112A4">
        <w:rPr>
          <w:lang w:val="es-ES"/>
        </w:rPr>
        <w:tab/>
      </w:r>
      <w:r w:rsidR="000749C6">
        <w:rPr>
          <w:lang w:val="es-ES"/>
        </w:rPr>
        <w:tab/>
      </w:r>
      <w:r w:rsidRPr="00B112A4">
        <w:rPr>
          <w:lang w:val="es-ES"/>
        </w:rPr>
        <w:t>Actualmente hay más de 3.000 ONG en España. Las más importantes (por el número de socios) son las que siguen:</w:t>
      </w:r>
    </w:p>
    <w:p w14:paraId="075E6619" w14:textId="77777777" w:rsidR="0088700C" w:rsidRPr="00B112A4" w:rsidRDefault="0088700C" w:rsidP="000749C6">
      <w:pPr>
        <w:pStyle w:val="Bullet1G"/>
        <w:rPr>
          <w:lang w:val="es-ES"/>
        </w:rPr>
      </w:pPr>
      <w:r w:rsidRPr="00B112A4">
        <w:rPr>
          <w:lang w:val="es-ES"/>
        </w:rPr>
        <w:t>Fundación Plan Internacional España.</w:t>
      </w:r>
    </w:p>
    <w:p w14:paraId="4B7F82A8" w14:textId="77777777" w:rsidR="0088700C" w:rsidRPr="00B112A4" w:rsidRDefault="0088700C" w:rsidP="000749C6">
      <w:pPr>
        <w:pStyle w:val="Bullet1G"/>
        <w:rPr>
          <w:lang w:val="es-ES"/>
        </w:rPr>
      </w:pPr>
      <w:r w:rsidRPr="00B112A4">
        <w:rPr>
          <w:lang w:val="es-ES"/>
        </w:rPr>
        <w:t>UDP. Unión Democrática de Pensionistas y Jubilados de España.</w:t>
      </w:r>
    </w:p>
    <w:p w14:paraId="75C43BFF" w14:textId="77777777" w:rsidR="0088700C" w:rsidRPr="00B112A4" w:rsidRDefault="0088700C" w:rsidP="000749C6">
      <w:pPr>
        <w:pStyle w:val="Bullet1G"/>
        <w:rPr>
          <w:lang w:val="es-ES"/>
        </w:rPr>
      </w:pPr>
      <w:r w:rsidRPr="00B112A4">
        <w:rPr>
          <w:lang w:val="es-ES"/>
        </w:rPr>
        <w:t>Cruz Roja Española.</w:t>
      </w:r>
    </w:p>
    <w:p w14:paraId="043EA518" w14:textId="77777777" w:rsidR="0088700C" w:rsidRPr="00B112A4" w:rsidRDefault="0088700C" w:rsidP="000749C6">
      <w:pPr>
        <w:pStyle w:val="Bullet1G"/>
        <w:rPr>
          <w:lang w:val="es-ES"/>
        </w:rPr>
      </w:pPr>
      <w:r w:rsidRPr="00B112A4">
        <w:rPr>
          <w:lang w:val="es-ES"/>
        </w:rPr>
        <w:t>Médicos Sin Fronteras España.</w:t>
      </w:r>
    </w:p>
    <w:p w14:paraId="72503C25" w14:textId="77777777" w:rsidR="0088700C" w:rsidRPr="00B112A4" w:rsidRDefault="0088700C" w:rsidP="000749C6">
      <w:pPr>
        <w:pStyle w:val="Bullet1G"/>
        <w:rPr>
          <w:lang w:val="es-ES"/>
        </w:rPr>
      </w:pPr>
      <w:r w:rsidRPr="00B112A4">
        <w:rPr>
          <w:lang w:val="es-ES"/>
        </w:rPr>
        <w:t>Intermón Oxfam.</w:t>
      </w:r>
    </w:p>
    <w:p w14:paraId="0B203AA6" w14:textId="77777777" w:rsidR="0088700C" w:rsidRPr="00B112A4" w:rsidRDefault="0088700C" w:rsidP="000749C6">
      <w:pPr>
        <w:pStyle w:val="Bullet1G"/>
        <w:rPr>
          <w:lang w:val="es-ES"/>
        </w:rPr>
      </w:pPr>
      <w:r w:rsidRPr="00B112A4">
        <w:rPr>
          <w:lang w:val="es-ES"/>
        </w:rPr>
        <w:t>FEAPS. Confederación Española de Organizaciones en favor de las Personas con Discapacidad Intelectual.</w:t>
      </w:r>
    </w:p>
    <w:p w14:paraId="6E76B8A9" w14:textId="77777777" w:rsidR="0088700C" w:rsidRPr="00B112A4" w:rsidRDefault="0088700C" w:rsidP="000749C6">
      <w:pPr>
        <w:pStyle w:val="Bullet1G"/>
        <w:rPr>
          <w:lang w:val="es-ES"/>
        </w:rPr>
      </w:pPr>
      <w:r w:rsidRPr="00B112A4">
        <w:rPr>
          <w:lang w:val="es-ES"/>
        </w:rPr>
        <w:t>Ayuda en Acción.</w:t>
      </w:r>
    </w:p>
    <w:p w14:paraId="5B971ABD" w14:textId="77777777" w:rsidR="0088700C" w:rsidRPr="00B112A4" w:rsidRDefault="0088700C" w:rsidP="000749C6">
      <w:pPr>
        <w:pStyle w:val="Bullet1G"/>
        <w:rPr>
          <w:lang w:val="es-ES"/>
        </w:rPr>
      </w:pPr>
      <w:r w:rsidRPr="00B112A4">
        <w:rPr>
          <w:lang w:val="es-ES"/>
        </w:rPr>
        <w:t>UNICEF.</w:t>
      </w:r>
    </w:p>
    <w:p w14:paraId="4EE99B80" w14:textId="77777777" w:rsidR="0088700C" w:rsidRPr="00B112A4" w:rsidRDefault="0088700C" w:rsidP="000749C6">
      <w:pPr>
        <w:pStyle w:val="Bullet1G"/>
        <w:rPr>
          <w:lang w:val="es-ES"/>
        </w:rPr>
      </w:pPr>
      <w:r w:rsidRPr="00B112A4">
        <w:rPr>
          <w:lang w:val="es-ES"/>
        </w:rPr>
        <w:t>Fundación Intervida.</w:t>
      </w:r>
    </w:p>
    <w:p w14:paraId="72FF6B58" w14:textId="77777777" w:rsidR="0088700C" w:rsidRPr="00B112A4" w:rsidRDefault="0088700C" w:rsidP="000749C6">
      <w:pPr>
        <w:pStyle w:val="Bullet1G"/>
        <w:rPr>
          <w:lang w:val="es-ES"/>
        </w:rPr>
      </w:pPr>
      <w:r w:rsidRPr="00B112A4">
        <w:rPr>
          <w:lang w:val="es-ES"/>
        </w:rPr>
        <w:t>Cáritas Española.</w:t>
      </w:r>
    </w:p>
    <w:p w14:paraId="4BC5F3BF" w14:textId="77777777" w:rsidR="0088700C" w:rsidRPr="00B112A4" w:rsidRDefault="0088700C" w:rsidP="000749C6">
      <w:pPr>
        <w:pStyle w:val="Bullet1G"/>
        <w:rPr>
          <w:lang w:val="es-ES"/>
        </w:rPr>
      </w:pPr>
      <w:r w:rsidRPr="00B112A4">
        <w:rPr>
          <w:lang w:val="es-ES"/>
        </w:rPr>
        <w:t>AECC. Asociación Española Contra el Cáncer.</w:t>
      </w:r>
    </w:p>
    <w:p w14:paraId="0424CC12" w14:textId="77777777" w:rsidR="0088700C" w:rsidRPr="00B112A4" w:rsidRDefault="0088700C" w:rsidP="000749C6">
      <w:pPr>
        <w:pStyle w:val="Bullet1G"/>
        <w:rPr>
          <w:lang w:val="es-ES"/>
        </w:rPr>
      </w:pPr>
      <w:r w:rsidRPr="00B112A4">
        <w:rPr>
          <w:lang w:val="es-ES"/>
        </w:rPr>
        <w:t xml:space="preserve"> Greenpeace.</w:t>
      </w:r>
    </w:p>
    <w:p w14:paraId="12B56E50" w14:textId="77777777" w:rsidR="0088700C" w:rsidRPr="00B112A4" w:rsidRDefault="0088700C" w:rsidP="000749C6">
      <w:pPr>
        <w:pStyle w:val="Bullet1G"/>
        <w:rPr>
          <w:lang w:val="es-ES"/>
        </w:rPr>
      </w:pPr>
      <w:r w:rsidRPr="00B112A4">
        <w:rPr>
          <w:lang w:val="es-ES"/>
        </w:rPr>
        <w:t>Manos Unidas.</w:t>
      </w:r>
    </w:p>
    <w:p w14:paraId="5555A723" w14:textId="77777777" w:rsidR="0088700C" w:rsidRPr="00B112A4" w:rsidRDefault="0088700C" w:rsidP="000749C6">
      <w:pPr>
        <w:pStyle w:val="Bullet1G"/>
        <w:rPr>
          <w:lang w:val="es-ES"/>
        </w:rPr>
      </w:pPr>
      <w:r w:rsidRPr="00B112A4">
        <w:rPr>
          <w:lang w:val="es-ES"/>
        </w:rPr>
        <w:t>Anesvad.</w:t>
      </w:r>
    </w:p>
    <w:p w14:paraId="51F9CCC5" w14:textId="77777777" w:rsidR="0088700C" w:rsidRPr="00B112A4" w:rsidRDefault="0088700C" w:rsidP="000749C6">
      <w:pPr>
        <w:pStyle w:val="Bullet1G"/>
        <w:rPr>
          <w:lang w:val="es-ES"/>
        </w:rPr>
      </w:pPr>
      <w:r w:rsidRPr="00B112A4">
        <w:rPr>
          <w:lang w:val="es-ES"/>
        </w:rPr>
        <w:t>FACUA. Consumidores en Acción.</w:t>
      </w:r>
    </w:p>
    <w:p w14:paraId="77318059" w14:textId="77777777" w:rsidR="0088700C" w:rsidRPr="00B112A4" w:rsidRDefault="0088700C" w:rsidP="000749C6">
      <w:pPr>
        <w:pStyle w:val="Bullet1G"/>
        <w:rPr>
          <w:lang w:val="es-ES"/>
        </w:rPr>
      </w:pPr>
      <w:r w:rsidRPr="00B112A4">
        <w:rPr>
          <w:lang w:val="es-ES"/>
        </w:rPr>
        <w:t>Global Humanitaria.</w:t>
      </w:r>
    </w:p>
    <w:p w14:paraId="4115CDEB" w14:textId="77777777" w:rsidR="0088700C" w:rsidRPr="00B112A4" w:rsidRDefault="0088700C" w:rsidP="000749C6">
      <w:pPr>
        <w:pStyle w:val="Bullet1G"/>
        <w:rPr>
          <w:lang w:val="es-ES"/>
        </w:rPr>
      </w:pPr>
      <w:r w:rsidRPr="00B112A4">
        <w:rPr>
          <w:lang w:val="es-ES"/>
        </w:rPr>
        <w:t>Amnistía Internacional, sección española.</w:t>
      </w:r>
    </w:p>
    <w:p w14:paraId="7C89864F" w14:textId="77777777" w:rsidR="0088700C" w:rsidRPr="00B112A4" w:rsidRDefault="0088700C" w:rsidP="000749C6">
      <w:pPr>
        <w:pStyle w:val="Bullet1G"/>
        <w:rPr>
          <w:lang w:val="es-ES"/>
        </w:rPr>
      </w:pPr>
      <w:r w:rsidRPr="00B112A4">
        <w:rPr>
          <w:lang w:val="es-ES"/>
        </w:rPr>
        <w:t>Médicos del Mundo.</w:t>
      </w:r>
    </w:p>
    <w:p w14:paraId="42F29204" w14:textId="77777777" w:rsidR="0088700C" w:rsidRPr="00B112A4" w:rsidRDefault="0088700C" w:rsidP="000749C6">
      <w:pPr>
        <w:pStyle w:val="Bullet1G"/>
        <w:rPr>
          <w:lang w:val="es-ES"/>
        </w:rPr>
      </w:pPr>
      <w:r w:rsidRPr="00B112A4">
        <w:rPr>
          <w:lang w:val="es-ES"/>
        </w:rPr>
        <w:t>Ecologistas en Acción.</w:t>
      </w:r>
    </w:p>
    <w:p w14:paraId="6ED86D1B" w14:textId="77777777" w:rsidR="0088700C" w:rsidRPr="00B112A4" w:rsidRDefault="0088700C" w:rsidP="000749C6">
      <w:pPr>
        <w:pStyle w:val="Bullet1G"/>
        <w:rPr>
          <w:lang w:val="es-ES"/>
        </w:rPr>
      </w:pPr>
      <w:r w:rsidRPr="00B112A4">
        <w:rPr>
          <w:lang w:val="es-ES"/>
        </w:rPr>
        <w:t>ASDE. Federación de Asociaciones de Scouts de España.</w:t>
      </w:r>
    </w:p>
    <w:p w14:paraId="7FDE93D9" w14:textId="77777777" w:rsidR="0088700C" w:rsidRPr="00B112A4" w:rsidRDefault="0088700C" w:rsidP="000749C6">
      <w:pPr>
        <w:pStyle w:val="Bullet1G"/>
        <w:rPr>
          <w:lang w:val="es-ES"/>
        </w:rPr>
      </w:pPr>
      <w:r w:rsidRPr="00B112A4">
        <w:rPr>
          <w:lang w:val="es-ES"/>
        </w:rPr>
        <w:t>Fundación Vicente Ferrer.</w:t>
      </w:r>
    </w:p>
    <w:p w14:paraId="18DAF388" w14:textId="77777777" w:rsidR="0088700C" w:rsidRPr="00B112A4" w:rsidRDefault="0088700C" w:rsidP="000749C6">
      <w:pPr>
        <w:pStyle w:val="Bullet1G"/>
        <w:rPr>
          <w:lang w:val="es-ES"/>
        </w:rPr>
      </w:pPr>
      <w:r w:rsidRPr="00B112A4">
        <w:rPr>
          <w:lang w:val="es-ES"/>
        </w:rPr>
        <w:t>Federación de Asociaciones de Celiacos de España.</w:t>
      </w:r>
    </w:p>
    <w:p w14:paraId="22BD5A16" w14:textId="77777777" w:rsidR="0088700C" w:rsidRPr="00B112A4" w:rsidRDefault="0088700C" w:rsidP="000749C6">
      <w:pPr>
        <w:pStyle w:val="Bullet1G"/>
        <w:rPr>
          <w:lang w:val="es-ES"/>
        </w:rPr>
      </w:pPr>
      <w:r w:rsidRPr="00B112A4">
        <w:rPr>
          <w:lang w:val="es-ES"/>
        </w:rPr>
        <w:t>Save the Children.</w:t>
      </w:r>
    </w:p>
    <w:p w14:paraId="5535C1E0" w14:textId="77777777" w:rsidR="0088700C" w:rsidRPr="00B112A4" w:rsidRDefault="0088700C" w:rsidP="000749C6">
      <w:pPr>
        <w:pStyle w:val="Bullet1G"/>
        <w:rPr>
          <w:lang w:val="es-ES"/>
        </w:rPr>
      </w:pPr>
      <w:r w:rsidRPr="00B112A4">
        <w:rPr>
          <w:lang w:val="es-ES"/>
        </w:rPr>
        <w:t>Fondo para la Protección de los Animales Salvajes (FAPAS).</w:t>
      </w:r>
    </w:p>
    <w:p w14:paraId="0A5B9DF2" w14:textId="77777777" w:rsidR="0088700C" w:rsidRPr="00B112A4" w:rsidRDefault="0088700C" w:rsidP="000749C6">
      <w:pPr>
        <w:pStyle w:val="Bullet1G"/>
        <w:rPr>
          <w:lang w:val="es-ES"/>
        </w:rPr>
      </w:pPr>
      <w:r w:rsidRPr="00B112A4">
        <w:rPr>
          <w:lang w:val="es-ES"/>
        </w:rPr>
        <w:t>WWF.</w:t>
      </w:r>
    </w:p>
    <w:p w14:paraId="77C71225" w14:textId="77777777" w:rsidR="0088700C" w:rsidRPr="00B112A4" w:rsidRDefault="0088700C" w:rsidP="000749C6">
      <w:pPr>
        <w:pStyle w:val="Bullet1G"/>
        <w:rPr>
          <w:lang w:val="es-ES"/>
        </w:rPr>
      </w:pPr>
      <w:r w:rsidRPr="00B112A4">
        <w:rPr>
          <w:lang w:val="es-ES"/>
        </w:rPr>
        <w:t>Federación Española de Padres de Niños con Cáncer.</w:t>
      </w:r>
    </w:p>
    <w:p w14:paraId="2B100F5A" w14:textId="77777777" w:rsidR="00381C24" w:rsidRDefault="0088700C" w:rsidP="000749C6">
      <w:pPr>
        <w:pStyle w:val="Bullet1G"/>
        <w:rPr>
          <w:lang w:val="es-ES"/>
        </w:rPr>
      </w:pPr>
      <w:r w:rsidRPr="00B112A4">
        <w:rPr>
          <w:lang w:val="es-ES"/>
        </w:rPr>
        <w:t>SEO/BirdLife. Sociedad Española de Ornitología.</w:t>
      </w:r>
    </w:p>
    <w:p w14:paraId="2229B78E" w14:textId="77777777" w:rsidR="0088700C" w:rsidRPr="0088700C" w:rsidRDefault="0088700C" w:rsidP="0088700C">
      <w:pPr>
        <w:pStyle w:val="SingleTxtG"/>
        <w:spacing w:before="240" w:after="0"/>
        <w:jc w:val="center"/>
        <w:rPr>
          <w:u w:val="single"/>
          <w:lang w:val="es-ES"/>
        </w:rPr>
      </w:pPr>
      <w:r>
        <w:rPr>
          <w:u w:val="single"/>
          <w:lang w:val="es-ES"/>
        </w:rPr>
        <w:tab/>
      </w:r>
      <w:r>
        <w:rPr>
          <w:u w:val="single"/>
          <w:lang w:val="es-ES"/>
        </w:rPr>
        <w:tab/>
      </w:r>
      <w:r>
        <w:rPr>
          <w:u w:val="single"/>
          <w:lang w:val="es-ES"/>
        </w:rPr>
        <w:tab/>
      </w:r>
      <w:r>
        <w:rPr>
          <w:u w:val="single"/>
          <w:lang w:val="es-ES"/>
        </w:rPr>
        <w:tab/>
      </w:r>
    </w:p>
    <w:sectPr w:rsidR="0088700C" w:rsidRPr="0088700C" w:rsidSect="0088700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F1F1" w14:textId="77777777" w:rsidR="009A5D34" w:rsidRPr="00A312BC" w:rsidRDefault="009A5D34" w:rsidP="00A312BC"/>
  </w:endnote>
  <w:endnote w:type="continuationSeparator" w:id="0">
    <w:p w14:paraId="072465B3" w14:textId="77777777" w:rsidR="009A5D34" w:rsidRPr="00A312BC" w:rsidRDefault="009A5D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iavlo Light">
    <w:altName w:val="Calibri"/>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76D5" w14:textId="7FB34E5F" w:rsidR="009A5D34" w:rsidRPr="0088700C" w:rsidRDefault="009A5D34">
    <w:pPr>
      <w:pStyle w:val="a9"/>
    </w:pPr>
    <w:r w:rsidRPr="0088700C">
      <w:rPr>
        <w:b/>
        <w:sz w:val="18"/>
      </w:rPr>
      <w:fldChar w:fldCharType="begin"/>
    </w:r>
    <w:r w:rsidRPr="0088700C">
      <w:rPr>
        <w:b/>
        <w:sz w:val="18"/>
      </w:rPr>
      <w:instrText xml:space="preserve"> PAGE  \* MERGEFORMAT </w:instrText>
    </w:r>
    <w:r w:rsidRPr="0088700C">
      <w:rPr>
        <w:b/>
        <w:sz w:val="18"/>
      </w:rPr>
      <w:fldChar w:fldCharType="separate"/>
    </w:r>
    <w:r w:rsidR="00165FCB">
      <w:rPr>
        <w:b/>
        <w:noProof/>
        <w:sz w:val="18"/>
      </w:rPr>
      <w:t>50</w:t>
    </w:r>
    <w:r w:rsidRPr="0088700C">
      <w:rPr>
        <w:b/>
        <w:sz w:val="18"/>
      </w:rPr>
      <w:fldChar w:fldCharType="end"/>
    </w:r>
    <w:r>
      <w:rPr>
        <w:b/>
        <w:sz w:val="18"/>
      </w:rPr>
      <w:tab/>
    </w:r>
    <w:r>
      <w:t>GE.19-06755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E64A" w14:textId="52BE25F9" w:rsidR="009A5D34" w:rsidRPr="0088700C" w:rsidRDefault="009A5D34" w:rsidP="0088700C">
    <w:pPr>
      <w:pStyle w:val="a9"/>
      <w:tabs>
        <w:tab w:val="clear" w:pos="9639"/>
        <w:tab w:val="right" w:pos="9638"/>
      </w:tabs>
      <w:rPr>
        <w:b/>
        <w:sz w:val="18"/>
      </w:rPr>
    </w:pPr>
    <w:r>
      <w:t>GE.19-06755</w:t>
    </w:r>
    <w:r>
      <w:tab/>
    </w:r>
    <w:r w:rsidRPr="0088700C">
      <w:rPr>
        <w:b/>
        <w:sz w:val="18"/>
      </w:rPr>
      <w:fldChar w:fldCharType="begin"/>
    </w:r>
    <w:r w:rsidRPr="0088700C">
      <w:rPr>
        <w:b/>
        <w:sz w:val="18"/>
      </w:rPr>
      <w:instrText xml:space="preserve"> PAGE  \* MERGEFORMAT </w:instrText>
    </w:r>
    <w:r w:rsidRPr="0088700C">
      <w:rPr>
        <w:b/>
        <w:sz w:val="18"/>
      </w:rPr>
      <w:fldChar w:fldCharType="separate"/>
    </w:r>
    <w:r w:rsidR="00165FCB">
      <w:rPr>
        <w:b/>
        <w:noProof/>
        <w:sz w:val="18"/>
      </w:rPr>
      <w:t>51</w:t>
    </w:r>
    <w:r w:rsidRPr="008870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7E40A" w14:textId="77777777" w:rsidR="009A5D34" w:rsidRPr="0088700C" w:rsidRDefault="009A5D34" w:rsidP="0088700C">
    <w:pPr>
      <w:spacing w:before="120" w:line="240" w:lineRule="auto"/>
    </w:pPr>
    <w:r>
      <w:t>GE.</w:t>
    </w:r>
    <w:r>
      <w:rPr>
        <w:b/>
        <w:noProof/>
        <w:lang w:val="en-US"/>
      </w:rPr>
      <w:drawing>
        <wp:anchor distT="0" distB="0" distL="114300" distR="114300" simplePos="0" relativeHeight="251658240" behindDoc="0" locked="0" layoutInCell="1" allowOverlap="1" wp14:anchorId="7279DAA0" wp14:editId="47C527A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06755  (</w:t>
    </w:r>
    <w:proofErr w:type="gramEnd"/>
    <w:r>
      <w:t>R)</w:t>
    </w:r>
    <w:r>
      <w:rPr>
        <w:lang w:val="en-US"/>
      </w:rPr>
      <w:t xml:space="preserve">  180619  190619</w:t>
    </w:r>
    <w:r>
      <w:br/>
    </w:r>
    <w:r w:rsidRPr="0088700C">
      <w:rPr>
        <w:rFonts w:ascii="C39T30Lfz" w:hAnsi="C39T30Lfz"/>
        <w:kern w:val="14"/>
        <w:sz w:val="56"/>
      </w:rPr>
      <w:t></w:t>
    </w:r>
    <w:r w:rsidRPr="0088700C">
      <w:rPr>
        <w:rFonts w:ascii="C39T30Lfz" w:hAnsi="C39T30Lfz"/>
        <w:kern w:val="14"/>
        <w:sz w:val="56"/>
      </w:rPr>
      <w:t></w:t>
    </w:r>
    <w:r w:rsidRPr="0088700C">
      <w:rPr>
        <w:rFonts w:ascii="C39T30Lfz" w:hAnsi="C39T30Lfz"/>
        <w:kern w:val="14"/>
        <w:sz w:val="56"/>
      </w:rPr>
      <w:t></w:t>
    </w:r>
    <w:r w:rsidRPr="0088700C">
      <w:rPr>
        <w:rFonts w:ascii="C39T30Lfz" w:hAnsi="C39T30Lfz"/>
        <w:kern w:val="14"/>
        <w:sz w:val="56"/>
      </w:rPr>
      <w:t></w:t>
    </w:r>
    <w:r w:rsidRPr="0088700C">
      <w:rPr>
        <w:rFonts w:ascii="C39T30Lfz" w:hAnsi="C39T30Lfz"/>
        <w:kern w:val="14"/>
        <w:sz w:val="56"/>
      </w:rPr>
      <w:t></w:t>
    </w:r>
    <w:r w:rsidRPr="0088700C">
      <w:rPr>
        <w:rFonts w:ascii="C39T30Lfz" w:hAnsi="C39T30Lfz"/>
        <w:kern w:val="14"/>
        <w:sz w:val="56"/>
      </w:rPr>
      <w:t></w:t>
    </w:r>
    <w:r w:rsidRPr="0088700C">
      <w:rPr>
        <w:rFonts w:ascii="C39T30Lfz" w:hAnsi="C39T30Lfz"/>
        <w:kern w:val="14"/>
        <w:sz w:val="56"/>
      </w:rPr>
      <w:t></w:t>
    </w:r>
    <w:r w:rsidRPr="0088700C">
      <w:rPr>
        <w:rFonts w:ascii="C39T30Lfz" w:hAnsi="C39T30Lfz"/>
        <w:kern w:val="14"/>
        <w:sz w:val="56"/>
      </w:rPr>
      <w:t></w:t>
    </w:r>
    <w:r w:rsidRPr="0088700C">
      <w:rPr>
        <w:rFonts w:ascii="C39T30Lfz" w:hAnsi="C39T30Lfz"/>
        <w:kern w:val="14"/>
        <w:sz w:val="56"/>
      </w:rPr>
      <w:t></w:t>
    </w:r>
    <w:r>
      <w:rPr>
        <w:noProof/>
        <w:lang w:val="en-US"/>
      </w:rPr>
      <w:drawing>
        <wp:anchor distT="0" distB="0" distL="114300" distR="114300" simplePos="0" relativeHeight="251659264" behindDoc="0" locked="0" layoutInCell="1" allowOverlap="1" wp14:anchorId="71902C47" wp14:editId="42FF997A">
          <wp:simplePos x="0" y="0"/>
          <wp:positionH relativeFrom="margin">
            <wp:posOffset>5489575</wp:posOffset>
          </wp:positionH>
          <wp:positionV relativeFrom="margin">
            <wp:posOffset>8855710</wp:posOffset>
          </wp:positionV>
          <wp:extent cx="561975" cy="561975"/>
          <wp:effectExtent l="0" t="0" r="9525" b="9525"/>
          <wp:wrapNone/>
          <wp:docPr id="2" name="Рисунок 1" descr="https://undocs.org/m2/QRCode.ashx?DS=HRI/CORE/ESP/20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ESP/20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0C29E" w14:textId="77777777" w:rsidR="009A5D34" w:rsidRPr="001075E9" w:rsidRDefault="009A5D34" w:rsidP="001075E9">
      <w:pPr>
        <w:tabs>
          <w:tab w:val="right" w:pos="2155"/>
        </w:tabs>
        <w:spacing w:after="80" w:line="240" w:lineRule="auto"/>
        <w:ind w:left="680"/>
        <w:rPr>
          <w:u w:val="single"/>
        </w:rPr>
      </w:pPr>
      <w:r>
        <w:rPr>
          <w:u w:val="single"/>
        </w:rPr>
        <w:tab/>
      </w:r>
    </w:p>
  </w:footnote>
  <w:footnote w:type="continuationSeparator" w:id="0">
    <w:p w14:paraId="2BD0793A" w14:textId="77777777" w:rsidR="009A5D34" w:rsidRDefault="009A5D34" w:rsidP="00407B78">
      <w:pPr>
        <w:tabs>
          <w:tab w:val="right" w:pos="2155"/>
        </w:tabs>
        <w:spacing w:after="80"/>
        <w:ind w:left="680"/>
        <w:rPr>
          <w:u w:val="single"/>
        </w:rPr>
      </w:pPr>
      <w:r>
        <w:rPr>
          <w:u w:val="single"/>
        </w:rPr>
        <w:tab/>
      </w:r>
    </w:p>
  </w:footnote>
  <w:footnote w:id="1">
    <w:p w14:paraId="62AFB68F" w14:textId="77777777" w:rsidR="009A5D34" w:rsidRPr="00C54346" w:rsidRDefault="009A5D34" w:rsidP="0088700C">
      <w:pPr>
        <w:pStyle w:val="ae"/>
      </w:pPr>
      <w:r w:rsidRPr="00324057">
        <w:tab/>
      </w:r>
      <w:r w:rsidRPr="001C1E41">
        <w:rPr>
          <w:rStyle w:val="ab"/>
          <w:sz w:val="20"/>
          <w:vertAlign w:val="baseline"/>
        </w:rPr>
        <w:t>*</w:t>
      </w:r>
      <w:r w:rsidRPr="00C54346">
        <w:tab/>
        <w:t>Настоящий документ официального редактирования</w:t>
      </w:r>
      <w:r w:rsidRPr="00165630">
        <w:t xml:space="preserve"> </w:t>
      </w:r>
      <w:r>
        <w:t>не проходил</w:t>
      </w:r>
      <w:r w:rsidRPr="00C54346">
        <w:t>.</w:t>
      </w:r>
    </w:p>
  </w:footnote>
  <w:footnote w:id="2">
    <w:p w14:paraId="09FB729B" w14:textId="77777777" w:rsidR="009A5D34" w:rsidRPr="00C54346" w:rsidRDefault="009A5D34" w:rsidP="0088700C">
      <w:pPr>
        <w:pStyle w:val="ae"/>
      </w:pPr>
      <w:r w:rsidRPr="00C54346">
        <w:rPr>
          <w:rStyle w:val="ab"/>
        </w:rPr>
        <w:tab/>
      </w:r>
      <w:r w:rsidRPr="001C1E41">
        <w:rPr>
          <w:rStyle w:val="ab"/>
          <w:sz w:val="20"/>
          <w:vertAlign w:val="baseline"/>
        </w:rPr>
        <w:t>**</w:t>
      </w:r>
      <w:r w:rsidRPr="00C54346">
        <w:rPr>
          <w:rStyle w:val="ab"/>
          <w:sz w:val="20"/>
        </w:rPr>
        <w:tab/>
      </w:r>
      <w:r>
        <w:rPr>
          <w:lang w:eastAsia="zh-CN"/>
        </w:rPr>
        <w:t>Приложения</w:t>
      </w:r>
      <w:r w:rsidRPr="00C54346">
        <w:rPr>
          <w:lang w:eastAsia="zh-CN"/>
        </w:rPr>
        <w:t xml:space="preserve"> </w:t>
      </w:r>
      <w:r>
        <w:rPr>
          <w:lang w:eastAsia="zh-CN"/>
        </w:rPr>
        <w:t>к</w:t>
      </w:r>
      <w:r w:rsidRPr="00C54346">
        <w:rPr>
          <w:lang w:eastAsia="zh-CN"/>
        </w:rPr>
        <w:t xml:space="preserve"> </w:t>
      </w:r>
      <w:r>
        <w:rPr>
          <w:lang w:eastAsia="zh-CN"/>
        </w:rPr>
        <w:t>настоящему</w:t>
      </w:r>
      <w:r w:rsidRPr="00C54346">
        <w:rPr>
          <w:lang w:eastAsia="zh-CN"/>
        </w:rPr>
        <w:t xml:space="preserve"> </w:t>
      </w:r>
      <w:r>
        <w:rPr>
          <w:lang w:eastAsia="zh-CN"/>
        </w:rPr>
        <w:t>докладу</w:t>
      </w:r>
      <w:r w:rsidRPr="00C54346">
        <w:rPr>
          <w:lang w:eastAsia="zh-CN"/>
        </w:rPr>
        <w:t xml:space="preserve"> </w:t>
      </w:r>
      <w:r>
        <w:rPr>
          <w:lang w:eastAsia="zh-CN"/>
        </w:rPr>
        <w:t>распространяются только на языке оригинала.</w:t>
      </w:r>
    </w:p>
  </w:footnote>
  <w:footnote w:id="3">
    <w:p w14:paraId="0E6851F1" w14:textId="53FDED66" w:rsidR="009A5D34" w:rsidRPr="00983465" w:rsidRDefault="009A5D34" w:rsidP="0088700C">
      <w:pPr>
        <w:pStyle w:val="ae"/>
      </w:pPr>
      <w:r w:rsidRPr="00C54346">
        <w:tab/>
      </w:r>
      <w:r w:rsidRPr="00293D03">
        <w:rPr>
          <w:rStyle w:val="ab"/>
        </w:rPr>
        <w:footnoteRef/>
      </w:r>
      <w:r w:rsidRPr="00983465">
        <w:tab/>
      </w:r>
      <w:hyperlink r:id="rId1" w:history="1">
        <w:r w:rsidRPr="00163515">
          <w:rPr>
            <w:rStyle w:val="af2"/>
            <w:rFonts w:eastAsiaTheme="minorHAnsi"/>
            <w:lang w:val="fr-CH"/>
          </w:rPr>
          <w:t>http</w:t>
        </w:r>
        <w:r w:rsidRPr="00163515">
          <w:rPr>
            <w:rStyle w:val="af2"/>
            <w:rFonts w:eastAsiaTheme="minorHAnsi"/>
          </w:rPr>
          <w:t>://</w:t>
        </w:r>
        <w:r w:rsidRPr="00163515">
          <w:rPr>
            <w:rStyle w:val="af2"/>
            <w:rFonts w:eastAsiaTheme="minorHAnsi"/>
            <w:lang w:val="fr-CH"/>
          </w:rPr>
          <w:t>www</w:t>
        </w:r>
        <w:r w:rsidRPr="00163515">
          <w:rPr>
            <w:rStyle w:val="af2"/>
            <w:rFonts w:eastAsiaTheme="minorHAnsi"/>
          </w:rPr>
          <w:t>.</w:t>
        </w:r>
        <w:r w:rsidRPr="00163515">
          <w:rPr>
            <w:rStyle w:val="af2"/>
            <w:rFonts w:eastAsiaTheme="minorHAnsi"/>
            <w:lang w:val="fr-CH"/>
          </w:rPr>
          <w:t>culturaydeporte</w:t>
        </w:r>
        <w:r w:rsidRPr="00163515">
          <w:rPr>
            <w:rStyle w:val="af2"/>
            <w:rFonts w:eastAsiaTheme="minorHAnsi"/>
          </w:rPr>
          <w:t>.</w:t>
        </w:r>
        <w:r w:rsidRPr="00163515">
          <w:rPr>
            <w:rStyle w:val="af2"/>
            <w:rFonts w:eastAsiaTheme="minorHAnsi"/>
            <w:lang w:val="fr-CH"/>
          </w:rPr>
          <w:t>gob</w:t>
        </w:r>
        <w:r w:rsidRPr="00163515">
          <w:rPr>
            <w:rStyle w:val="af2"/>
            <w:rFonts w:eastAsiaTheme="minorHAnsi"/>
          </w:rPr>
          <w:t>.</w:t>
        </w:r>
        <w:r w:rsidRPr="00163515">
          <w:rPr>
            <w:rStyle w:val="af2"/>
            <w:rFonts w:eastAsiaTheme="minorHAnsi"/>
            <w:lang w:val="fr-CH"/>
          </w:rPr>
          <w:t>es</w:t>
        </w:r>
        <w:r w:rsidRPr="00163515">
          <w:rPr>
            <w:rStyle w:val="af2"/>
            <w:rFonts w:eastAsiaTheme="minorHAnsi"/>
          </w:rPr>
          <w:t>/</w:t>
        </w:r>
        <w:r w:rsidRPr="00163515">
          <w:rPr>
            <w:rStyle w:val="af2"/>
            <w:rFonts w:eastAsiaTheme="minorHAnsi"/>
            <w:lang w:val="fr-CH"/>
          </w:rPr>
          <w:t>serv</w:t>
        </w:r>
        <w:r w:rsidRPr="00163515">
          <w:rPr>
            <w:rStyle w:val="af2"/>
            <w:rFonts w:eastAsiaTheme="minorHAnsi"/>
            <w:lang w:val="fr-CH"/>
          </w:rPr>
          <w:t>i</w:t>
        </w:r>
        <w:r w:rsidRPr="00163515">
          <w:rPr>
            <w:rStyle w:val="af2"/>
            <w:rFonts w:eastAsiaTheme="minorHAnsi"/>
            <w:lang w:val="fr-CH"/>
          </w:rPr>
          <w:t>cios</w:t>
        </w:r>
        <w:r w:rsidRPr="00163515">
          <w:rPr>
            <w:rStyle w:val="af2"/>
            <w:rFonts w:eastAsiaTheme="minorHAnsi"/>
          </w:rPr>
          <w:t>-</w:t>
        </w:r>
        <w:r w:rsidRPr="00163515">
          <w:rPr>
            <w:rStyle w:val="af2"/>
            <w:rFonts w:eastAsiaTheme="minorHAnsi"/>
            <w:lang w:val="fr-CH"/>
          </w:rPr>
          <w:t>al</w:t>
        </w:r>
        <w:r w:rsidRPr="00163515">
          <w:rPr>
            <w:rStyle w:val="af2"/>
            <w:rFonts w:eastAsiaTheme="minorHAnsi"/>
          </w:rPr>
          <w:t>-</w:t>
        </w:r>
        <w:r w:rsidRPr="00163515">
          <w:rPr>
            <w:rStyle w:val="af2"/>
            <w:rFonts w:eastAsiaTheme="minorHAnsi"/>
            <w:lang w:val="fr-CH"/>
          </w:rPr>
          <w:t>ciudadano</w:t>
        </w:r>
        <w:r w:rsidRPr="00163515">
          <w:rPr>
            <w:rStyle w:val="af2"/>
            <w:rFonts w:eastAsiaTheme="minorHAnsi"/>
          </w:rPr>
          <w:t>-</w:t>
        </w:r>
        <w:r w:rsidRPr="00163515">
          <w:rPr>
            <w:rStyle w:val="af2"/>
            <w:rFonts w:eastAsiaTheme="minorHAnsi"/>
            <w:lang w:val="fr-CH"/>
          </w:rPr>
          <w:t>mecd</w:t>
        </w:r>
        <w:r w:rsidRPr="00163515">
          <w:rPr>
            <w:rStyle w:val="af2"/>
            <w:rFonts w:eastAsiaTheme="minorHAnsi"/>
          </w:rPr>
          <w:t>/</w:t>
        </w:r>
        <w:r w:rsidRPr="00163515">
          <w:rPr>
            <w:rStyle w:val="af2"/>
            <w:rFonts w:eastAsiaTheme="minorHAnsi"/>
            <w:lang w:val="fr-CH"/>
          </w:rPr>
          <w:t>estadisticas</w:t>
        </w:r>
        <w:r w:rsidRPr="00163515">
          <w:rPr>
            <w:rStyle w:val="af2"/>
            <w:rFonts w:eastAsiaTheme="minorHAnsi"/>
          </w:rPr>
          <w:t>/</w:t>
        </w:r>
        <w:r w:rsidRPr="00163515">
          <w:rPr>
            <w:rStyle w:val="af2"/>
            <w:rFonts w:eastAsiaTheme="minorHAnsi"/>
            <w:lang w:val="fr-CH"/>
          </w:rPr>
          <w:t>cultura</w:t>
        </w:r>
        <w:r w:rsidRPr="00163515">
          <w:rPr>
            <w:rStyle w:val="af2"/>
            <w:rFonts w:eastAsiaTheme="minorHAnsi"/>
          </w:rPr>
          <w:t>.</w:t>
        </w:r>
        <w:r w:rsidRPr="00163515">
          <w:rPr>
            <w:rStyle w:val="af2"/>
            <w:rFonts w:eastAsiaTheme="minorHAnsi"/>
            <w:lang w:val="fr-CH"/>
          </w:rPr>
          <w:t>html</w:t>
        </w:r>
      </w:hyperlink>
      <w:r w:rsidRPr="00983465">
        <w:rPr>
          <w:rStyle w:val="af2"/>
          <w:rFonts w:eastAsiaTheme="minorHAnsi"/>
        </w:rPr>
        <w:t>.</w:t>
      </w:r>
    </w:p>
  </w:footnote>
  <w:footnote w:id="4">
    <w:p w14:paraId="531C55C7" w14:textId="77777777" w:rsidR="009A5D34" w:rsidRPr="003F0B29" w:rsidRDefault="009A5D34" w:rsidP="0088700C">
      <w:pPr>
        <w:pStyle w:val="ae"/>
      </w:pPr>
      <w:r w:rsidRPr="00983465">
        <w:tab/>
      </w:r>
      <w:r w:rsidRPr="00293D03">
        <w:rPr>
          <w:rStyle w:val="ab"/>
        </w:rPr>
        <w:footnoteRef/>
      </w:r>
      <w:r w:rsidRPr="003F0B29">
        <w:rPr>
          <w:rStyle w:val="ab"/>
        </w:rPr>
        <w:t xml:space="preserve"> </w:t>
      </w:r>
      <w:r w:rsidRPr="003F0B29">
        <w:tab/>
      </w:r>
      <w:hyperlink r:id="rId2" w:history="1">
        <w:r w:rsidRPr="00435B5F">
          <w:rPr>
            <w:rStyle w:val="af2"/>
            <w:lang w:val="fr-CH"/>
          </w:rPr>
          <w:t>http</w:t>
        </w:r>
        <w:r w:rsidRPr="003F0B29">
          <w:rPr>
            <w:rStyle w:val="af2"/>
          </w:rPr>
          <w:t>://</w:t>
        </w:r>
        <w:r w:rsidRPr="00435B5F">
          <w:rPr>
            <w:rStyle w:val="af2"/>
            <w:lang w:val="fr-CH"/>
          </w:rPr>
          <w:t>www</w:t>
        </w:r>
        <w:r w:rsidRPr="003F0B29">
          <w:rPr>
            <w:rStyle w:val="af2"/>
          </w:rPr>
          <w:t>.</w:t>
        </w:r>
        <w:r w:rsidRPr="00435B5F">
          <w:rPr>
            <w:rStyle w:val="af2"/>
            <w:lang w:val="fr-CH"/>
          </w:rPr>
          <w:t>culturaydeporte</w:t>
        </w:r>
        <w:r w:rsidRPr="003F0B29">
          <w:rPr>
            <w:rStyle w:val="af2"/>
          </w:rPr>
          <w:t>.</w:t>
        </w:r>
        <w:r w:rsidRPr="00435B5F">
          <w:rPr>
            <w:rStyle w:val="af2"/>
            <w:lang w:val="fr-CH"/>
          </w:rPr>
          <w:t>gob</w:t>
        </w:r>
        <w:r w:rsidRPr="003F0B29">
          <w:rPr>
            <w:rStyle w:val="af2"/>
          </w:rPr>
          <w:t>.</w:t>
        </w:r>
        <w:r w:rsidRPr="00435B5F">
          <w:rPr>
            <w:rStyle w:val="af2"/>
            <w:lang w:val="fr-CH"/>
          </w:rPr>
          <w:t>es</w:t>
        </w:r>
        <w:r w:rsidRPr="003F0B29">
          <w:rPr>
            <w:rStyle w:val="af2"/>
          </w:rPr>
          <w:t>/</w:t>
        </w:r>
        <w:r w:rsidRPr="00435B5F">
          <w:rPr>
            <w:rStyle w:val="af2"/>
            <w:lang w:val="fr-CH"/>
          </w:rPr>
          <w:t>planes</w:t>
        </w:r>
        <w:r w:rsidRPr="003F0B29">
          <w:rPr>
            <w:rStyle w:val="af2"/>
          </w:rPr>
          <w:t>-</w:t>
        </w:r>
        <w:r w:rsidRPr="00435B5F">
          <w:rPr>
            <w:rStyle w:val="af2"/>
            <w:lang w:val="fr-CH"/>
          </w:rPr>
          <w:t>nacionales</w:t>
        </w:r>
        <w:r w:rsidRPr="003F0B29">
          <w:rPr>
            <w:rStyle w:val="af2"/>
          </w:rPr>
          <w:t>/</w:t>
        </w:r>
        <w:r w:rsidRPr="00435B5F">
          <w:rPr>
            <w:rStyle w:val="af2"/>
            <w:lang w:val="fr-CH"/>
          </w:rPr>
          <w:t>inicio</w:t>
        </w:r>
        <w:r w:rsidRPr="003F0B29">
          <w:rPr>
            <w:rStyle w:val="af2"/>
          </w:rPr>
          <w:t>-</w:t>
        </w:r>
        <w:r w:rsidRPr="00435B5F">
          <w:rPr>
            <w:rStyle w:val="af2"/>
            <w:lang w:val="fr-CH"/>
          </w:rPr>
          <w:t>recuperar</w:t>
        </w:r>
        <w:r w:rsidRPr="003F0B29">
          <w:rPr>
            <w:rStyle w:val="af2"/>
          </w:rPr>
          <w:t>.</w:t>
        </w:r>
        <w:r w:rsidRPr="00435B5F">
          <w:rPr>
            <w:rStyle w:val="af2"/>
            <w:lang w:val="fr-CH"/>
          </w:rPr>
          <w:t>html</w:t>
        </w:r>
      </w:hyperlink>
      <w:r w:rsidRPr="003F0B29">
        <w:t>.</w:t>
      </w:r>
    </w:p>
  </w:footnote>
  <w:footnote w:id="5">
    <w:p w14:paraId="01139B39" w14:textId="77777777" w:rsidR="009A5D34" w:rsidRPr="003F0B29" w:rsidRDefault="009A5D34" w:rsidP="0088700C">
      <w:pPr>
        <w:pStyle w:val="ae"/>
      </w:pPr>
      <w:r w:rsidRPr="003F0B29">
        <w:tab/>
      </w:r>
      <w:r w:rsidRPr="00293D03">
        <w:rPr>
          <w:rStyle w:val="ab"/>
        </w:rPr>
        <w:footnoteRef/>
      </w:r>
      <w:r w:rsidRPr="003F0B29">
        <w:tab/>
      </w:r>
      <w:hyperlink r:id="rId3" w:history="1">
        <w:r w:rsidRPr="00B112A4">
          <w:rPr>
            <w:rStyle w:val="af2"/>
            <w:rFonts w:eastAsiaTheme="minorHAnsi"/>
            <w:lang w:val="fr-CH"/>
          </w:rPr>
          <w:t>https</w:t>
        </w:r>
        <w:r w:rsidRPr="003F0B29">
          <w:rPr>
            <w:rStyle w:val="af2"/>
            <w:rFonts w:eastAsiaTheme="minorHAnsi"/>
          </w:rPr>
          <w:t>://</w:t>
        </w:r>
        <w:r w:rsidRPr="00B112A4">
          <w:rPr>
            <w:rStyle w:val="af2"/>
            <w:rFonts w:eastAsiaTheme="minorHAnsi"/>
            <w:lang w:val="fr-CH"/>
          </w:rPr>
          <w:t>sede</w:t>
        </w:r>
        <w:r w:rsidRPr="003F0B29">
          <w:rPr>
            <w:rStyle w:val="af2"/>
            <w:rFonts w:eastAsiaTheme="minorHAnsi"/>
          </w:rPr>
          <w:t>.</w:t>
        </w:r>
        <w:r w:rsidRPr="00B112A4">
          <w:rPr>
            <w:rStyle w:val="af2"/>
            <w:rFonts w:eastAsiaTheme="minorHAnsi"/>
            <w:lang w:val="fr-CH"/>
          </w:rPr>
          <w:t>educacion</w:t>
        </w:r>
        <w:r w:rsidRPr="003F0B29">
          <w:rPr>
            <w:rStyle w:val="af2"/>
            <w:rFonts w:eastAsiaTheme="minorHAnsi"/>
          </w:rPr>
          <w:t>.</w:t>
        </w:r>
        <w:r w:rsidRPr="00B112A4">
          <w:rPr>
            <w:rStyle w:val="af2"/>
            <w:rFonts w:eastAsiaTheme="minorHAnsi"/>
            <w:lang w:val="fr-CH"/>
          </w:rPr>
          <w:t>gob</w:t>
        </w:r>
        <w:r w:rsidRPr="003F0B29">
          <w:rPr>
            <w:rStyle w:val="af2"/>
            <w:rFonts w:eastAsiaTheme="minorHAnsi"/>
          </w:rPr>
          <w:t>.</w:t>
        </w:r>
        <w:r w:rsidRPr="00B112A4">
          <w:rPr>
            <w:rStyle w:val="af2"/>
            <w:rFonts w:eastAsiaTheme="minorHAnsi"/>
            <w:lang w:val="fr-CH"/>
          </w:rPr>
          <w:t>es</w:t>
        </w:r>
        <w:r w:rsidRPr="003F0B29">
          <w:rPr>
            <w:rStyle w:val="af2"/>
            <w:rFonts w:eastAsiaTheme="minorHAnsi"/>
          </w:rPr>
          <w:t>/</w:t>
        </w:r>
        <w:r w:rsidRPr="00B112A4">
          <w:rPr>
            <w:rStyle w:val="af2"/>
            <w:rFonts w:eastAsiaTheme="minorHAnsi"/>
            <w:lang w:val="fr-CH"/>
          </w:rPr>
          <w:t>publiventa</w:t>
        </w:r>
        <w:r w:rsidRPr="003F0B29">
          <w:rPr>
            <w:rStyle w:val="af2"/>
            <w:rFonts w:eastAsiaTheme="minorHAnsi"/>
          </w:rPr>
          <w:t>/</w:t>
        </w:r>
        <w:r w:rsidRPr="00B112A4">
          <w:rPr>
            <w:rStyle w:val="af2"/>
            <w:rFonts w:eastAsiaTheme="minorHAnsi"/>
            <w:lang w:val="fr-CH"/>
          </w:rPr>
          <w:t>plan</w:t>
        </w:r>
        <w:r w:rsidRPr="003F0B29">
          <w:rPr>
            <w:rStyle w:val="af2"/>
            <w:rFonts w:eastAsiaTheme="minorHAnsi"/>
          </w:rPr>
          <w:t>-</w:t>
        </w:r>
        <w:r w:rsidRPr="00B112A4">
          <w:rPr>
            <w:rStyle w:val="af2"/>
            <w:rFonts w:eastAsiaTheme="minorHAnsi"/>
            <w:lang w:val="fr-CH"/>
          </w:rPr>
          <w:t>de</w:t>
        </w:r>
        <w:r w:rsidRPr="003F0B29">
          <w:rPr>
            <w:rStyle w:val="af2"/>
            <w:rFonts w:eastAsiaTheme="minorHAnsi"/>
          </w:rPr>
          <w:t>-</w:t>
        </w:r>
        <w:r w:rsidRPr="00B112A4">
          <w:rPr>
            <w:rStyle w:val="af2"/>
            <w:rFonts w:eastAsiaTheme="minorHAnsi"/>
            <w:lang w:val="fr-CH"/>
          </w:rPr>
          <w:t>fomento</w:t>
        </w:r>
        <w:r w:rsidRPr="003F0B29">
          <w:rPr>
            <w:rStyle w:val="af2"/>
            <w:rFonts w:eastAsiaTheme="minorHAnsi"/>
          </w:rPr>
          <w:t>-</w:t>
        </w:r>
        <w:r w:rsidRPr="00B112A4">
          <w:rPr>
            <w:rStyle w:val="af2"/>
            <w:rFonts w:eastAsiaTheme="minorHAnsi"/>
            <w:lang w:val="fr-CH"/>
          </w:rPr>
          <w:t>de</w:t>
        </w:r>
        <w:r w:rsidRPr="003F0B29">
          <w:rPr>
            <w:rStyle w:val="af2"/>
            <w:rFonts w:eastAsiaTheme="minorHAnsi"/>
          </w:rPr>
          <w:t>-</w:t>
        </w:r>
        <w:r w:rsidRPr="00B112A4">
          <w:rPr>
            <w:rStyle w:val="af2"/>
            <w:rFonts w:eastAsiaTheme="minorHAnsi"/>
            <w:lang w:val="fr-CH"/>
          </w:rPr>
          <w:t>la</w:t>
        </w:r>
        <w:r w:rsidRPr="003F0B29">
          <w:rPr>
            <w:rStyle w:val="af2"/>
            <w:rFonts w:eastAsiaTheme="minorHAnsi"/>
          </w:rPr>
          <w:t>-</w:t>
        </w:r>
        <w:r w:rsidRPr="00B112A4">
          <w:rPr>
            <w:rStyle w:val="af2"/>
            <w:rFonts w:eastAsiaTheme="minorHAnsi"/>
            <w:lang w:val="fr-CH"/>
          </w:rPr>
          <w:t>lectura</w:t>
        </w:r>
        <w:r w:rsidRPr="003F0B29">
          <w:rPr>
            <w:rStyle w:val="af2"/>
            <w:rFonts w:eastAsiaTheme="minorHAnsi"/>
          </w:rPr>
          <w:t>-2017-2020-</w:t>
        </w:r>
        <w:r w:rsidRPr="00B112A4">
          <w:rPr>
            <w:rStyle w:val="af2"/>
            <w:rFonts w:eastAsiaTheme="minorHAnsi"/>
            <w:lang w:val="fr-CH"/>
          </w:rPr>
          <w:t>leer</w:t>
        </w:r>
        <w:r w:rsidRPr="003F0B29">
          <w:rPr>
            <w:rStyle w:val="af2"/>
            <w:rFonts w:eastAsiaTheme="minorHAnsi"/>
          </w:rPr>
          <w:t>-</w:t>
        </w:r>
        <w:r w:rsidRPr="00B112A4">
          <w:rPr>
            <w:rStyle w:val="af2"/>
            <w:rFonts w:eastAsiaTheme="minorHAnsi"/>
            <w:lang w:val="fr-CH"/>
          </w:rPr>
          <w:t>te</w:t>
        </w:r>
        <w:r w:rsidRPr="003F0B29">
          <w:rPr>
            <w:rStyle w:val="af2"/>
            <w:rFonts w:eastAsiaTheme="minorHAnsi"/>
          </w:rPr>
          <w:t>-</w:t>
        </w:r>
        <w:r w:rsidRPr="00B112A4">
          <w:rPr>
            <w:rStyle w:val="af2"/>
            <w:rFonts w:eastAsiaTheme="minorHAnsi"/>
            <w:lang w:val="fr-CH"/>
          </w:rPr>
          <w:t>da</w:t>
        </w:r>
        <w:r w:rsidRPr="003F0B29">
          <w:rPr>
            <w:rStyle w:val="af2"/>
            <w:rFonts w:eastAsiaTheme="minorHAnsi"/>
          </w:rPr>
          <w:t>-</w:t>
        </w:r>
        <w:r w:rsidRPr="00B112A4">
          <w:rPr>
            <w:rStyle w:val="af2"/>
            <w:rFonts w:eastAsiaTheme="minorHAnsi"/>
            <w:lang w:val="fr-CH"/>
          </w:rPr>
          <w:t>vidas</w:t>
        </w:r>
        <w:r w:rsidRPr="003F0B29">
          <w:rPr>
            <w:rStyle w:val="af2"/>
            <w:rFonts w:eastAsiaTheme="minorHAnsi"/>
          </w:rPr>
          <w:t>-</w:t>
        </w:r>
        <w:r w:rsidRPr="00B112A4">
          <w:rPr>
            <w:rStyle w:val="af2"/>
            <w:rFonts w:eastAsiaTheme="minorHAnsi"/>
            <w:lang w:val="fr-CH"/>
          </w:rPr>
          <w:t>extra</w:t>
        </w:r>
        <w:r w:rsidRPr="003F0B29">
          <w:rPr>
            <w:rStyle w:val="af2"/>
            <w:rFonts w:eastAsiaTheme="minorHAnsi"/>
          </w:rPr>
          <w:t>/</w:t>
        </w:r>
        <w:r w:rsidRPr="00B112A4">
          <w:rPr>
            <w:rStyle w:val="af2"/>
            <w:rFonts w:eastAsiaTheme="minorHAnsi"/>
            <w:lang w:val="fr-CH"/>
          </w:rPr>
          <w:t>libros</w:t>
        </w:r>
        <w:r w:rsidRPr="003F0B29">
          <w:rPr>
            <w:rStyle w:val="af2"/>
            <w:rFonts w:eastAsiaTheme="minorHAnsi"/>
          </w:rPr>
          <w:t>-</w:t>
        </w:r>
        <w:r w:rsidRPr="00B112A4">
          <w:rPr>
            <w:rStyle w:val="af2"/>
            <w:rFonts w:eastAsiaTheme="minorHAnsi"/>
            <w:lang w:val="fr-CH"/>
          </w:rPr>
          <w:t>y</w:t>
        </w:r>
        <w:r w:rsidRPr="003F0B29">
          <w:rPr>
            <w:rStyle w:val="af2"/>
            <w:rFonts w:eastAsiaTheme="minorHAnsi"/>
          </w:rPr>
          <w:t>-</w:t>
        </w:r>
        <w:r w:rsidRPr="00B112A4">
          <w:rPr>
            <w:rStyle w:val="af2"/>
            <w:rFonts w:eastAsiaTheme="minorHAnsi"/>
            <w:lang w:val="fr-CH"/>
          </w:rPr>
          <w:t>lectura</w:t>
        </w:r>
        <w:r w:rsidRPr="003F0B29">
          <w:rPr>
            <w:rStyle w:val="af2"/>
            <w:rFonts w:eastAsiaTheme="minorHAnsi"/>
          </w:rPr>
          <w:t>/20862</w:t>
        </w:r>
        <w:r w:rsidRPr="00B112A4">
          <w:rPr>
            <w:rStyle w:val="af2"/>
            <w:rFonts w:eastAsiaTheme="minorHAnsi"/>
            <w:lang w:val="fr-CH"/>
          </w:rPr>
          <w:t>C</w:t>
        </w:r>
      </w:hyperlink>
      <w:r w:rsidRPr="003F0B29">
        <w:rPr>
          <w:rStyle w:val="af2"/>
          <w:rFonts w:eastAsiaTheme="minorHAnsi"/>
        </w:rPr>
        <w:t>.</w:t>
      </w:r>
    </w:p>
  </w:footnote>
  <w:footnote w:id="6">
    <w:p w14:paraId="68368AB5" w14:textId="0004F854" w:rsidR="009A5D34" w:rsidRPr="004E379B" w:rsidRDefault="009A5D34" w:rsidP="0088700C">
      <w:pPr>
        <w:pStyle w:val="ae"/>
      </w:pPr>
      <w:r w:rsidRPr="003F0B29">
        <w:tab/>
      </w:r>
      <w:r w:rsidRPr="00293D03">
        <w:rPr>
          <w:rStyle w:val="ab"/>
        </w:rPr>
        <w:footnoteRef/>
      </w:r>
      <w:r w:rsidRPr="004E379B">
        <w:tab/>
      </w:r>
      <w:r>
        <w:t>Статистический</w:t>
      </w:r>
      <w:r w:rsidRPr="004E379B">
        <w:t xml:space="preserve"> </w:t>
      </w:r>
      <w:r>
        <w:t>портал</w:t>
      </w:r>
      <w:r w:rsidRPr="004E379B">
        <w:t xml:space="preserve"> </w:t>
      </w:r>
      <w:r>
        <w:t>и</w:t>
      </w:r>
      <w:r w:rsidRPr="004E379B">
        <w:t xml:space="preserve"> </w:t>
      </w:r>
      <w:r>
        <w:t>указанные публикации</w:t>
      </w:r>
      <w:r w:rsidRPr="004E379B">
        <w:t xml:space="preserve"> </w:t>
      </w:r>
      <w:r>
        <w:t>доступны</w:t>
      </w:r>
      <w:r w:rsidRPr="004E379B">
        <w:t xml:space="preserve"> </w:t>
      </w:r>
      <w:r>
        <w:t>на веб-сайте</w:t>
      </w:r>
      <w:r w:rsidRPr="004E379B">
        <w:t xml:space="preserve"> </w:t>
      </w:r>
      <w:hyperlink r:id="rId4" w:history="1">
        <w:r w:rsidRPr="00163515">
          <w:rPr>
            <w:rStyle w:val="af2"/>
          </w:rPr>
          <w:t>http://www.viol</w:t>
        </w:r>
        <w:r w:rsidRPr="00163515">
          <w:rPr>
            <w:rStyle w:val="af2"/>
          </w:rPr>
          <w:t>e</w:t>
        </w:r>
        <w:r w:rsidRPr="00163515">
          <w:rPr>
            <w:rStyle w:val="af2"/>
          </w:rPr>
          <w:t>nciagenero.igualdad.mpr.gob.es/violenciaEnCifras/home.htm</w:t>
        </w:r>
      </w:hyperlink>
      <w:r w:rsidRPr="004E379B">
        <w:t>.</w:t>
      </w:r>
    </w:p>
  </w:footnote>
  <w:footnote w:id="7">
    <w:p w14:paraId="0F743A05" w14:textId="20D9C4FD" w:rsidR="009A5D34" w:rsidRPr="00257E6D" w:rsidRDefault="009A5D34" w:rsidP="0088700C">
      <w:pPr>
        <w:pStyle w:val="ae"/>
      </w:pPr>
      <w:r w:rsidRPr="004E379B">
        <w:tab/>
      </w:r>
      <w:r w:rsidRPr="00293D03">
        <w:rPr>
          <w:rStyle w:val="ab"/>
        </w:rPr>
        <w:footnoteRef/>
      </w:r>
      <w:r w:rsidRPr="004F2765">
        <w:rPr>
          <w:rStyle w:val="ab"/>
          <w:vertAlign w:val="subscript"/>
        </w:rPr>
        <w:tab/>
      </w:r>
      <w:hyperlink r:id="rId5" w:history="1">
        <w:r w:rsidR="00B92C17" w:rsidRPr="00163515">
          <w:rPr>
            <w:rStyle w:val="af2"/>
          </w:rPr>
          <w:t>http://www.violenc</w:t>
        </w:r>
        <w:r w:rsidR="00B92C17" w:rsidRPr="00163515">
          <w:rPr>
            <w:rStyle w:val="af2"/>
          </w:rPr>
          <w:t>i</w:t>
        </w:r>
        <w:r w:rsidR="00B92C17" w:rsidRPr="00163515">
          <w:rPr>
            <w:rStyle w:val="af2"/>
          </w:rPr>
          <w:t>agenero.igualdad.mpr.gob.es/pacto</w:t>
        </w:r>
        <w:r w:rsidR="00B92C17" w:rsidRPr="00163515">
          <w:rPr>
            <w:rStyle w:val="af2"/>
          </w:rPr>
          <w:t>E</w:t>
        </w:r>
        <w:r w:rsidR="00B92C17" w:rsidRPr="00163515">
          <w:rPr>
            <w:rStyle w:val="af2"/>
          </w:rPr>
          <w:t>stado/home.htm</w:t>
        </w:r>
      </w:hyperlink>
      <w:r w:rsidR="00B92C17">
        <w:t>.</w:t>
      </w:r>
    </w:p>
  </w:footnote>
  <w:footnote w:id="8">
    <w:p w14:paraId="78E27ED8" w14:textId="60D2AF46" w:rsidR="009A5D34" w:rsidRPr="00434E1E" w:rsidRDefault="009A5D34" w:rsidP="0088700C">
      <w:pPr>
        <w:pStyle w:val="ae"/>
      </w:pPr>
      <w:r w:rsidRPr="00257E6D">
        <w:tab/>
      </w:r>
      <w:r w:rsidRPr="00293D03">
        <w:rPr>
          <w:rStyle w:val="ab"/>
        </w:rPr>
        <w:footnoteRef/>
      </w:r>
      <w:r w:rsidR="00D633C5">
        <w:tab/>
      </w:r>
      <w:hyperlink r:id="rId6" w:history="1">
        <w:r w:rsidR="00D633C5" w:rsidRPr="00163515">
          <w:rPr>
            <w:rStyle w:val="af2"/>
          </w:rPr>
          <w:t>http:/w</w:t>
        </w:r>
        <w:r w:rsidR="00D633C5" w:rsidRPr="00163515">
          <w:rPr>
            <w:rStyle w:val="af2"/>
          </w:rPr>
          <w:t>w</w:t>
        </w:r>
        <w:r w:rsidR="00D633C5" w:rsidRPr="00163515">
          <w:rPr>
            <w:rStyle w:val="af2"/>
          </w:rPr>
          <w:t>w.violenciagenero.igualdad.mpr.gob.es/otrasFormas/trata/</w:t>
        </w:r>
        <w:r w:rsidR="00D633C5" w:rsidRPr="00163515">
          <w:rPr>
            <w:rStyle w:val="af2"/>
          </w:rPr>
          <w:t>n</w:t>
        </w:r>
        <w:r w:rsidR="00D633C5" w:rsidRPr="00163515">
          <w:rPr>
            <w:rStyle w:val="af2"/>
          </w:rPr>
          <w:t>ormativaProtocolo/</w:t>
        </w:r>
        <w:r w:rsidR="00D633C5" w:rsidRPr="00163515">
          <w:rPr>
            <w:rStyle w:val="af2"/>
          </w:rPr>
          <w:br/>
          <w:t>planIntegral/home.htm</w:t>
        </w:r>
      </w:hyperlink>
      <w:r w:rsidR="00434E1E" w:rsidRPr="00434E1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7997" w14:textId="138C6A43" w:rsidR="009A5D34" w:rsidRPr="0088700C" w:rsidRDefault="003F0B29">
    <w:pPr>
      <w:pStyle w:val="a6"/>
    </w:pPr>
    <w:fldSimple w:instr=" TITLE  \* MERGEFORMAT ">
      <w:r w:rsidR="00165FCB">
        <w:t>HRI/CORE/ESP/2019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D367" w14:textId="6B740CCE" w:rsidR="009A5D34" w:rsidRPr="0088700C" w:rsidRDefault="003F0B29" w:rsidP="0088700C">
    <w:pPr>
      <w:pStyle w:val="a6"/>
      <w:jc w:val="right"/>
    </w:pPr>
    <w:fldSimple w:instr=" TITLE  \* MERGEFORMAT ">
      <w:r w:rsidR="00165FCB">
        <w:t>HRI/CORE/ESP/2019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81DA" w14:textId="77777777" w:rsidR="009A5D34" w:rsidRDefault="009A5D34" w:rsidP="0088700C">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15"/>
    <w:rsid w:val="000028F0"/>
    <w:rsid w:val="00006180"/>
    <w:rsid w:val="00012AEB"/>
    <w:rsid w:val="00033EE1"/>
    <w:rsid w:val="00042B72"/>
    <w:rsid w:val="0005105F"/>
    <w:rsid w:val="000558BD"/>
    <w:rsid w:val="000749C6"/>
    <w:rsid w:val="00081D9E"/>
    <w:rsid w:val="00083987"/>
    <w:rsid w:val="000A7D5B"/>
    <w:rsid w:val="000B2620"/>
    <w:rsid w:val="000B57E7"/>
    <w:rsid w:val="000B6373"/>
    <w:rsid w:val="000F09DF"/>
    <w:rsid w:val="000F61B2"/>
    <w:rsid w:val="001075E9"/>
    <w:rsid w:val="00121987"/>
    <w:rsid w:val="00163515"/>
    <w:rsid w:val="00165FCB"/>
    <w:rsid w:val="00180183"/>
    <w:rsid w:val="0018024D"/>
    <w:rsid w:val="00181061"/>
    <w:rsid w:val="0018649F"/>
    <w:rsid w:val="00196389"/>
    <w:rsid w:val="001B3EF6"/>
    <w:rsid w:val="001C1E41"/>
    <w:rsid w:val="001C7A89"/>
    <w:rsid w:val="0020092A"/>
    <w:rsid w:val="00205D9D"/>
    <w:rsid w:val="002115B8"/>
    <w:rsid w:val="00231B15"/>
    <w:rsid w:val="00252A39"/>
    <w:rsid w:val="00291476"/>
    <w:rsid w:val="002A2EFC"/>
    <w:rsid w:val="002B1258"/>
    <w:rsid w:val="002C0E18"/>
    <w:rsid w:val="002C6A31"/>
    <w:rsid w:val="002D5AAC"/>
    <w:rsid w:val="002E5067"/>
    <w:rsid w:val="002F405F"/>
    <w:rsid w:val="002F7EEC"/>
    <w:rsid w:val="00301299"/>
    <w:rsid w:val="00302FA0"/>
    <w:rsid w:val="00307FB6"/>
    <w:rsid w:val="00317339"/>
    <w:rsid w:val="00322004"/>
    <w:rsid w:val="003234D2"/>
    <w:rsid w:val="003402C2"/>
    <w:rsid w:val="00356B33"/>
    <w:rsid w:val="00373BCE"/>
    <w:rsid w:val="00381C24"/>
    <w:rsid w:val="00387437"/>
    <w:rsid w:val="003958D0"/>
    <w:rsid w:val="003A3D90"/>
    <w:rsid w:val="003B00E5"/>
    <w:rsid w:val="003F0B29"/>
    <w:rsid w:val="00407B78"/>
    <w:rsid w:val="00424203"/>
    <w:rsid w:val="00426DE7"/>
    <w:rsid w:val="00434E1E"/>
    <w:rsid w:val="00435B5F"/>
    <w:rsid w:val="00452493"/>
    <w:rsid w:val="00454E07"/>
    <w:rsid w:val="00471B10"/>
    <w:rsid w:val="00472C5C"/>
    <w:rsid w:val="004B3852"/>
    <w:rsid w:val="004C702A"/>
    <w:rsid w:val="004D541E"/>
    <w:rsid w:val="004F2765"/>
    <w:rsid w:val="004F7544"/>
    <w:rsid w:val="0050108D"/>
    <w:rsid w:val="00513081"/>
    <w:rsid w:val="00517901"/>
    <w:rsid w:val="00521B1F"/>
    <w:rsid w:val="00526683"/>
    <w:rsid w:val="00534FEA"/>
    <w:rsid w:val="00565172"/>
    <w:rsid w:val="005709E0"/>
    <w:rsid w:val="00572E19"/>
    <w:rsid w:val="005961C8"/>
    <w:rsid w:val="005D7914"/>
    <w:rsid w:val="005E0FF2"/>
    <w:rsid w:val="005E2B41"/>
    <w:rsid w:val="005F0B42"/>
    <w:rsid w:val="00647E5B"/>
    <w:rsid w:val="00681A10"/>
    <w:rsid w:val="006A1ED8"/>
    <w:rsid w:val="006C2031"/>
    <w:rsid w:val="006D293E"/>
    <w:rsid w:val="006D461A"/>
    <w:rsid w:val="006F35EE"/>
    <w:rsid w:val="0070043D"/>
    <w:rsid w:val="007021FF"/>
    <w:rsid w:val="00712895"/>
    <w:rsid w:val="00741393"/>
    <w:rsid w:val="007479F9"/>
    <w:rsid w:val="00757357"/>
    <w:rsid w:val="007B123B"/>
    <w:rsid w:val="007B1E9F"/>
    <w:rsid w:val="007B5263"/>
    <w:rsid w:val="00817A4D"/>
    <w:rsid w:val="00825F8D"/>
    <w:rsid w:val="00830E31"/>
    <w:rsid w:val="00834B71"/>
    <w:rsid w:val="00857CFE"/>
    <w:rsid w:val="0086445C"/>
    <w:rsid w:val="0088700C"/>
    <w:rsid w:val="00892369"/>
    <w:rsid w:val="008935E5"/>
    <w:rsid w:val="00894693"/>
    <w:rsid w:val="008A08D7"/>
    <w:rsid w:val="008B6909"/>
    <w:rsid w:val="00906890"/>
    <w:rsid w:val="00911BE4"/>
    <w:rsid w:val="00943923"/>
    <w:rsid w:val="00946182"/>
    <w:rsid w:val="00951972"/>
    <w:rsid w:val="009608F3"/>
    <w:rsid w:val="009729BC"/>
    <w:rsid w:val="0098184C"/>
    <w:rsid w:val="00983465"/>
    <w:rsid w:val="009924DC"/>
    <w:rsid w:val="009A24AC"/>
    <w:rsid w:val="009A5D34"/>
    <w:rsid w:val="009B48DA"/>
    <w:rsid w:val="00A1531E"/>
    <w:rsid w:val="00A312BC"/>
    <w:rsid w:val="00A658A6"/>
    <w:rsid w:val="00A7646D"/>
    <w:rsid w:val="00A76DF7"/>
    <w:rsid w:val="00A84021"/>
    <w:rsid w:val="00A84D35"/>
    <w:rsid w:val="00A917B3"/>
    <w:rsid w:val="00AB4B51"/>
    <w:rsid w:val="00AB6C83"/>
    <w:rsid w:val="00AC6164"/>
    <w:rsid w:val="00AD5305"/>
    <w:rsid w:val="00AF15B1"/>
    <w:rsid w:val="00B04632"/>
    <w:rsid w:val="00B10CC7"/>
    <w:rsid w:val="00B539E7"/>
    <w:rsid w:val="00B62458"/>
    <w:rsid w:val="00B92C17"/>
    <w:rsid w:val="00B93CA3"/>
    <w:rsid w:val="00B94DA4"/>
    <w:rsid w:val="00BC18B2"/>
    <w:rsid w:val="00BD33EE"/>
    <w:rsid w:val="00C106D6"/>
    <w:rsid w:val="00C51CD9"/>
    <w:rsid w:val="00C55C20"/>
    <w:rsid w:val="00C60F0C"/>
    <w:rsid w:val="00C77D3E"/>
    <w:rsid w:val="00C805C9"/>
    <w:rsid w:val="00C92939"/>
    <w:rsid w:val="00CA1679"/>
    <w:rsid w:val="00CB151C"/>
    <w:rsid w:val="00CD7569"/>
    <w:rsid w:val="00CE5A1A"/>
    <w:rsid w:val="00CE6069"/>
    <w:rsid w:val="00CF55F6"/>
    <w:rsid w:val="00D03F1C"/>
    <w:rsid w:val="00D33D63"/>
    <w:rsid w:val="00D56E13"/>
    <w:rsid w:val="00D633C5"/>
    <w:rsid w:val="00D90028"/>
    <w:rsid w:val="00D90138"/>
    <w:rsid w:val="00DA2F15"/>
    <w:rsid w:val="00DC7155"/>
    <w:rsid w:val="00DF0196"/>
    <w:rsid w:val="00DF71B9"/>
    <w:rsid w:val="00E57D9F"/>
    <w:rsid w:val="00E73F76"/>
    <w:rsid w:val="00EA2C9F"/>
    <w:rsid w:val="00ED0BDA"/>
    <w:rsid w:val="00ED4505"/>
    <w:rsid w:val="00EF1360"/>
    <w:rsid w:val="00EF3220"/>
    <w:rsid w:val="00EF6A1C"/>
    <w:rsid w:val="00F16AC6"/>
    <w:rsid w:val="00F74415"/>
    <w:rsid w:val="00F8178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A7CA0"/>
  <w15:docId w15:val="{9D39D5E6-8AF6-4435-ACEA-1FE57D30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946182"/>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CE6069"/>
    <w:pPr>
      <w:keepNext/>
      <w:numPr>
        <w:ilvl w:val="1"/>
        <w:numId w:val="6"/>
      </w:numPr>
      <w:outlineLvl w:val="1"/>
    </w:pPr>
    <w:rPr>
      <w:rFonts w:cs="Arial"/>
      <w:bCs/>
      <w:iCs/>
      <w:szCs w:val="28"/>
    </w:rPr>
  </w:style>
  <w:style w:type="paragraph" w:styleId="3">
    <w:name w:val="heading 3"/>
    <w:basedOn w:val="a0"/>
    <w:next w:val="a0"/>
    <w:link w:val="30"/>
    <w:qFormat/>
    <w:rsid w:val="00CE6069"/>
    <w:pPr>
      <w:keepNext/>
      <w:numPr>
        <w:ilvl w:val="2"/>
        <w:numId w:val="6"/>
      </w:numPr>
      <w:spacing w:before="240" w:after="60"/>
      <w:outlineLvl w:val="2"/>
    </w:pPr>
    <w:rPr>
      <w:rFonts w:ascii="Arial" w:hAnsi="Arial" w:cs="Arial"/>
      <w:b/>
      <w:bCs/>
      <w:sz w:val="26"/>
      <w:szCs w:val="26"/>
    </w:rPr>
  </w:style>
  <w:style w:type="paragraph" w:styleId="4">
    <w:name w:val="heading 4"/>
    <w:basedOn w:val="a0"/>
    <w:next w:val="a0"/>
    <w:link w:val="40"/>
    <w:qFormat/>
    <w:rsid w:val="00CE6069"/>
    <w:pPr>
      <w:keepNext/>
      <w:numPr>
        <w:ilvl w:val="3"/>
        <w:numId w:val="6"/>
      </w:numPr>
      <w:spacing w:before="240" w:after="60"/>
      <w:outlineLvl w:val="3"/>
    </w:pPr>
    <w:rPr>
      <w:b/>
      <w:bCs/>
      <w:sz w:val="28"/>
      <w:szCs w:val="28"/>
    </w:rPr>
  </w:style>
  <w:style w:type="paragraph" w:styleId="5">
    <w:name w:val="heading 5"/>
    <w:basedOn w:val="a0"/>
    <w:next w:val="a0"/>
    <w:link w:val="50"/>
    <w:qFormat/>
    <w:rsid w:val="00CE6069"/>
    <w:pPr>
      <w:numPr>
        <w:ilvl w:val="4"/>
        <w:numId w:val="6"/>
      </w:numPr>
      <w:spacing w:before="240" w:after="60"/>
      <w:outlineLvl w:val="4"/>
    </w:pPr>
    <w:rPr>
      <w:b/>
      <w:bCs/>
      <w:i/>
      <w:iCs/>
      <w:sz w:val="26"/>
      <w:szCs w:val="26"/>
    </w:rPr>
  </w:style>
  <w:style w:type="paragraph" w:styleId="6">
    <w:name w:val="heading 6"/>
    <w:basedOn w:val="a0"/>
    <w:next w:val="a0"/>
    <w:link w:val="60"/>
    <w:qFormat/>
    <w:rsid w:val="00CE6069"/>
    <w:pPr>
      <w:numPr>
        <w:ilvl w:val="5"/>
        <w:numId w:val="6"/>
      </w:numPr>
      <w:spacing w:before="240" w:after="60"/>
      <w:outlineLvl w:val="5"/>
    </w:pPr>
    <w:rPr>
      <w:b/>
      <w:bCs/>
      <w:sz w:val="22"/>
    </w:rPr>
  </w:style>
  <w:style w:type="paragraph" w:styleId="7">
    <w:name w:val="heading 7"/>
    <w:basedOn w:val="a0"/>
    <w:next w:val="a0"/>
    <w:link w:val="70"/>
    <w:qFormat/>
    <w:rsid w:val="00CE6069"/>
    <w:pPr>
      <w:numPr>
        <w:ilvl w:val="6"/>
        <w:numId w:val="6"/>
      </w:numPr>
      <w:spacing w:before="240" w:after="60"/>
      <w:outlineLvl w:val="6"/>
    </w:pPr>
    <w:rPr>
      <w:sz w:val="24"/>
      <w:szCs w:val="24"/>
    </w:rPr>
  </w:style>
  <w:style w:type="paragraph" w:styleId="8">
    <w:name w:val="heading 8"/>
    <w:basedOn w:val="a0"/>
    <w:next w:val="a0"/>
    <w:link w:val="80"/>
    <w:qFormat/>
    <w:rsid w:val="00CE6069"/>
    <w:pPr>
      <w:numPr>
        <w:ilvl w:val="7"/>
        <w:numId w:val="6"/>
      </w:numPr>
      <w:spacing w:before="240" w:after="60"/>
      <w:outlineLvl w:val="7"/>
    </w:pPr>
    <w:rPr>
      <w:i/>
      <w:iCs/>
      <w:sz w:val="24"/>
      <w:szCs w:val="24"/>
    </w:rPr>
  </w:style>
  <w:style w:type="paragraph" w:styleId="9">
    <w:name w:val="heading 9"/>
    <w:basedOn w:val="a0"/>
    <w:next w:val="a0"/>
    <w:link w:val="90"/>
    <w:qFormat/>
    <w:rsid w:val="00CE6069"/>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CE6069"/>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565172"/>
    <w:rPr>
      <w:rFonts w:ascii="Tahoma" w:eastAsiaTheme="minorHAnsi" w:hAnsi="Tahoma" w:cs="Tahoma"/>
      <w:sz w:val="16"/>
      <w:szCs w:val="16"/>
      <w:lang w:val="ru-RU" w:eastAsia="en-US"/>
    </w:rPr>
  </w:style>
  <w:style w:type="paragraph" w:customStyle="1" w:styleId="HMG">
    <w:name w:val="_ H __M_G"/>
    <w:basedOn w:val="a0"/>
    <w:next w:val="a0"/>
    <w:uiPriority w:val="99"/>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ar"/>
    <w:uiPriority w:val="99"/>
    <w:qFormat/>
    <w:rsid w:val="002B1258"/>
    <w:pPr>
      <w:spacing w:after="120"/>
      <w:ind w:left="1134" w:right="1134"/>
      <w:jc w:val="both"/>
    </w:pPr>
    <w:rPr>
      <w:rFonts w:eastAsia="Times New Roman" w:cs="Times New Roman"/>
      <w:szCs w:val="20"/>
    </w:rPr>
  </w:style>
  <w:style w:type="paragraph" w:customStyle="1" w:styleId="SLG">
    <w:name w:val="__S_L_G"/>
    <w:basedOn w:val="a0"/>
    <w:next w:val="a0"/>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946182"/>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946182"/>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2B1258"/>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946182"/>
    <w:rPr>
      <w:b/>
      <w:sz w:val="18"/>
      <w:lang w:val="en-GB" w:eastAsia="ru-RU"/>
    </w:rPr>
  </w:style>
  <w:style w:type="character" w:styleId="a8">
    <w:name w:val="page number"/>
    <w:aliases w:val="7_G"/>
    <w:basedOn w:val="a1"/>
    <w:qFormat/>
    <w:rsid w:val="00946182"/>
    <w:rPr>
      <w:rFonts w:ascii="Times New Roman" w:hAnsi="Times New Roman"/>
      <w:b/>
      <w:sz w:val="18"/>
    </w:rPr>
  </w:style>
  <w:style w:type="paragraph" w:styleId="a9">
    <w:name w:val="footer"/>
    <w:aliases w:val="3_G"/>
    <w:basedOn w:val="a0"/>
    <w:link w:val="aa"/>
    <w:uiPriority w:val="99"/>
    <w:qFormat/>
    <w:rsid w:val="00946182"/>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946182"/>
    <w:rPr>
      <w:sz w:val="16"/>
      <w:lang w:val="en-GB" w:eastAsia="ru-RU"/>
    </w:rPr>
  </w:style>
  <w:style w:type="character" w:styleId="ab">
    <w:name w:val="footnote reference"/>
    <w:aliases w:val="4_G"/>
    <w:basedOn w:val="a1"/>
    <w:qFormat/>
    <w:rsid w:val="00946182"/>
    <w:rPr>
      <w:rFonts w:ascii="Times New Roman" w:hAnsi="Times New Roman"/>
      <w:dstrike w:val="0"/>
      <w:sz w:val="18"/>
      <w:vertAlign w:val="superscript"/>
    </w:rPr>
  </w:style>
  <w:style w:type="character" w:styleId="ac">
    <w:name w:val="endnote reference"/>
    <w:aliases w:val="1_G"/>
    <w:basedOn w:val="ab"/>
    <w:uiPriority w:val="99"/>
    <w:qFormat/>
    <w:rsid w:val="00946182"/>
    <w:rPr>
      <w:rFonts w:ascii="Times New Roman" w:hAnsi="Times New Roman"/>
      <w:dstrike w:val="0"/>
      <w:sz w:val="18"/>
      <w:vertAlign w:val="superscript"/>
    </w:rPr>
  </w:style>
  <w:style w:type="table" w:styleId="ad">
    <w:name w:val="Table Grid"/>
    <w:basedOn w:val="a2"/>
    <w:uiPriority w:val="9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946182"/>
    <w:rPr>
      <w:sz w:val="18"/>
      <w:lang w:val="ru-RU" w:eastAsia="ru-RU"/>
    </w:rPr>
  </w:style>
  <w:style w:type="paragraph" w:styleId="af0">
    <w:name w:val="endnote text"/>
    <w:aliases w:val="2_G"/>
    <w:basedOn w:val="ae"/>
    <w:link w:val="af1"/>
    <w:uiPriority w:val="99"/>
    <w:qFormat/>
    <w:rsid w:val="00946182"/>
  </w:style>
  <w:style w:type="character" w:customStyle="1" w:styleId="af1">
    <w:name w:val="Текст концевой сноски Знак"/>
    <w:aliases w:val="2_G Знак"/>
    <w:basedOn w:val="a1"/>
    <w:link w:val="af0"/>
    <w:uiPriority w:val="99"/>
    <w:rsid w:val="00946182"/>
    <w:rPr>
      <w:sz w:val="18"/>
      <w:lang w:val="ru-RU" w:eastAsia="ru-RU"/>
    </w:rPr>
  </w:style>
  <w:style w:type="character" w:customStyle="1" w:styleId="10">
    <w:name w:val="Заголовок 1 Знак"/>
    <w:aliases w:val="Table_G Знак"/>
    <w:basedOn w:val="a1"/>
    <w:link w:val="1"/>
    <w:rsid w:val="00946182"/>
    <w:rPr>
      <w:rFonts w:cs="Arial"/>
      <w:b/>
      <w:bCs/>
      <w:szCs w:val="32"/>
      <w:lang w:val="ru-RU" w:eastAsia="ru-RU"/>
    </w:rPr>
  </w:style>
  <w:style w:type="character" w:styleId="af2">
    <w:name w:val="Hyperlink"/>
    <w:basedOn w:val="a1"/>
    <w:rsid w:val="00946182"/>
    <w:rPr>
      <w:color w:val="0000FF" w:themeColor="hyperlink"/>
      <w:u w:val="none"/>
    </w:rPr>
  </w:style>
  <w:style w:type="character" w:styleId="af3">
    <w:name w:val="FollowedHyperlink"/>
    <w:basedOn w:val="a1"/>
    <w:uiPriority w:val="99"/>
    <w:rsid w:val="00946182"/>
    <w:rPr>
      <w:color w:val="800080" w:themeColor="followedHyperlink"/>
      <w:u w:val="none"/>
    </w:rPr>
  </w:style>
  <w:style w:type="character" w:customStyle="1" w:styleId="SingleTxtGCar">
    <w:name w:val="_ Single Txt_G Car"/>
    <w:link w:val="SingleTxtG"/>
    <w:uiPriority w:val="99"/>
    <w:locked/>
    <w:rsid w:val="0088700C"/>
    <w:rPr>
      <w:lang w:val="ru-RU" w:eastAsia="en-US"/>
    </w:rPr>
  </w:style>
  <w:style w:type="character" w:customStyle="1" w:styleId="20">
    <w:name w:val="Заголовок 2 Знак"/>
    <w:basedOn w:val="a1"/>
    <w:link w:val="2"/>
    <w:rsid w:val="0088700C"/>
    <w:rPr>
      <w:rFonts w:eastAsiaTheme="minorHAnsi" w:cs="Arial"/>
      <w:bCs/>
      <w:iCs/>
      <w:szCs w:val="28"/>
      <w:lang w:val="ru-RU" w:eastAsia="en-US"/>
    </w:rPr>
  </w:style>
  <w:style w:type="character" w:customStyle="1" w:styleId="30">
    <w:name w:val="Заголовок 3 Знак"/>
    <w:basedOn w:val="a1"/>
    <w:link w:val="3"/>
    <w:rsid w:val="0088700C"/>
    <w:rPr>
      <w:rFonts w:ascii="Arial" w:eastAsiaTheme="minorHAnsi" w:hAnsi="Arial" w:cs="Arial"/>
      <w:b/>
      <w:bCs/>
      <w:sz w:val="26"/>
      <w:szCs w:val="26"/>
      <w:lang w:val="ru-RU" w:eastAsia="en-US"/>
    </w:rPr>
  </w:style>
  <w:style w:type="character" w:customStyle="1" w:styleId="40">
    <w:name w:val="Заголовок 4 Знак"/>
    <w:basedOn w:val="a1"/>
    <w:link w:val="4"/>
    <w:rsid w:val="0088700C"/>
    <w:rPr>
      <w:rFonts w:eastAsiaTheme="minorHAnsi" w:cstheme="minorBidi"/>
      <w:b/>
      <w:bCs/>
      <w:sz w:val="28"/>
      <w:szCs w:val="28"/>
      <w:lang w:val="ru-RU" w:eastAsia="en-US"/>
    </w:rPr>
  </w:style>
  <w:style w:type="character" w:customStyle="1" w:styleId="50">
    <w:name w:val="Заголовок 5 Знак"/>
    <w:basedOn w:val="a1"/>
    <w:link w:val="5"/>
    <w:rsid w:val="0088700C"/>
    <w:rPr>
      <w:rFonts w:eastAsiaTheme="minorHAnsi" w:cstheme="minorBidi"/>
      <w:b/>
      <w:bCs/>
      <w:i/>
      <w:iCs/>
      <w:sz w:val="26"/>
      <w:szCs w:val="26"/>
      <w:lang w:val="ru-RU" w:eastAsia="en-US"/>
    </w:rPr>
  </w:style>
  <w:style w:type="character" w:customStyle="1" w:styleId="60">
    <w:name w:val="Заголовок 6 Знак"/>
    <w:basedOn w:val="a1"/>
    <w:link w:val="6"/>
    <w:rsid w:val="0088700C"/>
    <w:rPr>
      <w:rFonts w:eastAsiaTheme="minorHAnsi" w:cstheme="minorBidi"/>
      <w:b/>
      <w:bCs/>
      <w:sz w:val="22"/>
      <w:szCs w:val="22"/>
      <w:lang w:val="ru-RU" w:eastAsia="en-US"/>
    </w:rPr>
  </w:style>
  <w:style w:type="character" w:customStyle="1" w:styleId="70">
    <w:name w:val="Заголовок 7 Знак"/>
    <w:basedOn w:val="a1"/>
    <w:link w:val="7"/>
    <w:rsid w:val="0088700C"/>
    <w:rPr>
      <w:rFonts w:eastAsiaTheme="minorHAnsi" w:cstheme="minorBidi"/>
      <w:sz w:val="24"/>
      <w:szCs w:val="24"/>
      <w:lang w:val="ru-RU" w:eastAsia="en-US"/>
    </w:rPr>
  </w:style>
  <w:style w:type="character" w:customStyle="1" w:styleId="80">
    <w:name w:val="Заголовок 8 Знак"/>
    <w:basedOn w:val="a1"/>
    <w:link w:val="8"/>
    <w:rsid w:val="0088700C"/>
    <w:rPr>
      <w:rFonts w:eastAsiaTheme="minorHAnsi" w:cstheme="minorBidi"/>
      <w:i/>
      <w:iCs/>
      <w:sz w:val="24"/>
      <w:szCs w:val="24"/>
      <w:lang w:val="ru-RU" w:eastAsia="en-US"/>
    </w:rPr>
  </w:style>
  <w:style w:type="character" w:customStyle="1" w:styleId="90">
    <w:name w:val="Заголовок 9 Знак"/>
    <w:basedOn w:val="a1"/>
    <w:link w:val="9"/>
    <w:rsid w:val="0088700C"/>
    <w:rPr>
      <w:rFonts w:ascii="Arial" w:eastAsiaTheme="minorHAnsi" w:hAnsi="Arial" w:cs="Arial"/>
      <w:sz w:val="22"/>
      <w:szCs w:val="22"/>
      <w:lang w:val="ru-RU" w:eastAsia="en-US"/>
    </w:rPr>
  </w:style>
  <w:style w:type="numbering" w:styleId="111111">
    <w:name w:val="Outline List 2"/>
    <w:basedOn w:val="a3"/>
    <w:semiHidden/>
    <w:rsid w:val="0088700C"/>
    <w:pPr>
      <w:numPr>
        <w:numId w:val="4"/>
      </w:numPr>
    </w:pPr>
  </w:style>
  <w:style w:type="numbering" w:styleId="1ai">
    <w:name w:val="Outline List 1"/>
    <w:basedOn w:val="a3"/>
    <w:semiHidden/>
    <w:rsid w:val="0088700C"/>
    <w:pPr>
      <w:numPr>
        <w:numId w:val="5"/>
      </w:numPr>
    </w:pPr>
  </w:style>
  <w:style w:type="character" w:styleId="HTML">
    <w:name w:val="HTML Acronym"/>
    <w:basedOn w:val="a1"/>
    <w:semiHidden/>
    <w:rsid w:val="0088700C"/>
  </w:style>
  <w:style w:type="numbering" w:styleId="a">
    <w:name w:val="Outline List 3"/>
    <w:basedOn w:val="a3"/>
    <w:semiHidden/>
    <w:rsid w:val="0088700C"/>
    <w:pPr>
      <w:numPr>
        <w:numId w:val="6"/>
      </w:numPr>
    </w:pPr>
  </w:style>
  <w:style w:type="paragraph" w:styleId="af4">
    <w:name w:val="Closing"/>
    <w:basedOn w:val="a0"/>
    <w:link w:val="af5"/>
    <w:semiHidden/>
    <w:rsid w:val="0088700C"/>
    <w:pPr>
      <w:suppressAutoHyphens w:val="0"/>
      <w:ind w:left="4252"/>
    </w:pPr>
    <w:rPr>
      <w:rFonts w:eastAsia="Times New Roman" w:cs="Times New Roman"/>
      <w:szCs w:val="20"/>
      <w:lang w:val="es-ES" w:eastAsia="es-ES"/>
    </w:rPr>
  </w:style>
  <w:style w:type="character" w:customStyle="1" w:styleId="af5">
    <w:name w:val="Прощание Знак"/>
    <w:basedOn w:val="a1"/>
    <w:link w:val="af4"/>
    <w:semiHidden/>
    <w:rsid w:val="0088700C"/>
  </w:style>
  <w:style w:type="character" w:styleId="HTML0">
    <w:name w:val="HTML Cite"/>
    <w:basedOn w:val="a1"/>
    <w:semiHidden/>
    <w:rsid w:val="0088700C"/>
    <w:rPr>
      <w:i/>
      <w:iCs/>
    </w:rPr>
  </w:style>
  <w:style w:type="character" w:styleId="HTML1">
    <w:name w:val="HTML Code"/>
    <w:basedOn w:val="a1"/>
    <w:semiHidden/>
    <w:rsid w:val="0088700C"/>
    <w:rPr>
      <w:rFonts w:ascii="Courier New" w:hAnsi="Courier New" w:cs="Courier New"/>
      <w:sz w:val="20"/>
      <w:szCs w:val="20"/>
    </w:rPr>
  </w:style>
  <w:style w:type="paragraph" w:styleId="af6">
    <w:name w:val="List Continue"/>
    <w:basedOn w:val="a0"/>
    <w:semiHidden/>
    <w:rsid w:val="0088700C"/>
    <w:pPr>
      <w:suppressAutoHyphens w:val="0"/>
      <w:spacing w:after="120"/>
      <w:ind w:left="283"/>
    </w:pPr>
    <w:rPr>
      <w:rFonts w:eastAsia="Times New Roman" w:cs="Times New Roman"/>
      <w:szCs w:val="20"/>
      <w:lang w:val="es-ES" w:eastAsia="es-ES"/>
    </w:rPr>
  </w:style>
  <w:style w:type="paragraph" w:styleId="21">
    <w:name w:val="List Continue 2"/>
    <w:basedOn w:val="a0"/>
    <w:semiHidden/>
    <w:rsid w:val="0088700C"/>
    <w:pPr>
      <w:suppressAutoHyphens w:val="0"/>
      <w:spacing w:after="120"/>
      <w:ind w:left="566"/>
    </w:pPr>
    <w:rPr>
      <w:rFonts w:eastAsia="Times New Roman" w:cs="Times New Roman"/>
      <w:szCs w:val="20"/>
      <w:lang w:val="es-ES" w:eastAsia="es-ES"/>
    </w:rPr>
  </w:style>
  <w:style w:type="paragraph" w:styleId="31">
    <w:name w:val="List Continue 3"/>
    <w:basedOn w:val="a0"/>
    <w:semiHidden/>
    <w:rsid w:val="0088700C"/>
    <w:pPr>
      <w:suppressAutoHyphens w:val="0"/>
      <w:spacing w:after="120"/>
      <w:ind w:left="849"/>
    </w:pPr>
    <w:rPr>
      <w:rFonts w:eastAsia="Times New Roman" w:cs="Times New Roman"/>
      <w:szCs w:val="20"/>
      <w:lang w:val="es-ES" w:eastAsia="es-ES"/>
    </w:rPr>
  </w:style>
  <w:style w:type="paragraph" w:styleId="41">
    <w:name w:val="List Continue 4"/>
    <w:basedOn w:val="a0"/>
    <w:semiHidden/>
    <w:rsid w:val="0088700C"/>
    <w:pPr>
      <w:suppressAutoHyphens w:val="0"/>
      <w:spacing w:after="120"/>
      <w:ind w:left="1132"/>
    </w:pPr>
    <w:rPr>
      <w:rFonts w:eastAsia="Times New Roman" w:cs="Times New Roman"/>
      <w:szCs w:val="20"/>
      <w:lang w:val="es-ES" w:eastAsia="es-ES"/>
    </w:rPr>
  </w:style>
  <w:style w:type="paragraph" w:styleId="51">
    <w:name w:val="List Continue 5"/>
    <w:basedOn w:val="a0"/>
    <w:semiHidden/>
    <w:rsid w:val="0088700C"/>
    <w:pPr>
      <w:suppressAutoHyphens w:val="0"/>
      <w:spacing w:after="120"/>
      <w:ind w:left="1415"/>
    </w:pPr>
    <w:rPr>
      <w:rFonts w:eastAsia="Times New Roman" w:cs="Times New Roman"/>
      <w:szCs w:val="20"/>
      <w:lang w:val="es-ES" w:eastAsia="es-ES"/>
    </w:rPr>
  </w:style>
  <w:style w:type="character" w:styleId="HTML2">
    <w:name w:val="HTML Definition"/>
    <w:basedOn w:val="a1"/>
    <w:semiHidden/>
    <w:rsid w:val="0088700C"/>
    <w:rPr>
      <w:i/>
      <w:iCs/>
    </w:rPr>
  </w:style>
  <w:style w:type="paragraph" w:styleId="HTML3">
    <w:name w:val="HTML Address"/>
    <w:basedOn w:val="a0"/>
    <w:link w:val="HTML4"/>
    <w:semiHidden/>
    <w:rsid w:val="0088700C"/>
    <w:pPr>
      <w:suppressAutoHyphens w:val="0"/>
    </w:pPr>
    <w:rPr>
      <w:rFonts w:eastAsia="Times New Roman" w:cs="Times New Roman"/>
      <w:i/>
      <w:iCs/>
      <w:szCs w:val="20"/>
      <w:lang w:val="es-ES" w:eastAsia="es-ES"/>
    </w:rPr>
  </w:style>
  <w:style w:type="character" w:customStyle="1" w:styleId="HTML4">
    <w:name w:val="Адрес HTML Знак"/>
    <w:basedOn w:val="a1"/>
    <w:link w:val="HTML3"/>
    <w:semiHidden/>
    <w:rsid w:val="0088700C"/>
    <w:rPr>
      <w:i/>
      <w:iCs/>
    </w:rPr>
  </w:style>
  <w:style w:type="paragraph" w:styleId="af7">
    <w:name w:val="envelope address"/>
    <w:basedOn w:val="a0"/>
    <w:semiHidden/>
    <w:rsid w:val="0088700C"/>
    <w:pPr>
      <w:framePr w:w="7920" w:h="1980" w:hRule="exact" w:hSpace="141" w:wrap="auto" w:hAnchor="page" w:xAlign="center" w:yAlign="bottom"/>
      <w:suppressAutoHyphens w:val="0"/>
      <w:ind w:left="2880"/>
    </w:pPr>
    <w:rPr>
      <w:rFonts w:ascii="Arial" w:eastAsia="Times New Roman" w:hAnsi="Arial" w:cs="Arial"/>
      <w:sz w:val="24"/>
      <w:szCs w:val="24"/>
      <w:lang w:val="es-ES" w:eastAsia="es-ES"/>
    </w:rPr>
  </w:style>
  <w:style w:type="character" w:styleId="HTML5">
    <w:name w:val="HTML Sample"/>
    <w:basedOn w:val="a1"/>
    <w:semiHidden/>
    <w:rsid w:val="0088700C"/>
    <w:rPr>
      <w:rFonts w:ascii="Courier New" w:hAnsi="Courier New" w:cs="Courier New"/>
    </w:rPr>
  </w:style>
  <w:style w:type="paragraph" w:styleId="af8">
    <w:name w:val="Message Header"/>
    <w:basedOn w:val="a0"/>
    <w:link w:val="af9"/>
    <w:semiHidden/>
    <w:rsid w:val="0088700C"/>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z w:val="24"/>
      <w:szCs w:val="24"/>
      <w:lang w:val="es-ES" w:eastAsia="es-ES"/>
    </w:rPr>
  </w:style>
  <w:style w:type="character" w:customStyle="1" w:styleId="af9">
    <w:name w:val="Шапка Знак"/>
    <w:basedOn w:val="a1"/>
    <w:link w:val="af8"/>
    <w:semiHidden/>
    <w:rsid w:val="0088700C"/>
    <w:rPr>
      <w:rFonts w:ascii="Arial" w:hAnsi="Arial" w:cs="Arial"/>
      <w:sz w:val="24"/>
      <w:szCs w:val="24"/>
      <w:shd w:val="pct20" w:color="auto" w:fill="auto"/>
    </w:rPr>
  </w:style>
  <w:style w:type="paragraph" w:styleId="afa">
    <w:name w:val="Note Heading"/>
    <w:basedOn w:val="a0"/>
    <w:next w:val="a0"/>
    <w:link w:val="afb"/>
    <w:semiHidden/>
    <w:rsid w:val="0088700C"/>
    <w:pPr>
      <w:suppressAutoHyphens w:val="0"/>
    </w:pPr>
    <w:rPr>
      <w:rFonts w:eastAsia="Times New Roman" w:cs="Times New Roman"/>
      <w:szCs w:val="20"/>
      <w:lang w:val="es-ES" w:eastAsia="es-ES"/>
    </w:rPr>
  </w:style>
  <w:style w:type="character" w:customStyle="1" w:styleId="afb">
    <w:name w:val="Заголовок записки Знак"/>
    <w:basedOn w:val="a1"/>
    <w:link w:val="afa"/>
    <w:semiHidden/>
    <w:rsid w:val="0088700C"/>
  </w:style>
  <w:style w:type="character" w:styleId="afc">
    <w:name w:val="Emphasis"/>
    <w:basedOn w:val="a1"/>
    <w:uiPriority w:val="20"/>
    <w:qFormat/>
    <w:rsid w:val="0088700C"/>
    <w:rPr>
      <w:i/>
      <w:iCs/>
    </w:rPr>
  </w:style>
  <w:style w:type="paragraph" w:styleId="afd">
    <w:name w:val="Date"/>
    <w:basedOn w:val="a0"/>
    <w:next w:val="a0"/>
    <w:link w:val="afe"/>
    <w:semiHidden/>
    <w:rsid w:val="0088700C"/>
    <w:pPr>
      <w:suppressAutoHyphens w:val="0"/>
    </w:pPr>
    <w:rPr>
      <w:rFonts w:eastAsia="Times New Roman" w:cs="Times New Roman"/>
      <w:szCs w:val="20"/>
      <w:lang w:val="es-ES" w:eastAsia="es-ES"/>
    </w:rPr>
  </w:style>
  <w:style w:type="character" w:customStyle="1" w:styleId="afe">
    <w:name w:val="Дата Знак"/>
    <w:basedOn w:val="a1"/>
    <w:link w:val="afd"/>
    <w:semiHidden/>
    <w:rsid w:val="0088700C"/>
  </w:style>
  <w:style w:type="paragraph" w:styleId="aff">
    <w:name w:val="Signature"/>
    <w:basedOn w:val="a0"/>
    <w:link w:val="aff0"/>
    <w:semiHidden/>
    <w:rsid w:val="0088700C"/>
    <w:pPr>
      <w:suppressAutoHyphens w:val="0"/>
      <w:ind w:left="4252"/>
    </w:pPr>
    <w:rPr>
      <w:rFonts w:eastAsia="Times New Roman" w:cs="Times New Roman"/>
      <w:szCs w:val="20"/>
      <w:lang w:val="es-ES" w:eastAsia="es-ES"/>
    </w:rPr>
  </w:style>
  <w:style w:type="character" w:customStyle="1" w:styleId="aff0">
    <w:name w:val="Подпись Знак"/>
    <w:basedOn w:val="a1"/>
    <w:link w:val="aff"/>
    <w:semiHidden/>
    <w:rsid w:val="0088700C"/>
  </w:style>
  <w:style w:type="paragraph" w:styleId="aff1">
    <w:name w:val="E-mail Signature"/>
    <w:basedOn w:val="a0"/>
    <w:link w:val="aff2"/>
    <w:semiHidden/>
    <w:rsid w:val="0088700C"/>
    <w:pPr>
      <w:suppressAutoHyphens w:val="0"/>
    </w:pPr>
    <w:rPr>
      <w:rFonts w:eastAsia="Times New Roman" w:cs="Times New Roman"/>
      <w:szCs w:val="20"/>
      <w:lang w:val="es-ES" w:eastAsia="es-ES"/>
    </w:rPr>
  </w:style>
  <w:style w:type="character" w:customStyle="1" w:styleId="aff2">
    <w:name w:val="Электронная подпись Знак"/>
    <w:basedOn w:val="a1"/>
    <w:link w:val="aff1"/>
    <w:semiHidden/>
    <w:rsid w:val="0088700C"/>
  </w:style>
  <w:style w:type="paragraph" w:styleId="HTML6">
    <w:name w:val="HTML Preformatted"/>
    <w:basedOn w:val="a0"/>
    <w:link w:val="HTML7"/>
    <w:semiHidden/>
    <w:rsid w:val="0088700C"/>
    <w:pPr>
      <w:suppressAutoHyphens w:val="0"/>
    </w:pPr>
    <w:rPr>
      <w:rFonts w:ascii="Courier New" w:eastAsia="Times New Roman" w:hAnsi="Courier New" w:cs="Courier New"/>
      <w:szCs w:val="20"/>
      <w:lang w:val="es-ES" w:eastAsia="es-ES"/>
    </w:rPr>
  </w:style>
  <w:style w:type="character" w:customStyle="1" w:styleId="HTML7">
    <w:name w:val="Стандартный HTML Знак"/>
    <w:basedOn w:val="a1"/>
    <w:link w:val="HTML6"/>
    <w:semiHidden/>
    <w:rsid w:val="0088700C"/>
    <w:rPr>
      <w:rFonts w:ascii="Courier New" w:hAnsi="Courier New" w:cs="Courier New"/>
    </w:rPr>
  </w:style>
  <w:style w:type="paragraph" w:styleId="aff3">
    <w:name w:val="List"/>
    <w:basedOn w:val="a0"/>
    <w:semiHidden/>
    <w:rsid w:val="0088700C"/>
    <w:pPr>
      <w:suppressAutoHyphens w:val="0"/>
      <w:ind w:left="283" w:hanging="283"/>
    </w:pPr>
    <w:rPr>
      <w:rFonts w:eastAsia="Times New Roman" w:cs="Times New Roman"/>
      <w:szCs w:val="20"/>
      <w:lang w:val="es-ES" w:eastAsia="es-ES"/>
    </w:rPr>
  </w:style>
  <w:style w:type="paragraph" w:styleId="22">
    <w:name w:val="List 2"/>
    <w:basedOn w:val="a0"/>
    <w:semiHidden/>
    <w:rsid w:val="0088700C"/>
    <w:pPr>
      <w:suppressAutoHyphens w:val="0"/>
      <w:ind w:left="566" w:hanging="283"/>
    </w:pPr>
    <w:rPr>
      <w:rFonts w:eastAsia="Times New Roman" w:cs="Times New Roman"/>
      <w:szCs w:val="20"/>
      <w:lang w:val="es-ES" w:eastAsia="es-ES"/>
    </w:rPr>
  </w:style>
  <w:style w:type="paragraph" w:styleId="32">
    <w:name w:val="List 3"/>
    <w:basedOn w:val="a0"/>
    <w:semiHidden/>
    <w:rsid w:val="0088700C"/>
    <w:pPr>
      <w:suppressAutoHyphens w:val="0"/>
      <w:ind w:left="849" w:hanging="283"/>
    </w:pPr>
    <w:rPr>
      <w:rFonts w:eastAsia="Times New Roman" w:cs="Times New Roman"/>
      <w:szCs w:val="20"/>
      <w:lang w:val="es-ES" w:eastAsia="es-ES"/>
    </w:rPr>
  </w:style>
  <w:style w:type="paragraph" w:styleId="42">
    <w:name w:val="List 4"/>
    <w:basedOn w:val="a0"/>
    <w:semiHidden/>
    <w:rsid w:val="0088700C"/>
    <w:pPr>
      <w:suppressAutoHyphens w:val="0"/>
      <w:ind w:left="1132" w:hanging="283"/>
    </w:pPr>
    <w:rPr>
      <w:rFonts w:eastAsia="Times New Roman" w:cs="Times New Roman"/>
      <w:szCs w:val="20"/>
      <w:lang w:val="es-ES" w:eastAsia="es-ES"/>
    </w:rPr>
  </w:style>
  <w:style w:type="paragraph" w:styleId="52">
    <w:name w:val="List 5"/>
    <w:basedOn w:val="a0"/>
    <w:semiHidden/>
    <w:rsid w:val="0088700C"/>
    <w:pPr>
      <w:suppressAutoHyphens w:val="0"/>
      <w:ind w:left="1415" w:hanging="283"/>
    </w:pPr>
    <w:rPr>
      <w:rFonts w:eastAsia="Times New Roman" w:cs="Times New Roman"/>
      <w:szCs w:val="20"/>
      <w:lang w:val="es-ES" w:eastAsia="es-ES"/>
    </w:rPr>
  </w:style>
  <w:style w:type="paragraph" w:styleId="aff4">
    <w:name w:val="List Number"/>
    <w:basedOn w:val="a0"/>
    <w:semiHidden/>
    <w:rsid w:val="0088700C"/>
    <w:pPr>
      <w:tabs>
        <w:tab w:val="num" w:pos="360"/>
      </w:tabs>
      <w:suppressAutoHyphens w:val="0"/>
      <w:ind w:left="360" w:hanging="360"/>
    </w:pPr>
    <w:rPr>
      <w:rFonts w:eastAsia="Times New Roman" w:cs="Times New Roman"/>
      <w:szCs w:val="20"/>
      <w:lang w:val="es-ES" w:eastAsia="es-ES"/>
    </w:rPr>
  </w:style>
  <w:style w:type="paragraph" w:styleId="23">
    <w:name w:val="List Number 2"/>
    <w:basedOn w:val="a0"/>
    <w:semiHidden/>
    <w:rsid w:val="0088700C"/>
    <w:pPr>
      <w:tabs>
        <w:tab w:val="num" w:pos="643"/>
      </w:tabs>
      <w:suppressAutoHyphens w:val="0"/>
      <w:ind w:left="643" w:hanging="360"/>
    </w:pPr>
    <w:rPr>
      <w:rFonts w:eastAsia="Times New Roman" w:cs="Times New Roman"/>
      <w:szCs w:val="20"/>
      <w:lang w:val="es-ES" w:eastAsia="es-ES"/>
    </w:rPr>
  </w:style>
  <w:style w:type="paragraph" w:styleId="33">
    <w:name w:val="List Number 3"/>
    <w:basedOn w:val="a0"/>
    <w:semiHidden/>
    <w:rsid w:val="0088700C"/>
    <w:pPr>
      <w:tabs>
        <w:tab w:val="num" w:pos="926"/>
      </w:tabs>
      <w:suppressAutoHyphens w:val="0"/>
      <w:ind w:left="926" w:hanging="360"/>
    </w:pPr>
    <w:rPr>
      <w:rFonts w:eastAsia="Times New Roman" w:cs="Times New Roman"/>
      <w:szCs w:val="20"/>
      <w:lang w:val="es-ES" w:eastAsia="es-ES"/>
    </w:rPr>
  </w:style>
  <w:style w:type="paragraph" w:styleId="43">
    <w:name w:val="List Number 4"/>
    <w:basedOn w:val="a0"/>
    <w:semiHidden/>
    <w:rsid w:val="0088700C"/>
    <w:pPr>
      <w:tabs>
        <w:tab w:val="num" w:pos="1209"/>
      </w:tabs>
      <w:suppressAutoHyphens w:val="0"/>
      <w:ind w:left="1209" w:hanging="360"/>
    </w:pPr>
    <w:rPr>
      <w:rFonts w:eastAsia="Times New Roman" w:cs="Times New Roman"/>
      <w:szCs w:val="20"/>
      <w:lang w:val="es-ES" w:eastAsia="es-ES"/>
    </w:rPr>
  </w:style>
  <w:style w:type="paragraph" w:styleId="53">
    <w:name w:val="List Number 5"/>
    <w:basedOn w:val="a0"/>
    <w:semiHidden/>
    <w:rsid w:val="0088700C"/>
    <w:pPr>
      <w:tabs>
        <w:tab w:val="num" w:pos="1492"/>
      </w:tabs>
      <w:suppressAutoHyphens w:val="0"/>
      <w:ind w:left="1492" w:hanging="360"/>
    </w:pPr>
    <w:rPr>
      <w:rFonts w:eastAsia="Times New Roman" w:cs="Times New Roman"/>
      <w:szCs w:val="20"/>
      <w:lang w:val="es-ES" w:eastAsia="es-ES"/>
    </w:rPr>
  </w:style>
  <w:style w:type="paragraph" w:styleId="aff5">
    <w:name w:val="List Bullet"/>
    <w:basedOn w:val="a0"/>
    <w:semiHidden/>
    <w:rsid w:val="0088700C"/>
    <w:pPr>
      <w:tabs>
        <w:tab w:val="num" w:pos="360"/>
      </w:tabs>
      <w:suppressAutoHyphens w:val="0"/>
      <w:ind w:left="360" w:hanging="360"/>
    </w:pPr>
    <w:rPr>
      <w:rFonts w:eastAsia="Times New Roman" w:cs="Times New Roman"/>
      <w:szCs w:val="20"/>
      <w:lang w:val="es-ES" w:eastAsia="es-ES"/>
    </w:rPr>
  </w:style>
  <w:style w:type="paragraph" w:styleId="24">
    <w:name w:val="List Bullet 2"/>
    <w:basedOn w:val="a0"/>
    <w:semiHidden/>
    <w:rsid w:val="0088700C"/>
    <w:pPr>
      <w:tabs>
        <w:tab w:val="num" w:pos="643"/>
      </w:tabs>
      <w:suppressAutoHyphens w:val="0"/>
      <w:ind w:left="643" w:hanging="360"/>
    </w:pPr>
    <w:rPr>
      <w:rFonts w:eastAsia="Times New Roman" w:cs="Times New Roman"/>
      <w:szCs w:val="20"/>
      <w:lang w:val="es-ES" w:eastAsia="es-ES"/>
    </w:rPr>
  </w:style>
  <w:style w:type="paragraph" w:styleId="34">
    <w:name w:val="List Bullet 3"/>
    <w:basedOn w:val="a0"/>
    <w:semiHidden/>
    <w:rsid w:val="0088700C"/>
    <w:pPr>
      <w:tabs>
        <w:tab w:val="num" w:pos="926"/>
      </w:tabs>
      <w:suppressAutoHyphens w:val="0"/>
      <w:ind w:left="926" w:hanging="360"/>
    </w:pPr>
    <w:rPr>
      <w:rFonts w:eastAsia="Times New Roman" w:cs="Times New Roman"/>
      <w:szCs w:val="20"/>
      <w:lang w:val="es-ES" w:eastAsia="es-ES"/>
    </w:rPr>
  </w:style>
  <w:style w:type="paragraph" w:styleId="44">
    <w:name w:val="List Bullet 4"/>
    <w:basedOn w:val="a0"/>
    <w:semiHidden/>
    <w:rsid w:val="0088700C"/>
    <w:pPr>
      <w:tabs>
        <w:tab w:val="num" w:pos="1209"/>
      </w:tabs>
      <w:suppressAutoHyphens w:val="0"/>
      <w:ind w:left="1209" w:hanging="360"/>
    </w:pPr>
    <w:rPr>
      <w:rFonts w:eastAsia="Times New Roman" w:cs="Times New Roman"/>
      <w:szCs w:val="20"/>
      <w:lang w:val="es-ES" w:eastAsia="es-ES"/>
    </w:rPr>
  </w:style>
  <w:style w:type="paragraph" w:styleId="54">
    <w:name w:val="List Bullet 5"/>
    <w:basedOn w:val="a0"/>
    <w:semiHidden/>
    <w:rsid w:val="0088700C"/>
    <w:pPr>
      <w:tabs>
        <w:tab w:val="num" w:pos="1492"/>
      </w:tabs>
      <w:suppressAutoHyphens w:val="0"/>
      <w:ind w:left="1492" w:hanging="360"/>
    </w:pPr>
    <w:rPr>
      <w:rFonts w:eastAsia="Times New Roman" w:cs="Times New Roman"/>
      <w:szCs w:val="20"/>
      <w:lang w:val="es-ES" w:eastAsia="es-ES"/>
    </w:rPr>
  </w:style>
  <w:style w:type="character" w:styleId="HTML8">
    <w:name w:val="HTML Typewriter"/>
    <w:basedOn w:val="a1"/>
    <w:semiHidden/>
    <w:rsid w:val="0088700C"/>
    <w:rPr>
      <w:rFonts w:ascii="Courier New" w:hAnsi="Courier New" w:cs="Courier New"/>
      <w:sz w:val="20"/>
      <w:szCs w:val="20"/>
    </w:rPr>
  </w:style>
  <w:style w:type="paragraph" w:styleId="aff6">
    <w:name w:val="Normal (Web)"/>
    <w:basedOn w:val="a0"/>
    <w:rsid w:val="0088700C"/>
    <w:pPr>
      <w:suppressAutoHyphens w:val="0"/>
    </w:pPr>
    <w:rPr>
      <w:rFonts w:eastAsia="Times New Roman" w:cs="Times New Roman"/>
      <w:sz w:val="24"/>
      <w:szCs w:val="24"/>
      <w:lang w:val="es-ES" w:eastAsia="es-ES"/>
    </w:rPr>
  </w:style>
  <w:style w:type="character" w:styleId="aff7">
    <w:name w:val="line number"/>
    <w:basedOn w:val="a1"/>
    <w:semiHidden/>
    <w:rsid w:val="0088700C"/>
  </w:style>
  <w:style w:type="paragraph" w:styleId="25">
    <w:name w:val="envelope return"/>
    <w:basedOn w:val="a0"/>
    <w:semiHidden/>
    <w:rsid w:val="0088700C"/>
    <w:pPr>
      <w:suppressAutoHyphens w:val="0"/>
    </w:pPr>
    <w:rPr>
      <w:rFonts w:ascii="Arial" w:eastAsia="Times New Roman" w:hAnsi="Arial" w:cs="Arial"/>
      <w:szCs w:val="20"/>
      <w:lang w:val="es-ES" w:eastAsia="es-ES"/>
    </w:rPr>
  </w:style>
  <w:style w:type="paragraph" w:styleId="aff8">
    <w:name w:val="Salutation"/>
    <w:basedOn w:val="a0"/>
    <w:next w:val="a0"/>
    <w:link w:val="aff9"/>
    <w:semiHidden/>
    <w:rsid w:val="0088700C"/>
    <w:pPr>
      <w:suppressAutoHyphens w:val="0"/>
    </w:pPr>
    <w:rPr>
      <w:rFonts w:eastAsia="Times New Roman" w:cs="Times New Roman"/>
      <w:szCs w:val="20"/>
      <w:lang w:val="es-ES" w:eastAsia="es-ES"/>
    </w:rPr>
  </w:style>
  <w:style w:type="character" w:customStyle="1" w:styleId="aff9">
    <w:name w:val="Приветствие Знак"/>
    <w:basedOn w:val="a1"/>
    <w:link w:val="aff8"/>
    <w:semiHidden/>
    <w:rsid w:val="0088700C"/>
  </w:style>
  <w:style w:type="paragraph" w:styleId="26">
    <w:name w:val="Body Text Indent 2"/>
    <w:basedOn w:val="a0"/>
    <w:link w:val="27"/>
    <w:semiHidden/>
    <w:rsid w:val="0088700C"/>
    <w:pPr>
      <w:suppressAutoHyphens w:val="0"/>
      <w:spacing w:after="120" w:line="480" w:lineRule="auto"/>
      <w:ind w:left="283"/>
    </w:pPr>
    <w:rPr>
      <w:rFonts w:eastAsia="Times New Roman" w:cs="Times New Roman"/>
      <w:szCs w:val="20"/>
      <w:lang w:val="es-ES" w:eastAsia="es-ES"/>
    </w:rPr>
  </w:style>
  <w:style w:type="character" w:customStyle="1" w:styleId="27">
    <w:name w:val="Основной текст с отступом 2 Знак"/>
    <w:basedOn w:val="a1"/>
    <w:link w:val="26"/>
    <w:semiHidden/>
    <w:rsid w:val="0088700C"/>
  </w:style>
  <w:style w:type="paragraph" w:styleId="35">
    <w:name w:val="Body Text Indent 3"/>
    <w:basedOn w:val="a0"/>
    <w:link w:val="36"/>
    <w:semiHidden/>
    <w:rsid w:val="0088700C"/>
    <w:pPr>
      <w:suppressAutoHyphens w:val="0"/>
      <w:spacing w:after="120"/>
      <w:ind w:left="283"/>
    </w:pPr>
    <w:rPr>
      <w:rFonts w:eastAsia="Times New Roman" w:cs="Times New Roman"/>
      <w:sz w:val="16"/>
      <w:szCs w:val="16"/>
      <w:lang w:val="es-ES" w:eastAsia="es-ES"/>
    </w:rPr>
  </w:style>
  <w:style w:type="character" w:customStyle="1" w:styleId="36">
    <w:name w:val="Основной текст с отступом 3 Знак"/>
    <w:basedOn w:val="a1"/>
    <w:link w:val="35"/>
    <w:semiHidden/>
    <w:rsid w:val="0088700C"/>
    <w:rPr>
      <w:sz w:val="16"/>
      <w:szCs w:val="16"/>
    </w:rPr>
  </w:style>
  <w:style w:type="paragraph" w:styleId="affa">
    <w:name w:val="Body Text Indent"/>
    <w:basedOn w:val="a0"/>
    <w:link w:val="affb"/>
    <w:semiHidden/>
    <w:rsid w:val="0088700C"/>
    <w:pPr>
      <w:suppressAutoHyphens w:val="0"/>
      <w:spacing w:after="120"/>
      <w:ind w:left="283"/>
    </w:pPr>
    <w:rPr>
      <w:rFonts w:eastAsia="Times New Roman" w:cs="Times New Roman"/>
      <w:szCs w:val="20"/>
      <w:lang w:val="es-ES" w:eastAsia="es-ES"/>
    </w:rPr>
  </w:style>
  <w:style w:type="character" w:customStyle="1" w:styleId="affb">
    <w:name w:val="Основной текст с отступом Знак"/>
    <w:basedOn w:val="a1"/>
    <w:link w:val="affa"/>
    <w:semiHidden/>
    <w:rsid w:val="0088700C"/>
  </w:style>
  <w:style w:type="paragraph" w:styleId="affc">
    <w:name w:val="Normal Indent"/>
    <w:basedOn w:val="a0"/>
    <w:semiHidden/>
    <w:rsid w:val="0088700C"/>
    <w:pPr>
      <w:suppressAutoHyphens w:val="0"/>
      <w:ind w:left="567"/>
    </w:pPr>
    <w:rPr>
      <w:rFonts w:eastAsia="Times New Roman" w:cs="Times New Roman"/>
      <w:szCs w:val="20"/>
      <w:lang w:val="es-ES" w:eastAsia="es-ES"/>
    </w:rPr>
  </w:style>
  <w:style w:type="paragraph" w:styleId="affd">
    <w:name w:val="Subtitle"/>
    <w:basedOn w:val="a0"/>
    <w:link w:val="affe"/>
    <w:qFormat/>
    <w:rsid w:val="0088700C"/>
    <w:pPr>
      <w:suppressAutoHyphens w:val="0"/>
      <w:spacing w:after="60"/>
      <w:jc w:val="center"/>
      <w:outlineLvl w:val="1"/>
    </w:pPr>
    <w:rPr>
      <w:rFonts w:ascii="Arial" w:eastAsia="Times New Roman" w:hAnsi="Arial" w:cs="Arial"/>
      <w:sz w:val="24"/>
      <w:szCs w:val="24"/>
      <w:lang w:val="es-ES" w:eastAsia="es-ES"/>
    </w:rPr>
  </w:style>
  <w:style w:type="character" w:customStyle="1" w:styleId="affe">
    <w:name w:val="Подзаголовок Знак"/>
    <w:basedOn w:val="a1"/>
    <w:link w:val="affd"/>
    <w:rsid w:val="0088700C"/>
    <w:rPr>
      <w:rFonts w:ascii="Arial" w:hAnsi="Arial" w:cs="Arial"/>
      <w:sz w:val="24"/>
      <w:szCs w:val="24"/>
    </w:rPr>
  </w:style>
  <w:style w:type="table" w:styleId="11">
    <w:name w:val="Table Simple 1"/>
    <w:basedOn w:val="a2"/>
    <w:semiHidden/>
    <w:rsid w:val="0088700C"/>
    <w:pPr>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semiHidden/>
    <w:rsid w:val="0088700C"/>
    <w:pPr>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2"/>
    <w:semiHidden/>
    <w:rsid w:val="0088700C"/>
    <w:pPr>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88700C"/>
    <w:pPr>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88700C"/>
    <w:pPr>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88700C"/>
    <w:pPr>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88700C"/>
    <w:pPr>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88700C"/>
    <w:pPr>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88700C"/>
    <w:pPr>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88700C"/>
    <w:pPr>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88700C"/>
    <w:pPr>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88700C"/>
    <w:pPr>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88700C"/>
    <w:pPr>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2"/>
    <w:semiHidden/>
    <w:rsid w:val="0088700C"/>
    <w:pPr>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88700C"/>
    <w:pPr>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88700C"/>
    <w:pPr>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88700C"/>
    <w:pPr>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88700C"/>
    <w:pPr>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88700C"/>
    <w:pPr>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88700C"/>
    <w:pPr>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88700C"/>
    <w:pPr>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88700C"/>
    <w:pPr>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88700C"/>
    <w:pPr>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88700C"/>
    <w:pPr>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88700C"/>
    <w:pPr>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88700C"/>
    <w:pPr>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88700C"/>
    <w:pPr>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88700C"/>
    <w:pPr>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88700C"/>
    <w:pPr>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88700C"/>
    <w:pPr>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88700C"/>
    <w:pPr>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88700C"/>
    <w:pPr>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88700C"/>
    <w:pPr>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88700C"/>
    <w:pPr>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88700C"/>
    <w:pPr>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88700C"/>
    <w:pPr>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88700C"/>
    <w:pPr>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88700C"/>
    <w:pPr>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88700C"/>
    <w:pPr>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88700C"/>
    <w:pPr>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rsid w:val="0088700C"/>
    <w:pPr>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88700C"/>
    <w:pPr>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88700C"/>
    <w:pPr>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basedOn w:val="a1"/>
    <w:semiHidden/>
    <w:rsid w:val="0088700C"/>
    <w:rPr>
      <w:rFonts w:ascii="Courier New" w:hAnsi="Courier New" w:cs="Courier New"/>
      <w:sz w:val="20"/>
      <w:szCs w:val="20"/>
    </w:rPr>
  </w:style>
  <w:style w:type="paragraph" w:styleId="afff3">
    <w:name w:val="Block Text"/>
    <w:basedOn w:val="a0"/>
    <w:semiHidden/>
    <w:rsid w:val="0088700C"/>
    <w:pPr>
      <w:suppressAutoHyphens w:val="0"/>
      <w:spacing w:after="120"/>
      <w:ind w:left="1440" w:right="1440"/>
    </w:pPr>
    <w:rPr>
      <w:rFonts w:eastAsia="Times New Roman" w:cs="Times New Roman"/>
      <w:szCs w:val="20"/>
      <w:lang w:val="es-ES" w:eastAsia="es-ES"/>
    </w:rPr>
  </w:style>
  <w:style w:type="character" w:styleId="afff4">
    <w:name w:val="Strong"/>
    <w:basedOn w:val="a1"/>
    <w:uiPriority w:val="99"/>
    <w:qFormat/>
    <w:rsid w:val="0088700C"/>
    <w:rPr>
      <w:b/>
      <w:bCs/>
    </w:rPr>
  </w:style>
  <w:style w:type="paragraph" w:styleId="afff5">
    <w:name w:val="Body Text"/>
    <w:basedOn w:val="a0"/>
    <w:link w:val="afff6"/>
    <w:semiHidden/>
    <w:rsid w:val="0088700C"/>
    <w:pPr>
      <w:suppressAutoHyphens w:val="0"/>
      <w:spacing w:after="120"/>
    </w:pPr>
    <w:rPr>
      <w:rFonts w:eastAsia="Times New Roman" w:cs="Times New Roman"/>
      <w:szCs w:val="20"/>
      <w:lang w:val="es-ES" w:eastAsia="es-ES"/>
    </w:rPr>
  </w:style>
  <w:style w:type="character" w:customStyle="1" w:styleId="afff6">
    <w:name w:val="Основной текст Знак"/>
    <w:basedOn w:val="a1"/>
    <w:link w:val="afff5"/>
    <w:semiHidden/>
    <w:rsid w:val="0088700C"/>
  </w:style>
  <w:style w:type="paragraph" w:styleId="2f">
    <w:name w:val="Body Text 2"/>
    <w:basedOn w:val="a0"/>
    <w:link w:val="2f0"/>
    <w:semiHidden/>
    <w:rsid w:val="0088700C"/>
    <w:pPr>
      <w:suppressAutoHyphens w:val="0"/>
      <w:spacing w:after="120" w:line="480" w:lineRule="auto"/>
    </w:pPr>
    <w:rPr>
      <w:rFonts w:eastAsia="Times New Roman" w:cs="Times New Roman"/>
      <w:szCs w:val="20"/>
      <w:lang w:val="es-ES" w:eastAsia="es-ES"/>
    </w:rPr>
  </w:style>
  <w:style w:type="character" w:customStyle="1" w:styleId="2f0">
    <w:name w:val="Основной текст 2 Знак"/>
    <w:basedOn w:val="a1"/>
    <w:link w:val="2f"/>
    <w:semiHidden/>
    <w:rsid w:val="0088700C"/>
  </w:style>
  <w:style w:type="paragraph" w:styleId="3d">
    <w:name w:val="Body Text 3"/>
    <w:basedOn w:val="a0"/>
    <w:link w:val="3e"/>
    <w:semiHidden/>
    <w:rsid w:val="0088700C"/>
    <w:pPr>
      <w:suppressAutoHyphens w:val="0"/>
      <w:spacing w:after="120"/>
    </w:pPr>
    <w:rPr>
      <w:rFonts w:eastAsia="Times New Roman" w:cs="Times New Roman"/>
      <w:sz w:val="16"/>
      <w:szCs w:val="16"/>
      <w:lang w:val="es-ES" w:eastAsia="es-ES"/>
    </w:rPr>
  </w:style>
  <w:style w:type="character" w:customStyle="1" w:styleId="3e">
    <w:name w:val="Основной текст 3 Знак"/>
    <w:basedOn w:val="a1"/>
    <w:link w:val="3d"/>
    <w:semiHidden/>
    <w:rsid w:val="0088700C"/>
    <w:rPr>
      <w:sz w:val="16"/>
      <w:szCs w:val="16"/>
    </w:rPr>
  </w:style>
  <w:style w:type="paragraph" w:styleId="afff7">
    <w:name w:val="Body Text First Indent"/>
    <w:basedOn w:val="afff5"/>
    <w:link w:val="afff8"/>
    <w:semiHidden/>
    <w:rsid w:val="0088700C"/>
    <w:pPr>
      <w:ind w:firstLine="210"/>
    </w:pPr>
  </w:style>
  <w:style w:type="character" w:customStyle="1" w:styleId="afff8">
    <w:name w:val="Красная строка Знак"/>
    <w:basedOn w:val="afff6"/>
    <w:link w:val="afff7"/>
    <w:semiHidden/>
    <w:rsid w:val="0088700C"/>
  </w:style>
  <w:style w:type="paragraph" w:styleId="2f1">
    <w:name w:val="Body Text First Indent 2"/>
    <w:basedOn w:val="affa"/>
    <w:link w:val="2f2"/>
    <w:semiHidden/>
    <w:rsid w:val="0088700C"/>
    <w:pPr>
      <w:ind w:firstLine="210"/>
    </w:pPr>
  </w:style>
  <w:style w:type="character" w:customStyle="1" w:styleId="2f2">
    <w:name w:val="Красная строка 2 Знак"/>
    <w:basedOn w:val="affb"/>
    <w:link w:val="2f1"/>
    <w:semiHidden/>
    <w:rsid w:val="0088700C"/>
  </w:style>
  <w:style w:type="paragraph" w:styleId="afff9">
    <w:name w:val="Plain Text"/>
    <w:basedOn w:val="a0"/>
    <w:link w:val="afffa"/>
    <w:semiHidden/>
    <w:rsid w:val="0088700C"/>
    <w:pPr>
      <w:suppressAutoHyphens w:val="0"/>
    </w:pPr>
    <w:rPr>
      <w:rFonts w:ascii="Courier New" w:eastAsia="Times New Roman" w:hAnsi="Courier New" w:cs="Courier New"/>
      <w:szCs w:val="20"/>
      <w:lang w:val="es-ES" w:eastAsia="es-ES"/>
    </w:rPr>
  </w:style>
  <w:style w:type="character" w:customStyle="1" w:styleId="afffa">
    <w:name w:val="Текст Знак"/>
    <w:basedOn w:val="a1"/>
    <w:link w:val="afff9"/>
    <w:semiHidden/>
    <w:rsid w:val="0088700C"/>
    <w:rPr>
      <w:rFonts w:ascii="Courier New" w:hAnsi="Courier New" w:cs="Courier New"/>
    </w:rPr>
  </w:style>
  <w:style w:type="paragraph" w:styleId="afffb">
    <w:name w:val="Title"/>
    <w:basedOn w:val="a0"/>
    <w:link w:val="afffc"/>
    <w:qFormat/>
    <w:rsid w:val="0088700C"/>
    <w:pPr>
      <w:suppressAutoHyphens w:val="0"/>
      <w:spacing w:before="240" w:after="60"/>
      <w:jc w:val="center"/>
      <w:outlineLvl w:val="0"/>
    </w:pPr>
    <w:rPr>
      <w:rFonts w:ascii="Arial" w:eastAsia="Times New Roman" w:hAnsi="Arial" w:cs="Arial"/>
      <w:b/>
      <w:bCs/>
      <w:kern w:val="28"/>
      <w:sz w:val="32"/>
      <w:szCs w:val="32"/>
      <w:lang w:val="es-ES" w:eastAsia="es-ES"/>
    </w:rPr>
  </w:style>
  <w:style w:type="character" w:customStyle="1" w:styleId="afffc">
    <w:name w:val="Заголовок Знак"/>
    <w:basedOn w:val="a1"/>
    <w:link w:val="afffb"/>
    <w:rsid w:val="0088700C"/>
    <w:rPr>
      <w:rFonts w:ascii="Arial" w:hAnsi="Arial" w:cs="Arial"/>
      <w:b/>
      <w:bCs/>
      <w:kern w:val="28"/>
      <w:sz w:val="32"/>
      <w:szCs w:val="32"/>
    </w:rPr>
  </w:style>
  <w:style w:type="character" w:styleId="HTMLa">
    <w:name w:val="HTML Variable"/>
    <w:basedOn w:val="a1"/>
    <w:semiHidden/>
    <w:rsid w:val="0088700C"/>
    <w:rPr>
      <w:i/>
      <w:iCs/>
    </w:rPr>
  </w:style>
  <w:style w:type="paragraph" w:customStyle="1" w:styleId="ParNoG">
    <w:name w:val="_ParNo_G"/>
    <w:basedOn w:val="SingleTxtG"/>
    <w:qFormat/>
    <w:rsid w:val="0088700C"/>
    <w:pPr>
      <w:numPr>
        <w:numId w:val="7"/>
      </w:numPr>
      <w:suppressAutoHyphens w:val="0"/>
      <w:spacing w:line="240" w:lineRule="auto"/>
    </w:pPr>
    <w:rPr>
      <w:lang w:val="es-ES"/>
    </w:rPr>
  </w:style>
  <w:style w:type="paragraph" w:customStyle="1" w:styleId="NoSpacing1">
    <w:name w:val="No Spacing1"/>
    <w:aliases w:val="RRI"/>
    <w:link w:val="SinespaciadoCar"/>
    <w:uiPriority w:val="99"/>
    <w:rsid w:val="0088700C"/>
    <w:pPr>
      <w:widowControl w:val="0"/>
      <w:autoSpaceDE w:val="0"/>
      <w:autoSpaceDN w:val="0"/>
      <w:adjustRightInd w:val="0"/>
    </w:pPr>
    <w:rPr>
      <w:rFonts w:eastAsia="Calibri"/>
      <w:sz w:val="22"/>
      <w:szCs w:val="22"/>
      <w:lang w:eastAsia="es-CL"/>
    </w:rPr>
  </w:style>
  <w:style w:type="character" w:customStyle="1" w:styleId="highlightedsearchterm">
    <w:name w:val="highlightedsearchterm"/>
    <w:uiPriority w:val="99"/>
    <w:rsid w:val="0088700C"/>
    <w:rPr>
      <w:rFonts w:cs="Times New Roman"/>
    </w:rPr>
  </w:style>
  <w:style w:type="paragraph" w:styleId="afffd">
    <w:name w:val="List Paragraph"/>
    <w:basedOn w:val="a0"/>
    <w:uiPriority w:val="34"/>
    <w:qFormat/>
    <w:rsid w:val="0088700C"/>
    <w:pPr>
      <w:suppressAutoHyphens w:val="0"/>
      <w:spacing w:line="240" w:lineRule="auto"/>
      <w:ind w:left="720"/>
      <w:contextualSpacing/>
    </w:pPr>
    <w:rPr>
      <w:rFonts w:eastAsia="Times New Roman" w:cs="Times New Roman"/>
      <w:sz w:val="24"/>
      <w:szCs w:val="24"/>
      <w:lang w:val="es-MX" w:eastAsia="es-ES"/>
    </w:rPr>
  </w:style>
  <w:style w:type="character" w:customStyle="1" w:styleId="estilo6">
    <w:name w:val="estilo6"/>
    <w:uiPriority w:val="99"/>
    <w:rsid w:val="0088700C"/>
    <w:rPr>
      <w:rFonts w:cs="Times New Roman"/>
    </w:rPr>
  </w:style>
  <w:style w:type="character" w:customStyle="1" w:styleId="SinespaciadoCar">
    <w:name w:val="Sin espaciado Car"/>
    <w:link w:val="NoSpacing1"/>
    <w:uiPriority w:val="99"/>
    <w:locked/>
    <w:rsid w:val="0088700C"/>
    <w:rPr>
      <w:rFonts w:eastAsia="Calibri"/>
      <w:sz w:val="22"/>
      <w:szCs w:val="22"/>
      <w:lang w:eastAsia="es-CL"/>
    </w:rPr>
  </w:style>
  <w:style w:type="character" w:styleId="afffe">
    <w:name w:val="annotation reference"/>
    <w:rsid w:val="0088700C"/>
    <w:rPr>
      <w:rFonts w:cs="Times New Roman"/>
      <w:sz w:val="16"/>
    </w:rPr>
  </w:style>
  <w:style w:type="paragraph" w:styleId="affff">
    <w:name w:val="annotation text"/>
    <w:basedOn w:val="a0"/>
    <w:link w:val="affff0"/>
    <w:uiPriority w:val="99"/>
    <w:rsid w:val="0088700C"/>
    <w:pPr>
      <w:suppressAutoHyphens w:val="0"/>
      <w:spacing w:line="240" w:lineRule="auto"/>
    </w:pPr>
    <w:rPr>
      <w:rFonts w:eastAsia="SimSun" w:cs="Times New Roman"/>
      <w:sz w:val="18"/>
      <w:szCs w:val="20"/>
      <w:lang w:val="es-ES"/>
    </w:rPr>
  </w:style>
  <w:style w:type="character" w:customStyle="1" w:styleId="affff0">
    <w:name w:val="Текст примечания Знак"/>
    <w:basedOn w:val="a1"/>
    <w:link w:val="affff"/>
    <w:uiPriority w:val="99"/>
    <w:rsid w:val="0088700C"/>
    <w:rPr>
      <w:rFonts w:eastAsia="SimSun"/>
      <w:sz w:val="18"/>
      <w:lang w:eastAsia="en-US"/>
    </w:rPr>
  </w:style>
  <w:style w:type="paragraph" w:styleId="affff1">
    <w:name w:val="annotation subject"/>
    <w:basedOn w:val="affff"/>
    <w:next w:val="affff"/>
    <w:link w:val="affff2"/>
    <w:uiPriority w:val="99"/>
    <w:rsid w:val="0088700C"/>
    <w:rPr>
      <w:b/>
      <w:bCs/>
    </w:rPr>
  </w:style>
  <w:style w:type="character" w:customStyle="1" w:styleId="affff2">
    <w:name w:val="Тема примечания Знак"/>
    <w:basedOn w:val="affff0"/>
    <w:link w:val="affff1"/>
    <w:uiPriority w:val="99"/>
    <w:rsid w:val="0088700C"/>
    <w:rPr>
      <w:rFonts w:eastAsia="SimSun"/>
      <w:b/>
      <w:bCs/>
      <w:sz w:val="18"/>
      <w:lang w:eastAsia="en-US"/>
    </w:rPr>
  </w:style>
  <w:style w:type="paragraph" w:styleId="affff3">
    <w:name w:val="Revision"/>
    <w:hidden/>
    <w:uiPriority w:val="99"/>
    <w:semiHidden/>
    <w:rsid w:val="0088700C"/>
    <w:rPr>
      <w:rFonts w:eastAsia="Calibri"/>
      <w:sz w:val="24"/>
      <w:szCs w:val="22"/>
      <w:lang w:eastAsia="en-US"/>
    </w:rPr>
  </w:style>
  <w:style w:type="paragraph" w:customStyle="1" w:styleId="parrafo1">
    <w:name w:val="parrafo1"/>
    <w:basedOn w:val="a0"/>
    <w:rsid w:val="0088700C"/>
    <w:pPr>
      <w:suppressAutoHyphens w:val="0"/>
      <w:spacing w:before="180" w:after="180" w:line="240" w:lineRule="auto"/>
      <w:ind w:firstLine="360"/>
      <w:jc w:val="both"/>
    </w:pPr>
    <w:rPr>
      <w:rFonts w:eastAsia="Calibri" w:cs="Times New Roman"/>
      <w:sz w:val="24"/>
      <w:szCs w:val="24"/>
      <w:lang w:val="es-ES" w:eastAsia="es-ES"/>
    </w:rPr>
  </w:style>
  <w:style w:type="paragraph" w:customStyle="1" w:styleId="Default">
    <w:name w:val="Default"/>
    <w:rsid w:val="0088700C"/>
    <w:pPr>
      <w:autoSpaceDE w:val="0"/>
      <w:autoSpaceDN w:val="0"/>
      <w:adjustRightInd w:val="0"/>
    </w:pPr>
    <w:rPr>
      <w:rFonts w:ascii="Arial" w:hAnsi="Arial" w:cs="Arial"/>
      <w:color w:val="000000"/>
      <w:sz w:val="24"/>
      <w:szCs w:val="24"/>
    </w:rPr>
  </w:style>
  <w:style w:type="paragraph" w:customStyle="1" w:styleId="CM111">
    <w:name w:val="CM111"/>
    <w:basedOn w:val="Default"/>
    <w:next w:val="Default"/>
    <w:rsid w:val="0088700C"/>
    <w:rPr>
      <w:rFonts w:ascii="Diavlo Light" w:hAnsi="Diavlo Light" w:cs="Times New Roman"/>
      <w:color w:val="auto"/>
    </w:rPr>
  </w:style>
  <w:style w:type="paragraph" w:customStyle="1" w:styleId="CM4">
    <w:name w:val="CM4"/>
    <w:basedOn w:val="Default"/>
    <w:next w:val="Default"/>
    <w:rsid w:val="0088700C"/>
    <w:pPr>
      <w:spacing w:line="211" w:lineRule="atLeast"/>
    </w:pPr>
    <w:rPr>
      <w:rFonts w:ascii="Diavlo Light" w:hAnsi="Diavlo Light" w:cs="Times New Roman"/>
      <w:color w:val="auto"/>
    </w:rPr>
  </w:style>
  <w:style w:type="character" w:customStyle="1" w:styleId="tlid-translation">
    <w:name w:val="tlid-translation"/>
    <w:basedOn w:val="a1"/>
    <w:rsid w:val="0088700C"/>
  </w:style>
  <w:style w:type="character" w:customStyle="1" w:styleId="preferred">
    <w:name w:val="preferred"/>
    <w:basedOn w:val="a1"/>
    <w:rsid w:val="0088700C"/>
  </w:style>
  <w:style w:type="character" w:customStyle="1" w:styleId="trg">
    <w:name w:val="trg"/>
    <w:basedOn w:val="a1"/>
    <w:rsid w:val="0088700C"/>
  </w:style>
  <w:style w:type="character" w:styleId="affff4">
    <w:name w:val="Placeholder Text"/>
    <w:basedOn w:val="a1"/>
    <w:uiPriority w:val="99"/>
    <w:semiHidden/>
    <w:rsid w:val="0088700C"/>
    <w:rPr>
      <w:color w:val="808080"/>
    </w:rPr>
  </w:style>
  <w:style w:type="character" w:customStyle="1" w:styleId="UnresolvedMention">
    <w:name w:val="Unresolved Mention"/>
    <w:basedOn w:val="a1"/>
    <w:uiPriority w:val="99"/>
    <w:semiHidden/>
    <w:unhideWhenUsed/>
    <w:rsid w:val="00435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tramiss.gob.es/oberaxe/%20es/index.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sede.educacion.gob.es/publiventa/plan-de-fomento-de-la-lectura-2017-2020-leer-te-da-vidas-extra/libros-y-lectura/20862C" TargetMode="External"/><Relationship Id="rId2" Type="http://schemas.openxmlformats.org/officeDocument/2006/relationships/hyperlink" Target="http://undocs.org/ru/http://www.culturaydeporte.gob.es/planes-nacionales/inicio-recuperar.html" TargetMode="External"/><Relationship Id="rId1" Type="http://schemas.openxmlformats.org/officeDocument/2006/relationships/hyperlink" Target="http://undocs.org/ru/http://www.culturaydeporte.gob.es/servicios-al-ciudadano-mecd/estadisticas/cultura.html" TargetMode="External"/><Relationship Id="rId6" Type="http://schemas.openxmlformats.org/officeDocument/2006/relationships/hyperlink" Target="http://undocs.org/ru/http:/www.violenciagenero.igualdad.mpr.gob.es/otrasFormas/trata/normativaProtocolo/planIntegral/home.htm" TargetMode="External"/><Relationship Id="rId5" Type="http://schemas.openxmlformats.org/officeDocument/2006/relationships/hyperlink" Target="http://undocs.org/ru/http://www.violenciagenero.igualdad.mpr.gob.es/pactoEstado/home.htm" TargetMode="External"/><Relationship Id="rId4" Type="http://schemas.openxmlformats.org/officeDocument/2006/relationships/hyperlink" Target="http://undocs.org/ru/http://www.violenciagenero.igualdad.mpr.gob.es/violenciaEnCifras/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5</TotalTime>
  <Pages>55</Pages>
  <Words>25586</Words>
  <Characters>174245</Characters>
  <Application>Microsoft Office Word</Application>
  <DocSecurity>0</DocSecurity>
  <Lines>2856</Lines>
  <Paragraphs>448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HRI/CORE/ESP/2019</vt:lpstr>
      <vt:lpstr>A/</vt:lpstr>
      <vt:lpstr>A/</vt:lpstr>
    </vt:vector>
  </TitlesOfParts>
  <Company>DCM</Company>
  <LinksUpToDate>false</LinksUpToDate>
  <CharactersWithSpaces>199383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HRI/CORE/ESP/2019</dc:title>
  <dc:subject/>
  <dc:creator>Shuvalova NATALIA</dc:creator>
  <cp:keywords/>
  <cp:lastModifiedBy>Tatiana Chvets</cp:lastModifiedBy>
  <cp:revision>3</cp:revision>
  <cp:lastPrinted>2019-06-19T13:06:00Z</cp:lastPrinted>
  <dcterms:created xsi:type="dcterms:W3CDTF">2019-06-19T13:06:00Z</dcterms:created>
  <dcterms:modified xsi:type="dcterms:W3CDTF">2019-06-19T13:11:00Z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