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11.8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41519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240505    250505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7"/>
              <w:tabs>
                <w:tab w:val="clear" w:pos="474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HRI</w:t>
            </w:r>
          </w:p>
        </w:tc>
      </w:tr>
    </w:tbl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4679"/>
        <w:gridCol w:w="3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</w:tcPr>
          <w:bookmarkStart w:id="0" w:name="_MON_1113902187"/>
          <w:bookmarkEnd w:id="0"/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892357" r:id="rId7"/>
              </w:object>
            </w:r>
          </w:p>
          <w:p w:rsidR="00000000" w:rsidRDefault="00000000">
            <w:pPr>
              <w:pStyle w:val="a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rPr>
                <w:sz w:val="20"/>
              </w:rPr>
            </w:pPr>
          </w:p>
        </w:tc>
        <w:tc>
          <w:tcPr>
            <w:tcW w:w="4679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b/>
              </w:rPr>
            </w:pPr>
            <w:r>
              <w:rPr>
                <w:b/>
                <w:sz w:val="36"/>
              </w:rPr>
              <w:t>М</w:t>
            </w:r>
            <w:r>
              <w:rPr>
                <w:b/>
                <w:smallCaps/>
                <w:sz w:val="29"/>
              </w:rPr>
              <w:t xml:space="preserve">ЕЖДУНАРОДНЫЕ </w:t>
            </w:r>
            <w:r>
              <w:rPr>
                <w:b/>
                <w:smallCaps/>
                <w:sz w:val="29"/>
              </w:rPr>
              <w:br/>
              <w:t xml:space="preserve">ДОГОВОРЫ ПО ПРАВАМ </w:t>
            </w:r>
            <w:r>
              <w:rPr>
                <w:b/>
                <w:smallCaps/>
                <w:sz w:val="29"/>
              </w:rPr>
              <w:br/>
              <w:t>ЧЕЛОВЕКА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sz w:val="20"/>
              </w:rPr>
            </w:pPr>
          </w:p>
        </w:tc>
        <w:tc>
          <w:tcPr>
            <w:tcW w:w="3430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HRI/GEN/2/Rev.2/Add.1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6 May 2005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rPr>
                <w:sz w:val="20"/>
              </w:rPr>
            </w:pPr>
          </w:p>
        </w:tc>
      </w:tr>
    </w:tbl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/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ПОДБОРКА РУКОВОДЯЩИХ ПРИНЦИПОВ В ОТНОШЕНИИ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ФОРМЫ И СОДЕРЖАНИЯ ДОКЛАДОВ, ПРЕДСТАВЛЯЕМЫХ ГОСУДАРСТВАМИ – УЧАСТНИКАМИ МЕЖДУНАРОДНЫХ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ДОГОВОРОВ ПО ПРАВАМ ЧЕЛОВЕКА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Добавление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ab/>
        <w:t>В настоящем документе содержатся руководящие принципы в отношении формы и содержания первоначальных докладов, представляемых государствами-участниками в соответствии со статьей 73 Международной конвенции о защите прав всех трудящихся-мигрантов и членов их семей.</w:t>
      </w:r>
    </w:p>
    <w:p w:rsidR="00000000" w:rsidRDefault="00000000"/>
    <w:p w:rsidR="00000000" w:rsidRDefault="00000000">
      <w:pPr>
        <w:jc w:val="center"/>
      </w:pPr>
      <w:r>
        <w:br w:type="page"/>
      </w:r>
      <w:r>
        <w:rPr>
          <w:b/>
          <w:bCs/>
        </w:rPr>
        <w:t>ВВЕДЕНИЕ</w:t>
      </w:r>
    </w:p>
    <w:p w:rsidR="00000000" w:rsidRDefault="00000000">
      <w:pPr>
        <w:jc w:val="center"/>
      </w:pPr>
    </w:p>
    <w:p w:rsidR="00000000" w:rsidRDefault="00000000">
      <w:r>
        <w:t>1.</w:t>
      </w:r>
      <w:r>
        <w:tab/>
        <w:t>Согласно статье 73 Международной конвенции о защите прав всех трудящихся-мигрантов и членов их семей государства-участники обязуются представлять Генеральному секретарю Организации Объединенных Наций для рассмотрения Комитетом доклады о мерах, принятых ими для осуществления положений Конвенции.  Комитет согласовал приведенные ниже руководящие принципы, призванные служить ориентиром для государств-участников в вопросах, касающихся формы и содержания их первоначальных докладов.</w:t>
      </w:r>
    </w:p>
    <w:p w:rsidR="00000000" w:rsidRDefault="00000000"/>
    <w:p w:rsidR="00000000" w:rsidRDefault="00000000">
      <w:r>
        <w:t>2.</w:t>
      </w:r>
      <w:r>
        <w:tab/>
        <w:t>Те государства-участники, первоначальные доклады которых уже находятся в процессе подготовки на время представления настоящих руководящих принципов, могут завершить эту работу и представить свой доклад Комитету, даже если доклад не был подготовлен в соответствии с настоящими руководящими принципами.</w:t>
      </w:r>
    </w:p>
    <w:p w:rsidR="00000000" w:rsidRDefault="00000000"/>
    <w:p w:rsidR="00000000" w:rsidRDefault="00000000">
      <w:pPr>
        <w:keepNext/>
      </w:pPr>
      <w:r>
        <w:rPr>
          <w:b/>
          <w:bCs/>
        </w:rPr>
        <w:t>А.</w:t>
      </w:r>
      <w:r>
        <w:rPr>
          <w:b/>
          <w:bCs/>
        </w:rPr>
        <w:tab/>
        <w:t xml:space="preserve">ЧАСТЬ </w:t>
      </w:r>
      <w:r>
        <w:rPr>
          <w:b/>
          <w:bCs/>
          <w:lang w:val="en-US"/>
        </w:rPr>
        <w:t>I</w:t>
      </w:r>
      <w:r>
        <w:rPr>
          <w:b/>
          <w:bCs/>
        </w:rPr>
        <w:t>.  ИНФОРМАЦИЯ ОБЩЕГО ХАРАКТЕРА</w:t>
      </w:r>
    </w:p>
    <w:p w:rsidR="00000000" w:rsidRDefault="00000000">
      <w:pPr>
        <w:keepNext/>
      </w:pPr>
    </w:p>
    <w:p w:rsidR="00000000" w:rsidRDefault="00000000">
      <w:r>
        <w:t>3.</w:t>
      </w:r>
      <w:r>
        <w:tab/>
        <w:t>В этой части необходимо:</w:t>
      </w:r>
    </w:p>
    <w:p w:rsidR="00000000" w:rsidRDefault="00000000"/>
    <w:p w:rsidR="00000000" w:rsidRDefault="00000000">
      <w:r>
        <w:tab/>
        <w:t>а)</w:t>
      </w:r>
      <w:r>
        <w:tab/>
        <w:t>охарактеризовать конституционную, законодательную, судебную и административную основу осуществления Конвенции, а также любые двусторонние, региональные или многосторонние соглашения в области миграции, к которым присоединилось представляющее доклад государство-участник;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представить возможно более разукрупненную количественную и качественную информацию о характере и природе миграционных потоков (иммиграции, транзите и эмиграции), которые затрагивают заинтересованное государство-участник;</w:t>
      </w:r>
    </w:p>
    <w:p w:rsidR="00000000" w:rsidRDefault="00000000"/>
    <w:p w:rsidR="00000000" w:rsidRDefault="00000000">
      <w:r>
        <w:tab/>
        <w:t>с)</w:t>
      </w:r>
      <w:r>
        <w:tab/>
        <w:t>описать современное положение дел в области практического осуществления Конвенции в представляющем доклад государстве и указать на обстоятельства, влияющие на выполнение представляющим доклад государством обязательств в соответствии с Конвенцией;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включить информацию о мерах, принятых государством-участником по повышению информированности о Конвенции и ее пропаганде и налаживанию сотрудничества с гражданским обществом в целях поощрения и соблюдения прав, закрепленных в Конвенции.</w:t>
      </w:r>
    </w:p>
    <w:p w:rsidR="00000000" w:rsidRDefault="00000000"/>
    <w:p w:rsidR="00000000" w:rsidRDefault="00000000">
      <w:pPr>
        <w:keepNext/>
        <w:ind w:left="567" w:hanging="567"/>
      </w:pPr>
      <w:r>
        <w:rPr>
          <w:b/>
          <w:bCs/>
        </w:rPr>
        <w:t>В.</w:t>
      </w:r>
      <w:r>
        <w:rPr>
          <w:b/>
          <w:bCs/>
        </w:rPr>
        <w:tab/>
        <w:t xml:space="preserve">ЧАСТЬ </w:t>
      </w:r>
      <w:r>
        <w:rPr>
          <w:b/>
          <w:bCs/>
          <w:lang w:val="en-US"/>
        </w:rPr>
        <w:t>II</w:t>
      </w:r>
      <w:r>
        <w:rPr>
          <w:b/>
          <w:bCs/>
        </w:rPr>
        <w:t>.  ИНФОРМАЦИЯ ПО КАЖДОЙ ИЗ СТАТЕЙ КОНВЕНЦИИ</w:t>
      </w:r>
    </w:p>
    <w:p w:rsidR="00000000" w:rsidRDefault="00000000">
      <w:pPr>
        <w:keepNext/>
        <w:ind w:left="567" w:hanging="567"/>
      </w:pPr>
    </w:p>
    <w:p w:rsidR="00000000" w:rsidRDefault="00000000">
      <w:r>
        <w:t>4.</w:t>
      </w:r>
      <w:r>
        <w:tab/>
        <w:t>В этой части должна содержаться конкретная информация об осуществлении Конвенции представляющим доклад государством в порядке следования статей и их соответствующих положений.  Для упрощения процедуры представления докладов государствами-участниками информация может представляться по группам статей следующим образом:</w:t>
      </w:r>
    </w:p>
    <w:p w:rsidR="00000000" w:rsidRDefault="00000000"/>
    <w:p w:rsidR="00000000" w:rsidRDefault="00000000">
      <w:r>
        <w:tab/>
        <w:t>а)</w:t>
      </w:r>
      <w:r>
        <w:tab/>
        <w:t>ОБЩИЕ ПРИНЦИПЫ:</w:t>
      </w:r>
    </w:p>
    <w:p w:rsidR="00000000" w:rsidRDefault="00000000"/>
    <w:p w:rsidR="00000000" w:rsidRDefault="00000000">
      <w:pPr>
        <w:tabs>
          <w:tab w:val="clear" w:pos="6237"/>
          <w:tab w:val="left" w:pos="2835"/>
        </w:tabs>
      </w:pPr>
      <w:r>
        <w:tab/>
        <w:t>-</w:t>
      </w:r>
      <w:r>
        <w:tab/>
        <w:t>Статьи 1(1), 7:</w:t>
      </w:r>
      <w:r>
        <w:tab/>
        <w:t>недискриминация.</w:t>
      </w:r>
    </w:p>
    <w:p w:rsidR="00000000" w:rsidRDefault="00000000">
      <w:pPr>
        <w:tabs>
          <w:tab w:val="clear" w:pos="6237"/>
          <w:tab w:val="left" w:pos="2835"/>
        </w:tabs>
      </w:pPr>
    </w:p>
    <w:p w:rsidR="00000000" w:rsidRDefault="00000000">
      <w:pPr>
        <w:tabs>
          <w:tab w:val="clear" w:pos="6237"/>
          <w:tab w:val="left" w:pos="2835"/>
        </w:tabs>
      </w:pPr>
      <w:r>
        <w:tab/>
        <w:t>-</w:t>
      </w:r>
      <w:r>
        <w:tab/>
        <w:t>Статья 83:</w:t>
      </w:r>
      <w:r>
        <w:tab/>
      </w:r>
      <w:r>
        <w:tab/>
        <w:t>право на эффективное средство правовой защиты.</w:t>
      </w:r>
    </w:p>
    <w:p w:rsidR="00000000" w:rsidRDefault="00000000">
      <w:pPr>
        <w:tabs>
          <w:tab w:val="clear" w:pos="6237"/>
          <w:tab w:val="left" w:pos="2835"/>
        </w:tabs>
      </w:pPr>
    </w:p>
    <w:p w:rsidR="00000000" w:rsidRDefault="00000000">
      <w:pPr>
        <w:tabs>
          <w:tab w:val="clear" w:pos="6237"/>
          <w:tab w:val="left" w:pos="2835"/>
        </w:tabs>
      </w:pPr>
      <w:r>
        <w:tab/>
        <w:t>-</w:t>
      </w:r>
      <w:r>
        <w:tab/>
        <w:t>Статья 84:</w:t>
      </w:r>
      <w:r>
        <w:tab/>
      </w:r>
      <w:r>
        <w:tab/>
        <w:t>обязанность осуществлять Конвенцию.</w:t>
      </w:r>
    </w:p>
    <w:p w:rsidR="00000000" w:rsidRDefault="00000000">
      <w:pPr>
        <w:tabs>
          <w:tab w:val="clear" w:pos="6237"/>
          <w:tab w:val="left" w:pos="3927"/>
        </w:tabs>
      </w:pPr>
    </w:p>
    <w:p w:rsidR="00000000" w:rsidRDefault="00000000">
      <w:pPr>
        <w:tabs>
          <w:tab w:val="clear" w:pos="6237"/>
          <w:tab w:val="left" w:pos="3927"/>
        </w:tabs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ЧАСТЬ </w:t>
      </w:r>
      <w:r>
        <w:rPr>
          <w:lang w:val="en-US"/>
        </w:rPr>
        <w:t>III</w:t>
      </w:r>
      <w:r>
        <w:t xml:space="preserve"> КОНВЕНЦИИ:  Права человека всех трудящихся-мигрантов и членов их семей:</w:t>
      </w:r>
    </w:p>
    <w:p w:rsidR="00000000" w:rsidRDefault="00000000">
      <w:pPr>
        <w:tabs>
          <w:tab w:val="clear" w:pos="6237"/>
          <w:tab w:val="left" w:pos="3927"/>
        </w:tabs>
        <w:ind w:left="1134" w:hanging="1134"/>
      </w:pPr>
    </w:p>
    <w:p w:rsidR="00000000" w:rsidRDefault="00000000">
      <w:pPr>
        <w:tabs>
          <w:tab w:val="clear" w:pos="6237"/>
          <w:tab w:val="left" w:pos="3927"/>
        </w:tabs>
        <w:ind w:left="1701" w:hanging="1134"/>
      </w:pPr>
      <w:r>
        <w:t>-</w:t>
      </w:r>
      <w:r>
        <w:tab/>
        <w:t>Статья 8:</w:t>
      </w:r>
    </w:p>
    <w:p w:rsidR="00000000" w:rsidRDefault="00000000">
      <w:pPr>
        <w:tabs>
          <w:tab w:val="clear" w:pos="6237"/>
          <w:tab w:val="left" w:pos="3927"/>
        </w:tabs>
        <w:ind w:left="1701" w:hanging="1134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покидать любую страну, включая страну происхождения, и возвращаться.</w:t>
      </w:r>
    </w:p>
    <w:p w:rsidR="00000000" w:rsidRDefault="00000000">
      <w:pPr>
        <w:tabs>
          <w:tab w:val="clear" w:pos="6237"/>
          <w:tab w:val="left" w:pos="3927"/>
        </w:tabs>
        <w:ind w:left="1701" w:hanging="1134"/>
      </w:pPr>
    </w:p>
    <w:p w:rsidR="00000000" w:rsidRDefault="00000000">
      <w:pPr>
        <w:tabs>
          <w:tab w:val="clear" w:pos="6237"/>
          <w:tab w:val="left" w:pos="3927"/>
        </w:tabs>
        <w:ind w:left="1701" w:hanging="1134"/>
      </w:pPr>
      <w:r>
        <w:t>-</w:t>
      </w:r>
      <w:r>
        <w:tab/>
        <w:t>Статьи 9, 10:</w:t>
      </w:r>
    </w:p>
    <w:p w:rsidR="00000000" w:rsidRDefault="00000000">
      <w:pPr>
        <w:tabs>
          <w:tab w:val="clear" w:pos="6237"/>
          <w:tab w:val="left" w:pos="3927"/>
        </w:tabs>
        <w:ind w:left="1701" w:hanging="1134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на жизнь;  запрещение пыток;  запрещение бесчеловечного или унижающего достоинство обращения.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Статья 11: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Запрещение рабства и принудительного труда.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12, 13 и 26:</w:t>
      </w: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Свобода мнений и их выражения;  свобода мысли, совести и религии;  право на вступление в профсоюз.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14, 15:</w:t>
      </w: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Запрет на произвольное или незаконное вмешательство в личную жизнь, посягательство на неприкосновенность жилища, переписку или другие формы связи;  запрет на произвольное лишение собственности.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16 (§ 1–4), 17 и 24: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на свободу и личную безопасность;  гарантии от произвольного ареста и задержания;  признание правосубъектности.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16 (§ 5–9), 18, 19: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на процессуальные гарантии.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Статья 20: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Запрет на тюремное заключение, отказ в разрешении на проживание и/или разрешении на работу и высылку на основании невыполнения договорного обязательства.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21, 22, 23: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Защита от конфискации и/или уничтожения удостоверения личности и других документов;  защита от коллективной высылки;  право на обращение за консульской или дипломатической защитой.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25, 27, 28: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Принцип равного обращения в вопросах вознаграждения и других условий труда и условий занятости;  социального обеспечения;  и права на получение неотложной медицинской помощи.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29, 30, 31: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ребенка трудящегося-мигранта на имя, регистрацию рождения и гражданства;  доступ к образованию на основе равного обращения;  уважение культурной самобытности трудящихся-мигрантов и членов их семей.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  <w:r>
        <w:t>-</w:t>
      </w:r>
      <w:r>
        <w:tab/>
        <w:t>Статьи 32, 33:</w:t>
      </w:r>
    </w:p>
    <w:p w:rsidR="00000000" w:rsidRDefault="00000000">
      <w:pPr>
        <w:keepNext/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tabs>
          <w:tab w:val="clear" w:pos="6237"/>
          <w:tab w:val="left" w:pos="3927"/>
        </w:tabs>
        <w:ind w:left="1134" w:hanging="567"/>
      </w:pPr>
      <w:r>
        <w:tab/>
        <w:t>Право переводить в государство происхождения свои заработанные средства, сбережения и личное имущество;  право на получение информации о правах, вытекающих из Конвенции, и на распространение информации.</w:t>
      </w:r>
    </w:p>
    <w:p w:rsidR="00000000" w:rsidRDefault="00000000">
      <w:pPr>
        <w:tabs>
          <w:tab w:val="clear" w:pos="6237"/>
          <w:tab w:val="left" w:pos="3927"/>
        </w:tabs>
        <w:ind w:left="1134" w:hanging="567"/>
      </w:pPr>
    </w:p>
    <w:p w:rsidR="00000000" w:rsidRDefault="00000000">
      <w:pPr>
        <w:ind w:left="1134" w:hanging="1134"/>
      </w:pPr>
      <w:r>
        <w:tab/>
        <w:t>с)</w:t>
      </w:r>
      <w:r>
        <w:tab/>
        <w:t>ЧАСТЬ IV КОНВЕНЦИИ:  Другие права трудящихся-мигрантов и членов их семей, имеющих документы или постоянный статус: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Статья 37: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Право быть информированными до своего отъезда об условиях допуска в государство работы по найму и своей оплачиваемой деятельности.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38, 39: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Право временно отсутствовать без ущерба для разрешения на пребывание или на работу;  право на свободное передвижение и выбор места жительства на территории государства работы по найму.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40, 41, 42: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Право создавать ассоциации и профсоюзы;  право участвовать в общественной жизни государства своего происхождения и избирать и быть избранными в этом государстве; процедуры или институты, проявляющие заботу о нуждах рабочих-мигрантов и обеспечивающие возможность осуществления политических прав в государстве работы по найму.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43, 54, 55: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Принцип равного режима с гражданами государства работы по найму в указанных областях;  равный режим в отношении защиты против увольнения, пособий по безработице и доступа к программам общественных работ и к другой работе по найму;  равное обращение в осуществлении вознаграждаемой деятельности.</w:t>
      </w:r>
    </w:p>
    <w:p w:rsidR="00000000" w:rsidRDefault="00000000">
      <w:pPr>
        <w:ind w:left="1134" w:hanging="1134"/>
      </w:pPr>
    </w:p>
    <w:p w:rsidR="00000000" w:rsidRDefault="00000000">
      <w:pPr>
        <w:keepNext/>
        <w:ind w:left="1701" w:hanging="1701"/>
      </w:pPr>
      <w:r>
        <w:tab/>
        <w:t>-</w:t>
      </w:r>
      <w:r>
        <w:tab/>
        <w:t>Статьи 44 и 50:</w:t>
      </w:r>
    </w:p>
    <w:p w:rsidR="00000000" w:rsidRDefault="00000000">
      <w:pPr>
        <w:keepNext/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Защита единства семей трудящихся-мигрантов и воссоединение трудящихся-мигрантов;  учет последствий смерти или расторжения брака.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45 и 53: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 xml:space="preserve">Пользование равным режимом членами семей трудящихся-мигрантов в указанных областях и меры, принимаемые в целях обеспечения гарантий вовлечения детей трудящихся-мигрантов в местную систему школьного обучения;  право свободно выбирать свою вознаграждаемую деятельность для членов семьи трудящегося-мигранта.  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46, 47, 48: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Освобождение от сборов и пошлин на ввоз и вывоз своих личных вещей;  право переводить свои заработанные средства и сбережения из государства работы по найму в государство происхождения или любое другое государство;  налогообложение и принцип избежания двойного налогообложения.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  <w:t>-</w:t>
      </w:r>
      <w:r>
        <w:tab/>
        <w:t>Статьи 51, 52:</w:t>
      </w:r>
    </w:p>
    <w:p w:rsidR="00000000" w:rsidRDefault="00000000">
      <w:pPr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Право на поиск другой работы в случае прекращения вознаграждаемой деятельности для трудящихся-мигрантов, не имеющих разрешения свободно выбирать свою вознаграждаемую деятельность;  условия и ограничения для трудящихся-мигрантов, которые могут свободно выбирать свою вознаграждаемую деятельность.</w:t>
      </w:r>
    </w:p>
    <w:p w:rsidR="00000000" w:rsidRDefault="00000000">
      <w:pPr>
        <w:ind w:left="1134" w:hanging="1134"/>
      </w:pPr>
    </w:p>
    <w:p w:rsidR="00000000" w:rsidRDefault="00000000">
      <w:pPr>
        <w:keepNext/>
        <w:ind w:left="1701" w:hanging="1701"/>
      </w:pPr>
      <w:r>
        <w:tab/>
        <w:t>-</w:t>
      </w:r>
      <w:r>
        <w:tab/>
        <w:t>Статьи 49 и 56:</w:t>
      </w:r>
    </w:p>
    <w:p w:rsidR="00000000" w:rsidRDefault="00000000">
      <w:pPr>
        <w:keepNext/>
        <w:ind w:left="1701" w:hanging="1701"/>
      </w:pPr>
    </w:p>
    <w:p w:rsidR="00000000" w:rsidRDefault="00000000">
      <w:pPr>
        <w:ind w:left="1134" w:hanging="1134"/>
      </w:pPr>
      <w:r>
        <w:tab/>
      </w:r>
      <w:r>
        <w:tab/>
        <w:t>Разрешение на жительство и наем для занятия вознаграждаемой деятельностью;  общий запрет на высылку и условия высылки.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d)</w:t>
      </w:r>
      <w:r>
        <w:tab/>
        <w:t>ЧАСТЬ V КОНВЕНЦИИ:  Положения, применимые к конкретным категориям трудящихся-мигрантов и членам их семей</w:t>
      </w:r>
    </w:p>
    <w:p w:rsidR="00000000" w:rsidRDefault="00000000">
      <w:pPr>
        <w:ind w:left="1134" w:hanging="1134"/>
      </w:pPr>
    </w:p>
    <w:p w:rsidR="00000000" w:rsidRDefault="00000000">
      <w:pPr>
        <w:ind w:left="567" w:hanging="567"/>
      </w:pPr>
      <w:r>
        <w:tab/>
        <w:t>Государству-участнику следует указать правовые положения или принятые меры в отношении конкретных категорий мигрантов, охваченных статьями 57–63 Конвенции, если таковые приняты.</w:t>
      </w:r>
    </w:p>
    <w:p w:rsidR="00000000" w:rsidRDefault="00000000">
      <w:pPr>
        <w:ind w:left="567" w:hanging="567"/>
      </w:pPr>
    </w:p>
    <w:p w:rsidR="00000000" w:rsidRDefault="00000000">
      <w:pPr>
        <w:ind w:left="1134" w:hanging="1134"/>
      </w:pPr>
      <w:r>
        <w:tab/>
        <w:t>е)</w:t>
      </w:r>
      <w:r>
        <w:tab/>
        <w:t>ЧАСТЬ VI КОНВЕНЦИИ:  Содействие созданию нормальных, справедливых, гуманных и законных условий в отношении международной миграции трудящихся и членов их семей</w:t>
      </w:r>
    </w:p>
    <w:p w:rsidR="00000000" w:rsidRDefault="00000000">
      <w:pPr>
        <w:ind w:left="1134" w:hanging="1134"/>
      </w:pPr>
    </w:p>
    <w:p w:rsidR="00000000" w:rsidRDefault="00000000">
      <w:pPr>
        <w:ind w:left="567" w:hanging="567"/>
      </w:pPr>
      <w:r>
        <w:tab/>
        <w:t>Государству-участнику следует указать на принятые меры по содействию созданию нормальных, справедливых, гуманных и законных условий в отношении международной миграции трудящихся и членов их семей.  В частности:</w:t>
      </w:r>
    </w:p>
    <w:p w:rsidR="00000000" w:rsidRDefault="00000000">
      <w:pPr>
        <w:ind w:left="567" w:hanging="567"/>
      </w:pPr>
    </w:p>
    <w:p w:rsidR="00000000" w:rsidRDefault="00000000">
      <w:pPr>
        <w:keepNext/>
        <w:ind w:left="567" w:hanging="567"/>
      </w:pPr>
      <w:r>
        <w:tab/>
        <w:t>-</w:t>
      </w:r>
      <w:r>
        <w:tab/>
        <w:t>Статья 65:</w:t>
      </w:r>
    </w:p>
    <w:p w:rsidR="00000000" w:rsidRDefault="00000000">
      <w:pPr>
        <w:keepNext/>
        <w:ind w:left="567" w:hanging="567"/>
      </w:pPr>
    </w:p>
    <w:p w:rsidR="00000000" w:rsidRDefault="00000000">
      <w:pPr>
        <w:ind w:left="1134" w:hanging="1134"/>
      </w:pPr>
      <w:r>
        <w:tab/>
      </w:r>
      <w:r>
        <w:tab/>
        <w:t>Создание соответствующих служб по вопросам, касающимся международной миграции трудящихся и членов их семей.</w:t>
      </w:r>
    </w:p>
    <w:p w:rsidR="00000000" w:rsidRDefault="00000000">
      <w:pPr>
        <w:ind w:left="1134" w:hanging="1134"/>
      </w:pPr>
    </w:p>
    <w:p w:rsidR="00000000" w:rsidRDefault="00000000">
      <w:pPr>
        <w:keepNext/>
        <w:ind w:left="1134" w:hanging="1134"/>
      </w:pPr>
      <w:r>
        <w:tab/>
        <w:t>-</w:t>
      </w:r>
      <w:r>
        <w:tab/>
        <w:t>Статья 66:</w:t>
      </w:r>
    </w:p>
    <w:p w:rsidR="00000000" w:rsidRDefault="00000000">
      <w:pPr>
        <w:keepNext/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Разрешенные процедуры и органы для найма трудящихся на работу в другом государстве.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Статья 67: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Меры, касающиеся упорядоченного возвращения трудящихся-мигрантов и членов их семей в государство происхождения, их расселения и культурной реинтеграции.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Статья 68: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Меры, направленные на предотвращение и пресечение незаконных или тайных переездов и найма трудящихся-мигрантов, не имеющих постоянного статуса.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Статья 69: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Меры, принимаемые в целях обеспечения недопущения сохранения положения, когда трудящиеся-мигранты не имеют постоянного статуса на территории государства-участника, и обстоятельства, принимаемые во внимание в случае применения процедур упорядочения их положения.</w:t>
      </w:r>
    </w:p>
    <w:p w:rsidR="00000000" w:rsidRDefault="00000000">
      <w:pPr>
        <w:ind w:left="1134" w:hanging="1134"/>
      </w:pPr>
    </w:p>
    <w:p w:rsidR="00000000" w:rsidRDefault="00000000">
      <w:pPr>
        <w:keepNext/>
        <w:ind w:left="1134" w:hanging="1134"/>
      </w:pPr>
      <w:r>
        <w:tab/>
        <w:t>-</w:t>
      </w:r>
      <w:r>
        <w:tab/>
        <w:t>Статья 70:</w:t>
      </w:r>
    </w:p>
    <w:p w:rsidR="00000000" w:rsidRDefault="00000000">
      <w:pPr>
        <w:keepNext/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Меры, принимаемые для обеспечения того, чтобы условия жизни трудящихся-мигрантов и членов их семей, имеющих постоянный статус, соответствовали нормам пригодности, техники безопасности, охраны здоровья и принципам человеческого достоинства.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Статья 71: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tab/>
        <w:t>Возвращение останков умерших трудящихся-мигрантов или членов их семей и вопросы компенсации, связанной со смертью.</w:t>
      </w:r>
    </w:p>
    <w:p w:rsidR="00000000" w:rsidRDefault="00000000">
      <w:pPr>
        <w:ind w:left="1134" w:hanging="1134"/>
      </w:pPr>
    </w:p>
    <w:p w:rsidR="00000000" w:rsidRDefault="00000000">
      <w:pPr>
        <w:keepNext/>
        <w:ind w:left="1134" w:hanging="1134"/>
        <w:rPr>
          <w:b/>
          <w:bCs/>
        </w:rPr>
      </w:pPr>
      <w:r>
        <w:rPr>
          <w:b/>
          <w:bCs/>
        </w:rPr>
        <w:t>ПРЕДСТАВЛЕНИЕ ДОКЛАДА</w:t>
      </w:r>
    </w:p>
    <w:p w:rsidR="00000000" w:rsidRDefault="00000000">
      <w:pPr>
        <w:keepNext/>
        <w:ind w:left="1134" w:hanging="1134"/>
        <w:rPr>
          <w:b/>
          <w:bCs/>
        </w:rPr>
      </w:pPr>
    </w:p>
    <w:p w:rsidR="00000000" w:rsidRDefault="00000000">
      <w:r>
        <w:t>5.</w:t>
      </w:r>
      <w:r>
        <w:tab/>
        <w:t>К докладу необходимо приложить достаточное количество экземпляров (по возможности на английском, испанском или французском языках) основных законодательных или иных текстов, о которых говорится в докладе.  Они будут распространены среди членов Комитета.  Следует, однако, отметить, что в отличие от доклада они не будут воспроизводиться для общего распространения.  В связи с этим, если какой-либо текст фактически не цитируется в самом докладе или не прилагается к нему, представляется целесообразным, чтобы в докладе содержалась достаточная информация, обеспечивающая его понимание без ссылки на него.</w:t>
      </w:r>
    </w:p>
    <w:p w:rsidR="00000000" w:rsidRDefault="00000000"/>
    <w:p w:rsidR="00000000" w:rsidRDefault="00000000">
      <w:r>
        <w:t>6.</w:t>
      </w:r>
      <w:r>
        <w:tab/>
        <w:t xml:space="preserve">Государства-участники, возможно, пожелают представить свой первоначальный доклад в соответствии со статьей 73 Международной конвенции о защите прав всех трудящихся-мигрантов и членов их семей совместно с общим базовым документом, о котором идет речь в документе </w:t>
      </w:r>
      <w:r>
        <w:rPr>
          <w:lang w:val="en-US"/>
        </w:rPr>
        <w:t>HRI</w:t>
      </w:r>
      <w:r>
        <w:t>/</w:t>
      </w:r>
      <w:r>
        <w:rPr>
          <w:lang w:val="en-US"/>
        </w:rPr>
        <w:t>MC</w:t>
      </w:r>
      <w:r>
        <w:t>/2004/3, содержащем проект руководящих принципов его подготовки.  К этому призвало третье межкомитетское совещание, прошедшее в Женеве 21–22 июня 2004 года (см. документ А/59/254, Доклад председателей договорных органов по правам человека о работе их шестнадцатого совещания).</w:t>
      </w:r>
    </w:p>
    <w:p w:rsidR="00000000" w:rsidRDefault="00000000"/>
    <w:p w:rsidR="00000000" w:rsidRDefault="00000000">
      <w:r>
        <w:t>7.</w:t>
      </w:r>
      <w:r>
        <w:tab/>
        <w:t xml:space="preserve">Первоначальные доклады, представляемые в соответствии со статьей 73 Конвенции, следует направлять в электронной форме (на дискете, компакт-диске или по электронной почте), а также необходимо прилагать их копии в распечатанном виде.  Доклад не должен превышать 120 страниц (листы размера А4 с интервалом 1,5;  текст должен быть набран шрифтом высотой 12 мм типа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).</w:t>
      </w:r>
    </w:p>
    <w:p w:rsidR="00000000" w:rsidRDefault="00000000">
      <w:pPr>
        <w:spacing w:line="360" w:lineRule="auto"/>
      </w:pPr>
    </w:p>
    <w:p w:rsidR="00000000" w:rsidRDefault="00000000">
      <w:pPr>
        <w:jc w:val="center"/>
      </w:pPr>
      <w:r>
        <w:t>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HRI/GEN/2/Rev.2/Add.1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HRI/GEN/2/Rev.2/Add.1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1</Pages>
  <Words>1593</Words>
  <Characters>9081</Characters>
  <Application>Microsoft Office Word</Application>
  <DocSecurity>4</DocSecurity>
  <Lines>75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0541519</vt:lpstr>
    </vt:vector>
  </TitlesOfParts>
  <Company> 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0541519</dc:title>
  <dc:subject>КУЗЬМЕНКО</dc:subject>
  <dc:creator>Белова</dc:creator>
  <cp:keywords/>
  <dc:description/>
  <cp:lastModifiedBy>Belova Natalia</cp:lastModifiedBy>
  <cp:revision>2</cp:revision>
  <cp:lastPrinted>2005-05-25T09:10:00Z</cp:lastPrinted>
  <dcterms:created xsi:type="dcterms:W3CDTF">2005-05-25T09:11:00Z</dcterms:created>
  <dcterms:modified xsi:type="dcterms:W3CDTF">2005-05-25T09:11:00Z</dcterms:modified>
</cp:coreProperties>
</file>